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37" w:rsidRPr="00F23937" w:rsidRDefault="00F23937" w:rsidP="00F23937">
      <w:pPr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F23937">
        <w:rPr>
          <w:rFonts w:asciiTheme="majorBidi" w:hAnsiTheme="majorBidi" w:cstheme="majorBidi"/>
          <w:b/>
          <w:bCs/>
          <w:sz w:val="28"/>
          <w:szCs w:val="28"/>
          <w:lang w:val="en-US"/>
        </w:rPr>
        <w:t>Abstract: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23937">
        <w:rPr>
          <w:rFonts w:asciiTheme="majorBidi" w:hAnsiTheme="majorBidi" w:cstheme="majorBidi"/>
          <w:sz w:val="24"/>
          <w:szCs w:val="24"/>
          <w:lang w:val="en-US"/>
        </w:rPr>
        <w:t xml:space="preserve">The present work explores the DFT study of organometallic compounds based on </w:t>
      </w:r>
      <w:proofErr w:type="spellStart"/>
      <w:r w:rsidRPr="00F23937">
        <w:rPr>
          <w:rFonts w:asciiTheme="majorBidi" w:hAnsiTheme="majorBidi" w:cstheme="majorBidi"/>
          <w:sz w:val="24"/>
          <w:szCs w:val="24"/>
          <w:lang w:val="en-US"/>
        </w:rPr>
        <w:t>thione</w:t>
      </w:r>
      <w:proofErr w:type="spellEnd"/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F23937">
        <w:rPr>
          <w:rFonts w:asciiTheme="majorBidi" w:hAnsiTheme="majorBidi" w:cstheme="majorBidi"/>
          <w:sz w:val="24"/>
          <w:szCs w:val="24"/>
          <w:lang w:val="en-US"/>
        </w:rPr>
        <w:t>molecule</w:t>
      </w:r>
      <w:proofErr w:type="gramEnd"/>
      <w:r w:rsidRPr="00F23937">
        <w:rPr>
          <w:rFonts w:asciiTheme="majorBidi" w:hAnsiTheme="majorBidi" w:cstheme="majorBidi"/>
          <w:sz w:val="24"/>
          <w:szCs w:val="24"/>
          <w:lang w:val="en-US"/>
        </w:rPr>
        <w:t xml:space="preserve"> with the molecular formulas C6H18N6PtS2.2(NO3) and C10H26N6PtS2.2(NO3)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F23937">
        <w:rPr>
          <w:rFonts w:asciiTheme="majorBidi" w:hAnsiTheme="majorBidi" w:cstheme="majorBidi"/>
          <w:sz w:val="24"/>
          <w:szCs w:val="24"/>
          <w:lang w:val="en-US"/>
        </w:rPr>
        <w:t>with</w:t>
      </w:r>
      <w:proofErr w:type="gramEnd"/>
      <w:r w:rsidRPr="00F23937">
        <w:rPr>
          <w:rFonts w:asciiTheme="majorBidi" w:hAnsiTheme="majorBidi" w:cstheme="majorBidi"/>
          <w:sz w:val="24"/>
          <w:szCs w:val="24"/>
          <w:lang w:val="en-US"/>
        </w:rPr>
        <w:t xml:space="preserve"> a molecular weight of 557.49, and 613.60 g/</w:t>
      </w:r>
      <w:proofErr w:type="spellStart"/>
      <w:r w:rsidRPr="00F23937">
        <w:rPr>
          <w:rFonts w:asciiTheme="majorBidi" w:hAnsiTheme="majorBidi" w:cstheme="majorBidi"/>
          <w:sz w:val="24"/>
          <w:szCs w:val="24"/>
          <w:lang w:val="en-US"/>
        </w:rPr>
        <w:t>mol</w:t>
      </w:r>
      <w:proofErr w:type="spellEnd"/>
      <w:r w:rsidRPr="00F23937">
        <w:rPr>
          <w:rFonts w:asciiTheme="majorBidi" w:hAnsiTheme="majorBidi" w:cstheme="majorBidi"/>
          <w:sz w:val="24"/>
          <w:szCs w:val="24"/>
          <w:lang w:val="en-US"/>
        </w:rPr>
        <w:t>, respectively. Its biological activity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F23937">
        <w:rPr>
          <w:rFonts w:asciiTheme="majorBidi" w:hAnsiTheme="majorBidi" w:cstheme="majorBidi"/>
          <w:sz w:val="24"/>
          <w:szCs w:val="24"/>
          <w:lang w:val="en-US"/>
        </w:rPr>
        <w:t>was</w:t>
      </w:r>
      <w:proofErr w:type="gramEnd"/>
      <w:r w:rsidRPr="00F23937">
        <w:rPr>
          <w:rFonts w:asciiTheme="majorBidi" w:hAnsiTheme="majorBidi" w:cstheme="majorBidi"/>
          <w:sz w:val="24"/>
          <w:szCs w:val="24"/>
          <w:lang w:val="en-US"/>
        </w:rPr>
        <w:t xml:space="preserve"> devoted to the existence of platinum metal linking two different thionic derivatives in the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F23937">
        <w:rPr>
          <w:rFonts w:asciiTheme="majorBidi" w:hAnsiTheme="majorBidi" w:cstheme="majorBidi"/>
          <w:sz w:val="24"/>
          <w:szCs w:val="24"/>
          <w:lang w:val="en-US"/>
        </w:rPr>
        <w:t>molecules</w:t>
      </w:r>
      <w:proofErr w:type="gramEnd"/>
      <w:r w:rsidRPr="00F23937">
        <w:rPr>
          <w:rFonts w:asciiTheme="majorBidi" w:hAnsiTheme="majorBidi" w:cstheme="majorBidi"/>
          <w:sz w:val="24"/>
          <w:szCs w:val="24"/>
          <w:lang w:val="en-US"/>
        </w:rPr>
        <w:t>. The geometric optimization was investigated through the density functional theory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23937">
        <w:rPr>
          <w:rFonts w:asciiTheme="majorBidi" w:hAnsiTheme="majorBidi" w:cstheme="majorBidi"/>
          <w:sz w:val="24"/>
          <w:szCs w:val="24"/>
          <w:lang w:val="en-US"/>
        </w:rPr>
        <w:t>(DFT) utilizing the Gen and 6-</w:t>
      </w:r>
      <w:proofErr w:type="gramStart"/>
      <w:r w:rsidRPr="00F23937">
        <w:rPr>
          <w:rFonts w:asciiTheme="majorBidi" w:hAnsiTheme="majorBidi" w:cstheme="majorBidi"/>
          <w:sz w:val="24"/>
          <w:szCs w:val="24"/>
          <w:lang w:val="en-US"/>
        </w:rPr>
        <w:t>311G(</w:t>
      </w:r>
      <w:proofErr w:type="gramEnd"/>
      <w:r w:rsidRPr="00F23937">
        <w:rPr>
          <w:rFonts w:asciiTheme="majorBidi" w:hAnsiTheme="majorBidi" w:cstheme="majorBidi"/>
          <w:sz w:val="24"/>
          <w:szCs w:val="24"/>
          <w:lang w:val="en-US"/>
        </w:rPr>
        <w:t>d, p) basis set using the Gaussian 09 software. This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F23937">
        <w:rPr>
          <w:rFonts w:asciiTheme="majorBidi" w:hAnsiTheme="majorBidi" w:cstheme="majorBidi"/>
          <w:sz w:val="24"/>
          <w:szCs w:val="24"/>
          <w:lang w:val="en-US"/>
        </w:rPr>
        <w:t>theory</w:t>
      </w:r>
      <w:proofErr w:type="gramEnd"/>
      <w:r w:rsidRPr="00F23937">
        <w:rPr>
          <w:rFonts w:asciiTheme="majorBidi" w:hAnsiTheme="majorBidi" w:cstheme="majorBidi"/>
          <w:sz w:val="24"/>
          <w:szCs w:val="24"/>
          <w:lang w:val="en-US"/>
        </w:rPr>
        <w:t xml:space="preserve"> was also used for simulating molecular boundary orbital (HOMO and LUMO), Global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F23937">
        <w:rPr>
          <w:rFonts w:asciiTheme="majorBidi" w:hAnsiTheme="majorBidi" w:cstheme="majorBidi"/>
          <w:sz w:val="24"/>
          <w:szCs w:val="24"/>
          <w:lang w:val="en-US"/>
        </w:rPr>
        <w:t>chemical</w:t>
      </w:r>
      <w:proofErr w:type="gramEnd"/>
      <w:r w:rsidRPr="00F23937">
        <w:rPr>
          <w:rFonts w:asciiTheme="majorBidi" w:hAnsiTheme="majorBidi" w:cstheme="majorBidi"/>
          <w:sz w:val="24"/>
          <w:szCs w:val="24"/>
          <w:lang w:val="en-US"/>
        </w:rPr>
        <w:t xml:space="preserve"> reactivity descriptors, and molecular electrostatic potential (MEP). Hydrogen bonds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F23937">
        <w:rPr>
          <w:rFonts w:asciiTheme="majorBidi" w:hAnsiTheme="majorBidi" w:cstheme="majorBidi"/>
          <w:sz w:val="24"/>
          <w:szCs w:val="24"/>
          <w:lang w:val="en-US"/>
        </w:rPr>
        <w:t>were</w:t>
      </w:r>
      <w:proofErr w:type="gramEnd"/>
      <w:r w:rsidRPr="00F23937">
        <w:rPr>
          <w:rFonts w:asciiTheme="majorBidi" w:hAnsiTheme="majorBidi" w:cstheme="majorBidi"/>
          <w:sz w:val="24"/>
          <w:szCs w:val="24"/>
          <w:lang w:val="en-US"/>
        </w:rPr>
        <w:t xml:space="preserve"> confirmed by studying Hirschfield surface analysis using the Crystal Explorer software.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23937">
        <w:rPr>
          <w:rFonts w:asciiTheme="majorBidi" w:hAnsiTheme="majorBidi" w:cstheme="majorBidi"/>
          <w:sz w:val="24"/>
          <w:szCs w:val="24"/>
          <w:lang w:val="en-US"/>
        </w:rPr>
        <w:t>An IR and NMR spectroscopic analysis was established using the same basis to determine the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F23937">
        <w:rPr>
          <w:rFonts w:asciiTheme="majorBidi" w:hAnsiTheme="majorBidi" w:cstheme="majorBidi"/>
          <w:sz w:val="24"/>
          <w:szCs w:val="24"/>
          <w:lang w:val="en-US"/>
        </w:rPr>
        <w:t>material's</w:t>
      </w:r>
      <w:proofErr w:type="gramEnd"/>
      <w:r w:rsidRPr="00F23937">
        <w:rPr>
          <w:rFonts w:asciiTheme="majorBidi" w:hAnsiTheme="majorBidi" w:cstheme="majorBidi"/>
          <w:sz w:val="24"/>
          <w:szCs w:val="24"/>
          <w:lang w:val="en-US"/>
        </w:rPr>
        <w:t xml:space="preserve"> characteristics. The NLO study reveals the suitable materials candidature as an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F23937">
        <w:rPr>
          <w:rFonts w:asciiTheme="majorBidi" w:hAnsiTheme="majorBidi" w:cstheme="majorBidi"/>
          <w:sz w:val="24"/>
          <w:szCs w:val="24"/>
          <w:lang w:val="en-US"/>
        </w:rPr>
        <w:t>optoelectronic</w:t>
      </w:r>
      <w:proofErr w:type="gramEnd"/>
      <w:r w:rsidRPr="00F23937">
        <w:rPr>
          <w:rFonts w:asciiTheme="majorBidi" w:hAnsiTheme="majorBidi" w:cstheme="majorBidi"/>
          <w:sz w:val="24"/>
          <w:szCs w:val="24"/>
          <w:lang w:val="en-US"/>
        </w:rPr>
        <w:t xml:space="preserve"> system. Finally, a molecular docking analysis was performed to test the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F23937">
        <w:rPr>
          <w:rFonts w:asciiTheme="majorBidi" w:hAnsiTheme="majorBidi" w:cstheme="majorBidi"/>
          <w:sz w:val="24"/>
          <w:szCs w:val="24"/>
          <w:lang w:val="en-US"/>
        </w:rPr>
        <w:t>inhibitory</w:t>
      </w:r>
      <w:proofErr w:type="gramEnd"/>
      <w:r w:rsidRPr="00F23937">
        <w:rPr>
          <w:rFonts w:asciiTheme="majorBidi" w:hAnsiTheme="majorBidi" w:cstheme="majorBidi"/>
          <w:sz w:val="24"/>
          <w:szCs w:val="24"/>
          <w:lang w:val="en-US"/>
        </w:rPr>
        <w:t xml:space="preserve"> effect against the </w:t>
      </w:r>
      <w:proofErr w:type="spellStart"/>
      <w:r w:rsidRPr="00F23937">
        <w:rPr>
          <w:rFonts w:asciiTheme="majorBidi" w:hAnsiTheme="majorBidi" w:cstheme="majorBidi"/>
          <w:sz w:val="24"/>
          <w:szCs w:val="24"/>
          <w:lang w:val="en-US"/>
        </w:rPr>
        <w:t>cyclin</w:t>
      </w:r>
      <w:proofErr w:type="spellEnd"/>
      <w:r w:rsidRPr="00F23937">
        <w:rPr>
          <w:rFonts w:asciiTheme="majorBidi" w:hAnsiTheme="majorBidi" w:cstheme="majorBidi"/>
          <w:sz w:val="24"/>
          <w:szCs w:val="24"/>
          <w:lang w:val="en-US"/>
        </w:rPr>
        <w:t>-dependent kinase CDK6protein.</w:t>
      </w:r>
    </w:p>
    <w:p w:rsid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2393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Keywords: 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23937">
        <w:rPr>
          <w:rFonts w:asciiTheme="majorBidi" w:hAnsiTheme="majorBidi" w:cstheme="majorBidi"/>
          <w:sz w:val="24"/>
          <w:szCs w:val="24"/>
          <w:lang w:val="en-US"/>
        </w:rPr>
        <w:t xml:space="preserve">DFT, organometallic compounds, </w:t>
      </w:r>
      <w:proofErr w:type="spellStart"/>
      <w:r w:rsidRPr="00F23937">
        <w:rPr>
          <w:rFonts w:asciiTheme="majorBidi" w:hAnsiTheme="majorBidi" w:cstheme="majorBidi"/>
          <w:sz w:val="24"/>
          <w:szCs w:val="24"/>
          <w:lang w:val="en-US"/>
        </w:rPr>
        <w:t>Thione</w:t>
      </w:r>
      <w:proofErr w:type="spellEnd"/>
      <w:r w:rsidRPr="00F23937">
        <w:rPr>
          <w:rFonts w:asciiTheme="majorBidi" w:hAnsiTheme="majorBidi" w:cstheme="majorBidi"/>
          <w:sz w:val="24"/>
          <w:szCs w:val="24"/>
          <w:lang w:val="en-US"/>
        </w:rPr>
        <w:t>, MEP, NLO, Molecular docking</w:t>
      </w:r>
    </w:p>
    <w:p w:rsid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F23937" w:rsidRPr="00F23937" w:rsidRDefault="00F23937" w:rsidP="00F23937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23937">
        <w:rPr>
          <w:rFonts w:asciiTheme="majorBidi" w:hAnsiTheme="majorBidi" w:cstheme="majorBidi"/>
          <w:b/>
          <w:bCs/>
          <w:sz w:val="28"/>
          <w:szCs w:val="28"/>
        </w:rPr>
        <w:t>Résumé: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</w:rPr>
      </w:pPr>
      <w:r w:rsidRPr="00F23937">
        <w:rPr>
          <w:rFonts w:asciiTheme="majorBidi" w:hAnsiTheme="majorBidi" w:cstheme="majorBidi"/>
          <w:sz w:val="24"/>
          <w:szCs w:val="24"/>
        </w:rPr>
        <w:t>Le présent travail explore l’étude DFT de composés organométalliques à base de molécule de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F23937">
        <w:rPr>
          <w:rFonts w:asciiTheme="majorBidi" w:hAnsiTheme="majorBidi" w:cstheme="majorBidi"/>
          <w:sz w:val="24"/>
          <w:szCs w:val="24"/>
        </w:rPr>
        <w:t>thione</w:t>
      </w:r>
      <w:proofErr w:type="spellEnd"/>
      <w:proofErr w:type="gramEnd"/>
      <w:r w:rsidRPr="00F23937">
        <w:rPr>
          <w:rFonts w:asciiTheme="majorBidi" w:hAnsiTheme="majorBidi" w:cstheme="majorBidi"/>
          <w:sz w:val="24"/>
          <w:szCs w:val="24"/>
        </w:rPr>
        <w:t xml:space="preserve"> avec les formules moléculaires C6H18N6PtS2.2(NO3) et C10H26N6PtS2.2(NO3)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F23937">
        <w:rPr>
          <w:rFonts w:asciiTheme="majorBidi" w:hAnsiTheme="majorBidi" w:cstheme="majorBidi"/>
          <w:sz w:val="24"/>
          <w:szCs w:val="24"/>
        </w:rPr>
        <w:t>avec</w:t>
      </w:r>
      <w:proofErr w:type="gramEnd"/>
      <w:r w:rsidRPr="00F23937">
        <w:rPr>
          <w:rFonts w:asciiTheme="majorBidi" w:hAnsiTheme="majorBidi" w:cstheme="majorBidi"/>
          <w:sz w:val="24"/>
          <w:szCs w:val="24"/>
        </w:rPr>
        <w:t xml:space="preserve"> un poids moléculaire de 557,49, et 613,60 g/mol, respectivement. Son activité biologique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F2393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F23937">
        <w:rPr>
          <w:rFonts w:asciiTheme="majorBidi" w:hAnsiTheme="majorBidi" w:cstheme="majorBidi"/>
          <w:sz w:val="24"/>
          <w:szCs w:val="24"/>
        </w:rPr>
        <w:t xml:space="preserve"> été consacrée à l’existence de platine métal reliant deux dérivés thioniques différents dans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F23937">
        <w:rPr>
          <w:rFonts w:asciiTheme="majorBidi" w:hAnsiTheme="majorBidi" w:cstheme="majorBidi"/>
          <w:sz w:val="24"/>
          <w:szCs w:val="24"/>
        </w:rPr>
        <w:t>les</w:t>
      </w:r>
      <w:proofErr w:type="gramEnd"/>
      <w:r w:rsidRPr="00F23937">
        <w:rPr>
          <w:rFonts w:asciiTheme="majorBidi" w:hAnsiTheme="majorBidi" w:cstheme="majorBidi"/>
          <w:sz w:val="24"/>
          <w:szCs w:val="24"/>
        </w:rPr>
        <w:t xml:space="preserve"> molécules. L’optimisation géométrique a été étudiée à travers la théorie fonctionnelle de la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</w:rPr>
      </w:pPr>
      <w:r w:rsidRPr="00F23937">
        <w:rPr>
          <w:rFonts w:asciiTheme="majorBidi" w:hAnsiTheme="majorBidi" w:cstheme="majorBidi"/>
          <w:sz w:val="24"/>
          <w:szCs w:val="24"/>
        </w:rPr>
        <w:t xml:space="preserve">densité (DFT) en utilisant la base </w:t>
      </w:r>
      <w:proofErr w:type="spellStart"/>
      <w:r w:rsidRPr="00F23937">
        <w:rPr>
          <w:rFonts w:asciiTheme="majorBidi" w:hAnsiTheme="majorBidi" w:cstheme="majorBidi"/>
          <w:sz w:val="24"/>
          <w:szCs w:val="24"/>
        </w:rPr>
        <w:t>Gen</w:t>
      </w:r>
      <w:proofErr w:type="spellEnd"/>
      <w:r w:rsidRPr="00F23937">
        <w:rPr>
          <w:rFonts w:asciiTheme="majorBidi" w:hAnsiTheme="majorBidi" w:cstheme="majorBidi"/>
          <w:sz w:val="24"/>
          <w:szCs w:val="24"/>
        </w:rPr>
        <w:t xml:space="preserve"> et 6-</w:t>
      </w:r>
      <w:proofErr w:type="gramStart"/>
      <w:r w:rsidRPr="00F23937">
        <w:rPr>
          <w:rFonts w:asciiTheme="majorBidi" w:hAnsiTheme="majorBidi" w:cstheme="majorBidi"/>
          <w:sz w:val="24"/>
          <w:szCs w:val="24"/>
        </w:rPr>
        <w:t>311G(</w:t>
      </w:r>
      <w:proofErr w:type="gramEnd"/>
      <w:r w:rsidRPr="00F23937">
        <w:rPr>
          <w:rFonts w:asciiTheme="majorBidi" w:hAnsiTheme="majorBidi" w:cstheme="majorBidi"/>
          <w:sz w:val="24"/>
          <w:szCs w:val="24"/>
        </w:rPr>
        <w:t xml:space="preserve">d, p) en utilisant le logiciel </w:t>
      </w:r>
      <w:proofErr w:type="spellStart"/>
      <w:r w:rsidRPr="00F23937">
        <w:rPr>
          <w:rFonts w:asciiTheme="majorBidi" w:hAnsiTheme="majorBidi" w:cstheme="majorBidi"/>
          <w:sz w:val="24"/>
          <w:szCs w:val="24"/>
        </w:rPr>
        <w:t>Gaussian</w:t>
      </w:r>
      <w:proofErr w:type="spellEnd"/>
      <w:r w:rsidRPr="00F23937">
        <w:rPr>
          <w:rFonts w:asciiTheme="majorBidi" w:hAnsiTheme="majorBidi" w:cstheme="majorBidi"/>
          <w:sz w:val="24"/>
          <w:szCs w:val="24"/>
        </w:rPr>
        <w:t xml:space="preserve"> 09.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</w:rPr>
      </w:pPr>
      <w:r w:rsidRPr="00F23937">
        <w:rPr>
          <w:rFonts w:asciiTheme="majorBidi" w:hAnsiTheme="majorBidi" w:cstheme="majorBidi"/>
          <w:sz w:val="24"/>
          <w:szCs w:val="24"/>
        </w:rPr>
        <w:t>Cette théorie a également été utilisée pour simuler les orbitales aux limites moléculaires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</w:rPr>
      </w:pPr>
      <w:r w:rsidRPr="00F23937">
        <w:rPr>
          <w:rFonts w:asciiTheme="majorBidi" w:hAnsiTheme="majorBidi" w:cstheme="majorBidi"/>
          <w:sz w:val="24"/>
          <w:szCs w:val="24"/>
        </w:rPr>
        <w:t>(HOMO et LUMO), les descripteurs de réactivité chimique globale et le potentiel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F23937">
        <w:rPr>
          <w:rFonts w:asciiTheme="majorBidi" w:hAnsiTheme="majorBidi" w:cstheme="majorBidi"/>
          <w:sz w:val="24"/>
          <w:szCs w:val="24"/>
        </w:rPr>
        <w:t>électrostatique</w:t>
      </w:r>
      <w:proofErr w:type="gramEnd"/>
      <w:r w:rsidRPr="00F23937">
        <w:rPr>
          <w:rFonts w:asciiTheme="majorBidi" w:hAnsiTheme="majorBidi" w:cstheme="majorBidi"/>
          <w:sz w:val="24"/>
          <w:szCs w:val="24"/>
        </w:rPr>
        <w:t xml:space="preserve"> moléculaire (MEP). Les liaisons hydrogène ont été confirmées en étudiant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F23937">
        <w:rPr>
          <w:rFonts w:asciiTheme="majorBidi" w:hAnsiTheme="majorBidi" w:cstheme="majorBidi"/>
          <w:sz w:val="24"/>
          <w:szCs w:val="24"/>
        </w:rPr>
        <w:t>l’analyse</w:t>
      </w:r>
      <w:proofErr w:type="gramEnd"/>
      <w:r w:rsidRPr="00F23937">
        <w:rPr>
          <w:rFonts w:asciiTheme="majorBidi" w:hAnsiTheme="majorBidi" w:cstheme="majorBidi"/>
          <w:sz w:val="24"/>
          <w:szCs w:val="24"/>
        </w:rPr>
        <w:t xml:space="preserve"> de surface de </w:t>
      </w:r>
      <w:proofErr w:type="spellStart"/>
      <w:r w:rsidRPr="00F23937">
        <w:rPr>
          <w:rFonts w:asciiTheme="majorBidi" w:hAnsiTheme="majorBidi" w:cstheme="majorBidi"/>
          <w:sz w:val="24"/>
          <w:szCs w:val="24"/>
        </w:rPr>
        <w:t>Hirschfield</w:t>
      </w:r>
      <w:proofErr w:type="spellEnd"/>
      <w:r w:rsidRPr="00F23937">
        <w:rPr>
          <w:rFonts w:asciiTheme="majorBidi" w:hAnsiTheme="majorBidi" w:cstheme="majorBidi"/>
          <w:sz w:val="24"/>
          <w:szCs w:val="24"/>
        </w:rPr>
        <w:t xml:space="preserve"> à l’aide du logiciel Crystal Explorer. Une analyse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F23937">
        <w:rPr>
          <w:rFonts w:asciiTheme="majorBidi" w:hAnsiTheme="majorBidi" w:cstheme="majorBidi"/>
          <w:sz w:val="24"/>
          <w:szCs w:val="24"/>
        </w:rPr>
        <w:t>spectroscopique</w:t>
      </w:r>
      <w:proofErr w:type="gramEnd"/>
      <w:r w:rsidRPr="00F23937">
        <w:rPr>
          <w:rFonts w:asciiTheme="majorBidi" w:hAnsiTheme="majorBidi" w:cstheme="majorBidi"/>
          <w:sz w:val="24"/>
          <w:szCs w:val="24"/>
        </w:rPr>
        <w:t xml:space="preserve"> IR et RMN a été établie en utilisant la même base pour déterminer les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F23937">
        <w:rPr>
          <w:rFonts w:asciiTheme="majorBidi" w:hAnsiTheme="majorBidi" w:cstheme="majorBidi"/>
          <w:sz w:val="24"/>
          <w:szCs w:val="24"/>
        </w:rPr>
        <w:t>caractéristiques</w:t>
      </w:r>
      <w:proofErr w:type="gramEnd"/>
      <w:r w:rsidRPr="00F23937">
        <w:rPr>
          <w:rFonts w:asciiTheme="majorBidi" w:hAnsiTheme="majorBidi" w:cstheme="majorBidi"/>
          <w:sz w:val="24"/>
          <w:szCs w:val="24"/>
        </w:rPr>
        <w:t xml:space="preserve"> du matériau. L’étude NLO révèle la candidature de matériaux appropriés en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F23937">
        <w:rPr>
          <w:rFonts w:asciiTheme="majorBidi" w:hAnsiTheme="majorBidi" w:cstheme="majorBidi"/>
          <w:sz w:val="24"/>
          <w:szCs w:val="24"/>
        </w:rPr>
        <w:t>tant</w:t>
      </w:r>
      <w:proofErr w:type="gramEnd"/>
      <w:r w:rsidRPr="00F23937">
        <w:rPr>
          <w:rFonts w:asciiTheme="majorBidi" w:hAnsiTheme="majorBidi" w:cstheme="majorBidi"/>
          <w:sz w:val="24"/>
          <w:szCs w:val="24"/>
        </w:rPr>
        <w:t xml:space="preserve"> que système optoélectronique. Enfin, une analyse d’arrimage moléculaire a été réalisée</w:t>
      </w:r>
    </w:p>
    <w:p w:rsid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F23937">
        <w:rPr>
          <w:rFonts w:asciiTheme="majorBidi" w:hAnsiTheme="majorBidi" w:cstheme="majorBidi"/>
          <w:sz w:val="24"/>
          <w:szCs w:val="24"/>
        </w:rPr>
        <w:t>pour</w:t>
      </w:r>
      <w:proofErr w:type="gramEnd"/>
      <w:r w:rsidRPr="00F23937">
        <w:rPr>
          <w:rFonts w:asciiTheme="majorBidi" w:hAnsiTheme="majorBidi" w:cstheme="majorBidi"/>
          <w:sz w:val="24"/>
          <w:szCs w:val="24"/>
        </w:rPr>
        <w:t xml:space="preserve"> tester l’effet inhibiteur contre </w:t>
      </w:r>
      <w:proofErr w:type="spellStart"/>
      <w:r w:rsidRPr="00F23937">
        <w:rPr>
          <w:rFonts w:asciiTheme="majorBidi" w:hAnsiTheme="majorBidi" w:cstheme="majorBidi"/>
          <w:sz w:val="24"/>
          <w:szCs w:val="24"/>
        </w:rPr>
        <w:t>lacyclin-dependent</w:t>
      </w:r>
      <w:proofErr w:type="spellEnd"/>
      <w:r w:rsidRPr="00F23937">
        <w:rPr>
          <w:rFonts w:asciiTheme="majorBidi" w:hAnsiTheme="majorBidi" w:cstheme="majorBidi"/>
          <w:sz w:val="24"/>
          <w:szCs w:val="24"/>
        </w:rPr>
        <w:t xml:space="preserve"> kinase CDK6 protéine.</w:t>
      </w:r>
    </w:p>
    <w:p w:rsidR="00F23937" w:rsidRP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</w:rPr>
      </w:pPr>
    </w:p>
    <w:p w:rsidR="00E57BD9" w:rsidRDefault="00F23937" w:rsidP="00F23937">
      <w:pPr>
        <w:jc w:val="both"/>
        <w:rPr>
          <w:rFonts w:asciiTheme="majorBidi" w:hAnsiTheme="majorBidi" w:cstheme="majorBidi"/>
          <w:sz w:val="24"/>
          <w:szCs w:val="24"/>
        </w:rPr>
      </w:pPr>
      <w:r w:rsidRPr="00F23937">
        <w:rPr>
          <w:rFonts w:asciiTheme="majorBidi" w:hAnsiTheme="majorBidi" w:cstheme="majorBidi"/>
          <w:b/>
          <w:bCs/>
          <w:sz w:val="24"/>
          <w:szCs w:val="24"/>
        </w:rPr>
        <w:t>Mots-clés :</w:t>
      </w:r>
      <w:r w:rsidRPr="00F23937">
        <w:rPr>
          <w:rFonts w:asciiTheme="majorBidi" w:hAnsiTheme="majorBidi" w:cstheme="majorBidi"/>
          <w:sz w:val="24"/>
          <w:szCs w:val="24"/>
        </w:rPr>
        <w:t xml:space="preserve"> DFT, composés organométalliques, </w:t>
      </w:r>
      <w:proofErr w:type="spellStart"/>
      <w:r w:rsidRPr="00F23937">
        <w:rPr>
          <w:rFonts w:asciiTheme="majorBidi" w:hAnsiTheme="majorBidi" w:cstheme="majorBidi"/>
          <w:sz w:val="24"/>
          <w:szCs w:val="24"/>
        </w:rPr>
        <w:t>thione</w:t>
      </w:r>
      <w:proofErr w:type="spellEnd"/>
      <w:r w:rsidRPr="00F23937">
        <w:rPr>
          <w:rFonts w:asciiTheme="majorBidi" w:hAnsiTheme="majorBidi" w:cstheme="majorBidi"/>
          <w:sz w:val="24"/>
          <w:szCs w:val="24"/>
        </w:rPr>
        <w:t>, MEP, NLO, amarrage moléculaire</w:t>
      </w:r>
    </w:p>
    <w:p w:rsidR="00F23937" w:rsidRDefault="00F23937" w:rsidP="00F23937">
      <w:pPr>
        <w:jc w:val="both"/>
        <w:rPr>
          <w:rFonts w:asciiTheme="majorBidi" w:hAnsiTheme="majorBidi" w:cstheme="majorBidi" w:hint="cs"/>
          <w:sz w:val="24"/>
          <w:szCs w:val="24"/>
          <w:rtl/>
        </w:rPr>
      </w:pPr>
    </w:p>
    <w:p w:rsidR="00F23937" w:rsidRDefault="00F23937" w:rsidP="00F23937">
      <w:pPr>
        <w:jc w:val="both"/>
        <w:rPr>
          <w:rFonts w:asciiTheme="majorBidi" w:hAnsiTheme="majorBidi" w:cstheme="majorBidi" w:hint="cs"/>
          <w:sz w:val="24"/>
          <w:szCs w:val="24"/>
          <w:rtl/>
        </w:rPr>
      </w:pPr>
    </w:p>
    <w:p w:rsidR="00F23937" w:rsidRDefault="00F23937" w:rsidP="00F23937">
      <w:pPr>
        <w:jc w:val="both"/>
        <w:rPr>
          <w:rFonts w:asciiTheme="majorBidi" w:hAnsiTheme="majorBidi" w:cstheme="majorBidi" w:hint="cs"/>
          <w:sz w:val="24"/>
          <w:szCs w:val="24"/>
          <w:rtl/>
        </w:rPr>
      </w:pPr>
    </w:p>
    <w:p w:rsidR="00F23937" w:rsidRDefault="00F23937" w:rsidP="00F23937">
      <w:pPr>
        <w:jc w:val="both"/>
        <w:rPr>
          <w:rFonts w:asciiTheme="majorBidi" w:hAnsiTheme="majorBidi" w:cstheme="majorBidi" w:hint="cs"/>
          <w:sz w:val="24"/>
          <w:szCs w:val="24"/>
          <w:rtl/>
        </w:rPr>
      </w:pPr>
    </w:p>
    <w:p w:rsidR="00F23937" w:rsidRDefault="00F23937" w:rsidP="00F23937">
      <w:pPr>
        <w:jc w:val="both"/>
        <w:rPr>
          <w:rFonts w:asciiTheme="majorBidi" w:hAnsiTheme="majorBidi" w:cstheme="majorBidi" w:hint="cs"/>
          <w:sz w:val="24"/>
          <w:szCs w:val="24"/>
          <w:rtl/>
        </w:rPr>
      </w:pPr>
    </w:p>
    <w:p w:rsidR="00F23937" w:rsidRDefault="00F23937" w:rsidP="00F23937">
      <w:pPr>
        <w:jc w:val="both"/>
        <w:rPr>
          <w:rFonts w:asciiTheme="majorBidi" w:hAnsiTheme="majorBidi" w:cstheme="majorBidi" w:hint="cs"/>
          <w:sz w:val="24"/>
          <w:szCs w:val="24"/>
          <w:rtl/>
        </w:rPr>
      </w:pPr>
    </w:p>
    <w:p w:rsidR="00F23937" w:rsidRDefault="00F23937" w:rsidP="00F23937">
      <w:pPr>
        <w:jc w:val="both"/>
        <w:rPr>
          <w:rFonts w:asciiTheme="majorBidi" w:hAnsiTheme="majorBidi" w:cstheme="majorBidi" w:hint="cs"/>
          <w:sz w:val="24"/>
          <w:szCs w:val="24"/>
          <w:rtl/>
        </w:rPr>
      </w:pPr>
    </w:p>
    <w:p w:rsidR="00F23937" w:rsidRDefault="00F23937" w:rsidP="00F23937">
      <w:pPr>
        <w:jc w:val="both"/>
        <w:rPr>
          <w:rFonts w:asciiTheme="majorBidi" w:hAnsiTheme="majorBidi" w:cstheme="majorBidi" w:hint="cs"/>
          <w:sz w:val="24"/>
          <w:szCs w:val="24"/>
          <w:rtl/>
        </w:rPr>
      </w:pPr>
    </w:p>
    <w:p w:rsidR="00F23937" w:rsidRDefault="00F23937" w:rsidP="00F23937">
      <w:pPr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F23937" w:rsidRPr="00F23937" w:rsidRDefault="00F23937" w:rsidP="00F23937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937">
        <w:rPr>
          <w:rFonts w:asciiTheme="majorBidi" w:hAnsiTheme="majorBidi" w:cs="Times New Roman" w:hint="cs"/>
          <w:b/>
          <w:bCs/>
          <w:sz w:val="28"/>
          <w:szCs w:val="28"/>
          <w:rtl/>
        </w:rPr>
        <w:lastRenderedPageBreak/>
        <w:t>ملخص</w:t>
      </w:r>
      <w:r w:rsidRPr="00F23937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F23937" w:rsidRPr="00F23937" w:rsidRDefault="00F23937" w:rsidP="00F23937">
      <w:pPr>
        <w:bidi/>
        <w:jc w:val="both"/>
        <w:rPr>
          <w:rFonts w:asciiTheme="majorBidi" w:hAnsiTheme="majorBidi" w:cstheme="majorBidi"/>
          <w:sz w:val="24"/>
          <w:szCs w:val="24"/>
          <w:rtl/>
        </w:rPr>
      </w:pPr>
      <w:r w:rsidRPr="00F23937">
        <w:rPr>
          <w:rFonts w:asciiTheme="majorBidi" w:hAnsiTheme="majorBidi" w:cs="Times New Roman" w:hint="cs"/>
          <w:sz w:val="24"/>
          <w:szCs w:val="24"/>
          <w:rtl/>
        </w:rPr>
        <w:t>يستكشف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العمل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الحالي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دراسة</w:t>
      </w:r>
      <w:r w:rsidRPr="00F23937">
        <w:rPr>
          <w:rFonts w:asciiTheme="majorBidi" w:hAnsiTheme="majorBidi" w:cstheme="majorBidi"/>
          <w:sz w:val="24"/>
          <w:szCs w:val="24"/>
        </w:rPr>
        <w:t xml:space="preserve"> DFT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للمركبات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العضوية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المعدنية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بناءً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على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جزيء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F23937">
        <w:rPr>
          <w:rFonts w:asciiTheme="majorBidi" w:hAnsiTheme="majorBidi" w:cs="Times New Roman" w:hint="cs"/>
          <w:sz w:val="24"/>
          <w:szCs w:val="24"/>
          <w:rtl/>
        </w:rPr>
        <w:t>الثيونات</w:t>
      </w:r>
      <w:proofErr w:type="spellEnd"/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مع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الصيغ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الجزيئية</w:t>
      </w:r>
    </w:p>
    <w:p w:rsidR="00F23937" w:rsidRPr="00F23937" w:rsidRDefault="00F23937" w:rsidP="00F23937">
      <w:pPr>
        <w:bidi/>
        <w:jc w:val="both"/>
        <w:rPr>
          <w:rFonts w:asciiTheme="majorBidi" w:hAnsiTheme="majorBidi" w:cstheme="majorBidi"/>
          <w:sz w:val="24"/>
          <w:szCs w:val="24"/>
          <w:rtl/>
        </w:rPr>
      </w:pPr>
      <w:r w:rsidRPr="00F23937">
        <w:rPr>
          <w:rFonts w:asciiTheme="majorBidi" w:hAnsiTheme="majorBidi" w:cstheme="majorBidi"/>
          <w:sz w:val="24"/>
          <w:szCs w:val="24"/>
        </w:rPr>
        <w:t xml:space="preserve">C6H18N6PtS2.2 (NO3)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و</w:t>
      </w:r>
      <w:r w:rsidRPr="00F23937">
        <w:rPr>
          <w:rFonts w:asciiTheme="majorBidi" w:hAnsiTheme="majorBidi" w:cstheme="majorBidi"/>
          <w:sz w:val="24"/>
          <w:szCs w:val="24"/>
        </w:rPr>
        <w:t xml:space="preserve"> C10H26N6PtS2.2 (NO3)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بوزن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جزيئي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يبلغ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44.755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و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16.716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جم</w:t>
      </w:r>
      <w:r w:rsidRPr="00F23937">
        <w:rPr>
          <w:rFonts w:asciiTheme="majorBidi" w:hAnsiTheme="majorBidi" w:cs="Times New Roman"/>
          <w:sz w:val="24"/>
          <w:szCs w:val="24"/>
          <w:rtl/>
        </w:rPr>
        <w:t>/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مول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على</w:t>
      </w:r>
    </w:p>
    <w:p w:rsidR="00F23937" w:rsidRPr="00F23937" w:rsidRDefault="00F23937" w:rsidP="00F23937">
      <w:pPr>
        <w:bidi/>
        <w:jc w:val="both"/>
        <w:rPr>
          <w:rFonts w:asciiTheme="majorBidi" w:hAnsiTheme="majorBidi" w:cstheme="majorBidi"/>
          <w:sz w:val="24"/>
          <w:szCs w:val="24"/>
          <w:rtl/>
        </w:rPr>
      </w:pPr>
      <w:r w:rsidRPr="00F23937">
        <w:rPr>
          <w:rFonts w:asciiTheme="majorBidi" w:hAnsiTheme="majorBidi" w:cs="Times New Roman" w:hint="cs"/>
          <w:sz w:val="24"/>
          <w:szCs w:val="24"/>
          <w:rtl/>
        </w:rPr>
        <w:t>التوالي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7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تم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تكريس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نشاطها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البيولوجي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لوجود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معدن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بلاتيني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يربط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بين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اثنين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المشتقات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F23937">
        <w:rPr>
          <w:rFonts w:asciiTheme="majorBidi" w:hAnsiTheme="majorBidi" w:cs="Times New Roman" w:hint="cs"/>
          <w:sz w:val="24"/>
          <w:szCs w:val="24"/>
          <w:rtl/>
        </w:rPr>
        <w:t>الثيونية</w:t>
      </w:r>
      <w:proofErr w:type="spellEnd"/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المختلفة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في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الجزيئات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7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تم</w:t>
      </w:r>
    </w:p>
    <w:p w:rsidR="00F23937" w:rsidRPr="00F23937" w:rsidRDefault="00F23937" w:rsidP="00F23937">
      <w:pPr>
        <w:bidi/>
        <w:jc w:val="both"/>
        <w:rPr>
          <w:rFonts w:asciiTheme="majorBidi" w:hAnsiTheme="majorBidi" w:cstheme="majorBidi"/>
          <w:sz w:val="24"/>
          <w:szCs w:val="24"/>
          <w:rtl/>
        </w:rPr>
      </w:pPr>
      <w:r w:rsidRPr="00F23937">
        <w:rPr>
          <w:rFonts w:asciiTheme="majorBidi" w:hAnsiTheme="majorBidi" w:cs="Times New Roman" w:hint="cs"/>
          <w:sz w:val="24"/>
          <w:szCs w:val="24"/>
          <w:rtl/>
        </w:rPr>
        <w:t>فحص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التحسين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الهندسي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خلال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نظرية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الكثافة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الوظيفية</w:t>
      </w:r>
      <w:r w:rsidRPr="00F23937">
        <w:rPr>
          <w:rFonts w:asciiTheme="majorBidi" w:hAnsiTheme="majorBidi" w:cstheme="majorBidi"/>
          <w:sz w:val="24"/>
          <w:szCs w:val="24"/>
        </w:rPr>
        <w:t xml:space="preserve"> (DFT)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باستخدام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مجموعة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أساس</w:t>
      </w:r>
      <w:r w:rsidRPr="00F23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3937">
        <w:rPr>
          <w:rFonts w:asciiTheme="majorBidi" w:hAnsiTheme="majorBidi" w:cstheme="majorBidi"/>
          <w:sz w:val="24"/>
          <w:szCs w:val="24"/>
        </w:rPr>
        <w:t>Gen</w:t>
      </w:r>
      <w:proofErr w:type="spellEnd"/>
      <w:r w:rsidRPr="00F23937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F23937">
        <w:rPr>
          <w:rFonts w:asciiTheme="majorBidi" w:hAnsiTheme="majorBidi" w:cstheme="majorBidi"/>
          <w:sz w:val="24"/>
          <w:szCs w:val="24"/>
        </w:rPr>
        <w:t>- .</w:t>
      </w:r>
      <w:proofErr w:type="gramEnd"/>
      <w:r w:rsidRPr="00F23937">
        <w:rPr>
          <w:rFonts w:asciiTheme="majorBidi" w:hAnsiTheme="majorBidi" w:cstheme="majorBidi"/>
          <w:sz w:val="24"/>
          <w:szCs w:val="24"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و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66 1</w:t>
      </w:r>
      <w:r w:rsidRPr="00F23937">
        <w:rPr>
          <w:rFonts w:asciiTheme="majorBidi" w:hAnsiTheme="majorBidi" w:cstheme="majorBidi"/>
          <w:sz w:val="24"/>
          <w:szCs w:val="24"/>
        </w:rPr>
        <w:t xml:space="preserve"> G (d, p)</w:t>
      </w:r>
    </w:p>
    <w:p w:rsidR="00F23937" w:rsidRPr="00F23937" w:rsidRDefault="00F23937" w:rsidP="00F23937">
      <w:pPr>
        <w:bidi/>
        <w:jc w:val="both"/>
        <w:rPr>
          <w:rFonts w:asciiTheme="majorBidi" w:hAnsiTheme="majorBidi" w:cstheme="majorBidi"/>
          <w:sz w:val="24"/>
          <w:szCs w:val="24"/>
          <w:rtl/>
        </w:rPr>
      </w:pPr>
      <w:r w:rsidRPr="00F23937">
        <w:rPr>
          <w:rFonts w:asciiTheme="majorBidi" w:hAnsiTheme="majorBidi" w:cs="Times New Roman" w:hint="cs"/>
          <w:sz w:val="24"/>
          <w:szCs w:val="24"/>
          <w:rtl/>
        </w:rPr>
        <w:t>باستخدام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برنامج</w:t>
      </w:r>
      <w:r w:rsidRPr="00F23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3937">
        <w:rPr>
          <w:rFonts w:asciiTheme="majorBidi" w:hAnsiTheme="majorBidi" w:cstheme="majorBidi"/>
          <w:sz w:val="24"/>
          <w:szCs w:val="24"/>
        </w:rPr>
        <w:t>Gaussian</w:t>
      </w:r>
      <w:proofErr w:type="spellEnd"/>
      <w:r w:rsidRPr="00F23937">
        <w:rPr>
          <w:rFonts w:asciiTheme="majorBidi" w:hAnsiTheme="majorBidi" w:cstheme="majorBidi"/>
          <w:sz w:val="24"/>
          <w:szCs w:val="24"/>
        </w:rPr>
        <w:t xml:space="preserve"> 09.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تم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استخدام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هذه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النظرية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أيضًا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لمحاكاة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المدارات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الحدودية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الجزيئية</w:t>
      </w:r>
      <w:r w:rsidRPr="00F23937">
        <w:rPr>
          <w:rFonts w:asciiTheme="majorBidi" w:hAnsiTheme="majorBidi" w:cstheme="majorBidi"/>
          <w:sz w:val="24"/>
          <w:szCs w:val="24"/>
        </w:rPr>
        <w:t xml:space="preserve"> (HOMO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و</w:t>
      </w:r>
    </w:p>
    <w:p w:rsidR="00F23937" w:rsidRPr="00F23937" w:rsidRDefault="00F23937" w:rsidP="00F23937">
      <w:pPr>
        <w:bidi/>
        <w:jc w:val="both"/>
        <w:rPr>
          <w:rFonts w:asciiTheme="majorBidi" w:hAnsiTheme="majorBidi" w:cstheme="majorBidi"/>
          <w:sz w:val="24"/>
          <w:szCs w:val="24"/>
          <w:rtl/>
        </w:rPr>
      </w:pPr>
      <w:r w:rsidRPr="00F23937">
        <w:rPr>
          <w:rFonts w:asciiTheme="majorBidi" w:hAnsiTheme="majorBidi" w:cstheme="majorBidi"/>
          <w:sz w:val="24"/>
          <w:szCs w:val="24"/>
        </w:rPr>
        <w:t xml:space="preserve">LUMO)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،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وواصفات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التفاعل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الكيميائي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العالمي،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والإمكانات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F23937">
        <w:rPr>
          <w:rFonts w:asciiTheme="majorBidi" w:hAnsiTheme="majorBidi" w:cs="Times New Roman" w:hint="cs"/>
          <w:sz w:val="24"/>
          <w:szCs w:val="24"/>
          <w:rtl/>
        </w:rPr>
        <w:t>الكهروستاتيكية</w:t>
      </w:r>
      <w:proofErr w:type="spellEnd"/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الجزيئية</w:t>
      </w:r>
      <w:r w:rsidRPr="00F23937">
        <w:rPr>
          <w:rFonts w:asciiTheme="majorBidi" w:hAnsiTheme="majorBidi" w:cstheme="majorBidi"/>
          <w:sz w:val="24"/>
          <w:szCs w:val="24"/>
        </w:rPr>
        <w:t xml:space="preserve"> (MEP).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تم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تأكيد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الروابط</w:t>
      </w:r>
    </w:p>
    <w:p w:rsidR="00F23937" w:rsidRPr="00F23937" w:rsidRDefault="00F23937" w:rsidP="00F23937">
      <w:pPr>
        <w:bidi/>
        <w:jc w:val="both"/>
        <w:rPr>
          <w:rFonts w:asciiTheme="majorBidi" w:hAnsiTheme="majorBidi" w:cstheme="majorBidi"/>
          <w:sz w:val="24"/>
          <w:szCs w:val="24"/>
          <w:rtl/>
        </w:rPr>
      </w:pPr>
      <w:r w:rsidRPr="00F23937">
        <w:rPr>
          <w:rFonts w:asciiTheme="majorBidi" w:hAnsiTheme="majorBidi" w:cs="Times New Roman" w:hint="cs"/>
          <w:sz w:val="24"/>
          <w:szCs w:val="24"/>
          <w:rtl/>
        </w:rPr>
        <w:t>الهيدروجينية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من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خلال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دراسة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تحليل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سطح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F23937">
        <w:rPr>
          <w:rFonts w:asciiTheme="majorBidi" w:hAnsiTheme="majorBidi" w:cs="Times New Roman" w:hint="cs"/>
          <w:sz w:val="24"/>
          <w:szCs w:val="24"/>
          <w:rtl/>
        </w:rPr>
        <w:t>هيرشفيلد</w:t>
      </w:r>
      <w:proofErr w:type="spellEnd"/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باستخدام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برنامج</w:t>
      </w:r>
      <w:r w:rsidRPr="00F23937">
        <w:rPr>
          <w:rFonts w:asciiTheme="majorBidi" w:hAnsiTheme="majorBidi" w:cstheme="majorBidi"/>
          <w:sz w:val="24"/>
          <w:szCs w:val="24"/>
        </w:rPr>
        <w:t xml:space="preserve"> Crystal Explorer.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تم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إنشاء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تحليل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طيف</w:t>
      </w:r>
      <w:r w:rsidRPr="00F23937">
        <w:rPr>
          <w:rFonts w:asciiTheme="majorBidi" w:hAnsiTheme="majorBidi" w:cstheme="majorBidi"/>
          <w:sz w:val="24"/>
          <w:szCs w:val="24"/>
        </w:rPr>
        <w:t xml:space="preserve"> IR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و</w:t>
      </w:r>
    </w:p>
    <w:p w:rsidR="00F23937" w:rsidRPr="00F23937" w:rsidRDefault="00F23937" w:rsidP="00F23937">
      <w:pPr>
        <w:bidi/>
        <w:jc w:val="both"/>
        <w:rPr>
          <w:rFonts w:asciiTheme="majorBidi" w:hAnsiTheme="majorBidi" w:cstheme="majorBidi"/>
          <w:sz w:val="24"/>
          <w:szCs w:val="24"/>
          <w:rtl/>
        </w:rPr>
      </w:pPr>
      <w:r w:rsidRPr="00F23937">
        <w:rPr>
          <w:rFonts w:asciiTheme="majorBidi" w:hAnsiTheme="majorBidi" w:cstheme="majorBidi"/>
          <w:sz w:val="24"/>
          <w:szCs w:val="24"/>
        </w:rPr>
        <w:t xml:space="preserve">NMR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باستخدام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نفس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الأساس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لتحديد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خصائص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المادة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7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تكشف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دراسة</w:t>
      </w:r>
      <w:r w:rsidRPr="00F23937">
        <w:rPr>
          <w:rFonts w:asciiTheme="majorBidi" w:hAnsiTheme="majorBidi" w:cstheme="majorBidi"/>
          <w:sz w:val="24"/>
          <w:szCs w:val="24"/>
        </w:rPr>
        <w:t xml:space="preserve"> NLO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عن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ترشيح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المواد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المناسبة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كنظام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إلكتروني</w:t>
      </w:r>
    </w:p>
    <w:p w:rsidR="00F23937" w:rsidRPr="00F23937" w:rsidRDefault="00F23937" w:rsidP="00F23937">
      <w:pPr>
        <w:bidi/>
        <w:jc w:val="both"/>
        <w:rPr>
          <w:rFonts w:asciiTheme="majorBidi" w:hAnsiTheme="majorBidi" w:cstheme="majorBidi"/>
          <w:sz w:val="24"/>
          <w:szCs w:val="24"/>
          <w:rtl/>
        </w:rPr>
      </w:pPr>
      <w:r w:rsidRPr="00F23937">
        <w:rPr>
          <w:rFonts w:asciiTheme="majorBidi" w:hAnsiTheme="majorBidi" w:cs="Times New Roman" w:hint="cs"/>
          <w:sz w:val="24"/>
          <w:szCs w:val="24"/>
          <w:rtl/>
        </w:rPr>
        <w:t>ضوئي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7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أخيرًا،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تم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إجراء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تحليل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الالتحام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الجزيئي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لاختبار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التأثير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المثبط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ضد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البروتين</w:t>
      </w:r>
      <w:r w:rsidRPr="00F23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23937">
        <w:rPr>
          <w:rFonts w:asciiTheme="majorBidi" w:hAnsiTheme="majorBidi" w:cstheme="majorBidi"/>
          <w:sz w:val="24"/>
          <w:szCs w:val="24"/>
        </w:rPr>
        <w:t>cyclin-dependent</w:t>
      </w:r>
      <w:proofErr w:type="spellEnd"/>
      <w:r w:rsidRPr="00F23937">
        <w:rPr>
          <w:rFonts w:asciiTheme="majorBidi" w:hAnsiTheme="majorBidi" w:cstheme="majorBidi"/>
          <w:sz w:val="24"/>
          <w:szCs w:val="24"/>
        </w:rPr>
        <w:t xml:space="preserve"> kinase CDK6.</w:t>
      </w:r>
    </w:p>
    <w:p w:rsidR="00F23937" w:rsidRPr="00F23937" w:rsidRDefault="00F23937" w:rsidP="00F23937">
      <w:pPr>
        <w:bidi/>
        <w:jc w:val="both"/>
        <w:rPr>
          <w:rFonts w:asciiTheme="majorBidi" w:hAnsiTheme="majorBidi" w:cstheme="majorBidi"/>
          <w:sz w:val="24"/>
          <w:szCs w:val="24"/>
        </w:rPr>
      </w:pPr>
      <w:r w:rsidRPr="00F23937">
        <w:rPr>
          <w:rFonts w:asciiTheme="majorBidi" w:hAnsiTheme="majorBidi" w:cs="Times New Roman" w:hint="cs"/>
          <w:b/>
          <w:bCs/>
          <w:sz w:val="24"/>
          <w:szCs w:val="24"/>
          <w:rtl/>
        </w:rPr>
        <w:t>الكلمات</w:t>
      </w:r>
      <w:r w:rsidRPr="00F2393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b/>
          <w:bCs/>
          <w:sz w:val="24"/>
          <w:szCs w:val="24"/>
          <w:rtl/>
        </w:rPr>
        <w:t>الرئيسية</w:t>
      </w:r>
      <w:r w:rsidRPr="00F2393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F23937">
        <w:rPr>
          <w:rFonts w:asciiTheme="majorBidi" w:hAnsiTheme="majorBidi" w:cstheme="majorBidi"/>
          <w:b/>
          <w:bCs/>
          <w:sz w:val="24"/>
          <w:szCs w:val="24"/>
        </w:rPr>
        <w:t>DFT</w:t>
      </w:r>
      <w:r w:rsidRPr="00F23937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: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،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المركبات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العضوية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المعدنية،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F23937">
        <w:rPr>
          <w:rFonts w:asciiTheme="majorBidi" w:hAnsiTheme="majorBidi" w:cstheme="majorBidi"/>
          <w:sz w:val="24"/>
          <w:szCs w:val="24"/>
        </w:rPr>
        <w:t>Thione</w:t>
      </w:r>
      <w:proofErr w:type="spellEnd"/>
      <w:r w:rsidRPr="00F23937">
        <w:rPr>
          <w:rFonts w:asciiTheme="majorBidi" w:hAnsiTheme="majorBidi" w:cstheme="majorBidi"/>
          <w:sz w:val="24"/>
          <w:szCs w:val="24"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،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theme="majorBidi"/>
          <w:sz w:val="24"/>
          <w:szCs w:val="24"/>
        </w:rPr>
        <w:t xml:space="preserve">MEP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،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theme="majorBidi"/>
          <w:sz w:val="24"/>
          <w:szCs w:val="24"/>
        </w:rPr>
        <w:t>NLO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،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الالتحام</w:t>
      </w:r>
      <w:r w:rsidRPr="00F2393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F23937">
        <w:rPr>
          <w:rFonts w:asciiTheme="majorBidi" w:hAnsiTheme="majorBidi" w:cs="Times New Roman" w:hint="cs"/>
          <w:sz w:val="24"/>
          <w:szCs w:val="24"/>
          <w:rtl/>
        </w:rPr>
        <w:t>الجزيئي</w:t>
      </w:r>
    </w:p>
    <w:sectPr w:rsidR="00F23937" w:rsidRPr="00F23937" w:rsidSect="00F2393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37"/>
    <w:rsid w:val="00E57BD9"/>
    <w:rsid w:val="00F2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555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1</cp:revision>
  <dcterms:created xsi:type="dcterms:W3CDTF">2023-12-05T12:52:00Z</dcterms:created>
  <dcterms:modified xsi:type="dcterms:W3CDTF">2023-12-05T13:00:00Z</dcterms:modified>
</cp:coreProperties>
</file>