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C5A" w:rsidRDefault="00121C5A" w:rsidP="00645BE6">
      <w:pPr>
        <w:autoSpaceDE w:val="0"/>
        <w:autoSpaceDN w:val="0"/>
        <w:adjustRightInd w:val="0"/>
        <w:spacing w:after="0" w:line="240" w:lineRule="auto"/>
        <w:rPr>
          <w:rFonts w:asciiTheme="majorBidi" w:hAnsiTheme="majorBidi" w:cstheme="majorBidi"/>
          <w:sz w:val="24"/>
          <w:szCs w:val="24"/>
        </w:rPr>
      </w:pPr>
    </w:p>
    <w:p w:rsidR="000628F7" w:rsidRDefault="000628F7" w:rsidP="000628F7">
      <w:pPr>
        <w:autoSpaceDE w:val="0"/>
        <w:autoSpaceDN w:val="0"/>
        <w:adjustRightInd w:val="0"/>
        <w:spacing w:after="0" w:line="360" w:lineRule="auto"/>
        <w:jc w:val="both"/>
        <w:rPr>
          <w:rFonts w:asciiTheme="majorBidi" w:hAnsiTheme="majorBidi" w:cstheme="majorBidi"/>
          <w:sz w:val="24"/>
          <w:szCs w:val="24"/>
        </w:rPr>
      </w:pPr>
    </w:p>
    <w:p w:rsidR="00211057" w:rsidRPr="003566CD" w:rsidRDefault="00121C5A" w:rsidP="000628F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3566CD">
        <w:rPr>
          <w:rFonts w:ascii="Times New Roman" w:hAnsi="Times New Roman" w:cs="Times New Roman"/>
          <w:sz w:val="24"/>
          <w:szCs w:val="24"/>
        </w:rPr>
        <w:t>Ces dernières années, la réglementation en matière de qualité d’eau est devenue de</w:t>
      </w:r>
      <w:r w:rsidR="000628F7">
        <w:rPr>
          <w:rFonts w:ascii="Times New Roman" w:hAnsi="Times New Roman" w:cs="Times New Roman"/>
          <w:sz w:val="24"/>
          <w:szCs w:val="24"/>
        </w:rPr>
        <w:t xml:space="preserve"> plus </w:t>
      </w:r>
      <w:r w:rsidRPr="003566CD">
        <w:rPr>
          <w:rFonts w:ascii="Times New Roman" w:hAnsi="Times New Roman" w:cs="Times New Roman"/>
          <w:sz w:val="24"/>
          <w:szCs w:val="24"/>
        </w:rPr>
        <w:t>en plus stricte. Ceci est dû à une préoccupation sociale croissante relative à la</w:t>
      </w:r>
      <w:r w:rsidR="000628F7">
        <w:rPr>
          <w:rFonts w:ascii="Times New Roman" w:hAnsi="Times New Roman" w:cs="Times New Roman"/>
          <w:sz w:val="24"/>
          <w:szCs w:val="24"/>
        </w:rPr>
        <w:t xml:space="preserve"> </w:t>
      </w:r>
      <w:r w:rsidRPr="003566CD">
        <w:rPr>
          <w:rFonts w:ascii="Times New Roman" w:hAnsi="Times New Roman" w:cs="Times New Roman"/>
          <w:sz w:val="24"/>
          <w:szCs w:val="24"/>
        </w:rPr>
        <w:t>préservation de l’environnement. Dans ce but, les recherches environnementales ont connu</w:t>
      </w:r>
      <w:r w:rsidR="000628F7">
        <w:rPr>
          <w:rFonts w:ascii="Times New Roman" w:hAnsi="Times New Roman" w:cs="Times New Roman"/>
          <w:sz w:val="24"/>
          <w:szCs w:val="24"/>
        </w:rPr>
        <w:t xml:space="preserve"> </w:t>
      </w:r>
      <w:r w:rsidRPr="003566CD">
        <w:rPr>
          <w:rFonts w:ascii="Times New Roman" w:hAnsi="Times New Roman" w:cs="Times New Roman"/>
          <w:sz w:val="24"/>
          <w:szCs w:val="24"/>
        </w:rPr>
        <w:t>un développement remarquable.</w:t>
      </w:r>
    </w:p>
    <w:p w:rsidR="000628F7" w:rsidRDefault="000628F7" w:rsidP="003566CD">
      <w:pPr>
        <w:spacing w:line="360" w:lineRule="auto"/>
        <w:ind w:firstLine="708"/>
        <w:jc w:val="both"/>
        <w:rPr>
          <w:rFonts w:ascii="Times New Roman" w:hAnsi="Times New Roman" w:cs="Times New Roman"/>
          <w:sz w:val="24"/>
          <w:szCs w:val="24"/>
        </w:rPr>
      </w:pPr>
    </w:p>
    <w:p w:rsidR="00211057" w:rsidRDefault="000628F7" w:rsidP="000628F7">
      <w:pPr>
        <w:tabs>
          <w:tab w:val="left" w:pos="709"/>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11057" w:rsidRPr="003566CD">
        <w:rPr>
          <w:rFonts w:ascii="Times New Roman" w:hAnsi="Times New Roman" w:cs="Times New Roman"/>
          <w:sz w:val="24"/>
          <w:szCs w:val="24"/>
        </w:rPr>
        <w:t xml:space="preserve">Le </w:t>
      </w:r>
      <w:r>
        <w:rPr>
          <w:rFonts w:ascii="Times New Roman" w:hAnsi="Times New Roman" w:cs="Times New Roman"/>
          <w:sz w:val="24"/>
          <w:szCs w:val="24"/>
        </w:rPr>
        <w:t>R</w:t>
      </w:r>
      <w:r w:rsidR="00211057" w:rsidRPr="003566CD">
        <w:rPr>
          <w:rFonts w:ascii="Times New Roman" w:hAnsi="Times New Roman" w:cs="Times New Roman"/>
          <w:sz w:val="24"/>
          <w:szCs w:val="24"/>
        </w:rPr>
        <w:t xml:space="preserve">ouge de </w:t>
      </w:r>
      <w:proofErr w:type="spellStart"/>
      <w:r w:rsidR="00211057" w:rsidRPr="003566CD">
        <w:rPr>
          <w:rFonts w:ascii="Times New Roman" w:hAnsi="Times New Roman" w:cs="Times New Roman"/>
          <w:sz w:val="24"/>
          <w:szCs w:val="24"/>
        </w:rPr>
        <w:t>Nylosane</w:t>
      </w:r>
      <w:proofErr w:type="spellEnd"/>
      <w:r w:rsidR="00211057" w:rsidRPr="003566CD">
        <w:rPr>
          <w:rFonts w:ascii="Times New Roman" w:hAnsi="Times New Roman" w:cs="Times New Roman"/>
          <w:sz w:val="24"/>
          <w:szCs w:val="24"/>
        </w:rPr>
        <w:t xml:space="preserve"> </w:t>
      </w:r>
      <w:r>
        <w:rPr>
          <w:rFonts w:ascii="Times New Roman" w:hAnsi="Times New Roman" w:cs="Times New Roman"/>
          <w:sz w:val="24"/>
          <w:szCs w:val="24"/>
        </w:rPr>
        <w:t>(</w:t>
      </w:r>
      <w:r w:rsidR="00211057" w:rsidRPr="003566CD">
        <w:rPr>
          <w:rFonts w:ascii="Times New Roman" w:hAnsi="Times New Roman" w:cs="Times New Roman"/>
          <w:sz w:val="24"/>
          <w:szCs w:val="24"/>
        </w:rPr>
        <w:t>2RBL</w:t>
      </w:r>
      <w:r>
        <w:rPr>
          <w:rFonts w:ascii="Times New Roman" w:hAnsi="Times New Roman" w:cs="Times New Roman"/>
          <w:sz w:val="24"/>
          <w:szCs w:val="24"/>
        </w:rPr>
        <w:t>)</w:t>
      </w:r>
      <w:r w:rsidR="00211057" w:rsidRPr="003566CD">
        <w:rPr>
          <w:rFonts w:ascii="Times New Roman" w:hAnsi="Times New Roman" w:cs="Times New Roman"/>
          <w:sz w:val="24"/>
          <w:szCs w:val="24"/>
        </w:rPr>
        <w:t xml:space="preserve"> est un colorant de synthèse largement utilisé dans les industries algériennes de textile et en particulier la SOITEX de Tlemcen. Il est souvent rejeté dans l’écosystème avec des concentrations dépassant les normes requises par la législation.</w:t>
      </w:r>
    </w:p>
    <w:p w:rsidR="000628F7" w:rsidRPr="003566CD" w:rsidRDefault="000628F7" w:rsidP="000628F7">
      <w:pPr>
        <w:tabs>
          <w:tab w:val="left" w:pos="709"/>
        </w:tabs>
        <w:spacing w:line="360" w:lineRule="auto"/>
        <w:jc w:val="both"/>
        <w:rPr>
          <w:rFonts w:ascii="Times New Roman" w:hAnsi="Times New Roman" w:cs="Times New Roman"/>
          <w:sz w:val="24"/>
          <w:szCs w:val="24"/>
        </w:rPr>
      </w:pPr>
    </w:p>
    <w:p w:rsidR="00EA4013" w:rsidRPr="003566CD" w:rsidRDefault="00EA4013" w:rsidP="000628F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3566CD">
        <w:rPr>
          <w:rFonts w:ascii="Times New Roman" w:hAnsi="Times New Roman" w:cs="Times New Roman"/>
          <w:sz w:val="24"/>
          <w:szCs w:val="24"/>
        </w:rPr>
        <w:t>Les procédés appliqués dans cette étude pour le traitement des solutions synthétiques dans l’eau pur</w:t>
      </w:r>
      <w:r w:rsidR="000628F7">
        <w:rPr>
          <w:rFonts w:ascii="Times New Roman" w:hAnsi="Times New Roman" w:cs="Times New Roman"/>
          <w:sz w:val="24"/>
          <w:szCs w:val="24"/>
        </w:rPr>
        <w:t xml:space="preserve">e de colorant Rouge de </w:t>
      </w:r>
      <w:proofErr w:type="spellStart"/>
      <w:r w:rsidR="000628F7">
        <w:rPr>
          <w:rFonts w:ascii="Times New Roman" w:hAnsi="Times New Roman" w:cs="Times New Roman"/>
          <w:sz w:val="24"/>
          <w:szCs w:val="24"/>
        </w:rPr>
        <w:t>Nylosane</w:t>
      </w:r>
      <w:proofErr w:type="spellEnd"/>
      <w:r w:rsidR="000628F7">
        <w:rPr>
          <w:rFonts w:ascii="Times New Roman" w:hAnsi="Times New Roman" w:cs="Times New Roman"/>
          <w:sz w:val="24"/>
          <w:szCs w:val="24"/>
        </w:rPr>
        <w:t xml:space="preserve"> </w:t>
      </w:r>
      <w:r w:rsidRPr="003566CD">
        <w:rPr>
          <w:rFonts w:ascii="Times New Roman" w:hAnsi="Times New Roman" w:cs="Times New Roman"/>
          <w:sz w:val="24"/>
          <w:szCs w:val="24"/>
        </w:rPr>
        <w:t>(le procédé d’oxydation avancé : Fenton (Fe</w:t>
      </w:r>
      <w:r w:rsidRPr="003566CD">
        <w:rPr>
          <w:rFonts w:ascii="Times New Roman" w:hAnsi="Times New Roman" w:cs="Times New Roman"/>
          <w:sz w:val="24"/>
          <w:szCs w:val="24"/>
          <w:vertAlign w:val="superscript"/>
        </w:rPr>
        <w:t>2+</w:t>
      </w:r>
      <w:r w:rsidRPr="003566CD">
        <w:rPr>
          <w:rFonts w:ascii="Times New Roman" w:hAnsi="Times New Roman" w:cs="Times New Roman"/>
          <w:sz w:val="24"/>
          <w:szCs w:val="24"/>
        </w:rPr>
        <w:t>/H</w:t>
      </w:r>
      <w:r w:rsidRPr="003566CD">
        <w:rPr>
          <w:rFonts w:ascii="Times New Roman" w:hAnsi="Times New Roman" w:cs="Times New Roman"/>
          <w:sz w:val="24"/>
          <w:szCs w:val="24"/>
          <w:vertAlign w:val="subscript"/>
        </w:rPr>
        <w:t>2</w:t>
      </w:r>
      <w:r w:rsidRPr="003566CD">
        <w:rPr>
          <w:rFonts w:ascii="Times New Roman" w:hAnsi="Times New Roman" w:cs="Times New Roman"/>
          <w:sz w:val="24"/>
          <w:szCs w:val="24"/>
        </w:rPr>
        <w:t>O</w:t>
      </w:r>
      <w:r w:rsidRPr="003566CD">
        <w:rPr>
          <w:rFonts w:ascii="Times New Roman" w:hAnsi="Times New Roman" w:cs="Times New Roman"/>
          <w:sz w:val="24"/>
          <w:szCs w:val="24"/>
          <w:vertAlign w:val="subscript"/>
        </w:rPr>
        <w:t>2</w:t>
      </w:r>
      <w:r w:rsidRPr="003566CD">
        <w:rPr>
          <w:rFonts w:ascii="Times New Roman" w:hAnsi="Times New Roman" w:cs="Times New Roman"/>
          <w:sz w:val="24"/>
          <w:szCs w:val="24"/>
        </w:rPr>
        <w:t>) ; le procédé électrochimique : Electrocoagulation et le procédé de fixation : Adsorption)</w:t>
      </w:r>
      <w:r w:rsidR="000628F7">
        <w:rPr>
          <w:rFonts w:ascii="Times New Roman" w:hAnsi="Times New Roman" w:cs="Times New Roman"/>
          <w:sz w:val="24"/>
          <w:szCs w:val="24"/>
        </w:rPr>
        <w:t xml:space="preserve"> </w:t>
      </w:r>
      <w:r w:rsidR="00E20AD3">
        <w:rPr>
          <w:rFonts w:ascii="Times New Roman" w:hAnsi="Times New Roman" w:cs="Times New Roman"/>
          <w:sz w:val="24"/>
          <w:szCs w:val="24"/>
        </w:rPr>
        <w:t>ont permis</w:t>
      </w:r>
      <w:r w:rsidRPr="003566CD">
        <w:rPr>
          <w:rFonts w:ascii="Times New Roman" w:hAnsi="Times New Roman" w:cs="Times New Roman"/>
          <w:sz w:val="24"/>
          <w:szCs w:val="24"/>
        </w:rPr>
        <w:t xml:space="preserve"> d’atteindre des taux d’élimination</w:t>
      </w:r>
      <w:r w:rsidR="000B3C78">
        <w:rPr>
          <w:rFonts w:ascii="Times New Roman" w:hAnsi="Times New Roman" w:cs="Times New Roman"/>
          <w:sz w:val="24"/>
          <w:szCs w:val="24"/>
        </w:rPr>
        <w:t xml:space="preserve"> </w:t>
      </w:r>
      <w:r w:rsidRPr="000628F7">
        <w:rPr>
          <w:rFonts w:ascii="Times New Roman" w:hAnsi="Times New Roman" w:cs="Times New Roman"/>
          <w:b/>
          <w:bCs/>
          <w:sz w:val="24"/>
          <w:szCs w:val="24"/>
        </w:rPr>
        <w:t>&gt;90%</w:t>
      </w:r>
      <w:r w:rsidRPr="003566CD">
        <w:rPr>
          <w:rFonts w:ascii="Times New Roman" w:hAnsi="Times New Roman" w:cs="Times New Roman"/>
          <w:sz w:val="24"/>
          <w:szCs w:val="24"/>
        </w:rPr>
        <w:t>.</w:t>
      </w:r>
    </w:p>
    <w:p w:rsidR="00121C5A" w:rsidRPr="003566CD" w:rsidRDefault="00121C5A" w:rsidP="003566CD">
      <w:pPr>
        <w:autoSpaceDE w:val="0"/>
        <w:autoSpaceDN w:val="0"/>
        <w:adjustRightInd w:val="0"/>
        <w:spacing w:after="0" w:line="360" w:lineRule="auto"/>
        <w:jc w:val="both"/>
        <w:rPr>
          <w:rFonts w:ascii="Times New Roman" w:hAnsi="Times New Roman" w:cs="Times New Roman"/>
          <w:sz w:val="24"/>
          <w:szCs w:val="24"/>
        </w:rPr>
      </w:pPr>
    </w:p>
    <w:p w:rsidR="003566CD" w:rsidRDefault="003566CD" w:rsidP="000B3C78">
      <w:pPr>
        <w:autoSpaceDE w:val="0"/>
        <w:autoSpaceDN w:val="0"/>
        <w:adjustRightInd w:val="0"/>
        <w:spacing w:after="0" w:line="360" w:lineRule="auto"/>
        <w:ind w:firstLine="708"/>
        <w:jc w:val="both"/>
        <w:rPr>
          <w:rFonts w:ascii="Times New Roman" w:hAnsi="Times New Roman" w:cs="Times New Roman"/>
          <w:sz w:val="24"/>
          <w:szCs w:val="24"/>
        </w:rPr>
      </w:pPr>
      <w:r w:rsidRPr="003566CD">
        <w:rPr>
          <w:rFonts w:ascii="Times New Roman" w:hAnsi="Times New Roman" w:cs="Times New Roman"/>
          <w:sz w:val="24"/>
          <w:szCs w:val="24"/>
        </w:rPr>
        <w:t>La comparaison des performances d’élimination  par les différents procédés étudiés a montré que</w:t>
      </w:r>
      <w:r w:rsidR="000628F7">
        <w:rPr>
          <w:rFonts w:ascii="Times New Roman" w:hAnsi="Times New Roman" w:cs="Times New Roman"/>
          <w:sz w:val="24"/>
          <w:szCs w:val="24"/>
        </w:rPr>
        <w:t>,</w:t>
      </w:r>
      <w:r w:rsidRPr="003566CD">
        <w:rPr>
          <w:rFonts w:ascii="Times New Roman" w:hAnsi="Times New Roman" w:cs="Times New Roman"/>
          <w:sz w:val="24"/>
          <w:szCs w:val="24"/>
        </w:rPr>
        <w:t xml:space="preserve"> le traitement du Rouge de </w:t>
      </w:r>
      <w:proofErr w:type="spellStart"/>
      <w:r w:rsidRPr="003566CD">
        <w:rPr>
          <w:rFonts w:ascii="Times New Roman" w:hAnsi="Times New Roman" w:cs="Times New Roman"/>
          <w:sz w:val="24"/>
          <w:szCs w:val="24"/>
        </w:rPr>
        <w:t>Nylosane</w:t>
      </w:r>
      <w:proofErr w:type="spellEnd"/>
      <w:r w:rsidRPr="003566CD">
        <w:rPr>
          <w:rFonts w:ascii="Times New Roman" w:hAnsi="Times New Roman" w:cs="Times New Roman"/>
          <w:sz w:val="24"/>
          <w:szCs w:val="24"/>
        </w:rPr>
        <w:t xml:space="preserve"> par Electrocoagulation a permis  d’atteindre un taux d’élimination très importants:</w:t>
      </w:r>
      <w:r w:rsidR="000628F7">
        <w:rPr>
          <w:rFonts w:ascii="Times New Roman" w:hAnsi="Times New Roman" w:cs="Times New Roman"/>
          <w:sz w:val="24"/>
          <w:szCs w:val="24"/>
        </w:rPr>
        <w:t xml:space="preserve"> </w:t>
      </w:r>
      <w:r w:rsidRPr="000628F7">
        <w:rPr>
          <w:rFonts w:ascii="Times New Roman" w:hAnsi="Times New Roman" w:cs="Times New Roman"/>
          <w:b/>
          <w:bCs/>
          <w:sz w:val="24"/>
          <w:szCs w:val="24"/>
        </w:rPr>
        <w:t>95.04%</w:t>
      </w:r>
      <w:r w:rsidRPr="003566CD">
        <w:rPr>
          <w:rFonts w:ascii="Times New Roman" w:hAnsi="Times New Roman" w:cs="Times New Roman"/>
          <w:sz w:val="24"/>
          <w:szCs w:val="24"/>
        </w:rPr>
        <w:t xml:space="preserve"> au </w:t>
      </w:r>
      <w:r w:rsidR="000628F7">
        <w:rPr>
          <w:rFonts w:ascii="Times New Roman" w:hAnsi="Times New Roman" w:cs="Times New Roman"/>
          <w:sz w:val="24"/>
          <w:szCs w:val="24"/>
        </w:rPr>
        <w:t xml:space="preserve">bout de </w:t>
      </w:r>
      <w:r w:rsidR="000628F7" w:rsidRPr="000628F7">
        <w:rPr>
          <w:rFonts w:ascii="Times New Roman" w:hAnsi="Times New Roman" w:cs="Times New Roman"/>
          <w:b/>
          <w:bCs/>
          <w:sz w:val="24"/>
          <w:szCs w:val="24"/>
        </w:rPr>
        <w:t>15 min</w:t>
      </w:r>
      <w:r w:rsidRPr="003566CD">
        <w:rPr>
          <w:rFonts w:ascii="Times New Roman" w:hAnsi="Times New Roman" w:cs="Times New Roman"/>
          <w:sz w:val="24"/>
          <w:szCs w:val="24"/>
        </w:rPr>
        <w:t>. En outre</w:t>
      </w:r>
      <w:r w:rsidR="000B3C78">
        <w:rPr>
          <w:rFonts w:ascii="Times New Roman" w:hAnsi="Times New Roman" w:cs="Times New Roman"/>
          <w:sz w:val="24"/>
          <w:szCs w:val="24"/>
        </w:rPr>
        <w:t>, ce procédé est préférable</w:t>
      </w:r>
      <w:r w:rsidRPr="003566CD">
        <w:rPr>
          <w:rFonts w:ascii="Times New Roman" w:hAnsi="Times New Roman" w:cs="Times New Roman"/>
          <w:sz w:val="24"/>
          <w:szCs w:val="24"/>
        </w:rPr>
        <w:t xml:space="preserve"> </w:t>
      </w:r>
      <w:r w:rsidR="000628F7" w:rsidRPr="003566CD">
        <w:rPr>
          <w:rFonts w:ascii="Times New Roman" w:hAnsi="Times New Roman" w:cs="Times New Roman"/>
          <w:sz w:val="24"/>
          <w:szCs w:val="24"/>
        </w:rPr>
        <w:t>grâce</w:t>
      </w:r>
      <w:r w:rsidRPr="003566CD">
        <w:rPr>
          <w:rFonts w:ascii="Times New Roman" w:hAnsi="Times New Roman" w:cs="Times New Roman"/>
          <w:sz w:val="24"/>
          <w:szCs w:val="24"/>
        </w:rPr>
        <w:t xml:space="preserve"> à la non utilisation de réactifs chimiques et une faible consommation d’énergie</w:t>
      </w:r>
      <w:r w:rsidR="000B3C78">
        <w:rPr>
          <w:rFonts w:ascii="Times New Roman" w:hAnsi="Times New Roman" w:cs="Times New Roman"/>
          <w:sz w:val="24"/>
          <w:szCs w:val="24"/>
        </w:rPr>
        <w:t xml:space="preserve"> </w:t>
      </w:r>
      <w:r w:rsidRPr="003566CD">
        <w:rPr>
          <w:rFonts w:ascii="Times New Roman" w:hAnsi="Times New Roman" w:cs="Times New Roman"/>
          <w:sz w:val="24"/>
          <w:szCs w:val="24"/>
        </w:rPr>
        <w:t>électrique.</w:t>
      </w:r>
    </w:p>
    <w:p w:rsidR="003566CD" w:rsidRPr="003566CD" w:rsidRDefault="003566CD" w:rsidP="003566CD">
      <w:pPr>
        <w:autoSpaceDE w:val="0"/>
        <w:autoSpaceDN w:val="0"/>
        <w:adjustRightInd w:val="0"/>
        <w:spacing w:after="0" w:line="360" w:lineRule="auto"/>
        <w:jc w:val="both"/>
        <w:rPr>
          <w:rFonts w:ascii="Times New Roman" w:hAnsi="Times New Roman" w:cs="Times New Roman"/>
          <w:sz w:val="24"/>
          <w:szCs w:val="24"/>
        </w:rPr>
      </w:pPr>
    </w:p>
    <w:p w:rsidR="00573751" w:rsidRPr="00187C1C" w:rsidRDefault="00573751" w:rsidP="003566CD">
      <w:pPr>
        <w:rPr>
          <w:rFonts w:asciiTheme="majorBidi" w:hAnsiTheme="majorBidi" w:cstheme="majorBidi"/>
        </w:rPr>
      </w:pPr>
    </w:p>
    <w:sectPr w:rsidR="00573751" w:rsidRPr="00187C1C" w:rsidSect="005E7757">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FCF" w:rsidRDefault="009D0FCF" w:rsidP="000628F7">
      <w:pPr>
        <w:spacing w:after="0" w:line="240" w:lineRule="auto"/>
      </w:pPr>
      <w:r>
        <w:separator/>
      </w:r>
    </w:p>
  </w:endnote>
  <w:endnote w:type="continuationSeparator" w:id="0">
    <w:p w:rsidR="009D0FCF" w:rsidRDefault="009D0FCF" w:rsidP="000628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FCF" w:rsidRDefault="009D0FCF" w:rsidP="000628F7">
      <w:pPr>
        <w:spacing w:after="0" w:line="240" w:lineRule="auto"/>
      </w:pPr>
      <w:r>
        <w:separator/>
      </w:r>
    </w:p>
  </w:footnote>
  <w:footnote w:type="continuationSeparator" w:id="0">
    <w:p w:rsidR="009D0FCF" w:rsidRDefault="009D0FCF" w:rsidP="000628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b/>
        <w:bCs/>
        <w:i/>
        <w:iCs/>
        <w:sz w:val="32"/>
        <w:szCs w:val="32"/>
      </w:rPr>
      <w:alias w:val="Titre"/>
      <w:id w:val="77738743"/>
      <w:placeholder>
        <w:docPart w:val="FBAB1B5BEECD4FED86D4DEA87A1955B8"/>
      </w:placeholder>
      <w:dataBinding w:prefixMappings="xmlns:ns0='http://schemas.openxmlformats.org/package/2006/metadata/core-properties' xmlns:ns1='http://purl.org/dc/elements/1.1/'" w:xpath="/ns0:coreProperties[1]/ns1:title[1]" w:storeItemID="{6C3C8BC8-F283-45AE-878A-BAB7291924A1}"/>
      <w:text/>
    </w:sdtPr>
    <w:sdtContent>
      <w:p w:rsidR="000628F7" w:rsidRDefault="000628F7" w:rsidP="000628F7">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sidRPr="000628F7">
          <w:rPr>
            <w:rFonts w:asciiTheme="majorBidi" w:eastAsiaTheme="majorEastAsia" w:hAnsiTheme="majorBidi" w:cstheme="majorBidi"/>
            <w:b/>
            <w:bCs/>
            <w:i/>
            <w:iCs/>
            <w:sz w:val="32"/>
            <w:szCs w:val="32"/>
          </w:rPr>
          <w:t>RESUME</w:t>
        </w:r>
      </w:p>
    </w:sdtContent>
  </w:sdt>
  <w:p w:rsidR="000628F7" w:rsidRDefault="000628F7">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21C5A"/>
    <w:rsid w:val="000628F7"/>
    <w:rsid w:val="000B3C78"/>
    <w:rsid w:val="00121C5A"/>
    <w:rsid w:val="00187C1C"/>
    <w:rsid w:val="00211057"/>
    <w:rsid w:val="00223980"/>
    <w:rsid w:val="00287FA3"/>
    <w:rsid w:val="003566CD"/>
    <w:rsid w:val="00573751"/>
    <w:rsid w:val="005E7757"/>
    <w:rsid w:val="00645BE6"/>
    <w:rsid w:val="006E0864"/>
    <w:rsid w:val="007D72FB"/>
    <w:rsid w:val="008F24F9"/>
    <w:rsid w:val="009B249E"/>
    <w:rsid w:val="009D0FCF"/>
    <w:rsid w:val="00A47AFF"/>
    <w:rsid w:val="00A97E15"/>
    <w:rsid w:val="00B55D9F"/>
    <w:rsid w:val="00D243BB"/>
    <w:rsid w:val="00E20AD3"/>
    <w:rsid w:val="00EA4013"/>
    <w:rsid w:val="00F31F2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75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628F7"/>
    <w:pPr>
      <w:tabs>
        <w:tab w:val="center" w:pos="4536"/>
        <w:tab w:val="right" w:pos="9072"/>
      </w:tabs>
      <w:spacing w:after="0" w:line="240" w:lineRule="auto"/>
    </w:pPr>
  </w:style>
  <w:style w:type="character" w:customStyle="1" w:styleId="En-tteCar">
    <w:name w:val="En-tête Car"/>
    <w:basedOn w:val="Policepardfaut"/>
    <w:link w:val="En-tte"/>
    <w:uiPriority w:val="99"/>
    <w:rsid w:val="000628F7"/>
  </w:style>
  <w:style w:type="paragraph" w:styleId="Pieddepage">
    <w:name w:val="footer"/>
    <w:basedOn w:val="Normal"/>
    <w:link w:val="PieddepageCar"/>
    <w:uiPriority w:val="99"/>
    <w:semiHidden/>
    <w:unhideWhenUsed/>
    <w:rsid w:val="000628F7"/>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0628F7"/>
  </w:style>
  <w:style w:type="paragraph" w:styleId="Textedebulles">
    <w:name w:val="Balloon Text"/>
    <w:basedOn w:val="Normal"/>
    <w:link w:val="TextedebullesCar"/>
    <w:uiPriority w:val="99"/>
    <w:semiHidden/>
    <w:unhideWhenUsed/>
    <w:rsid w:val="000628F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628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BAB1B5BEECD4FED86D4DEA87A1955B8"/>
        <w:category>
          <w:name w:val="Général"/>
          <w:gallery w:val="placeholder"/>
        </w:category>
        <w:types>
          <w:type w:val="bbPlcHdr"/>
        </w:types>
        <w:behaviors>
          <w:behavior w:val="content"/>
        </w:behaviors>
        <w:guid w:val="{60D2E383-861F-4E60-9BD4-A92277B288A0}"/>
      </w:docPartPr>
      <w:docPartBody>
        <w:p w:rsidR="00EC52EB" w:rsidRDefault="00773477" w:rsidP="00773477">
          <w:pPr>
            <w:pStyle w:val="FBAB1B5BEECD4FED86D4DEA87A1955B8"/>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73477"/>
    <w:rsid w:val="00272D99"/>
    <w:rsid w:val="00773477"/>
    <w:rsid w:val="00B7070E"/>
    <w:rsid w:val="00EC52E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2E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BAB1B5BEECD4FED86D4DEA87A1955B8">
    <w:name w:val="FBAB1B5BEECD4FED86D4DEA87A1955B8"/>
    <w:rsid w:val="0077347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961</TotalTime>
  <Pages>1</Pages>
  <Words>195</Words>
  <Characters>1075</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dc:title>
  <dc:subject/>
  <dc:creator>SWEET</dc:creator>
  <cp:keywords/>
  <dc:description/>
  <cp:lastModifiedBy>acer</cp:lastModifiedBy>
  <cp:revision>7</cp:revision>
  <dcterms:created xsi:type="dcterms:W3CDTF">2009-04-16T02:33:00Z</dcterms:created>
  <dcterms:modified xsi:type="dcterms:W3CDTF">2010-10-12T19:14:00Z</dcterms:modified>
</cp:coreProperties>
</file>