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730E" w:rsidRPr="007A5C63" w:rsidRDefault="000A730E" w:rsidP="007A5C63">
      <w:pPr>
        <w:autoSpaceDE w:val="0"/>
        <w:autoSpaceDN w:val="0"/>
        <w:adjustRightInd w:val="0"/>
        <w:spacing w:after="0"/>
        <w:jc w:val="right"/>
        <w:rPr>
          <w:rFonts w:ascii="Times New Roman" w:hAnsi="Times New Roman" w:cs="Times New Roman"/>
          <w:sz w:val="24"/>
          <w:szCs w:val="24"/>
        </w:rPr>
      </w:pPr>
      <w:r w:rsidRPr="007A5C63">
        <w:rPr>
          <w:rFonts w:ascii="Times New Roman" w:hAnsi="Times New Roman" w:cs="Times New Roman"/>
          <w:sz w:val="24"/>
          <w:szCs w:val="24"/>
          <w:rtl/>
        </w:rPr>
        <w:t>ملخص</w:t>
      </w:r>
    </w:p>
    <w:p w:rsidR="000A730E" w:rsidRPr="000A730E" w:rsidRDefault="000A730E" w:rsidP="007A5C63">
      <w:pPr>
        <w:autoSpaceDE w:val="0"/>
        <w:autoSpaceDN w:val="0"/>
        <w:adjustRightInd w:val="0"/>
        <w:spacing w:after="0"/>
        <w:jc w:val="right"/>
        <w:rPr>
          <w:rFonts w:ascii="Times New Roman" w:hAnsi="Times New Roman" w:cs="Times New Roman"/>
          <w:sz w:val="24"/>
          <w:szCs w:val="24"/>
        </w:rPr>
      </w:pPr>
      <w:r w:rsidRPr="000A730E">
        <w:rPr>
          <w:rFonts w:ascii="Times New Roman" w:hAnsi="Times New Roman" w:cs="Times New Roman"/>
          <w:sz w:val="24"/>
          <w:szCs w:val="24"/>
          <w:rtl/>
        </w:rPr>
        <w:t>تركز دراستنا على تحضير مجموعة من الكربون المنشط من نفايات الخشب. تم تعديل هذه الكربونات بالتشريب مع</w:t>
      </w:r>
      <w:r w:rsidRPr="000A730E">
        <w:rPr>
          <w:rFonts w:ascii="Times New Roman" w:hAnsi="Times New Roman" w:cs="Times New Roman"/>
          <w:sz w:val="24"/>
          <w:szCs w:val="24"/>
        </w:rPr>
        <w:t xml:space="preserve"> H3PO4</w:t>
      </w:r>
      <w:r w:rsidRPr="000A730E">
        <w:rPr>
          <w:rFonts w:ascii="Times New Roman" w:hAnsi="Times New Roman" w:cs="Times New Roman"/>
          <w:sz w:val="24"/>
          <w:szCs w:val="24"/>
          <w:rtl/>
        </w:rPr>
        <w:t xml:space="preserve"> ، بنسب صلبة / سائلة تتراوح من 1 إلى 3 وتكلس في درجات حرارة مختلفة تتراوح من 300 درجة مئوية إلى 850 درجة مئوية. تم اختيار صبغتين ذات طبيعة مختلفة لاختبار هذه المواد. أحدهما </w:t>
      </w:r>
      <w:proofErr w:type="spellStart"/>
      <w:r w:rsidRPr="000A730E">
        <w:rPr>
          <w:rFonts w:ascii="Times New Roman" w:hAnsi="Times New Roman" w:cs="Times New Roman"/>
          <w:sz w:val="24"/>
          <w:szCs w:val="24"/>
          <w:rtl/>
        </w:rPr>
        <w:t>كاتيوني</w:t>
      </w:r>
      <w:proofErr w:type="spellEnd"/>
      <w:r w:rsidRPr="000A730E">
        <w:rPr>
          <w:rFonts w:ascii="Times New Roman" w:hAnsi="Times New Roman" w:cs="Times New Roman"/>
          <w:sz w:val="24"/>
          <w:szCs w:val="24"/>
          <w:rtl/>
        </w:rPr>
        <w:t xml:space="preserve"> والآخر </w:t>
      </w:r>
      <w:proofErr w:type="spellStart"/>
      <w:r w:rsidRPr="000A730E">
        <w:rPr>
          <w:rFonts w:ascii="Times New Roman" w:hAnsi="Times New Roman" w:cs="Times New Roman"/>
          <w:sz w:val="24"/>
          <w:szCs w:val="24"/>
          <w:rtl/>
        </w:rPr>
        <w:t>أنيوني</w:t>
      </w:r>
      <w:proofErr w:type="spellEnd"/>
      <w:r w:rsidRPr="000A730E">
        <w:rPr>
          <w:rFonts w:ascii="Times New Roman" w:hAnsi="Times New Roman" w:cs="Times New Roman"/>
          <w:sz w:val="24"/>
          <w:szCs w:val="24"/>
          <w:rtl/>
        </w:rPr>
        <w:t xml:space="preserve"> </w:t>
      </w:r>
      <w:proofErr w:type="spellStart"/>
      <w:r w:rsidRPr="000A730E">
        <w:rPr>
          <w:rFonts w:ascii="Times New Roman" w:hAnsi="Times New Roman" w:cs="Times New Roman"/>
          <w:sz w:val="24"/>
          <w:szCs w:val="24"/>
          <w:rtl/>
        </w:rPr>
        <w:t>الامتزاز</w:t>
      </w:r>
      <w:proofErr w:type="spellEnd"/>
      <w:r w:rsidRPr="000A730E">
        <w:rPr>
          <w:rFonts w:ascii="Times New Roman" w:hAnsi="Times New Roman" w:cs="Times New Roman"/>
          <w:sz w:val="24"/>
          <w:szCs w:val="24"/>
          <w:rtl/>
        </w:rPr>
        <w:t xml:space="preserve"> تم إجراء اختبارات الامتزاز من أجل اختيار المادة التي سيتم إجراء دراسة الامتزاز عليها. من أجل الحفاظ على الطاقة والبيئة ، اخترنا العمل مع ؛ تلك التي تتطلب أقل طاقة (درجة حرارة 350 درجة و 400 درجة) وتستهلك كمية صغيرة من</w:t>
      </w:r>
      <w:r w:rsidRPr="000A730E">
        <w:rPr>
          <w:rFonts w:ascii="Times New Roman" w:hAnsi="Times New Roman" w:cs="Times New Roman"/>
          <w:sz w:val="24"/>
          <w:szCs w:val="24"/>
        </w:rPr>
        <w:t xml:space="preserve"> H3PO4 </w:t>
      </w:r>
      <w:r w:rsidRPr="000A730E">
        <w:rPr>
          <w:rFonts w:ascii="Times New Roman" w:hAnsi="Times New Roman" w:cs="Times New Roman"/>
          <w:sz w:val="24"/>
          <w:szCs w:val="24"/>
          <w:rtl/>
        </w:rPr>
        <w:t>(نسبة صلبة / سائلة = 1) ؛</w:t>
      </w:r>
      <w:r w:rsidRPr="000A730E">
        <w:rPr>
          <w:rFonts w:ascii="Times New Roman" w:hAnsi="Times New Roman" w:cs="Times New Roman"/>
          <w:sz w:val="24"/>
          <w:szCs w:val="24"/>
        </w:rPr>
        <w:t xml:space="preserve"> MH350 </w:t>
      </w:r>
      <w:r w:rsidRPr="000A730E">
        <w:rPr>
          <w:rFonts w:ascii="Times New Roman" w:hAnsi="Times New Roman" w:cs="Times New Roman"/>
          <w:sz w:val="24"/>
          <w:szCs w:val="24"/>
          <w:rtl/>
        </w:rPr>
        <w:t>و</w:t>
      </w:r>
      <w:r w:rsidRPr="000A730E">
        <w:rPr>
          <w:rFonts w:ascii="Times New Roman" w:hAnsi="Times New Roman" w:cs="Times New Roman"/>
          <w:sz w:val="24"/>
          <w:szCs w:val="24"/>
        </w:rPr>
        <w:t xml:space="preserve"> MH400. </w:t>
      </w:r>
      <w:r w:rsidRPr="000A730E">
        <w:rPr>
          <w:rFonts w:ascii="Times New Roman" w:hAnsi="Times New Roman" w:cs="Times New Roman"/>
          <w:sz w:val="24"/>
          <w:szCs w:val="24"/>
          <w:rtl/>
        </w:rPr>
        <w:t>قدرات الامتصاص القصوى لـ</w:t>
      </w:r>
      <w:r w:rsidRPr="000A730E">
        <w:rPr>
          <w:rFonts w:ascii="Times New Roman" w:hAnsi="Times New Roman" w:cs="Times New Roman"/>
          <w:sz w:val="24"/>
          <w:szCs w:val="24"/>
        </w:rPr>
        <w:t xml:space="preserve"> MH350 </w:t>
      </w:r>
      <w:r w:rsidRPr="000A730E">
        <w:rPr>
          <w:rFonts w:ascii="Times New Roman" w:hAnsi="Times New Roman" w:cs="Times New Roman"/>
          <w:sz w:val="24"/>
          <w:szCs w:val="24"/>
          <w:rtl/>
        </w:rPr>
        <w:t>أعلى من تلك الموجودة في</w:t>
      </w:r>
      <w:r w:rsidRPr="000A730E">
        <w:rPr>
          <w:rFonts w:ascii="Times New Roman" w:hAnsi="Times New Roman" w:cs="Times New Roman"/>
          <w:sz w:val="24"/>
          <w:szCs w:val="24"/>
        </w:rPr>
        <w:t xml:space="preserve"> MH400 </w:t>
      </w:r>
      <w:r w:rsidRPr="000A730E">
        <w:rPr>
          <w:rFonts w:ascii="Times New Roman" w:hAnsi="Times New Roman" w:cs="Times New Roman"/>
          <w:sz w:val="24"/>
          <w:szCs w:val="24"/>
          <w:rtl/>
        </w:rPr>
        <w:t>؛ هم على التوالي حوالي 505 مجم / جم مع صبغة</w:t>
      </w:r>
      <w:r w:rsidRPr="000A730E">
        <w:rPr>
          <w:rFonts w:ascii="Times New Roman" w:hAnsi="Times New Roman" w:cs="Times New Roman"/>
          <w:sz w:val="24"/>
          <w:szCs w:val="24"/>
        </w:rPr>
        <w:t xml:space="preserve"> BM </w:t>
      </w:r>
      <w:r w:rsidRPr="000A730E">
        <w:rPr>
          <w:rFonts w:ascii="Times New Roman" w:hAnsi="Times New Roman" w:cs="Times New Roman"/>
          <w:sz w:val="24"/>
          <w:szCs w:val="24"/>
          <w:rtl/>
        </w:rPr>
        <w:t>و 411 مجم / جم بصبغة</w:t>
      </w:r>
      <w:r w:rsidRPr="000A730E">
        <w:rPr>
          <w:rFonts w:ascii="Times New Roman" w:hAnsi="Times New Roman" w:cs="Times New Roman"/>
          <w:sz w:val="24"/>
          <w:szCs w:val="24"/>
        </w:rPr>
        <w:t xml:space="preserve"> RBBR. </w:t>
      </w:r>
      <w:r w:rsidRPr="000A730E">
        <w:rPr>
          <w:rFonts w:ascii="Times New Roman" w:hAnsi="Times New Roman" w:cs="Times New Roman"/>
          <w:sz w:val="24"/>
          <w:szCs w:val="24"/>
          <w:rtl/>
        </w:rPr>
        <w:t xml:space="preserve">أظهرت النتائج ملاءمة أفضل للخواص الحركية الزائفة من الدرجة الثانية. هذه العملية ماصة للحرارة ، تؤكدها القيمة الإيجابية للحرارة الحرارية. </w:t>
      </w:r>
      <w:proofErr w:type="gramStart"/>
      <w:r w:rsidRPr="000A730E">
        <w:rPr>
          <w:rFonts w:ascii="Times New Roman" w:hAnsi="Times New Roman" w:cs="Times New Roman"/>
          <w:sz w:val="24"/>
          <w:szCs w:val="24"/>
          <w:rtl/>
        </w:rPr>
        <w:t>تشير</w:t>
      </w:r>
      <w:proofErr w:type="gramEnd"/>
      <w:r w:rsidRPr="000A730E">
        <w:rPr>
          <w:rFonts w:ascii="Times New Roman" w:hAnsi="Times New Roman" w:cs="Times New Roman"/>
          <w:sz w:val="24"/>
          <w:szCs w:val="24"/>
          <w:rtl/>
        </w:rPr>
        <w:t xml:space="preserve"> القيم السالبة</w:t>
      </w:r>
      <w:r w:rsidRPr="000A730E">
        <w:rPr>
          <w:rFonts w:ascii="Times New Roman" w:hAnsi="Times New Roman" w:cs="Times New Roman"/>
          <w:sz w:val="24"/>
          <w:szCs w:val="24"/>
        </w:rPr>
        <w:t xml:space="preserve"> ΔG ° </w:t>
      </w:r>
      <w:r w:rsidRPr="000A730E">
        <w:rPr>
          <w:rFonts w:ascii="Times New Roman" w:hAnsi="Times New Roman" w:cs="Times New Roman"/>
          <w:sz w:val="24"/>
          <w:szCs w:val="24"/>
          <w:rtl/>
        </w:rPr>
        <w:t>إلى أن امتصاص الأصباغ على</w:t>
      </w:r>
      <w:r w:rsidRPr="000A730E">
        <w:rPr>
          <w:rFonts w:ascii="Times New Roman" w:hAnsi="Times New Roman" w:cs="Times New Roman"/>
          <w:sz w:val="24"/>
          <w:szCs w:val="24"/>
        </w:rPr>
        <w:t xml:space="preserve"> MH350 </w:t>
      </w:r>
      <w:r w:rsidRPr="000A730E">
        <w:rPr>
          <w:rFonts w:ascii="Times New Roman" w:hAnsi="Times New Roman" w:cs="Times New Roman"/>
          <w:sz w:val="24"/>
          <w:szCs w:val="24"/>
          <w:rtl/>
        </w:rPr>
        <w:t>و</w:t>
      </w:r>
      <w:r w:rsidRPr="000A730E">
        <w:rPr>
          <w:rFonts w:ascii="Times New Roman" w:hAnsi="Times New Roman" w:cs="Times New Roman"/>
          <w:sz w:val="24"/>
          <w:szCs w:val="24"/>
        </w:rPr>
        <w:t xml:space="preserve"> MH400 </w:t>
      </w:r>
      <w:r w:rsidRPr="000A730E">
        <w:rPr>
          <w:rFonts w:ascii="Times New Roman" w:hAnsi="Times New Roman" w:cs="Times New Roman"/>
          <w:sz w:val="24"/>
          <w:szCs w:val="24"/>
          <w:rtl/>
        </w:rPr>
        <w:t>تلقائي. تُظهر القيمة الإيجابية لـ</w:t>
      </w:r>
      <w:r w:rsidRPr="000A730E">
        <w:rPr>
          <w:rFonts w:ascii="Times New Roman" w:hAnsi="Times New Roman" w:cs="Times New Roman"/>
          <w:sz w:val="24"/>
          <w:szCs w:val="24"/>
        </w:rPr>
        <w:t xml:space="preserve"> ΔS </w:t>
      </w:r>
      <w:r w:rsidRPr="000A730E">
        <w:rPr>
          <w:rFonts w:ascii="Times New Roman" w:hAnsi="Times New Roman" w:cs="Times New Roman"/>
          <w:sz w:val="24"/>
          <w:szCs w:val="24"/>
          <w:rtl/>
        </w:rPr>
        <w:t>تقارب المادة الماصة تجاه الصبغة</w:t>
      </w:r>
      <w:r w:rsidRPr="000A730E">
        <w:rPr>
          <w:rFonts w:ascii="Times New Roman" w:hAnsi="Times New Roman" w:cs="Times New Roman"/>
          <w:sz w:val="24"/>
          <w:szCs w:val="24"/>
        </w:rPr>
        <w:t>.</w:t>
      </w:r>
    </w:p>
    <w:p w:rsidR="000A730E" w:rsidRDefault="000A730E" w:rsidP="007A5C63">
      <w:pPr>
        <w:autoSpaceDE w:val="0"/>
        <w:autoSpaceDN w:val="0"/>
        <w:adjustRightInd w:val="0"/>
        <w:spacing w:after="0"/>
        <w:jc w:val="right"/>
        <w:rPr>
          <w:rFonts w:ascii="Times New Roman" w:hAnsi="Times New Roman" w:cs="Times New Roman"/>
          <w:sz w:val="24"/>
          <w:szCs w:val="24"/>
        </w:rPr>
      </w:pPr>
      <w:r w:rsidRPr="000A730E">
        <w:rPr>
          <w:rFonts w:ascii="Times New Roman" w:hAnsi="Times New Roman" w:cs="Times New Roman"/>
          <w:sz w:val="24"/>
          <w:szCs w:val="24"/>
          <w:rtl/>
        </w:rPr>
        <w:t>ا</w:t>
      </w:r>
      <w:r w:rsidRPr="007A5C63">
        <w:rPr>
          <w:rFonts w:ascii="Times New Roman" w:hAnsi="Times New Roman" w:cs="Times New Roman"/>
          <w:sz w:val="24"/>
          <w:szCs w:val="24"/>
          <w:rtl/>
        </w:rPr>
        <w:t>لكلمات المفتاحية</w:t>
      </w:r>
      <w:r w:rsidRPr="000A730E">
        <w:rPr>
          <w:rFonts w:ascii="Times New Roman" w:hAnsi="Times New Roman" w:cs="Times New Roman"/>
          <w:sz w:val="24"/>
          <w:szCs w:val="24"/>
          <w:rtl/>
        </w:rPr>
        <w:t xml:space="preserve">: الامتزاز ، الكربون المنشط ، الميثيل الأزرق </w:t>
      </w:r>
      <w:proofErr w:type="spellStart"/>
      <w:r w:rsidRPr="000A730E">
        <w:rPr>
          <w:rFonts w:ascii="Times New Roman" w:hAnsi="Times New Roman" w:cs="Times New Roman"/>
          <w:sz w:val="24"/>
          <w:szCs w:val="24"/>
          <w:rtl/>
        </w:rPr>
        <w:t>،</w:t>
      </w:r>
      <w:proofErr w:type="spellEnd"/>
      <w:r w:rsidRPr="000A730E">
        <w:rPr>
          <w:rFonts w:ascii="Times New Roman" w:hAnsi="Times New Roman" w:cs="Times New Roman"/>
          <w:sz w:val="24"/>
          <w:szCs w:val="24"/>
          <w:rtl/>
        </w:rPr>
        <w:t xml:space="preserve"> كاشف </w:t>
      </w:r>
      <w:proofErr w:type="spellStart"/>
      <w:r w:rsidRPr="000A730E">
        <w:rPr>
          <w:rFonts w:ascii="Times New Roman" w:hAnsi="Times New Roman" w:cs="Times New Roman"/>
          <w:sz w:val="24"/>
          <w:szCs w:val="24"/>
          <w:rtl/>
        </w:rPr>
        <w:t>ريمازو</w:t>
      </w:r>
      <w:proofErr w:type="spellEnd"/>
      <w:r w:rsidR="007A5C63">
        <w:rPr>
          <w:rFonts w:ascii="Times New Roman" w:hAnsi="Times New Roman" w:cs="Times New Roman" w:hint="cs"/>
          <w:sz w:val="24"/>
          <w:szCs w:val="24"/>
          <w:rtl/>
        </w:rPr>
        <w:t xml:space="preserve"> </w:t>
      </w:r>
    </w:p>
    <w:p w:rsidR="000A730E" w:rsidRDefault="000A730E" w:rsidP="007A5C63">
      <w:pPr>
        <w:autoSpaceDE w:val="0"/>
        <w:autoSpaceDN w:val="0"/>
        <w:adjustRightInd w:val="0"/>
        <w:spacing w:after="0"/>
        <w:rPr>
          <w:rFonts w:ascii="Times New Roman" w:hAnsi="Times New Roman" w:cs="Times New Roman"/>
          <w:sz w:val="24"/>
          <w:szCs w:val="24"/>
        </w:rPr>
      </w:pPr>
    </w:p>
    <w:p w:rsidR="00514D12" w:rsidRDefault="00514D12" w:rsidP="007A5C6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Résumé</w:t>
      </w:r>
    </w:p>
    <w:p w:rsidR="00BC4D43" w:rsidRDefault="00BC4D43" w:rsidP="007A5C63">
      <w:pPr>
        <w:autoSpaceDE w:val="0"/>
        <w:autoSpaceDN w:val="0"/>
        <w:adjustRightInd w:val="0"/>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Notre </w:t>
      </w:r>
      <w:r w:rsidRPr="003C6E70">
        <w:rPr>
          <w:rFonts w:ascii="Times New Roman" w:hAnsi="Times New Roman" w:cs="Times New Roman"/>
          <w:sz w:val="24"/>
          <w:szCs w:val="24"/>
        </w:rPr>
        <w:t>étude</w:t>
      </w:r>
      <w:r>
        <w:rPr>
          <w:rFonts w:ascii="Times New Roman" w:hAnsi="Times New Roman" w:cs="Times New Roman"/>
          <w:sz w:val="24"/>
          <w:szCs w:val="24"/>
        </w:rPr>
        <w:t xml:space="preserve"> est portée sur la préparation d’une gamme de charbons actifs à partir d’un </w:t>
      </w:r>
      <w:r w:rsidRPr="003C6E70">
        <w:rPr>
          <w:rFonts w:ascii="Times New Roman" w:hAnsi="Times New Roman" w:cs="Times New Roman"/>
          <w:sz w:val="24"/>
          <w:szCs w:val="24"/>
        </w:rPr>
        <w:t>déchet</w:t>
      </w:r>
      <w:r>
        <w:rPr>
          <w:rFonts w:ascii="Times New Roman" w:hAnsi="Times New Roman" w:cs="Times New Roman"/>
          <w:sz w:val="24"/>
          <w:szCs w:val="24"/>
        </w:rPr>
        <w:t xml:space="preserve"> </w:t>
      </w:r>
      <w:r w:rsidRPr="003C6E70">
        <w:rPr>
          <w:rFonts w:ascii="Times New Roman" w:hAnsi="Times New Roman" w:cs="Times New Roman"/>
          <w:sz w:val="24"/>
          <w:szCs w:val="24"/>
        </w:rPr>
        <w:t>de bois</w:t>
      </w:r>
      <w:r>
        <w:rPr>
          <w:rFonts w:ascii="Times New Roman" w:hAnsi="Times New Roman" w:cs="Times New Roman"/>
          <w:sz w:val="24"/>
          <w:szCs w:val="24"/>
        </w:rPr>
        <w:t>. Ces charbons été</w:t>
      </w:r>
      <w:r w:rsidRPr="003C6E70">
        <w:rPr>
          <w:rFonts w:ascii="Times New Roman" w:hAnsi="Times New Roman" w:cs="Times New Roman"/>
          <w:sz w:val="24"/>
          <w:szCs w:val="24"/>
        </w:rPr>
        <w:t xml:space="preserve"> modifiées </w:t>
      </w:r>
      <w:r>
        <w:rPr>
          <w:rFonts w:ascii="Times New Roman" w:hAnsi="Times New Roman" w:cs="Times New Roman"/>
          <w:sz w:val="24"/>
          <w:szCs w:val="24"/>
        </w:rPr>
        <w:t xml:space="preserve">par </w:t>
      </w:r>
      <w:r w:rsidRPr="003C6E70">
        <w:rPr>
          <w:rFonts w:ascii="Times New Roman" w:hAnsi="Times New Roman" w:cs="Times New Roman"/>
          <w:sz w:val="24"/>
          <w:szCs w:val="24"/>
        </w:rPr>
        <w:t>imprégna</w:t>
      </w:r>
      <w:r>
        <w:rPr>
          <w:rFonts w:ascii="Times New Roman" w:hAnsi="Times New Roman" w:cs="Times New Roman"/>
          <w:sz w:val="24"/>
          <w:szCs w:val="24"/>
        </w:rPr>
        <w:t>tion</w:t>
      </w:r>
      <w:r w:rsidRPr="003C6E70">
        <w:rPr>
          <w:rFonts w:ascii="Times New Roman" w:hAnsi="Times New Roman" w:cs="Times New Roman"/>
          <w:sz w:val="24"/>
          <w:szCs w:val="24"/>
        </w:rPr>
        <w:t xml:space="preserve"> au H</w:t>
      </w:r>
      <w:r w:rsidRPr="003C6E70">
        <w:rPr>
          <w:rFonts w:ascii="Times New Roman" w:hAnsi="Times New Roman" w:cs="Times New Roman"/>
          <w:sz w:val="24"/>
          <w:szCs w:val="24"/>
          <w:vertAlign w:val="subscript"/>
        </w:rPr>
        <w:t>3</w:t>
      </w:r>
      <w:r w:rsidRPr="003C6E70">
        <w:rPr>
          <w:rFonts w:ascii="Times New Roman" w:hAnsi="Times New Roman" w:cs="Times New Roman"/>
          <w:sz w:val="24"/>
          <w:szCs w:val="24"/>
        </w:rPr>
        <w:t>PO</w:t>
      </w:r>
      <w:r w:rsidRPr="003C6E70">
        <w:rPr>
          <w:rFonts w:ascii="Times New Roman" w:hAnsi="Times New Roman" w:cs="Times New Roman"/>
          <w:sz w:val="24"/>
          <w:szCs w:val="24"/>
          <w:vertAlign w:val="subscript"/>
        </w:rPr>
        <w:t>4</w:t>
      </w:r>
      <w:r>
        <w:rPr>
          <w:rFonts w:ascii="Times New Roman" w:hAnsi="Times New Roman" w:cs="Times New Roman"/>
          <w:sz w:val="24"/>
          <w:szCs w:val="24"/>
        </w:rPr>
        <w:t>, avec des rapport solides/liquide variant de 1 à 3</w:t>
      </w:r>
      <w:r w:rsidRPr="003C6E70">
        <w:rPr>
          <w:rFonts w:ascii="Times New Roman" w:hAnsi="Times New Roman" w:cs="Times New Roman"/>
          <w:sz w:val="24"/>
          <w:szCs w:val="24"/>
        </w:rPr>
        <w:t xml:space="preserve"> et ca</w:t>
      </w:r>
      <w:r>
        <w:rPr>
          <w:rFonts w:ascii="Times New Roman" w:hAnsi="Times New Roman" w:cs="Times New Roman"/>
          <w:sz w:val="24"/>
          <w:szCs w:val="24"/>
        </w:rPr>
        <w:t>lcinées</w:t>
      </w:r>
      <w:r w:rsidRPr="003C6E70">
        <w:rPr>
          <w:rFonts w:ascii="Times New Roman" w:hAnsi="Times New Roman" w:cs="Times New Roman"/>
          <w:sz w:val="24"/>
          <w:szCs w:val="24"/>
        </w:rPr>
        <w:t xml:space="preserve"> à</w:t>
      </w:r>
      <w:r>
        <w:rPr>
          <w:rFonts w:ascii="Times New Roman" w:hAnsi="Times New Roman" w:cs="Times New Roman"/>
          <w:sz w:val="24"/>
          <w:szCs w:val="24"/>
        </w:rPr>
        <w:t xml:space="preserve"> différent températures allant </w:t>
      </w:r>
      <w:r w:rsidRPr="003C6E70">
        <w:rPr>
          <w:rFonts w:ascii="Times New Roman" w:hAnsi="Times New Roman" w:cs="Times New Roman"/>
          <w:sz w:val="24"/>
          <w:szCs w:val="24"/>
        </w:rPr>
        <w:t>300 °C</w:t>
      </w:r>
      <w:r>
        <w:rPr>
          <w:rFonts w:ascii="Times New Roman" w:hAnsi="Times New Roman" w:cs="Times New Roman"/>
          <w:sz w:val="24"/>
          <w:szCs w:val="24"/>
        </w:rPr>
        <w:t xml:space="preserve"> à 850 °C.</w:t>
      </w:r>
      <w:r w:rsidRPr="003C6E70">
        <w:rPr>
          <w:rFonts w:ascii="Times New Roman" w:hAnsi="Times New Roman" w:cs="Times New Roman"/>
          <w:sz w:val="24"/>
          <w:szCs w:val="24"/>
        </w:rPr>
        <w:t xml:space="preserve"> </w:t>
      </w:r>
      <w:r>
        <w:rPr>
          <w:rFonts w:ascii="Times New Roman" w:hAnsi="Times New Roman" w:cs="Times New Roman"/>
          <w:sz w:val="24"/>
          <w:szCs w:val="24"/>
        </w:rPr>
        <w:t>Deux colorant de nature différente ont été choisi pour tester ces matériaux ; l’un est cationique et l’autre est anionique Des tests d’adsorptions ont été mené afin de choisir le matériau sur lequel l’étude d’adsorption aller être mené. Dans un souci de préserver l’énergie et l’environnement, nous avons choisie de travailler avec ; ceux qui ont nécessité le moins d’énergie (température de 350° et 400°) et consommer une faible quantité de H</w:t>
      </w:r>
      <w:r w:rsidRPr="00F124A3">
        <w:rPr>
          <w:rFonts w:ascii="Times New Roman" w:hAnsi="Times New Roman" w:cs="Times New Roman"/>
          <w:sz w:val="24"/>
          <w:szCs w:val="24"/>
          <w:vertAlign w:val="subscript"/>
        </w:rPr>
        <w:t>3</w:t>
      </w:r>
      <w:r>
        <w:rPr>
          <w:rFonts w:ascii="Times New Roman" w:hAnsi="Times New Roman" w:cs="Times New Roman"/>
          <w:sz w:val="24"/>
          <w:szCs w:val="24"/>
        </w:rPr>
        <w:t>PO</w:t>
      </w:r>
      <w:r w:rsidRPr="00F124A3">
        <w:rPr>
          <w:rFonts w:ascii="Times New Roman" w:hAnsi="Times New Roman" w:cs="Times New Roman"/>
          <w:sz w:val="24"/>
          <w:szCs w:val="24"/>
          <w:vertAlign w:val="subscript"/>
        </w:rPr>
        <w:t>4</w:t>
      </w:r>
      <w:r>
        <w:rPr>
          <w:rFonts w:ascii="Times New Roman" w:hAnsi="Times New Roman" w:cs="Times New Roman"/>
          <w:sz w:val="24"/>
          <w:szCs w:val="24"/>
        </w:rPr>
        <w:t xml:space="preserve"> (rapport solide/liquide=1) ; le MH350 et MH400. </w:t>
      </w:r>
      <w:r w:rsidR="00514D12">
        <w:rPr>
          <w:rFonts w:asciiTheme="majorBidi" w:hAnsiTheme="majorBidi" w:cstheme="majorBidi"/>
          <w:sz w:val="24"/>
          <w:szCs w:val="24"/>
        </w:rPr>
        <w:t>D</w:t>
      </w:r>
      <w:r w:rsidR="00514D12" w:rsidRPr="008365F5">
        <w:rPr>
          <w:rFonts w:asciiTheme="majorBidi" w:hAnsiTheme="majorBidi" w:cstheme="majorBidi"/>
          <w:sz w:val="24"/>
          <w:szCs w:val="24"/>
        </w:rPr>
        <w:t xml:space="preserve">es capacités maximales d’adsorption </w:t>
      </w:r>
      <w:r w:rsidR="00514D12">
        <w:rPr>
          <w:rFonts w:asciiTheme="majorBidi" w:hAnsiTheme="majorBidi" w:cstheme="majorBidi"/>
          <w:sz w:val="24"/>
          <w:szCs w:val="24"/>
        </w:rPr>
        <w:t xml:space="preserve">de MH350 sont supérieures à ceux de MH400 ; ils sont respectivement de l’ordre de </w:t>
      </w:r>
      <w:r w:rsidR="00514D12" w:rsidRPr="008365F5">
        <w:rPr>
          <w:rFonts w:asciiTheme="majorBidi" w:hAnsiTheme="majorBidi" w:cstheme="majorBidi"/>
          <w:sz w:val="24"/>
          <w:szCs w:val="24"/>
        </w:rPr>
        <w:t>50</w:t>
      </w:r>
      <w:r w:rsidR="00514D12">
        <w:rPr>
          <w:rFonts w:asciiTheme="majorBidi" w:hAnsiTheme="majorBidi" w:cstheme="majorBidi"/>
          <w:sz w:val="24"/>
          <w:szCs w:val="24"/>
        </w:rPr>
        <w:t>5</w:t>
      </w:r>
      <w:r w:rsidR="00514D12" w:rsidRPr="008365F5">
        <w:rPr>
          <w:rFonts w:asciiTheme="majorBidi" w:hAnsiTheme="majorBidi" w:cstheme="majorBidi"/>
          <w:sz w:val="24"/>
          <w:szCs w:val="24"/>
        </w:rPr>
        <w:t> mg</w:t>
      </w:r>
      <w:r w:rsidR="00514D12">
        <w:rPr>
          <w:rFonts w:asciiTheme="majorBidi" w:hAnsiTheme="majorBidi" w:cstheme="majorBidi"/>
          <w:sz w:val="24"/>
          <w:szCs w:val="24"/>
        </w:rPr>
        <w:t>/</w:t>
      </w:r>
      <w:r w:rsidR="00514D12" w:rsidRPr="008365F5">
        <w:rPr>
          <w:rFonts w:asciiTheme="majorBidi" w:hAnsiTheme="majorBidi" w:cstheme="majorBidi"/>
          <w:sz w:val="24"/>
          <w:szCs w:val="24"/>
        </w:rPr>
        <w:t>g</w:t>
      </w:r>
      <w:r w:rsidR="00514D12">
        <w:rPr>
          <w:rFonts w:asciiTheme="majorBidi" w:hAnsiTheme="majorBidi" w:cstheme="majorBidi"/>
          <w:sz w:val="24"/>
          <w:szCs w:val="24"/>
        </w:rPr>
        <w:t xml:space="preserve"> avec le colorant BM</w:t>
      </w:r>
      <w:r w:rsidR="00514D12" w:rsidRPr="008365F5">
        <w:rPr>
          <w:rFonts w:asciiTheme="majorBidi" w:hAnsiTheme="majorBidi" w:cstheme="majorBidi"/>
          <w:sz w:val="24"/>
          <w:szCs w:val="24"/>
        </w:rPr>
        <w:t xml:space="preserve"> et </w:t>
      </w:r>
      <w:r w:rsidR="00514D12">
        <w:rPr>
          <w:rFonts w:asciiTheme="majorBidi" w:hAnsiTheme="majorBidi" w:cstheme="majorBidi"/>
          <w:sz w:val="24"/>
          <w:szCs w:val="24"/>
        </w:rPr>
        <w:t>de 411</w:t>
      </w:r>
      <w:r w:rsidR="00514D12" w:rsidRPr="008365F5">
        <w:rPr>
          <w:rFonts w:asciiTheme="majorBidi" w:hAnsiTheme="majorBidi" w:cstheme="majorBidi"/>
          <w:sz w:val="24"/>
          <w:szCs w:val="24"/>
        </w:rPr>
        <w:t>mg</w:t>
      </w:r>
      <w:r w:rsidR="00514D12">
        <w:rPr>
          <w:rFonts w:asciiTheme="majorBidi" w:hAnsiTheme="majorBidi" w:cstheme="majorBidi"/>
          <w:sz w:val="24"/>
          <w:szCs w:val="24"/>
        </w:rPr>
        <w:t>/</w:t>
      </w:r>
      <w:r w:rsidR="00514D12" w:rsidRPr="008365F5">
        <w:rPr>
          <w:rFonts w:asciiTheme="majorBidi" w:hAnsiTheme="majorBidi" w:cstheme="majorBidi"/>
          <w:sz w:val="24"/>
          <w:szCs w:val="24"/>
        </w:rPr>
        <w:t xml:space="preserve">g </w:t>
      </w:r>
      <w:r w:rsidR="00514D12">
        <w:rPr>
          <w:rFonts w:asciiTheme="majorBidi" w:hAnsiTheme="majorBidi" w:cstheme="majorBidi"/>
          <w:sz w:val="24"/>
          <w:szCs w:val="24"/>
        </w:rPr>
        <w:t xml:space="preserve">avec le colorant RBBR. </w:t>
      </w:r>
      <w:r w:rsidR="00514D12" w:rsidRPr="00105BB6">
        <w:rPr>
          <w:rFonts w:asciiTheme="majorBidi" w:hAnsiTheme="majorBidi" w:cstheme="majorBidi"/>
          <w:sz w:val="24"/>
          <w:szCs w:val="24"/>
        </w:rPr>
        <w:t xml:space="preserve">Les résultats ont montré </w:t>
      </w:r>
      <w:r w:rsidR="00514D12">
        <w:rPr>
          <w:rFonts w:asciiTheme="majorBidi" w:hAnsiTheme="majorBidi" w:cstheme="majorBidi"/>
          <w:sz w:val="24"/>
          <w:szCs w:val="24"/>
        </w:rPr>
        <w:t>une</w:t>
      </w:r>
      <w:r w:rsidR="00514D12" w:rsidRPr="00105BB6">
        <w:rPr>
          <w:rFonts w:asciiTheme="majorBidi" w:hAnsiTheme="majorBidi" w:cstheme="majorBidi"/>
          <w:sz w:val="24"/>
          <w:szCs w:val="24"/>
        </w:rPr>
        <w:t xml:space="preserve"> meilleure adéquation à la cinétique de </w:t>
      </w:r>
      <w:r w:rsidR="00514D12">
        <w:rPr>
          <w:rFonts w:asciiTheme="majorBidi" w:hAnsiTheme="majorBidi" w:cstheme="majorBidi"/>
          <w:sz w:val="24"/>
          <w:szCs w:val="24"/>
        </w:rPr>
        <w:t>pseudo-deuxième</w:t>
      </w:r>
      <w:r w:rsidR="00514D12" w:rsidRPr="00105BB6">
        <w:rPr>
          <w:rFonts w:asciiTheme="majorBidi" w:hAnsiTheme="majorBidi" w:cstheme="majorBidi"/>
          <w:sz w:val="24"/>
          <w:szCs w:val="24"/>
        </w:rPr>
        <w:t xml:space="preserve"> ordre</w:t>
      </w:r>
      <w:r w:rsidR="00514D12">
        <w:rPr>
          <w:rFonts w:asciiTheme="majorBidi" w:hAnsiTheme="majorBidi" w:cstheme="majorBidi"/>
          <w:sz w:val="24"/>
          <w:szCs w:val="24"/>
        </w:rPr>
        <w:t xml:space="preserve">. Le </w:t>
      </w:r>
      <w:r w:rsidR="00514D12" w:rsidRPr="00F43B03">
        <w:rPr>
          <w:rFonts w:asciiTheme="majorBidi" w:hAnsiTheme="majorBidi" w:cstheme="majorBidi"/>
          <w:sz w:val="24"/>
          <w:szCs w:val="24"/>
        </w:rPr>
        <w:t>processus</w:t>
      </w:r>
      <w:r w:rsidR="00514D12">
        <w:rPr>
          <w:rFonts w:asciiTheme="majorBidi" w:hAnsiTheme="majorBidi" w:cstheme="majorBidi"/>
          <w:sz w:val="24"/>
          <w:szCs w:val="24"/>
        </w:rPr>
        <w:t xml:space="preserve"> est</w:t>
      </w:r>
      <w:r w:rsidR="00514D12" w:rsidRPr="00F43B03">
        <w:rPr>
          <w:rFonts w:asciiTheme="majorBidi" w:hAnsiTheme="majorBidi" w:cstheme="majorBidi"/>
          <w:sz w:val="24"/>
          <w:szCs w:val="24"/>
        </w:rPr>
        <w:t xml:space="preserve"> endothermique</w:t>
      </w:r>
      <w:r w:rsidR="00514D12">
        <w:rPr>
          <w:rFonts w:asciiTheme="majorBidi" w:hAnsiTheme="majorBidi" w:cstheme="majorBidi"/>
          <w:sz w:val="24"/>
          <w:szCs w:val="24"/>
        </w:rPr>
        <w:t xml:space="preserve">, </w:t>
      </w:r>
      <w:r w:rsidR="00514D12" w:rsidRPr="00F43B03">
        <w:rPr>
          <w:rFonts w:asciiTheme="majorBidi" w:hAnsiTheme="majorBidi" w:cstheme="majorBidi"/>
          <w:sz w:val="24"/>
          <w:szCs w:val="24"/>
        </w:rPr>
        <w:t>confirmée par la valeur positive de l’enthalpie libre. Les valeurs négatives de ΔG° indiquent que l’adsorption d</w:t>
      </w:r>
      <w:r w:rsidR="00514D12">
        <w:rPr>
          <w:rFonts w:asciiTheme="majorBidi" w:hAnsiTheme="majorBidi" w:cstheme="majorBidi"/>
          <w:sz w:val="24"/>
          <w:szCs w:val="24"/>
        </w:rPr>
        <w:t>es</w:t>
      </w:r>
      <w:r w:rsidR="00514D12" w:rsidRPr="00F43B03">
        <w:rPr>
          <w:rFonts w:asciiTheme="majorBidi" w:hAnsiTheme="majorBidi" w:cstheme="majorBidi"/>
          <w:sz w:val="24"/>
          <w:szCs w:val="24"/>
        </w:rPr>
        <w:t xml:space="preserve"> colorant</w:t>
      </w:r>
      <w:r w:rsidR="00514D12">
        <w:rPr>
          <w:rFonts w:asciiTheme="majorBidi" w:hAnsiTheme="majorBidi" w:cstheme="majorBidi"/>
          <w:sz w:val="24"/>
          <w:szCs w:val="24"/>
        </w:rPr>
        <w:t>s</w:t>
      </w:r>
      <w:r w:rsidR="00514D12" w:rsidRPr="00F43B03">
        <w:rPr>
          <w:rFonts w:asciiTheme="majorBidi" w:hAnsiTheme="majorBidi" w:cstheme="majorBidi"/>
          <w:sz w:val="24"/>
          <w:szCs w:val="24"/>
        </w:rPr>
        <w:t xml:space="preserve"> sur </w:t>
      </w:r>
      <w:r w:rsidR="00514D12">
        <w:rPr>
          <w:rFonts w:asciiTheme="majorBidi" w:hAnsiTheme="majorBidi" w:cstheme="majorBidi"/>
          <w:sz w:val="24"/>
          <w:szCs w:val="24"/>
        </w:rPr>
        <w:t>MH350 et le MH400</w:t>
      </w:r>
      <w:r w:rsidR="00514D12" w:rsidRPr="00F43B03">
        <w:rPr>
          <w:rFonts w:asciiTheme="majorBidi" w:hAnsiTheme="majorBidi" w:cstheme="majorBidi"/>
          <w:sz w:val="24"/>
          <w:szCs w:val="24"/>
        </w:rPr>
        <w:t xml:space="preserve"> est spontanée. La valeur positive de ΔS montre l’affinité de l’adsorbant vis-à-vis du colorant. </w:t>
      </w:r>
    </w:p>
    <w:p w:rsidR="00BC4D43" w:rsidRDefault="00514D12" w:rsidP="007A5C63">
      <w:pPr>
        <w:ind w:firstLine="708"/>
        <w:jc w:val="both"/>
        <w:rPr>
          <w:rFonts w:ascii="Times New Roman" w:hAnsi="Times New Roman" w:cs="Times New Roman"/>
          <w:sz w:val="24"/>
          <w:szCs w:val="24"/>
        </w:rPr>
      </w:pPr>
      <w:r>
        <w:rPr>
          <w:rFonts w:ascii="Times New Roman" w:hAnsi="Times New Roman" w:cs="Times New Roman"/>
          <w:sz w:val="24"/>
          <w:szCs w:val="24"/>
        </w:rPr>
        <w:t xml:space="preserve">Mots clés : Adsorption, Charbon actif, Blue de méthyle, réactif </w:t>
      </w:r>
      <w:proofErr w:type="spellStart"/>
      <w:r>
        <w:rPr>
          <w:rFonts w:ascii="Times New Roman" w:hAnsi="Times New Roman" w:cs="Times New Roman"/>
          <w:sz w:val="24"/>
          <w:szCs w:val="24"/>
        </w:rPr>
        <w:t>rémazole</w:t>
      </w:r>
      <w:proofErr w:type="spellEnd"/>
      <w:r>
        <w:rPr>
          <w:rFonts w:ascii="Times New Roman" w:hAnsi="Times New Roman" w:cs="Times New Roman"/>
          <w:sz w:val="24"/>
          <w:szCs w:val="24"/>
        </w:rPr>
        <w:t>,</w:t>
      </w:r>
      <w:r w:rsidR="00BC4D43">
        <w:rPr>
          <w:rFonts w:ascii="Times New Roman" w:hAnsi="Times New Roman" w:cs="Times New Roman"/>
          <w:sz w:val="24"/>
          <w:szCs w:val="24"/>
        </w:rPr>
        <w:t xml:space="preserve"> </w:t>
      </w:r>
    </w:p>
    <w:p w:rsidR="00514D12" w:rsidRPr="007A5C63" w:rsidRDefault="00514D12" w:rsidP="00514D12">
      <w:pPr>
        <w:rPr>
          <w:rFonts w:asciiTheme="majorBidi" w:hAnsiTheme="majorBidi" w:cstheme="majorBidi"/>
          <w:sz w:val="24"/>
          <w:szCs w:val="24"/>
        </w:rPr>
      </w:pPr>
      <w:r w:rsidRPr="007A5C63">
        <w:rPr>
          <w:rFonts w:asciiTheme="majorBidi" w:hAnsiTheme="majorBidi" w:cstheme="majorBidi"/>
          <w:sz w:val="24"/>
          <w:szCs w:val="24"/>
        </w:rPr>
        <w:t>Abstract</w:t>
      </w:r>
    </w:p>
    <w:p w:rsidR="00514D12" w:rsidRPr="00514D12" w:rsidRDefault="00514D12" w:rsidP="00514D12">
      <w:pPr>
        <w:jc w:val="both"/>
        <w:rPr>
          <w:rFonts w:asciiTheme="majorBidi" w:hAnsiTheme="majorBidi" w:cstheme="majorBidi"/>
          <w:sz w:val="24"/>
          <w:szCs w:val="24"/>
          <w:lang w:val="en-GB"/>
        </w:rPr>
      </w:pPr>
      <w:r w:rsidRPr="00514D12">
        <w:rPr>
          <w:rFonts w:asciiTheme="majorBidi" w:hAnsiTheme="majorBidi" w:cstheme="majorBidi"/>
          <w:sz w:val="24"/>
          <w:szCs w:val="24"/>
          <w:lang w:val="en-GB"/>
        </w:rPr>
        <w:t>Our study focuses on the preparation of a range of activated carbons from wood waste. These carbons were modified by impregnation with H</w:t>
      </w:r>
      <w:r w:rsidRPr="000A730E">
        <w:rPr>
          <w:rFonts w:asciiTheme="majorBidi" w:hAnsiTheme="majorBidi" w:cstheme="majorBidi"/>
          <w:sz w:val="24"/>
          <w:szCs w:val="24"/>
          <w:vertAlign w:val="subscript"/>
          <w:lang w:val="en-GB"/>
        </w:rPr>
        <w:t>3</w:t>
      </w:r>
      <w:r w:rsidRPr="00514D12">
        <w:rPr>
          <w:rFonts w:asciiTheme="majorBidi" w:hAnsiTheme="majorBidi" w:cstheme="majorBidi"/>
          <w:sz w:val="24"/>
          <w:szCs w:val="24"/>
          <w:lang w:val="en-GB"/>
        </w:rPr>
        <w:t>PO</w:t>
      </w:r>
      <w:r w:rsidRPr="000A730E">
        <w:rPr>
          <w:rFonts w:asciiTheme="majorBidi" w:hAnsiTheme="majorBidi" w:cstheme="majorBidi"/>
          <w:sz w:val="24"/>
          <w:szCs w:val="24"/>
          <w:vertAlign w:val="subscript"/>
          <w:lang w:val="en-GB"/>
        </w:rPr>
        <w:t>4</w:t>
      </w:r>
      <w:r w:rsidRPr="00514D12">
        <w:rPr>
          <w:rFonts w:asciiTheme="majorBidi" w:hAnsiTheme="majorBidi" w:cstheme="majorBidi"/>
          <w:sz w:val="24"/>
          <w:szCs w:val="24"/>
          <w:lang w:val="en-GB"/>
        </w:rPr>
        <w:t>, with solid/liquid ratios varying from 1 to 3, and calcined at different temperatures ranging from 300°C to 850°C. Two dyes of different natures were chosen to test these materials; one is cationic and the other is anionic. Adsorption tests were carried out to select the material on which the adsorption study would be carried out. With a view to conserving energy and the environment, we chose to work with the materials that required the least energy (temperatures of 350° and 400°) and consumed the least amount of H</w:t>
      </w:r>
      <w:r w:rsidRPr="000A730E">
        <w:rPr>
          <w:rFonts w:asciiTheme="majorBidi" w:hAnsiTheme="majorBidi" w:cstheme="majorBidi"/>
          <w:sz w:val="24"/>
          <w:szCs w:val="24"/>
          <w:vertAlign w:val="subscript"/>
          <w:lang w:val="en-GB"/>
        </w:rPr>
        <w:t>3</w:t>
      </w:r>
      <w:r w:rsidRPr="00514D12">
        <w:rPr>
          <w:rFonts w:asciiTheme="majorBidi" w:hAnsiTheme="majorBidi" w:cstheme="majorBidi"/>
          <w:sz w:val="24"/>
          <w:szCs w:val="24"/>
          <w:lang w:val="en-GB"/>
        </w:rPr>
        <w:t>PO</w:t>
      </w:r>
      <w:r w:rsidRPr="000A730E">
        <w:rPr>
          <w:rFonts w:asciiTheme="majorBidi" w:hAnsiTheme="majorBidi" w:cstheme="majorBidi"/>
          <w:sz w:val="24"/>
          <w:szCs w:val="24"/>
          <w:vertAlign w:val="subscript"/>
          <w:lang w:val="en-GB"/>
        </w:rPr>
        <w:t>4</w:t>
      </w:r>
      <w:r w:rsidRPr="00514D12">
        <w:rPr>
          <w:rFonts w:asciiTheme="majorBidi" w:hAnsiTheme="majorBidi" w:cstheme="majorBidi"/>
          <w:sz w:val="24"/>
          <w:szCs w:val="24"/>
          <w:lang w:val="en-GB"/>
        </w:rPr>
        <w:t xml:space="preserve"> (solid/liquid ratio=1): MH350 and MH400. Maximum adsorption capacities of MH350 are higher than those of MH400; they are respectively around 505mg/g with the BM dye and 411mg/g with the RBBR dye. The results showed a better match with pseudo-second-order kinetics. The process is endothermic, confirmed by the positive value of </w:t>
      </w:r>
      <w:r w:rsidRPr="00514D12">
        <w:rPr>
          <w:rFonts w:asciiTheme="majorBidi" w:hAnsiTheme="majorBidi" w:cstheme="majorBidi"/>
          <w:sz w:val="24"/>
          <w:szCs w:val="24"/>
          <w:lang w:val="en-GB"/>
        </w:rPr>
        <w:lastRenderedPageBreak/>
        <w:t xml:space="preserve">free enthalpy. Negative ΔG° values indicate that dye adsorption on MH350 and MH400 is spontaneous. The positive value of ΔS shows the affinity of the adsorbent to the dye. </w:t>
      </w:r>
    </w:p>
    <w:p w:rsidR="007C6DB0" w:rsidRPr="00514D12" w:rsidRDefault="00514D12" w:rsidP="00514D12">
      <w:pPr>
        <w:jc w:val="both"/>
        <w:rPr>
          <w:rFonts w:asciiTheme="majorBidi" w:hAnsiTheme="majorBidi" w:cstheme="majorBidi"/>
          <w:sz w:val="24"/>
          <w:szCs w:val="24"/>
          <w:lang w:val="en-GB"/>
        </w:rPr>
      </w:pPr>
      <w:r w:rsidRPr="00514D12">
        <w:rPr>
          <w:rFonts w:asciiTheme="majorBidi" w:hAnsiTheme="majorBidi" w:cstheme="majorBidi"/>
          <w:sz w:val="24"/>
          <w:szCs w:val="24"/>
          <w:lang w:val="en-GB"/>
        </w:rPr>
        <w:t xml:space="preserve">Key words: Adsorption, Activated carbon, Methyl blue, </w:t>
      </w:r>
      <w:r w:rsidR="000A730E" w:rsidRPr="00514D12">
        <w:rPr>
          <w:rFonts w:asciiTheme="majorBidi" w:hAnsiTheme="majorBidi" w:cstheme="majorBidi"/>
          <w:sz w:val="24"/>
          <w:szCs w:val="24"/>
          <w:lang w:val="en-GB"/>
        </w:rPr>
        <w:t>Remazol</w:t>
      </w:r>
      <w:r w:rsidRPr="00514D12">
        <w:rPr>
          <w:rFonts w:asciiTheme="majorBidi" w:hAnsiTheme="majorBidi" w:cstheme="majorBidi"/>
          <w:sz w:val="24"/>
          <w:szCs w:val="24"/>
          <w:lang w:val="en-GB"/>
        </w:rPr>
        <w:t xml:space="preserve"> reagent, </w:t>
      </w:r>
    </w:p>
    <w:sectPr w:rsidR="007C6DB0" w:rsidRPr="00514D12" w:rsidSect="00C2259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277" w:rsidRDefault="00764277" w:rsidP="00514D12">
      <w:pPr>
        <w:spacing w:after="0" w:line="240" w:lineRule="auto"/>
      </w:pPr>
      <w:r>
        <w:separator/>
      </w:r>
    </w:p>
  </w:endnote>
  <w:endnote w:type="continuationSeparator" w:id="0">
    <w:p w:rsidR="00764277" w:rsidRDefault="00764277" w:rsidP="00514D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277" w:rsidRDefault="00764277" w:rsidP="00514D12">
      <w:pPr>
        <w:spacing w:after="0" w:line="240" w:lineRule="auto"/>
      </w:pPr>
      <w:r>
        <w:separator/>
      </w:r>
    </w:p>
  </w:footnote>
  <w:footnote w:type="continuationSeparator" w:id="0">
    <w:p w:rsidR="00764277" w:rsidRDefault="00764277" w:rsidP="00514D1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C4D43"/>
    <w:rsid w:val="000A730E"/>
    <w:rsid w:val="00514D12"/>
    <w:rsid w:val="00706F3C"/>
    <w:rsid w:val="00764277"/>
    <w:rsid w:val="007A5C63"/>
    <w:rsid w:val="007C6DB0"/>
    <w:rsid w:val="009E2506"/>
    <w:rsid w:val="00BC4D43"/>
    <w:rsid w:val="00C225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4D43"/>
    <w:pPr>
      <w:spacing w:after="200" w:line="276"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14D12"/>
    <w:pPr>
      <w:tabs>
        <w:tab w:val="center" w:pos="4536"/>
        <w:tab w:val="right" w:pos="9072"/>
      </w:tabs>
      <w:spacing w:after="0" w:line="240" w:lineRule="auto"/>
    </w:pPr>
  </w:style>
  <w:style w:type="character" w:customStyle="1" w:styleId="En-tteCar">
    <w:name w:val="En-tête Car"/>
    <w:basedOn w:val="Policepardfaut"/>
    <w:link w:val="En-tte"/>
    <w:uiPriority w:val="99"/>
    <w:rsid w:val="00514D12"/>
    <w:rPr>
      <w:rFonts w:ascii="Calibri" w:eastAsia="Calibri" w:hAnsi="Calibri" w:cs="Arial"/>
    </w:rPr>
  </w:style>
  <w:style w:type="paragraph" w:styleId="Pieddepage">
    <w:name w:val="footer"/>
    <w:basedOn w:val="Normal"/>
    <w:link w:val="PieddepageCar"/>
    <w:uiPriority w:val="99"/>
    <w:unhideWhenUsed/>
    <w:rsid w:val="00514D1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4D12"/>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570</Words>
  <Characters>3140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CATECH</dc:creator>
  <cp:lastModifiedBy>hbunited</cp:lastModifiedBy>
  <cp:revision>2</cp:revision>
  <dcterms:created xsi:type="dcterms:W3CDTF">2023-06-26T11:47:00Z</dcterms:created>
  <dcterms:modified xsi:type="dcterms:W3CDTF">2023-06-26T11:47:00Z</dcterms:modified>
</cp:coreProperties>
</file>