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CC1" w:rsidRPr="006C4CC1" w:rsidRDefault="006C4CC1" w:rsidP="00574277">
      <w:pPr>
        <w:tabs>
          <w:tab w:val="left" w:pos="3518"/>
          <w:tab w:val="center" w:pos="4153"/>
          <w:tab w:val="left" w:pos="7560"/>
          <w:tab w:val="right" w:pos="8306"/>
        </w:tabs>
        <w:spacing w:line="240" w:lineRule="auto"/>
        <w:jc w:val="both"/>
        <w:rPr>
          <w:rFonts w:ascii="Cambria" w:eastAsia="Times New Roman" w:hAnsi="Cambria" w:cs="Arial"/>
          <w:sz w:val="24"/>
          <w:szCs w:val="24"/>
          <w:rtl/>
        </w:rPr>
      </w:pPr>
      <w:bookmarkStart w:id="0" w:name="_GoBack"/>
    </w:p>
    <w:bookmarkEnd w:id="0"/>
    <w:p w:rsidR="006E3FF3" w:rsidRPr="00FC1D79" w:rsidRDefault="002E7DAE" w:rsidP="00FC1D79">
      <w:pPr>
        <w:rPr>
          <w:rFonts w:ascii="Simplified Arabic" w:eastAsia="Times New Roman" w:hAnsi="Simplified Arabic" w:cs="Simplified Arabic"/>
          <w:b/>
          <w:bCs/>
          <w:kern w:val="2"/>
          <w:sz w:val="32"/>
          <w:szCs w:val="32"/>
          <w:rtl/>
          <w:lang w:bidi="ar-DZ"/>
        </w:rPr>
      </w:pPr>
      <w:r w:rsidRPr="006C4CC1">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1659264" behindDoc="0" locked="0" layoutInCell="1" allowOverlap="1" wp14:anchorId="5ED9DF5A" wp14:editId="675A5F3A">
                <wp:simplePos x="0" y="0"/>
                <wp:positionH relativeFrom="column">
                  <wp:posOffset>-467360</wp:posOffset>
                </wp:positionH>
                <wp:positionV relativeFrom="paragraph">
                  <wp:posOffset>395605</wp:posOffset>
                </wp:positionV>
                <wp:extent cx="7156173" cy="0"/>
                <wp:effectExtent l="0" t="19050" r="26035" b="3810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56173" cy="0"/>
                        </a:xfrm>
                        <a:prstGeom prst="line">
                          <a:avLst/>
                        </a:prstGeom>
                        <a:noFill/>
                        <a:ln w="63500" cmpd="thickThin">
                          <a:solidFill>
                            <a:srgbClr val="4F81BD"/>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4DC1163" id="Line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8pt,31.15pt" to="526.7pt,3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65ozwEAAHsDAAAOAAAAZHJzL2Uyb0RvYy54bWysU8GO2yAQvVfqPyDuje1Nk11ZcVZq0vSS&#10;tpE2/QAC2EYLDAISJ3/fgTjptr1VvSBgZh5v3hsWz2ejyUn6oMA2tJqUlEjLQSjbNfTHfvPhiZIQ&#10;mRVMg5UNvchAn5fv3y0GV8sH6EEL6QmC2FAPrqF9jK4uisB7aViYgJMWgy14wyIefVcIzwZEN7p4&#10;KMt5MYAXzgOXIeDt+hqky4zftpLH720bZCS6ocgt5tXn9ZDWYrlgdeeZ6xUfabB/YGGYsvjoHWrN&#10;IiNHr/6CMop7CNDGCQdTQNsqLnMP2E1V/tHNS8+czL2gOMHdZQr/D5Z/O+08UaKhM0osM2jRVllJ&#10;pkmZwYUaE1Z251Nv/Gxf3Bb4ayAWVj2zncwM9xeHZVWqKH4rSYfgEP8wfAWBOewYIct0br1JkCgA&#10;OWc3Lnc35DkSjpeP1WxePU4p4bdYwepbofMhfpFgSNo0VCPnDMxO2xATEVbfUtI7FjZK62y2tmRo&#10;6Hw6K3EeuHHYekTzX/f9aGEArURKT4XBd4eV9uTEcIA+bp6qT+vcJ0bepnk4WpHhe8nE53EfmdLX&#10;PdLRdpQnKXLV9gDisvM32dDhzHucxjRCb8+5+tefWf4EAAD//wMAUEsDBBQABgAIAAAAIQA+6M4a&#10;4QAAAAoBAAAPAAAAZHJzL2Rvd25yZXYueG1sTI/BTsMwDIbvSLxDZCQuaEtpoaDSdEKTkDgwUDcu&#10;3LLGNBWNU5Js7Xh6Mu0AR9uffn9/uZhMz/bofGdJwPU8AYbUWNVRK+B98zS7B+aDJCV7SyjggB4W&#10;1flZKQtlR6pxvw4tiyHkCylAhzAUnPtGo5F+bgekePu0zsgQR9dy5eQYw03P0yTJuZEdxQ9aDrjU&#10;2Hytd0bA6uUnDW++dvXV6/i93Hw862Flhbi8mB4fgAWcwh8MR/2oDlV02todKc96AbO7LI+ogDzN&#10;gB2B5Da7AbY9bXhV8v8Vql8AAAD//wMAUEsBAi0AFAAGAAgAAAAhALaDOJL+AAAA4QEAABMAAAAA&#10;AAAAAAAAAAAAAAAAAFtDb250ZW50X1R5cGVzXS54bWxQSwECLQAUAAYACAAAACEAOP0h/9YAAACU&#10;AQAACwAAAAAAAAAAAAAAAAAvAQAAX3JlbHMvLnJlbHNQSwECLQAUAAYACAAAACEAhJOuaM8BAAB7&#10;AwAADgAAAAAAAAAAAAAAAAAuAgAAZHJzL2Uyb0RvYy54bWxQSwECLQAUAAYACAAAACEAPujOGuEA&#10;AAAKAQAADwAAAAAAAAAAAAAAAAApBAAAZHJzL2Rvd25yZXYueG1sUEsFBgAAAAAEAAQA8wAAADcF&#10;AAAAAA==&#10;" strokecolor="#4f81bd" strokeweight="5pt">
                <v:stroke linestyle="thickThin"/>
              </v:line>
            </w:pict>
          </mc:Fallback>
        </mc:AlternateContent>
      </w:r>
      <w:r w:rsidR="006C4CC1" w:rsidRPr="00FC1D79">
        <w:rPr>
          <w:rFonts w:ascii="Simplified Arabic" w:eastAsia="Times New Roman" w:hAnsi="Simplified Arabic" w:cs="Simplified Arabic" w:hint="cs"/>
          <w:b/>
          <w:bCs/>
          <w:sz w:val="36"/>
          <w:szCs w:val="36"/>
          <w:rtl/>
        </w:rPr>
        <w:t xml:space="preserve">                             </w:t>
      </w:r>
      <w:r>
        <w:rPr>
          <w:rFonts w:ascii="Simplified Arabic" w:eastAsia="Times New Roman" w:hAnsi="Simplified Arabic" w:cs="Simplified Arabic" w:hint="cs"/>
          <w:b/>
          <w:bCs/>
          <w:sz w:val="36"/>
          <w:szCs w:val="36"/>
          <w:rtl/>
        </w:rPr>
        <w:t xml:space="preserve">    </w:t>
      </w:r>
      <w:r w:rsidR="006C4CC1" w:rsidRPr="00FC1D79">
        <w:rPr>
          <w:rFonts w:ascii="Simplified Arabic" w:eastAsia="Times New Roman" w:hAnsi="Simplified Arabic" w:cs="Simplified Arabic" w:hint="cs"/>
          <w:b/>
          <w:bCs/>
          <w:sz w:val="36"/>
          <w:szCs w:val="36"/>
          <w:rtl/>
        </w:rPr>
        <w:t xml:space="preserve"> </w:t>
      </w:r>
      <w:r w:rsidR="006E3FF3" w:rsidRPr="00FC1D79">
        <w:rPr>
          <w:rFonts w:ascii="Simplified Arabic" w:eastAsia="Times New Roman" w:hAnsi="Simplified Arabic" w:cs="Simplified Arabic"/>
          <w:b/>
          <w:bCs/>
          <w:kern w:val="2"/>
          <w:sz w:val="32"/>
          <w:szCs w:val="32"/>
          <w:rtl/>
        </w:rPr>
        <w:t>الملخص بالعربية:</w:t>
      </w:r>
    </w:p>
    <w:p w:rsidR="006E3FF3" w:rsidRPr="002E7DAE" w:rsidRDefault="002E7DAE" w:rsidP="00E76F27">
      <w:pPr>
        <w:spacing w:after="0"/>
        <w:ind w:firstLine="567"/>
        <w:rPr>
          <w:rFonts w:ascii="Simplified Arabic" w:eastAsia="Times New Roman" w:hAnsi="Simplified Arabic" w:cs="Simplified Arabic"/>
          <w:kern w:val="2"/>
          <w:sz w:val="24"/>
          <w:szCs w:val="24"/>
          <w:rtl/>
        </w:rPr>
      </w:pPr>
      <w:r w:rsidRPr="002E7DAE">
        <w:rPr>
          <w:rFonts w:ascii="Simplified Arabic" w:eastAsia="Times New Roman" w:hAnsi="Simplified Arabic" w:cs="Simplified Arabic" w:hint="cs"/>
          <w:kern w:val="2"/>
          <w:sz w:val="24"/>
          <w:szCs w:val="24"/>
          <w:rtl/>
          <w:lang w:bidi="ar-DZ"/>
        </w:rPr>
        <w:t xml:space="preserve"> </w:t>
      </w:r>
      <w:r w:rsidR="006E3FF3" w:rsidRPr="002E7DAE">
        <w:rPr>
          <w:rFonts w:ascii="Simplified Arabic" w:eastAsia="Times New Roman" w:hAnsi="Simplified Arabic" w:cs="Simplified Arabic"/>
          <w:kern w:val="2"/>
          <w:sz w:val="24"/>
          <w:szCs w:val="24"/>
          <w:rtl/>
        </w:rPr>
        <w:t xml:space="preserve">تتناول هذه المذكرة بالدراسة والتحليل دور القاضي في استجواب المتهم داخل الدعوى الجزائية، </w:t>
      </w:r>
      <w:r w:rsidRPr="002E7DAE">
        <w:rPr>
          <w:rFonts w:ascii="Simplified Arabic" w:eastAsia="Times New Roman" w:hAnsi="Simplified Arabic" w:cs="Simplified Arabic" w:hint="cs"/>
          <w:kern w:val="2"/>
          <w:sz w:val="24"/>
          <w:szCs w:val="24"/>
          <w:rtl/>
        </w:rPr>
        <w:t xml:space="preserve">    </w:t>
      </w:r>
      <w:r w:rsidR="006E3FF3" w:rsidRPr="002E7DAE">
        <w:rPr>
          <w:rFonts w:ascii="Simplified Arabic" w:eastAsia="Times New Roman" w:hAnsi="Simplified Arabic" w:cs="Simplified Arabic"/>
          <w:kern w:val="2"/>
          <w:sz w:val="24"/>
          <w:szCs w:val="24"/>
          <w:rtl/>
        </w:rPr>
        <w:t>باعتبار هذه السلطة من أهم الوسائل القانونية التي تُمكِّن القاضي من الاقتراب من الحقيقة. فالمذكرة تستعرض الإطار القانوني المنظِّم لهذه السلطة، وتناقش الضوابط التي يجب أن تقيّدها ضمانًا لعدم المساس بحقوق الدفاع وحرمة الإنسان. كما تُبرز التوازن الدقيق بين متطلبات العدالة وحق المتهم في الصمت، متوقفة عند التطبيقات القضائية وأهم الإشكالات العملية التي يطرحها الاستجواب القضائي في مختلف مراحل الدعوى.</w:t>
      </w:r>
    </w:p>
    <w:p w:rsidR="006E3FF3" w:rsidRPr="002E7DAE" w:rsidRDefault="006E3FF3" w:rsidP="00E76F27">
      <w:pPr>
        <w:spacing w:after="0"/>
        <w:ind w:firstLine="567"/>
        <w:rPr>
          <w:rFonts w:ascii="Simplified Arabic" w:eastAsia="Times New Roman" w:hAnsi="Simplified Arabic" w:cs="Simplified Arabic"/>
          <w:kern w:val="2"/>
          <w:sz w:val="24"/>
          <w:szCs w:val="24"/>
          <w:rtl/>
        </w:rPr>
      </w:pPr>
      <w:r w:rsidRPr="002E7DAE">
        <w:rPr>
          <w:rFonts w:ascii="Simplified Arabic" w:eastAsia="Times New Roman" w:hAnsi="Simplified Arabic" w:cs="Simplified Arabic"/>
          <w:kern w:val="2"/>
          <w:sz w:val="24"/>
          <w:szCs w:val="24"/>
          <w:rtl/>
        </w:rPr>
        <w:t>الكلمات المفتاحية (بالعربية):</w:t>
      </w:r>
    </w:p>
    <w:p w:rsidR="006E3FF3" w:rsidRPr="002E7DAE" w:rsidRDefault="006E3FF3" w:rsidP="00E76F27">
      <w:pPr>
        <w:spacing w:after="0"/>
        <w:ind w:firstLine="567"/>
        <w:rPr>
          <w:rFonts w:ascii="Simplified Arabic" w:eastAsia="Times New Roman" w:hAnsi="Simplified Arabic" w:cs="Simplified Arabic"/>
          <w:kern w:val="2"/>
          <w:sz w:val="24"/>
          <w:szCs w:val="24"/>
          <w:rtl/>
        </w:rPr>
      </w:pPr>
      <w:r w:rsidRPr="002E7DAE">
        <w:rPr>
          <w:rFonts w:ascii="Simplified Arabic" w:eastAsia="Times New Roman" w:hAnsi="Simplified Arabic" w:cs="Simplified Arabic"/>
          <w:kern w:val="2"/>
          <w:sz w:val="24"/>
          <w:szCs w:val="24"/>
          <w:rtl/>
        </w:rPr>
        <w:t>الاستجواب القضائي – الإشكالات العملية للاستجواب – التوازن بين الحقيقة والحقوق – الحق في الصمت – الحقوق الدفاعية – القاضي الجزائي – التطبيقات القضائية – العدالة الجنائية – الضمانات القانونية – السلطة التقديرية للقاضي – حرمة الإنسان – مراحل الدعوى الجزائية – متطلبات العدالة – استجواب المتهم – الإجراءات الجزائية – الإطار القانوني للاستجواب</w:t>
      </w:r>
    </w:p>
    <w:p w:rsidR="006E3FF3" w:rsidRPr="00FC1D79" w:rsidRDefault="006E3FF3" w:rsidP="00E76F27">
      <w:pPr>
        <w:bidi w:val="0"/>
        <w:spacing w:after="160" w:line="278" w:lineRule="auto"/>
        <w:jc w:val="right"/>
        <w:rPr>
          <w:rFonts w:ascii="Times New Roman" w:eastAsia="Times New Roman" w:hAnsi="Times New Roman" w:cs="Times New Roman"/>
          <w:b/>
          <w:bCs/>
          <w:kern w:val="2"/>
          <w:sz w:val="32"/>
          <w:szCs w:val="32"/>
          <w:lang w:val="fr-FR" w:bidi="ar-DZ"/>
        </w:rPr>
      </w:pPr>
    </w:p>
    <w:p w:rsidR="006E3FF3" w:rsidRPr="006E3FF3" w:rsidRDefault="006E3FF3" w:rsidP="00E76F27">
      <w:pPr>
        <w:bidi w:val="0"/>
        <w:spacing w:after="160" w:line="278" w:lineRule="auto"/>
        <w:rPr>
          <w:rFonts w:ascii="Times New Roman" w:eastAsia="Times New Roman" w:hAnsi="Times New Roman" w:cs="Times New Roman"/>
          <w:b/>
          <w:bCs/>
          <w:kern w:val="2"/>
          <w:sz w:val="24"/>
          <w:szCs w:val="24"/>
          <w:lang w:bidi="ar-DZ"/>
        </w:rPr>
      </w:pPr>
      <w:r w:rsidRPr="006E3FF3">
        <w:rPr>
          <w:rFonts w:ascii="Times New Roman" w:eastAsia="Times New Roman" w:hAnsi="Times New Roman" w:cs="Times New Roman"/>
          <w:b/>
          <w:bCs/>
          <w:kern w:val="2"/>
          <w:sz w:val="24"/>
          <w:szCs w:val="24"/>
          <w:lang w:bidi="ar-DZ"/>
        </w:rPr>
        <w:t>Summary in English</w:t>
      </w:r>
      <w:r w:rsidRPr="006E3FF3">
        <w:rPr>
          <w:rFonts w:ascii="Times New Roman" w:eastAsia="Times New Roman" w:hAnsi="Times New Roman" w:cs="Times New Roman"/>
          <w:b/>
          <w:bCs/>
          <w:kern w:val="2"/>
          <w:sz w:val="24"/>
          <w:szCs w:val="24"/>
          <w:rtl/>
          <w:lang w:bidi="ar-DZ"/>
        </w:rPr>
        <w:t>:</w:t>
      </w:r>
    </w:p>
    <w:p w:rsidR="006E3FF3" w:rsidRPr="006E3FF3" w:rsidRDefault="006E3FF3" w:rsidP="00E76F27">
      <w:pPr>
        <w:bidi w:val="0"/>
        <w:spacing w:after="0"/>
        <w:ind w:firstLine="567"/>
        <w:jc w:val="right"/>
        <w:rPr>
          <w:rFonts w:ascii="Times New Roman" w:eastAsia="Times New Roman" w:hAnsi="Times New Roman" w:cs="Times New Roman"/>
          <w:kern w:val="2"/>
          <w:sz w:val="24"/>
          <w:szCs w:val="24"/>
          <w:rtl/>
        </w:rPr>
      </w:pPr>
      <w:r w:rsidRPr="006E3FF3">
        <w:rPr>
          <w:rFonts w:ascii="Times New Roman" w:eastAsia="Times New Roman" w:hAnsi="Times New Roman" w:cs="Times New Roman"/>
          <w:kern w:val="2"/>
          <w:sz w:val="24"/>
          <w:szCs w:val="24"/>
          <w:lang w:bidi="ar-DZ"/>
        </w:rPr>
        <w:t>This thesis explores the judge’s authority to interrogate the accused within criminal proceedings, considering it a key legal tool in the pursuit of truth. It examines the legal framework governing this power, while emphasizing the need for safeguards that protect the rights of defense and human dignity. The study also highlights the delicate balance between the demands of justice and the accused’s right to remain silent. It analyzes practical challenges and judicial practices related to interrogation at different stages of the criminal trial process</w:t>
      </w:r>
      <w:r w:rsidRPr="006E3FF3">
        <w:rPr>
          <w:rFonts w:ascii="Times New Roman" w:eastAsia="Times New Roman" w:hAnsi="Times New Roman" w:cs="Times New Roman"/>
          <w:kern w:val="2"/>
          <w:sz w:val="24"/>
          <w:szCs w:val="24"/>
          <w:rtl/>
        </w:rPr>
        <w:t>.</w:t>
      </w:r>
    </w:p>
    <w:p w:rsidR="006E3FF3" w:rsidRPr="006E3FF3" w:rsidRDefault="006E3FF3" w:rsidP="00E76F27">
      <w:pPr>
        <w:bidi w:val="0"/>
        <w:spacing w:after="0"/>
        <w:ind w:firstLine="567"/>
        <w:jc w:val="right"/>
        <w:rPr>
          <w:rFonts w:ascii="Times New Roman" w:eastAsia="Times New Roman" w:hAnsi="Times New Roman" w:cs="Times New Roman"/>
          <w:kern w:val="2"/>
          <w:sz w:val="24"/>
          <w:szCs w:val="24"/>
          <w:rtl/>
        </w:rPr>
      </w:pPr>
      <w:r w:rsidRPr="006E3FF3">
        <w:rPr>
          <w:rFonts w:ascii="Times New Roman" w:eastAsia="Times New Roman" w:hAnsi="Times New Roman" w:cs="Times New Roman"/>
          <w:kern w:val="2"/>
          <w:sz w:val="24"/>
          <w:szCs w:val="24"/>
          <w:lang w:bidi="ar-DZ"/>
        </w:rPr>
        <w:t>Keywords</w:t>
      </w:r>
    </w:p>
    <w:p w:rsidR="006E3FF3" w:rsidRPr="006E3FF3" w:rsidRDefault="006E3FF3" w:rsidP="00E76F27">
      <w:pPr>
        <w:bidi w:val="0"/>
        <w:spacing w:after="0"/>
        <w:ind w:firstLine="567"/>
        <w:jc w:val="right"/>
        <w:rPr>
          <w:rFonts w:ascii="Times New Roman" w:eastAsia="Times New Roman" w:hAnsi="Times New Roman" w:cs="Times New Roman"/>
          <w:kern w:val="2"/>
          <w:sz w:val="24"/>
          <w:szCs w:val="24"/>
          <w:rtl/>
        </w:rPr>
      </w:pPr>
      <w:r w:rsidRPr="006E3FF3">
        <w:rPr>
          <w:rFonts w:ascii="Times New Roman" w:eastAsia="Times New Roman" w:hAnsi="Times New Roman" w:cs="Times New Roman"/>
          <w:kern w:val="2"/>
          <w:sz w:val="24"/>
          <w:szCs w:val="24"/>
          <w:lang w:bidi="ar-DZ"/>
        </w:rPr>
        <w:t>Judicial interrogation – Practical issues of interrogation – Balance between truth and rights – Right to silence – Defense rights – Criminal judge – Judicial applications – Criminal justice – Legal guarantees – Discretionary power of the judge – Human dignity – Stages of criminal proceedings – Requirements of justice – Interrogation of the accused – Criminal procedure – Legal framework of interrogation</w:t>
      </w:r>
    </w:p>
    <w:p w:rsidR="006E3FF3" w:rsidRPr="006E3FF3" w:rsidRDefault="006E3FF3" w:rsidP="00E76F27">
      <w:pPr>
        <w:bidi w:val="0"/>
        <w:spacing w:after="0"/>
        <w:ind w:firstLine="567"/>
        <w:jc w:val="right"/>
        <w:rPr>
          <w:rFonts w:ascii="Simplified Arabic" w:eastAsia="Times New Roman" w:hAnsi="Simplified Arabic" w:cs="Simplified Arabic"/>
          <w:b/>
          <w:bCs/>
          <w:kern w:val="2"/>
          <w:sz w:val="32"/>
          <w:szCs w:val="32"/>
          <w:lang w:val="fr-FR" w:bidi="ar-DZ"/>
        </w:rPr>
      </w:pPr>
    </w:p>
    <w:p w:rsidR="006E3FF3" w:rsidRPr="006E3FF3" w:rsidRDefault="006E3FF3" w:rsidP="00574277">
      <w:pPr>
        <w:spacing w:after="160" w:line="278" w:lineRule="auto"/>
        <w:jc w:val="center"/>
        <w:rPr>
          <w:rFonts w:ascii="Simplified Arabic" w:eastAsia="Times New Roman" w:hAnsi="Simplified Arabic" w:cs="Simplified Arabic"/>
          <w:b/>
          <w:bCs/>
          <w:kern w:val="2"/>
          <w:sz w:val="32"/>
          <w:szCs w:val="32"/>
          <w:lang w:val="fr-FR"/>
        </w:rPr>
      </w:pPr>
    </w:p>
    <w:sectPr w:rsidR="006E3FF3" w:rsidRPr="006E3FF3" w:rsidSect="00FC1D79">
      <w:pgSz w:w="11906" w:h="16838"/>
      <w:pgMar w:top="720" w:right="720" w:bottom="720" w:left="720" w:header="708" w:footer="708" w:gutter="0"/>
      <w:pgBorders w:offsetFrom="page">
        <w:top w:val="decoBlocks" w:sz="31" w:space="24" w:color="auto"/>
        <w:left w:val="decoBlocks" w:sz="31" w:space="24" w:color="auto"/>
        <w:bottom w:val="decoBlocks" w:sz="31" w:space="24" w:color="auto"/>
        <w:right w:val="decoBlocks" w:sz="31"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083B" w:rsidRDefault="007D083B" w:rsidP="006C4CC1">
      <w:pPr>
        <w:spacing w:after="0" w:line="240" w:lineRule="auto"/>
      </w:pPr>
      <w:r>
        <w:separator/>
      </w:r>
    </w:p>
  </w:endnote>
  <w:endnote w:type="continuationSeparator" w:id="0">
    <w:p w:rsidR="007D083B" w:rsidRDefault="007D083B" w:rsidP="006C4C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083B" w:rsidRDefault="007D083B" w:rsidP="006C4CC1">
      <w:pPr>
        <w:spacing w:after="0" w:line="240" w:lineRule="auto"/>
      </w:pPr>
      <w:r>
        <w:separator/>
      </w:r>
    </w:p>
  </w:footnote>
  <w:footnote w:type="continuationSeparator" w:id="0">
    <w:p w:rsidR="007D083B" w:rsidRDefault="007D083B" w:rsidP="006C4CC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CC1"/>
    <w:rsid w:val="00143091"/>
    <w:rsid w:val="002B4921"/>
    <w:rsid w:val="002E7DAE"/>
    <w:rsid w:val="0035288F"/>
    <w:rsid w:val="004441A0"/>
    <w:rsid w:val="00485B6F"/>
    <w:rsid w:val="00574277"/>
    <w:rsid w:val="006C4CC1"/>
    <w:rsid w:val="006E195E"/>
    <w:rsid w:val="006E3FF3"/>
    <w:rsid w:val="007D083B"/>
    <w:rsid w:val="00A250EC"/>
    <w:rsid w:val="00CC353F"/>
    <w:rsid w:val="00E76F27"/>
    <w:rsid w:val="00FC1D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DCBCFA-5B59-479D-BEC6-4FE5F8E88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4CC1"/>
    <w:pPr>
      <w:tabs>
        <w:tab w:val="center" w:pos="4153"/>
        <w:tab w:val="right" w:pos="8306"/>
      </w:tabs>
      <w:spacing w:after="0" w:line="240" w:lineRule="auto"/>
    </w:pPr>
  </w:style>
  <w:style w:type="character" w:customStyle="1" w:styleId="En-tteCar">
    <w:name w:val="En-tête Car"/>
    <w:basedOn w:val="Policepardfaut"/>
    <w:link w:val="En-tte"/>
    <w:uiPriority w:val="99"/>
    <w:rsid w:val="006C4CC1"/>
  </w:style>
  <w:style w:type="paragraph" w:styleId="Pieddepage">
    <w:name w:val="footer"/>
    <w:basedOn w:val="Normal"/>
    <w:link w:val="PieddepageCar"/>
    <w:uiPriority w:val="99"/>
    <w:unhideWhenUsed/>
    <w:rsid w:val="006C4CC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4C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293</Words>
  <Characters>1614</Characters>
  <Application>Microsoft Office Word</Application>
  <DocSecurity>0</DocSecurity>
  <Lines>13</Lines>
  <Paragraphs>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VDP</cp:lastModifiedBy>
  <cp:revision>9</cp:revision>
  <dcterms:created xsi:type="dcterms:W3CDTF">2025-07-06T11:04:00Z</dcterms:created>
  <dcterms:modified xsi:type="dcterms:W3CDTF">2025-07-21T23:41:00Z</dcterms:modified>
</cp:coreProperties>
</file>