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0FA" w:rsidRPr="00A030FA" w:rsidRDefault="00A030FA" w:rsidP="00A030FA">
      <w:pPr>
        <w:rPr>
          <w:rFonts w:ascii="Times New Roman" w:hAnsi="Times New Roman" w:cs="Times New Roman"/>
          <w:b/>
          <w:bCs/>
          <w:sz w:val="28"/>
          <w:szCs w:val="28"/>
        </w:rPr>
      </w:pPr>
      <w:r w:rsidRPr="00A030FA">
        <w:rPr>
          <w:rFonts w:ascii="Times New Roman" w:hAnsi="Times New Roman" w:cs="Times New Roman"/>
          <w:b/>
          <w:bCs/>
          <w:sz w:val="28"/>
          <w:szCs w:val="28"/>
        </w:rPr>
        <w:t>Résumé :</w:t>
      </w:r>
    </w:p>
    <w:p w:rsidR="00A030FA" w:rsidRPr="00A030FA" w:rsidRDefault="00A030FA" w:rsidP="00A030FA">
      <w:pPr>
        <w:ind w:firstLine="708"/>
        <w:rPr>
          <w:rFonts w:ascii="Times New Roman" w:hAnsi="Times New Roman" w:cs="Times New Roman"/>
          <w:sz w:val="28"/>
          <w:szCs w:val="28"/>
        </w:rPr>
      </w:pPr>
      <w:r w:rsidRPr="00A030FA">
        <w:rPr>
          <w:rFonts w:ascii="Times New Roman" w:hAnsi="Times New Roman" w:cs="Times New Roman"/>
          <w:sz w:val="28"/>
          <w:szCs w:val="28"/>
        </w:rPr>
        <w:t>Le gaz naturel algérien est en partie destiné à l’exportation, d’où la nécessité de le liquéfier, cette dernière opération est possible à la condition d’élimination de CO</w:t>
      </w:r>
      <w:r w:rsidRPr="00A030FA">
        <w:rPr>
          <w:rFonts w:ascii="Times New Roman" w:hAnsi="Times New Roman" w:cs="Times New Roman"/>
          <w:sz w:val="28"/>
          <w:szCs w:val="28"/>
          <w:vertAlign w:val="subscript"/>
        </w:rPr>
        <w:t>2</w:t>
      </w:r>
      <w:r w:rsidRPr="00A030FA">
        <w:rPr>
          <w:rFonts w:ascii="Times New Roman" w:hAnsi="Times New Roman" w:cs="Times New Roman"/>
          <w:sz w:val="28"/>
          <w:szCs w:val="28"/>
        </w:rPr>
        <w:t xml:space="preserve"> contenu dans le gaz naturel.</w:t>
      </w:r>
    </w:p>
    <w:p w:rsidR="00A030FA" w:rsidRPr="00A030FA" w:rsidRDefault="00A030FA" w:rsidP="00A030FA">
      <w:pPr>
        <w:ind w:firstLine="708"/>
        <w:rPr>
          <w:rFonts w:ascii="Times New Roman" w:hAnsi="Times New Roman" w:cs="Times New Roman"/>
          <w:sz w:val="28"/>
          <w:szCs w:val="28"/>
        </w:rPr>
      </w:pPr>
      <w:r w:rsidRPr="00A030FA">
        <w:rPr>
          <w:rFonts w:ascii="Times New Roman" w:hAnsi="Times New Roman" w:cs="Times New Roman"/>
          <w:sz w:val="28"/>
          <w:szCs w:val="28"/>
        </w:rPr>
        <w:t>La réduction du CO</w:t>
      </w:r>
      <w:r w:rsidRPr="00A030FA">
        <w:rPr>
          <w:rFonts w:ascii="Times New Roman" w:hAnsi="Times New Roman" w:cs="Times New Roman"/>
          <w:sz w:val="28"/>
          <w:szCs w:val="28"/>
          <w:vertAlign w:val="subscript"/>
        </w:rPr>
        <w:t>2</w:t>
      </w:r>
      <w:r w:rsidRPr="00A030FA">
        <w:rPr>
          <w:rFonts w:ascii="Times New Roman" w:hAnsi="Times New Roman" w:cs="Times New Roman"/>
          <w:sz w:val="28"/>
          <w:szCs w:val="28"/>
        </w:rPr>
        <w:t xml:space="preserve"> est spécifiquement faite par les différents alcanolamines tels que la Monoéthanolamine (MEA), la Diéthanolamine (DEA), la Triéthanolamine (TEA) et la Méthyldiéthanolamine (MDEA).</w:t>
      </w:r>
    </w:p>
    <w:p w:rsidR="00A030FA" w:rsidRPr="00A030FA" w:rsidRDefault="00A030FA" w:rsidP="00A030FA">
      <w:pPr>
        <w:ind w:firstLine="708"/>
        <w:rPr>
          <w:rFonts w:ascii="Times New Roman" w:hAnsi="Times New Roman" w:cs="Times New Roman"/>
          <w:sz w:val="28"/>
          <w:szCs w:val="28"/>
        </w:rPr>
      </w:pPr>
      <w:r w:rsidRPr="00A030FA">
        <w:rPr>
          <w:rFonts w:ascii="Times New Roman" w:hAnsi="Times New Roman" w:cs="Times New Roman"/>
          <w:sz w:val="28"/>
          <w:szCs w:val="28"/>
        </w:rPr>
        <w:t>Notre but est de trouver un solvant adéquat pour l’absorption, est qui est efficace du point de vue technique et économique. C’est pourquoi un calcul technologique et cinétique et un modèle sont nécessaires pour faire un choix judicieux du solvant.</w:t>
      </w:r>
    </w:p>
    <w:p w:rsidR="00A030FA" w:rsidRPr="00A030FA" w:rsidRDefault="00A030FA" w:rsidP="00A030FA">
      <w:pPr>
        <w:rPr>
          <w:rFonts w:ascii="Times New Roman" w:hAnsi="Times New Roman" w:cs="Times New Roman"/>
          <w:sz w:val="28"/>
          <w:szCs w:val="28"/>
        </w:rPr>
      </w:pPr>
      <w:r w:rsidRPr="00A030FA">
        <w:rPr>
          <w:rFonts w:ascii="Times New Roman" w:hAnsi="Times New Roman" w:cs="Times New Roman"/>
          <w:sz w:val="28"/>
          <w:szCs w:val="28"/>
        </w:rPr>
        <w:t>Mots clés : absorption, MEA, dioxyde de carbone, gaz, cinétique.</w:t>
      </w:r>
    </w:p>
    <w:p w:rsidR="00024BA3" w:rsidRPr="00A030FA" w:rsidRDefault="00024BA3"/>
    <w:sectPr w:rsidR="00024BA3" w:rsidRPr="00A030FA" w:rsidSect="00024BA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savePreviewPicture/>
  <w:compat/>
  <w:rsids>
    <w:rsidRoot w:val="009B2848"/>
    <w:rsid w:val="00024BA3"/>
    <w:rsid w:val="009B2848"/>
    <w:rsid w:val="00A030F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0F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111</Words>
  <Characters>613</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billal</dc:creator>
  <cp:lastModifiedBy>billal</cp:lastModifiedBy>
  <cp:revision>2</cp:revision>
  <dcterms:created xsi:type="dcterms:W3CDTF">2010-11-17T23:30:00Z</dcterms:created>
  <dcterms:modified xsi:type="dcterms:W3CDTF">2010-11-17T23:32:00Z</dcterms:modified>
</cp:coreProperties>
</file>