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D9" w:rsidRPr="00531DD9" w:rsidRDefault="00531DD9" w:rsidP="00531DD9">
      <w:pPr>
        <w:autoSpaceDE w:val="0"/>
        <w:autoSpaceDN w:val="0"/>
        <w:adjustRightInd w:val="0"/>
        <w:spacing w:line="360" w:lineRule="auto"/>
        <w:jc w:val="center"/>
        <w:rPr>
          <w:sz w:val="48"/>
          <w:szCs w:val="48"/>
        </w:rPr>
      </w:pPr>
      <w:r w:rsidRPr="00531DD9">
        <w:rPr>
          <w:sz w:val="48"/>
          <w:szCs w:val="48"/>
        </w:rPr>
        <w:t>Conclusion :</w:t>
      </w:r>
    </w:p>
    <w:p w:rsidR="00531DD9" w:rsidRPr="008E4139" w:rsidRDefault="00531DD9" w:rsidP="0090228D">
      <w:pPr>
        <w:autoSpaceDE w:val="0"/>
        <w:autoSpaceDN w:val="0"/>
        <w:adjustRightInd w:val="0"/>
        <w:spacing w:line="360" w:lineRule="auto"/>
        <w:jc w:val="both"/>
      </w:pPr>
      <w:r w:rsidRPr="008E4139">
        <w:t xml:space="preserve">Les spécifications requises pour le gasoil et les normes de pollution appliquées sur les moteurs </w:t>
      </w:r>
      <w:r w:rsidR="0090228D">
        <w:t>D</w:t>
      </w:r>
      <w:r w:rsidRPr="008E4139">
        <w:t>iesel ont considérablement évoluées ces dernières années. Le procédé d’hydrotraitement en deux étages permet l’obtention d’un gasoil de bonne qualité avec une teneur en soufre faible (jusqu’à 10 ppm) répondant ainsi aux exigences du marché.</w:t>
      </w:r>
    </w:p>
    <w:p w:rsidR="00531DD9" w:rsidRDefault="00531DD9" w:rsidP="00AB0F8D">
      <w:pPr>
        <w:spacing w:line="360" w:lineRule="auto"/>
        <w:jc w:val="both"/>
      </w:pPr>
      <w:r w:rsidRPr="008E4139">
        <w:t xml:space="preserve">Dans ce présent travail, nous avons réussi à </w:t>
      </w:r>
      <w:r w:rsidR="00625CE8">
        <w:t>sumiler</w:t>
      </w:r>
      <w:r w:rsidRPr="008E4139">
        <w:t xml:space="preserve"> le procédé d’hydrotraitement du gasoil en deux étages à l’échelle pilote. Le </w:t>
      </w:r>
      <w:r w:rsidR="00AB0F8D">
        <w:t>simulateur</w:t>
      </w:r>
      <w:r w:rsidRPr="008E4139">
        <w:t xml:space="preserve"> élaboré relie la teneur en soufre du gasoil hydrotraité avec les différentes variables opératoires (température, pression, vitesse spatiale) ainsi que la teneur en soufre de la charge et le nombre d’étages d’hydrotraitement effectué. Ce modèle permet de prévoir le comportement du procédé sous diverses conditions et avec différents gasoils et ceci sans aucune expérience. Le modèle permet donc de gagner du temps et surtout de l’énergie.</w:t>
      </w:r>
    </w:p>
    <w:p w:rsidR="00531DD9" w:rsidRDefault="00531DD9" w:rsidP="00531DD9">
      <w:pPr>
        <w:spacing w:line="360" w:lineRule="auto"/>
        <w:jc w:val="both"/>
        <w:rPr>
          <w:rFonts w:asciiTheme="majorBidi" w:hAnsiTheme="majorBidi" w:cstheme="majorBidi"/>
        </w:rPr>
      </w:pPr>
      <w:r w:rsidRPr="00DA03E9">
        <w:rPr>
          <w:rFonts w:asciiTheme="majorBidi" w:hAnsiTheme="majorBidi" w:cstheme="majorBidi"/>
        </w:rPr>
        <w:t>L’hydrodésulfuration pratiquée actuellement sur les essences et les distillats légers n’est qu’une première réalisation de l’ensemble des procédés de traitement à l’hydrogène qui seront applicables à n’importe quelle fraction pétrolière.</w:t>
      </w:r>
    </w:p>
    <w:p w:rsidR="00531DD9" w:rsidRPr="00DA03E9" w:rsidRDefault="00531DD9" w:rsidP="00531DD9">
      <w:pPr>
        <w:autoSpaceDE w:val="0"/>
        <w:autoSpaceDN w:val="0"/>
        <w:adjustRightInd w:val="0"/>
        <w:spacing w:line="360" w:lineRule="auto"/>
        <w:jc w:val="both"/>
        <w:rPr>
          <w:rFonts w:eastAsia="Calibri"/>
        </w:rPr>
      </w:pPr>
      <w:r w:rsidRPr="00DA03E9">
        <w:rPr>
          <w:rFonts w:eastAsia="Calibri"/>
          <w:highlight w:val="white"/>
        </w:rPr>
        <w:t>De nos jours,  l'hydrotraitement est le plus grand processus dans la catalyse hétérogène.</w:t>
      </w:r>
      <w:r w:rsidRPr="00DA03E9">
        <w:rPr>
          <w:rFonts w:eastAsia="Calibri"/>
        </w:rPr>
        <w:t xml:space="preserve"> </w:t>
      </w:r>
      <w:r w:rsidRPr="00DA03E9">
        <w:rPr>
          <w:rFonts w:eastAsia="Calibri"/>
          <w:vanish/>
          <w:color w:val="000080"/>
        </w:rPr>
        <w:t>¶</w:t>
      </w:r>
      <w:r w:rsidRPr="00DA03E9">
        <w:rPr>
          <w:rFonts w:eastAsia="Calibri"/>
        </w:rPr>
        <w:t>Sur la base des catalyseurs vendus par an, l'hydrotraitement se range troisièmement.</w:t>
      </w:r>
    </w:p>
    <w:p w:rsidR="00531DD9" w:rsidRPr="00DA03E9" w:rsidRDefault="00531DD9" w:rsidP="00531DD9">
      <w:pPr>
        <w:autoSpaceDE w:val="0"/>
        <w:autoSpaceDN w:val="0"/>
        <w:adjustRightInd w:val="0"/>
        <w:spacing w:line="360" w:lineRule="auto"/>
        <w:jc w:val="both"/>
        <w:rPr>
          <w:rFonts w:eastAsia="Calibri"/>
        </w:rPr>
      </w:pPr>
      <w:r w:rsidRPr="00DA03E9">
        <w:rPr>
          <w:rFonts w:eastAsia="Calibri"/>
        </w:rPr>
        <w:t>Les objectifs et les applications communs de l'hydrotraitement sont montrés au-dessous:</w:t>
      </w:r>
      <w:r w:rsidRPr="00DA03E9">
        <w:rPr>
          <w:rFonts w:eastAsia="Calibri"/>
          <w:vanish/>
          <w:color w:val="000080"/>
        </w:rPr>
        <w:t>¶</w:t>
      </w:r>
    </w:p>
    <w:p w:rsidR="00531DD9" w:rsidRPr="008D2263" w:rsidRDefault="00531DD9" w:rsidP="0090228D">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2263">
        <w:rPr>
          <w:rFonts w:ascii="Times New Roman" w:hAnsi="Times New Roman" w:cs="Times New Roman"/>
          <w:vanish/>
          <w:color w:val="000080"/>
          <w:sz w:val="24"/>
          <w:szCs w:val="24"/>
        </w:rPr>
        <w:t>¶</w:t>
      </w:r>
      <w:r w:rsidRPr="008D2263">
        <w:rPr>
          <w:rFonts w:ascii="Times New Roman" w:hAnsi="Times New Roman" w:cs="Times New Roman"/>
          <w:sz w:val="24"/>
          <w:szCs w:val="24"/>
        </w:rPr>
        <w:t xml:space="preserve"> Naphta (prétraitement d'alimentation  de reformage catalytique)</w:t>
      </w:r>
      <w:r w:rsidR="0090228D">
        <w:rPr>
          <w:rFonts w:ascii="Times New Roman" w:hAnsi="Times New Roman" w:cs="Times New Roman"/>
          <w:sz w:val="24"/>
          <w:szCs w:val="24"/>
        </w:rPr>
        <w:t xml:space="preserve"> : </w:t>
      </w:r>
      <w:r w:rsidRPr="008D2263">
        <w:rPr>
          <w:rFonts w:ascii="Times New Roman" w:hAnsi="Times New Roman" w:cs="Times New Roman"/>
          <w:sz w:val="24"/>
          <w:szCs w:val="24"/>
        </w:rPr>
        <w:t>pour enl</w:t>
      </w:r>
      <w:r w:rsidR="0090228D">
        <w:rPr>
          <w:rFonts w:ascii="Times New Roman" w:hAnsi="Times New Roman" w:cs="Times New Roman"/>
          <w:sz w:val="24"/>
          <w:szCs w:val="24"/>
        </w:rPr>
        <w:t>ever l</w:t>
      </w:r>
      <w:r w:rsidRPr="008D2263">
        <w:rPr>
          <w:rFonts w:ascii="Times New Roman" w:hAnsi="Times New Roman" w:cs="Times New Roman"/>
          <w:sz w:val="24"/>
          <w:szCs w:val="24"/>
        </w:rPr>
        <w:t xml:space="preserve">e soufre, l'azote, et les métaux qui  sont </w:t>
      </w:r>
      <w:r w:rsidR="0090228D">
        <w:rPr>
          <w:rFonts w:ascii="Times New Roman" w:hAnsi="Times New Roman" w:cs="Times New Roman"/>
          <w:sz w:val="24"/>
          <w:szCs w:val="24"/>
        </w:rPr>
        <w:t xml:space="preserve">des </w:t>
      </w:r>
      <w:r w:rsidRPr="008D2263">
        <w:rPr>
          <w:rFonts w:ascii="Times New Roman" w:hAnsi="Times New Roman" w:cs="Times New Roman"/>
          <w:sz w:val="24"/>
          <w:szCs w:val="24"/>
        </w:rPr>
        <w:t>poison</w:t>
      </w:r>
      <w:r w:rsidR="0090228D">
        <w:rPr>
          <w:rFonts w:ascii="Times New Roman" w:hAnsi="Times New Roman" w:cs="Times New Roman"/>
          <w:sz w:val="24"/>
          <w:szCs w:val="24"/>
        </w:rPr>
        <w:t>s</w:t>
      </w:r>
      <w:r w:rsidRPr="008D2263">
        <w:rPr>
          <w:rFonts w:ascii="Times New Roman" w:hAnsi="Times New Roman" w:cs="Times New Roman"/>
          <w:sz w:val="24"/>
          <w:szCs w:val="24"/>
        </w:rPr>
        <w:t xml:space="preserve">  aux catalyseurs de reformage.</w:t>
      </w:r>
    </w:p>
    <w:p w:rsidR="00531DD9" w:rsidRPr="008D2263" w:rsidRDefault="00531DD9" w:rsidP="0090228D">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2263">
        <w:rPr>
          <w:rFonts w:ascii="Times New Roman" w:hAnsi="Times New Roman" w:cs="Times New Roman"/>
          <w:vanish/>
          <w:color w:val="000080"/>
          <w:sz w:val="24"/>
          <w:szCs w:val="24"/>
        </w:rPr>
        <w:t>¶</w:t>
      </w:r>
      <w:r w:rsidRPr="008D2263">
        <w:rPr>
          <w:rFonts w:ascii="Times New Roman" w:hAnsi="Times New Roman" w:cs="Times New Roman"/>
          <w:sz w:val="24"/>
          <w:szCs w:val="24"/>
        </w:rPr>
        <w:t xml:space="preserve">Le kérosène et </w:t>
      </w:r>
      <w:r w:rsidR="0090228D">
        <w:rPr>
          <w:rFonts w:ascii="Times New Roman" w:hAnsi="Times New Roman" w:cs="Times New Roman"/>
          <w:sz w:val="24"/>
          <w:szCs w:val="24"/>
        </w:rPr>
        <w:t>D</w:t>
      </w:r>
      <w:r w:rsidRPr="008D2263">
        <w:rPr>
          <w:rFonts w:ascii="Times New Roman" w:hAnsi="Times New Roman" w:cs="Times New Roman"/>
          <w:sz w:val="24"/>
          <w:szCs w:val="24"/>
        </w:rPr>
        <w:t>iesel</w:t>
      </w:r>
      <w:r w:rsidR="0090228D">
        <w:rPr>
          <w:rFonts w:ascii="Times New Roman" w:hAnsi="Times New Roman" w:cs="Times New Roman"/>
          <w:sz w:val="24"/>
          <w:szCs w:val="24"/>
        </w:rPr>
        <w:t xml:space="preserve"> : </w:t>
      </w:r>
      <w:r w:rsidRPr="008D2263">
        <w:rPr>
          <w:rFonts w:ascii="Times New Roman" w:hAnsi="Times New Roman" w:cs="Times New Roman"/>
          <w:sz w:val="24"/>
          <w:szCs w:val="24"/>
        </w:rPr>
        <w:t>pour enl</w:t>
      </w:r>
      <w:r w:rsidR="0090228D">
        <w:rPr>
          <w:rFonts w:ascii="Times New Roman" w:hAnsi="Times New Roman" w:cs="Times New Roman"/>
          <w:sz w:val="24"/>
          <w:szCs w:val="24"/>
        </w:rPr>
        <w:t>ever</w:t>
      </w:r>
      <w:r w:rsidRPr="008D2263">
        <w:rPr>
          <w:rFonts w:ascii="Times New Roman" w:hAnsi="Times New Roman" w:cs="Times New Roman"/>
          <w:sz w:val="24"/>
          <w:szCs w:val="24"/>
        </w:rPr>
        <w:t xml:space="preserve"> </w:t>
      </w:r>
      <w:r w:rsidR="0090228D">
        <w:rPr>
          <w:rFonts w:ascii="Times New Roman" w:hAnsi="Times New Roman" w:cs="Times New Roman"/>
          <w:sz w:val="24"/>
          <w:szCs w:val="24"/>
        </w:rPr>
        <w:t>l</w:t>
      </w:r>
      <w:r w:rsidRPr="008D2263">
        <w:rPr>
          <w:rFonts w:ascii="Times New Roman" w:hAnsi="Times New Roman" w:cs="Times New Roman"/>
          <w:sz w:val="24"/>
          <w:szCs w:val="24"/>
        </w:rPr>
        <w:t xml:space="preserve">e soufre et pour saturer les oléfines et certains composés aromatiques, pour améliorer  les propriétés  des alimentations (point de formation de fumée de kérosène, indice de cétane </w:t>
      </w:r>
      <w:r w:rsidR="0090228D">
        <w:rPr>
          <w:rFonts w:ascii="Times New Roman" w:hAnsi="Times New Roman" w:cs="Times New Roman"/>
          <w:sz w:val="24"/>
          <w:szCs w:val="24"/>
        </w:rPr>
        <w:t>D</w:t>
      </w:r>
      <w:r w:rsidRPr="008D2263">
        <w:rPr>
          <w:rFonts w:ascii="Times New Roman" w:hAnsi="Times New Roman" w:cs="Times New Roman"/>
          <w:sz w:val="24"/>
          <w:szCs w:val="24"/>
        </w:rPr>
        <w:t xml:space="preserve">iesel) aussi bien que la stabilité de stockage </w:t>
      </w:r>
    </w:p>
    <w:p w:rsidR="00531DD9" w:rsidRPr="008D2263" w:rsidRDefault="00531DD9" w:rsidP="0090228D">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2263">
        <w:rPr>
          <w:rFonts w:ascii="Times New Roman" w:hAnsi="Times New Roman" w:cs="Times New Roman"/>
          <w:vanish/>
          <w:color w:val="000080"/>
          <w:sz w:val="24"/>
          <w:szCs w:val="24"/>
        </w:rPr>
        <w:t>¶</w:t>
      </w:r>
      <w:r w:rsidRPr="008D2263">
        <w:rPr>
          <w:rFonts w:ascii="Times New Roman" w:hAnsi="Times New Roman" w:cs="Times New Roman"/>
          <w:sz w:val="24"/>
          <w:szCs w:val="24"/>
        </w:rPr>
        <w:t>L’huile lubrifiant</w:t>
      </w:r>
      <w:r w:rsidR="0090228D">
        <w:rPr>
          <w:rFonts w:ascii="Times New Roman" w:hAnsi="Times New Roman" w:cs="Times New Roman"/>
          <w:sz w:val="24"/>
          <w:szCs w:val="24"/>
        </w:rPr>
        <w:t xml:space="preserve"> : </w:t>
      </w:r>
      <w:r w:rsidRPr="008D2263">
        <w:rPr>
          <w:rFonts w:ascii="Times New Roman" w:hAnsi="Times New Roman" w:cs="Times New Roman"/>
          <w:sz w:val="24"/>
          <w:szCs w:val="24"/>
        </w:rPr>
        <w:t>pour améliore</w:t>
      </w:r>
      <w:r w:rsidR="0090228D">
        <w:rPr>
          <w:rFonts w:ascii="Times New Roman" w:hAnsi="Times New Roman" w:cs="Times New Roman"/>
          <w:sz w:val="24"/>
          <w:szCs w:val="24"/>
        </w:rPr>
        <w:t>r</w:t>
      </w:r>
      <w:r w:rsidRPr="008D2263">
        <w:rPr>
          <w:rFonts w:ascii="Times New Roman" w:hAnsi="Times New Roman" w:cs="Times New Roman"/>
          <w:sz w:val="24"/>
          <w:szCs w:val="24"/>
        </w:rPr>
        <w:t xml:space="preserve"> l'indice de viscosité, la couleur, et la stabilité de stockage </w:t>
      </w:r>
    </w:p>
    <w:p w:rsidR="00531DD9" w:rsidRPr="00D75634" w:rsidRDefault="00531DD9" w:rsidP="0090228D">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8D2263">
        <w:rPr>
          <w:rFonts w:ascii="Times New Roman" w:hAnsi="Times New Roman" w:cs="Times New Roman"/>
          <w:vanish/>
          <w:color w:val="000080"/>
          <w:sz w:val="24"/>
          <w:szCs w:val="24"/>
        </w:rPr>
        <w:t>¶</w:t>
      </w:r>
      <w:r w:rsidRPr="008D2263">
        <w:rPr>
          <w:rFonts w:ascii="Times New Roman" w:hAnsi="Times New Roman" w:cs="Times New Roman"/>
          <w:sz w:val="24"/>
          <w:szCs w:val="24"/>
        </w:rPr>
        <w:t>L’alimentation de FCC</w:t>
      </w:r>
      <w:r w:rsidR="0090228D">
        <w:rPr>
          <w:rFonts w:ascii="Times New Roman" w:hAnsi="Times New Roman" w:cs="Times New Roman"/>
          <w:sz w:val="24"/>
          <w:szCs w:val="24"/>
        </w:rPr>
        <w:t xml:space="preserve"> : </w:t>
      </w:r>
      <w:r w:rsidRPr="008D2263">
        <w:rPr>
          <w:rFonts w:ascii="Times New Roman" w:hAnsi="Times New Roman" w:cs="Times New Roman"/>
          <w:sz w:val="24"/>
          <w:szCs w:val="24"/>
        </w:rPr>
        <w:t>pour amélior</w:t>
      </w:r>
      <w:r w:rsidR="0090228D">
        <w:rPr>
          <w:rFonts w:ascii="Times New Roman" w:hAnsi="Times New Roman" w:cs="Times New Roman"/>
          <w:sz w:val="24"/>
          <w:szCs w:val="24"/>
        </w:rPr>
        <w:t>er</w:t>
      </w:r>
      <w:r w:rsidRPr="008D2263">
        <w:rPr>
          <w:rFonts w:ascii="Times New Roman" w:hAnsi="Times New Roman" w:cs="Times New Roman"/>
          <w:sz w:val="24"/>
          <w:szCs w:val="24"/>
        </w:rPr>
        <w:t xml:space="preserve"> les rendements de FCC, réduisent l'utilisation de catalyseur et empilent des émissions</w:t>
      </w:r>
      <w:r>
        <w:rPr>
          <w:rFonts w:ascii="Times New Roman" w:hAnsi="Times New Roman" w:cs="Times New Roman"/>
          <w:sz w:val="24"/>
          <w:szCs w:val="24"/>
        </w:rPr>
        <w:t>.</w:t>
      </w:r>
    </w:p>
    <w:p w:rsidR="00531DD9" w:rsidRPr="00D75634" w:rsidRDefault="00531DD9" w:rsidP="0090228D">
      <w:pPr>
        <w:spacing w:line="360" w:lineRule="auto"/>
        <w:jc w:val="both"/>
        <w:rPr>
          <w:rFonts w:asciiTheme="majorBidi" w:hAnsiTheme="majorBidi" w:cstheme="majorBidi"/>
        </w:rPr>
      </w:pPr>
      <w:r w:rsidRPr="00D75634">
        <w:rPr>
          <w:rFonts w:asciiTheme="majorBidi" w:hAnsiTheme="majorBidi" w:cstheme="majorBidi"/>
        </w:rPr>
        <w:t xml:space="preserve">De nos jours, l'utilisation du logiciel de simulation pour le développement de la conception de réacteur et la balance jusqu'aux capacités industrielles, est la méthode la plus désirée pour réduire des coûts de développement de technologie. L’utilisation de simulation permet d’étudier les opérations plus ordinaires du processus tels que la recherche sur l'augmentation et la capacité décroissante de fonctionnement des unités et finalement la conception et pour optimiser une unité de HDS. Avec ce logiciel de simulation nous pouvions étudier des </w:t>
      </w:r>
      <w:r w:rsidRPr="00D75634">
        <w:rPr>
          <w:rFonts w:asciiTheme="majorBidi" w:hAnsiTheme="majorBidi" w:cstheme="majorBidi"/>
        </w:rPr>
        <w:lastRenderedPageBreak/>
        <w:t>dimensions d</w:t>
      </w:r>
      <w:r w:rsidR="0090228D">
        <w:rPr>
          <w:rFonts w:asciiTheme="majorBidi" w:hAnsiTheme="majorBidi" w:cstheme="majorBidi"/>
        </w:rPr>
        <w:t>u</w:t>
      </w:r>
      <w:r w:rsidRPr="00D75634">
        <w:rPr>
          <w:rFonts w:asciiTheme="majorBidi" w:hAnsiTheme="majorBidi" w:cstheme="majorBidi"/>
        </w:rPr>
        <w:t xml:space="preserve"> réacteur, </w:t>
      </w:r>
      <w:r w:rsidR="0090228D">
        <w:rPr>
          <w:rFonts w:asciiTheme="majorBidi" w:hAnsiTheme="majorBidi" w:cstheme="majorBidi"/>
        </w:rPr>
        <w:t>l</w:t>
      </w:r>
      <w:r w:rsidRPr="00D75634">
        <w:rPr>
          <w:rFonts w:asciiTheme="majorBidi" w:hAnsiTheme="majorBidi" w:cstheme="majorBidi"/>
        </w:rPr>
        <w:t xml:space="preserve">es propriétés de catalyseur et </w:t>
      </w:r>
      <w:r w:rsidR="0090228D">
        <w:rPr>
          <w:rFonts w:asciiTheme="majorBidi" w:hAnsiTheme="majorBidi" w:cstheme="majorBidi"/>
        </w:rPr>
        <w:t>les</w:t>
      </w:r>
      <w:r w:rsidRPr="00D75634">
        <w:rPr>
          <w:rFonts w:asciiTheme="majorBidi" w:hAnsiTheme="majorBidi" w:cstheme="majorBidi"/>
        </w:rPr>
        <w:t xml:space="preserve"> divers paramètres tels que la température, la pression, le débit, et les effets de composition de l’alimentation. À cet égard, afin de préparer un logiciel ultra-profond d’hydrodésulfuration, la modélisation et la simulation du processus de HDS ont été effectuées </w:t>
      </w:r>
      <w:r w:rsidR="0090228D">
        <w:rPr>
          <w:rFonts w:asciiTheme="majorBidi" w:hAnsiTheme="majorBidi" w:cstheme="majorBidi"/>
        </w:rPr>
        <w:t>par</w:t>
      </w:r>
      <w:r w:rsidRPr="00D75634">
        <w:rPr>
          <w:rFonts w:asciiTheme="majorBidi" w:hAnsiTheme="majorBidi" w:cstheme="majorBidi"/>
        </w:rPr>
        <w:t xml:space="preserve"> le département de la Division de technologie et de développ</w:t>
      </w:r>
      <w:r>
        <w:rPr>
          <w:rFonts w:asciiTheme="majorBidi" w:hAnsiTheme="majorBidi" w:cstheme="majorBidi"/>
        </w:rPr>
        <w:t xml:space="preserve">ement de processus </w:t>
      </w:r>
      <w:r w:rsidRPr="00D75634">
        <w:rPr>
          <w:rFonts w:asciiTheme="majorBidi" w:hAnsiTheme="majorBidi" w:cstheme="majorBidi"/>
        </w:rPr>
        <w:t xml:space="preserve">à </w:t>
      </w:r>
      <w:r>
        <w:rPr>
          <w:rFonts w:asciiTheme="majorBidi" w:hAnsiTheme="majorBidi" w:cstheme="majorBidi"/>
        </w:rPr>
        <w:t xml:space="preserve">RA1/Z </w:t>
      </w:r>
      <w:r w:rsidR="0090228D">
        <w:rPr>
          <w:rFonts w:asciiTheme="majorBidi" w:hAnsiTheme="majorBidi" w:cstheme="majorBidi"/>
        </w:rPr>
        <w:t>(</w:t>
      </w:r>
      <w:r>
        <w:rPr>
          <w:rFonts w:asciiTheme="majorBidi" w:hAnsiTheme="majorBidi" w:cstheme="majorBidi"/>
        </w:rPr>
        <w:t>raffinerie d’</w:t>
      </w:r>
      <w:r w:rsidR="00187FF0">
        <w:rPr>
          <w:rFonts w:asciiTheme="majorBidi" w:hAnsiTheme="majorBidi" w:cstheme="majorBidi"/>
        </w:rPr>
        <w:t>Arzew</w:t>
      </w:r>
      <w:r w:rsidR="0090228D">
        <w:rPr>
          <w:rFonts w:asciiTheme="majorBidi" w:hAnsiTheme="majorBidi" w:cstheme="majorBidi"/>
        </w:rPr>
        <w:t>)</w:t>
      </w:r>
      <w:r w:rsidRPr="00D75634">
        <w:rPr>
          <w:rFonts w:asciiTheme="majorBidi" w:hAnsiTheme="majorBidi" w:cstheme="majorBidi"/>
        </w:rPr>
        <w:t>.</w:t>
      </w:r>
    </w:p>
    <w:p w:rsidR="005817A3" w:rsidRPr="009429F7" w:rsidRDefault="00BE3358" w:rsidP="00BE3358">
      <w:pPr>
        <w:spacing w:line="360" w:lineRule="auto"/>
        <w:jc w:val="lowKashida"/>
        <w:rPr>
          <w:sz w:val="26"/>
          <w:szCs w:val="26"/>
        </w:rPr>
      </w:pPr>
      <w:r w:rsidRPr="0044031A">
        <w:rPr>
          <w:sz w:val="26"/>
          <w:szCs w:val="26"/>
        </w:rPr>
        <w:t xml:space="preserve"> </w:t>
      </w:r>
    </w:p>
    <w:sectPr w:rsidR="005817A3" w:rsidRPr="009429F7" w:rsidSect="00136CC8">
      <w:headerReference w:type="default" r:id="rId8"/>
      <w:footerReference w:type="even" r:id="rId9"/>
      <w:footerReference w:type="default" r:id="rId10"/>
      <w:pgSz w:w="11907" w:h="16840" w:code="9"/>
      <w:pgMar w:top="1134" w:right="1134" w:bottom="1134" w:left="1418" w:header="720" w:footer="720" w:gutter="284"/>
      <w:pgNumType w:start="12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4A0" w:rsidRDefault="002D54A0">
      <w:r>
        <w:separator/>
      </w:r>
    </w:p>
  </w:endnote>
  <w:endnote w:type="continuationSeparator" w:id="1">
    <w:p w:rsidR="002D54A0" w:rsidRDefault="002D54A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D6" w:rsidRDefault="007B18AF" w:rsidP="00183572">
    <w:pPr>
      <w:pStyle w:val="Pieddepage"/>
      <w:framePr w:wrap="around" w:vAnchor="text" w:hAnchor="margin" w:xAlign="center" w:y="1"/>
      <w:rPr>
        <w:rStyle w:val="Numrodepage"/>
      </w:rPr>
    </w:pPr>
    <w:r>
      <w:rPr>
        <w:rStyle w:val="Numrodepage"/>
      </w:rPr>
      <w:fldChar w:fldCharType="begin"/>
    </w:r>
    <w:r w:rsidR="00B335D6">
      <w:rPr>
        <w:rStyle w:val="Numrodepage"/>
      </w:rPr>
      <w:instrText xml:space="preserve">PAGE  </w:instrText>
    </w:r>
    <w:r>
      <w:rPr>
        <w:rStyle w:val="Numrodepage"/>
      </w:rPr>
      <w:fldChar w:fldCharType="end"/>
    </w:r>
  </w:p>
  <w:p w:rsidR="00B335D6" w:rsidRDefault="00B335D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D6" w:rsidRPr="00BD4E97" w:rsidRDefault="007B18AF" w:rsidP="00183572">
    <w:pPr>
      <w:pStyle w:val="Pieddepage"/>
      <w:framePr w:wrap="around" w:vAnchor="text" w:hAnchor="margin" w:xAlign="center" w:y="1"/>
      <w:rPr>
        <w:rStyle w:val="Numrodepage"/>
        <w:sz w:val="26"/>
        <w:szCs w:val="26"/>
      </w:rPr>
    </w:pPr>
    <w:r w:rsidRPr="00BD4E97">
      <w:rPr>
        <w:rStyle w:val="Numrodepage"/>
        <w:sz w:val="26"/>
        <w:szCs w:val="26"/>
      </w:rPr>
      <w:fldChar w:fldCharType="begin"/>
    </w:r>
    <w:r w:rsidR="00B335D6" w:rsidRPr="00BD4E97">
      <w:rPr>
        <w:rStyle w:val="Numrodepage"/>
        <w:sz w:val="26"/>
        <w:szCs w:val="26"/>
      </w:rPr>
      <w:instrText xml:space="preserve">PAGE  </w:instrText>
    </w:r>
    <w:r w:rsidRPr="00BD4E97">
      <w:rPr>
        <w:rStyle w:val="Numrodepage"/>
        <w:sz w:val="26"/>
        <w:szCs w:val="26"/>
      </w:rPr>
      <w:fldChar w:fldCharType="separate"/>
    </w:r>
    <w:r w:rsidR="00AB0F8D">
      <w:rPr>
        <w:rStyle w:val="Numrodepage"/>
        <w:noProof/>
        <w:sz w:val="26"/>
        <w:szCs w:val="26"/>
      </w:rPr>
      <w:t>123</w:t>
    </w:r>
    <w:r w:rsidRPr="00BD4E97">
      <w:rPr>
        <w:rStyle w:val="Numrodepage"/>
        <w:sz w:val="26"/>
        <w:szCs w:val="26"/>
      </w:rPr>
      <w:fldChar w:fldCharType="end"/>
    </w:r>
  </w:p>
  <w:p w:rsidR="00B335D6" w:rsidRPr="00DC257E" w:rsidRDefault="00DC257E" w:rsidP="00DC257E">
    <w:pPr>
      <w:pStyle w:val="Pieddepage"/>
      <w:pBdr>
        <w:top w:val="single" w:sz="4" w:space="1" w:color="auto"/>
      </w:pBdr>
      <w:rPr>
        <w:b/>
        <w:bCs/>
        <w:i/>
        <w:iCs/>
        <w:sz w:val="26"/>
        <w:szCs w:val="26"/>
      </w:rPr>
    </w:pPr>
    <w:r w:rsidRPr="00DC257E">
      <w:rPr>
        <w:b/>
        <w:bCs/>
        <w:i/>
        <w:iCs/>
        <w:sz w:val="26"/>
        <w:szCs w:val="26"/>
      </w:rPr>
      <w:t>Mémoire de Magister</w:t>
    </w:r>
    <w:r w:rsidR="00BD4E97" w:rsidRPr="00DC257E">
      <w:rPr>
        <w:b/>
        <w:bCs/>
        <w:i/>
        <w:iCs/>
        <w:sz w:val="26"/>
        <w:szCs w:val="26"/>
      </w:rPr>
      <w:t xml:space="preserve">                                                                                      </w:t>
    </w:r>
    <w:r w:rsidR="00DE1E2E" w:rsidRPr="00DC257E">
      <w:rPr>
        <w:b/>
        <w:bCs/>
        <w:i/>
        <w:iCs/>
        <w:sz w:val="26"/>
        <w:szCs w:val="26"/>
      </w:rPr>
      <w:t xml:space="preserve">        </w:t>
    </w:r>
    <w:r w:rsidR="00BD4E97" w:rsidRPr="00DC257E">
      <w:rPr>
        <w:b/>
        <w:bCs/>
        <w:i/>
        <w:iCs/>
        <w:sz w:val="26"/>
        <w:szCs w:val="26"/>
      </w:rPr>
      <w:t xml:space="preserve">  </w:t>
    </w:r>
    <w:r w:rsidR="00DE1E2E" w:rsidRPr="00DC257E">
      <w:rPr>
        <w:b/>
        <w:bCs/>
        <w:i/>
        <w:iCs/>
        <w:sz w:val="26"/>
        <w:szCs w:val="26"/>
      </w:rPr>
      <w:t>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4A0" w:rsidRDefault="002D54A0">
      <w:r>
        <w:separator/>
      </w:r>
    </w:p>
  </w:footnote>
  <w:footnote w:type="continuationSeparator" w:id="1">
    <w:p w:rsidR="002D54A0" w:rsidRDefault="002D54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D6" w:rsidRPr="00DC257E" w:rsidRDefault="00B335D6" w:rsidP="00B335D6">
    <w:pPr>
      <w:pStyle w:val="En-tte"/>
      <w:pBdr>
        <w:bottom w:val="single" w:sz="4" w:space="1" w:color="auto"/>
      </w:pBdr>
      <w:rPr>
        <w:b/>
        <w:bCs/>
        <w:i/>
        <w:iCs/>
        <w:sz w:val="26"/>
        <w:szCs w:val="26"/>
      </w:rPr>
    </w:pPr>
    <w:r w:rsidRPr="00DC257E">
      <w:rPr>
        <w:b/>
        <w:bCs/>
        <w:i/>
        <w:iCs/>
        <w:sz w:val="26"/>
        <w:szCs w:val="26"/>
      </w:rPr>
      <w:t xml:space="preserve">                      </w:t>
    </w:r>
    <w:r w:rsidR="00DC257E">
      <w:rPr>
        <w:b/>
        <w:bCs/>
        <w:i/>
        <w:iCs/>
        <w:sz w:val="26"/>
        <w:szCs w:val="26"/>
      </w:rPr>
      <w:t xml:space="preserve">              </w:t>
    </w:r>
    <w:r w:rsidRPr="00DC257E">
      <w:rPr>
        <w:b/>
        <w:bCs/>
        <w:i/>
        <w:iCs/>
        <w:sz w:val="26"/>
        <w:szCs w:val="26"/>
      </w:rPr>
      <w:t xml:space="preserve">                                                      </w:t>
    </w:r>
    <w:r w:rsidR="00D4000B" w:rsidRPr="00DC257E">
      <w:rPr>
        <w:b/>
        <w:bCs/>
        <w:i/>
        <w:iCs/>
        <w:sz w:val="26"/>
        <w:szCs w:val="26"/>
      </w:rPr>
      <w:t xml:space="preserve">         </w:t>
    </w:r>
    <w:r w:rsidR="00BD4E97" w:rsidRPr="00DC257E">
      <w:rPr>
        <w:b/>
        <w:bCs/>
        <w:i/>
        <w:iCs/>
        <w:sz w:val="26"/>
        <w:szCs w:val="26"/>
      </w:rPr>
      <w:t xml:space="preserve">                  </w:t>
    </w:r>
    <w:r w:rsidR="00D4000B" w:rsidRPr="00DC257E">
      <w:rPr>
        <w:b/>
        <w:bCs/>
        <w:i/>
        <w:iCs/>
        <w:sz w:val="26"/>
        <w:szCs w:val="26"/>
      </w:rPr>
      <w:t xml:space="preserve"> </w:t>
    </w:r>
    <w:r w:rsidR="002E71CB">
      <w:rPr>
        <w:b/>
        <w:bCs/>
        <w:i/>
        <w:iCs/>
        <w:sz w:val="26"/>
        <w:szCs w:val="26"/>
      </w:rPr>
      <w:t>Conclusion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524AB4"/>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9429F7"/>
    <w:rsid w:val="000409C1"/>
    <w:rsid w:val="0009158D"/>
    <w:rsid w:val="000B7E54"/>
    <w:rsid w:val="00136CC8"/>
    <w:rsid w:val="00183572"/>
    <w:rsid w:val="00187FF0"/>
    <w:rsid w:val="001B01BD"/>
    <w:rsid w:val="001F2ECE"/>
    <w:rsid w:val="002D54A0"/>
    <w:rsid w:val="002E71CB"/>
    <w:rsid w:val="002F7010"/>
    <w:rsid w:val="00304474"/>
    <w:rsid w:val="00342FEB"/>
    <w:rsid w:val="0037500C"/>
    <w:rsid w:val="003A2822"/>
    <w:rsid w:val="003E3010"/>
    <w:rsid w:val="0048328D"/>
    <w:rsid w:val="00531DD9"/>
    <w:rsid w:val="005817A3"/>
    <w:rsid w:val="00613B32"/>
    <w:rsid w:val="00625CE8"/>
    <w:rsid w:val="00627A82"/>
    <w:rsid w:val="0071187C"/>
    <w:rsid w:val="00776450"/>
    <w:rsid w:val="007B18AF"/>
    <w:rsid w:val="00817440"/>
    <w:rsid w:val="00824BF3"/>
    <w:rsid w:val="008451CC"/>
    <w:rsid w:val="008C2140"/>
    <w:rsid w:val="0090228D"/>
    <w:rsid w:val="00912931"/>
    <w:rsid w:val="00921659"/>
    <w:rsid w:val="009429F7"/>
    <w:rsid w:val="00944839"/>
    <w:rsid w:val="009B0BFD"/>
    <w:rsid w:val="009F50E9"/>
    <w:rsid w:val="00AB0F8D"/>
    <w:rsid w:val="00AD66C4"/>
    <w:rsid w:val="00AF7B40"/>
    <w:rsid w:val="00B136D4"/>
    <w:rsid w:val="00B32DAF"/>
    <w:rsid w:val="00B335D6"/>
    <w:rsid w:val="00B929CA"/>
    <w:rsid w:val="00BD4E97"/>
    <w:rsid w:val="00BE3358"/>
    <w:rsid w:val="00C83FAE"/>
    <w:rsid w:val="00CD04D1"/>
    <w:rsid w:val="00CE4B33"/>
    <w:rsid w:val="00D12344"/>
    <w:rsid w:val="00D4000B"/>
    <w:rsid w:val="00D622D7"/>
    <w:rsid w:val="00DC257E"/>
    <w:rsid w:val="00DE1E2E"/>
    <w:rsid w:val="00F20EB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358"/>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BE3358"/>
    <w:rPr>
      <w:sz w:val="28"/>
      <w:szCs w:val="28"/>
    </w:rPr>
  </w:style>
  <w:style w:type="paragraph" w:styleId="Corpsdetexte2">
    <w:name w:val="Body Text 2"/>
    <w:basedOn w:val="Normal"/>
    <w:rsid w:val="00BE3358"/>
    <w:pPr>
      <w:spacing w:after="120" w:line="480" w:lineRule="auto"/>
    </w:pPr>
  </w:style>
  <w:style w:type="paragraph" w:styleId="En-tte">
    <w:name w:val="header"/>
    <w:basedOn w:val="Normal"/>
    <w:rsid w:val="00B335D6"/>
    <w:pPr>
      <w:tabs>
        <w:tab w:val="center" w:pos="4536"/>
        <w:tab w:val="right" w:pos="9072"/>
      </w:tabs>
    </w:pPr>
  </w:style>
  <w:style w:type="paragraph" w:styleId="Pieddepage">
    <w:name w:val="footer"/>
    <w:basedOn w:val="Normal"/>
    <w:rsid w:val="00B335D6"/>
    <w:pPr>
      <w:tabs>
        <w:tab w:val="center" w:pos="4536"/>
        <w:tab w:val="right" w:pos="9072"/>
      </w:tabs>
    </w:pPr>
  </w:style>
  <w:style w:type="character" w:styleId="Numrodepage">
    <w:name w:val="page number"/>
    <w:basedOn w:val="Policepardfaut"/>
    <w:rsid w:val="00B335D6"/>
  </w:style>
  <w:style w:type="paragraph" w:styleId="Paragraphedeliste">
    <w:name w:val="List Paragraph"/>
    <w:basedOn w:val="Normal"/>
    <w:uiPriority w:val="34"/>
    <w:qFormat/>
    <w:rsid w:val="00531DD9"/>
    <w:pPr>
      <w:spacing w:after="200" w:line="276" w:lineRule="auto"/>
      <w:ind w:left="720"/>
      <w:contextualSpacing/>
    </w:pPr>
    <w:rPr>
      <w:rFonts w:ascii="Calibri" w:eastAsia="Calibri" w:hAnsi="Calibri" w:cs="Arial"/>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523CD-5F43-4299-8B8A-C18E64BDD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460</Words>
  <Characters>2628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HOME</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MAELAAYNINE</dc:creator>
  <cp:lastModifiedBy>MALAININE</cp:lastModifiedBy>
  <cp:revision>14</cp:revision>
  <dcterms:created xsi:type="dcterms:W3CDTF">2011-01-16T17:28:00Z</dcterms:created>
  <dcterms:modified xsi:type="dcterms:W3CDTF">2011-06-27T23:16:00Z</dcterms:modified>
</cp:coreProperties>
</file>