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792" w:rsidRPr="00324D5B" w:rsidRDefault="00B87792" w:rsidP="00B87792">
      <w:pPr>
        <w:spacing w:before="240" w:after="0" w:line="360" w:lineRule="auto"/>
        <w:rPr>
          <w:rFonts w:ascii="Rockwell Condensed" w:hAnsi="Rockwell Condensed" w:cstheme="majorBidi"/>
          <w:b/>
          <w:bCs/>
          <w:sz w:val="28"/>
          <w:szCs w:val="28"/>
        </w:rPr>
      </w:pPr>
      <w:r w:rsidRPr="00324D5B">
        <w:rPr>
          <w:rFonts w:ascii="Rockwell Condensed" w:hAnsi="Rockwell Condensed" w:cstheme="majorBidi"/>
          <w:b/>
          <w:bCs/>
          <w:sz w:val="28"/>
          <w:szCs w:val="28"/>
        </w:rPr>
        <w:t>Introduction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         </w:t>
      </w:r>
      <w:r>
        <w:rPr>
          <w:rFonts w:asciiTheme="majorBidi" w:hAnsiTheme="majorBidi" w:cstheme="majorBidi"/>
          <w:sz w:val="28"/>
          <w:szCs w:val="28"/>
        </w:rPr>
        <w:t xml:space="preserve">On se propose de récupérer la petite quantité d’asphalte qui se trouve dans notre brut afin de diminuer la quantité du brut réduit importé.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         La première partie de cette étude consiste à tester séparément les deux asphaltes au sein de laboratoire de la raffinerie et récupérer l’asphalte, qui a des caractéristiques voisines de celles du résidu sous vide du brut réduit importé de la Zone 10, et pour éviter des excédents dans la production, on mélange les asphaltes proches</w:t>
      </w:r>
      <w:r>
        <w:rPr>
          <w:rFonts w:asciiTheme="majorBidi" w:hAnsiTheme="majorBidi" w:cstheme="majorBidi"/>
          <w:sz w:val="28"/>
          <w:szCs w:val="28"/>
        </w:rPr>
        <w:t xml:space="preserve"> au </w:t>
      </w:r>
      <w:r w:rsidRPr="00324D5B">
        <w:rPr>
          <w:rFonts w:asciiTheme="majorBidi" w:hAnsiTheme="majorBidi" w:cstheme="majorBidi"/>
          <w:sz w:val="28"/>
          <w:szCs w:val="28"/>
        </w:rPr>
        <w:t xml:space="preserve"> laboratoire et on teste le produit obtenu.</w:t>
      </w: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r w:rsidRPr="00324D5B">
        <w:rPr>
          <w:rFonts w:ascii="Rockwell Condensed" w:hAnsi="Rockwell Condensed" w:cstheme="majorBidi"/>
          <w:b/>
          <w:bCs/>
          <w:sz w:val="28"/>
          <w:szCs w:val="28"/>
        </w:rPr>
        <w:lastRenderedPageBreak/>
        <w:t>Partie A : Etude pour la diminution de la quantité du BRI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         Cette étude est consacrée </w:t>
      </w:r>
      <w:r>
        <w:rPr>
          <w:rFonts w:asciiTheme="majorBidi" w:hAnsiTheme="majorBidi" w:cstheme="majorBidi"/>
          <w:sz w:val="28"/>
          <w:szCs w:val="28"/>
        </w:rPr>
        <w:t>à</w:t>
      </w:r>
      <w:r w:rsidRPr="00324D5B">
        <w:rPr>
          <w:rFonts w:asciiTheme="majorBidi" w:hAnsiTheme="majorBidi" w:cstheme="majorBidi"/>
          <w:sz w:val="28"/>
          <w:szCs w:val="28"/>
        </w:rPr>
        <w:t xml:space="preserve"> chercher un asphalte pouvant être considèr</w:t>
      </w:r>
      <w:r>
        <w:rPr>
          <w:rFonts w:asciiTheme="majorBidi" w:hAnsiTheme="majorBidi" w:cstheme="majorBidi"/>
          <w:sz w:val="28"/>
          <w:szCs w:val="28"/>
        </w:rPr>
        <w:t>e</w:t>
      </w:r>
      <w:r w:rsidRPr="00324D5B">
        <w:rPr>
          <w:rFonts w:asciiTheme="majorBidi" w:hAnsiTheme="majorBidi" w:cstheme="majorBidi"/>
          <w:sz w:val="28"/>
          <w:szCs w:val="28"/>
        </w:rPr>
        <w:t xml:space="preserve"> comme l’un des composant</w:t>
      </w:r>
      <w:r>
        <w:rPr>
          <w:rFonts w:asciiTheme="majorBidi" w:hAnsiTheme="majorBidi" w:cstheme="majorBidi"/>
          <w:sz w:val="28"/>
          <w:szCs w:val="28"/>
        </w:rPr>
        <w:t>s</w:t>
      </w:r>
      <w:r w:rsidRPr="00324D5B">
        <w:rPr>
          <w:rFonts w:asciiTheme="majorBidi" w:hAnsiTheme="majorBidi" w:cstheme="majorBidi"/>
          <w:sz w:val="28"/>
          <w:szCs w:val="28"/>
        </w:rPr>
        <w:t xml:space="preserve"> de la charge.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        Le tableau suivant représente les caractéristiques principales de brut réduit importé.    </w:t>
      </w:r>
    </w:p>
    <w:p w:rsidR="00B87792" w:rsidRPr="00324D5B" w:rsidRDefault="00B87792" w:rsidP="00B87792">
      <w:pPr>
        <w:spacing w:before="240"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Tableau </w:t>
      </w:r>
      <w:r>
        <w:rPr>
          <w:rFonts w:asciiTheme="majorBidi" w:hAnsiTheme="majorBidi" w:cstheme="majorBidi"/>
          <w:sz w:val="26"/>
          <w:szCs w:val="26"/>
        </w:rPr>
        <w:t>V.1</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S</w:t>
      </w:r>
      <w:r w:rsidRPr="00324D5B">
        <w:rPr>
          <w:rFonts w:asciiTheme="majorBidi" w:hAnsiTheme="majorBidi" w:cstheme="majorBidi"/>
          <w:sz w:val="26"/>
          <w:szCs w:val="26"/>
        </w:rPr>
        <w:t>pécifications techniques de la charge (BRI)</w:t>
      </w:r>
    </w:p>
    <w:tbl>
      <w:tblPr>
        <w:tblStyle w:val="Grilledutableau"/>
        <w:tblW w:w="0" w:type="auto"/>
        <w:jc w:val="center"/>
        <w:tblLook w:val="04A0"/>
      </w:tblPr>
      <w:tblGrid>
        <w:gridCol w:w="3227"/>
        <w:gridCol w:w="2977"/>
        <w:gridCol w:w="2303"/>
      </w:tblGrid>
      <w:tr w:rsidR="00B87792" w:rsidRPr="00324D5B" w:rsidTr="00453770">
        <w:trPr>
          <w:jc w:val="center"/>
        </w:trPr>
        <w:tc>
          <w:tcPr>
            <w:tcW w:w="3227" w:type="dxa"/>
          </w:tcPr>
          <w:p w:rsidR="00B87792" w:rsidRPr="00324D5B" w:rsidRDefault="00B87792" w:rsidP="00453770">
            <w:pPr>
              <w:numPr>
                <w:ilvl w:val="12"/>
                <w:numId w:val="0"/>
              </w:numPr>
              <w:spacing w:before="240" w:line="360" w:lineRule="auto"/>
              <w:jc w:val="center"/>
              <w:rPr>
                <w:rFonts w:asciiTheme="majorBidi" w:hAnsiTheme="majorBidi" w:cstheme="majorBidi"/>
                <w:sz w:val="28"/>
                <w:szCs w:val="28"/>
              </w:rPr>
            </w:pPr>
            <w:r w:rsidRPr="00324D5B">
              <w:rPr>
                <w:rFonts w:asciiTheme="majorBidi" w:hAnsiTheme="majorBidi" w:cstheme="majorBidi"/>
                <w:sz w:val="28"/>
                <w:szCs w:val="28"/>
              </w:rPr>
              <w:t>Tests</w:t>
            </w:r>
          </w:p>
        </w:tc>
        <w:tc>
          <w:tcPr>
            <w:tcW w:w="2977" w:type="dxa"/>
          </w:tcPr>
          <w:p w:rsidR="00B87792" w:rsidRPr="00324D5B" w:rsidRDefault="00B87792" w:rsidP="00453770">
            <w:pPr>
              <w:numPr>
                <w:ilvl w:val="12"/>
                <w:numId w:val="0"/>
              </w:numPr>
              <w:spacing w:before="240" w:line="360" w:lineRule="auto"/>
              <w:jc w:val="center"/>
              <w:rPr>
                <w:rFonts w:asciiTheme="majorBidi" w:hAnsiTheme="majorBidi" w:cstheme="majorBidi"/>
                <w:sz w:val="28"/>
                <w:szCs w:val="28"/>
              </w:rPr>
            </w:pPr>
            <w:r w:rsidRPr="00324D5B">
              <w:rPr>
                <w:rFonts w:asciiTheme="majorBidi" w:hAnsiTheme="majorBidi" w:cstheme="majorBidi"/>
                <w:sz w:val="28"/>
                <w:szCs w:val="28"/>
              </w:rPr>
              <w:t>Méthodes</w:t>
            </w:r>
          </w:p>
        </w:tc>
        <w:tc>
          <w:tcPr>
            <w:tcW w:w="2303" w:type="dxa"/>
          </w:tcPr>
          <w:p w:rsidR="00B87792" w:rsidRPr="00324D5B" w:rsidRDefault="00B87792" w:rsidP="00453770">
            <w:pPr>
              <w:numPr>
                <w:ilvl w:val="12"/>
                <w:numId w:val="0"/>
              </w:numPr>
              <w:spacing w:before="240" w:line="360" w:lineRule="auto"/>
              <w:jc w:val="center"/>
              <w:rPr>
                <w:rFonts w:asciiTheme="majorBidi" w:hAnsiTheme="majorBidi" w:cstheme="majorBidi"/>
                <w:sz w:val="28"/>
                <w:szCs w:val="28"/>
              </w:rPr>
            </w:pPr>
            <w:r w:rsidRPr="00324D5B">
              <w:rPr>
                <w:rFonts w:asciiTheme="majorBidi" w:hAnsiTheme="majorBidi" w:cstheme="majorBidi"/>
                <w:sz w:val="28"/>
                <w:szCs w:val="28"/>
              </w:rPr>
              <w:t>Normes</w:t>
            </w:r>
          </w:p>
        </w:tc>
      </w:tr>
      <w:tr w:rsidR="00B87792" w:rsidRPr="00324D5B" w:rsidTr="00453770">
        <w:trPr>
          <w:jc w:val="center"/>
        </w:trPr>
        <w:tc>
          <w:tcPr>
            <w:tcW w:w="3227" w:type="dxa"/>
            <w:vAlign w:val="center"/>
          </w:tcPr>
          <w:p w:rsidR="00B87792" w:rsidRPr="00324D5B" w:rsidRDefault="00B87792" w:rsidP="00453770">
            <w:pPr>
              <w:numPr>
                <w:ilvl w:val="12"/>
                <w:numId w:val="0"/>
              </w:numPr>
              <w:spacing w:before="240" w:line="360" w:lineRule="auto"/>
              <w:rPr>
                <w:rFonts w:asciiTheme="majorBidi" w:hAnsiTheme="majorBidi" w:cstheme="majorBidi"/>
                <w:sz w:val="28"/>
                <w:szCs w:val="28"/>
                <w:vertAlign w:val="superscript"/>
              </w:rPr>
            </w:pPr>
            <w:r w:rsidRPr="00324D5B">
              <w:rPr>
                <w:rFonts w:asciiTheme="majorBidi" w:hAnsiTheme="majorBidi" w:cstheme="majorBidi"/>
                <w:sz w:val="28"/>
                <w:szCs w:val="28"/>
              </w:rPr>
              <w:t>Densité              d</w:t>
            </w:r>
            <w:r w:rsidRPr="00324D5B">
              <w:rPr>
                <w:rFonts w:asciiTheme="majorBidi" w:hAnsiTheme="majorBidi" w:cstheme="majorBidi"/>
                <w:sz w:val="28"/>
                <w:szCs w:val="28"/>
                <w:vertAlign w:val="subscript"/>
              </w:rPr>
              <w:t>4</w:t>
            </w:r>
            <w:r w:rsidRPr="00324D5B">
              <w:rPr>
                <w:rFonts w:asciiTheme="majorBidi" w:hAnsiTheme="majorBidi" w:cstheme="majorBidi"/>
                <w:sz w:val="28"/>
                <w:szCs w:val="28"/>
                <w:vertAlign w:val="superscript"/>
              </w:rPr>
              <w:t>15</w:t>
            </w:r>
          </w:p>
        </w:tc>
        <w:tc>
          <w:tcPr>
            <w:tcW w:w="2977" w:type="dxa"/>
            <w:vAlign w:val="center"/>
          </w:tcPr>
          <w:p w:rsidR="00B87792" w:rsidRPr="00324D5B" w:rsidRDefault="00B87792" w:rsidP="00453770">
            <w:pPr>
              <w:pStyle w:val="Titre7"/>
              <w:numPr>
                <w:ilvl w:val="12"/>
                <w:numId w:val="0"/>
              </w:numPr>
              <w:spacing w:before="240" w:line="360" w:lineRule="auto"/>
              <w:ind w:left="113"/>
              <w:jc w:val="center"/>
              <w:outlineLvl w:val="6"/>
              <w:rPr>
                <w:rFonts w:asciiTheme="majorBidi" w:eastAsiaTheme="minorHAnsi" w:hAnsiTheme="majorBidi" w:cstheme="majorBidi"/>
                <w:b w:val="0"/>
                <w:bCs w:val="0"/>
                <w:color w:val="auto"/>
                <w:sz w:val="28"/>
                <w:szCs w:val="28"/>
              </w:rPr>
            </w:pPr>
            <w:r w:rsidRPr="00324D5B">
              <w:rPr>
                <w:rFonts w:asciiTheme="majorBidi" w:eastAsiaTheme="minorHAnsi" w:hAnsiTheme="majorBidi" w:cstheme="majorBidi"/>
                <w:b w:val="0"/>
                <w:bCs w:val="0"/>
                <w:color w:val="auto"/>
                <w:sz w:val="28"/>
                <w:szCs w:val="28"/>
              </w:rPr>
              <w:t>ASTM D4052-96</w:t>
            </w:r>
          </w:p>
        </w:tc>
        <w:tc>
          <w:tcPr>
            <w:tcW w:w="2303" w:type="dxa"/>
            <w:vAlign w:val="center"/>
          </w:tcPr>
          <w:p w:rsidR="00B87792" w:rsidRPr="00324D5B" w:rsidRDefault="00B87792" w:rsidP="00453770">
            <w:pPr>
              <w:numPr>
                <w:ilvl w:val="12"/>
                <w:numId w:val="0"/>
              </w:numPr>
              <w:spacing w:before="240" w:line="360" w:lineRule="auto"/>
              <w:rPr>
                <w:rFonts w:asciiTheme="majorBidi" w:hAnsiTheme="majorBidi" w:cstheme="majorBidi"/>
                <w:sz w:val="28"/>
                <w:szCs w:val="28"/>
              </w:rPr>
            </w:pPr>
            <w:r w:rsidRPr="00324D5B">
              <w:rPr>
                <w:rFonts w:asciiTheme="majorBidi" w:hAnsiTheme="majorBidi" w:cstheme="majorBidi"/>
                <w:sz w:val="28"/>
                <w:szCs w:val="28"/>
              </w:rPr>
              <w:t xml:space="preserve">     0,9700 Min</w:t>
            </w:r>
          </w:p>
        </w:tc>
      </w:tr>
      <w:tr w:rsidR="00B87792" w:rsidRPr="00324D5B" w:rsidTr="00453770">
        <w:trPr>
          <w:jc w:val="center"/>
        </w:trPr>
        <w:tc>
          <w:tcPr>
            <w:tcW w:w="3227" w:type="dxa"/>
            <w:vAlign w:val="center"/>
          </w:tcPr>
          <w:p w:rsidR="00B87792" w:rsidRPr="00324D5B" w:rsidRDefault="00B87792" w:rsidP="00453770">
            <w:pPr>
              <w:numPr>
                <w:ilvl w:val="12"/>
                <w:numId w:val="0"/>
              </w:numPr>
              <w:spacing w:before="240" w:line="360" w:lineRule="auto"/>
              <w:rPr>
                <w:rFonts w:asciiTheme="majorBidi" w:hAnsiTheme="majorBidi" w:cstheme="majorBidi"/>
                <w:sz w:val="28"/>
                <w:szCs w:val="28"/>
              </w:rPr>
            </w:pPr>
            <w:r w:rsidRPr="00324D5B">
              <w:rPr>
                <w:rFonts w:asciiTheme="majorBidi" w:hAnsiTheme="majorBidi" w:cstheme="majorBidi"/>
                <w:sz w:val="28"/>
                <w:szCs w:val="28"/>
              </w:rPr>
              <w:t>Viscosité à        50°C</w:t>
            </w:r>
          </w:p>
        </w:tc>
        <w:tc>
          <w:tcPr>
            <w:tcW w:w="2977" w:type="dxa"/>
            <w:vAlign w:val="center"/>
          </w:tcPr>
          <w:p w:rsidR="00B87792" w:rsidRPr="00324D5B" w:rsidRDefault="00B87792" w:rsidP="00453770">
            <w:pPr>
              <w:numPr>
                <w:ilvl w:val="12"/>
                <w:numId w:val="0"/>
              </w:numPr>
              <w:spacing w:before="240" w:line="360" w:lineRule="auto"/>
              <w:ind w:left="113"/>
              <w:jc w:val="center"/>
              <w:rPr>
                <w:rFonts w:asciiTheme="majorBidi" w:hAnsiTheme="majorBidi" w:cstheme="majorBidi"/>
                <w:sz w:val="28"/>
                <w:szCs w:val="28"/>
              </w:rPr>
            </w:pPr>
            <w:r w:rsidRPr="00324D5B">
              <w:rPr>
                <w:rFonts w:asciiTheme="majorBidi" w:hAnsiTheme="majorBidi" w:cstheme="majorBidi"/>
                <w:sz w:val="28"/>
                <w:szCs w:val="28"/>
              </w:rPr>
              <w:t>ASTM D445-96</w:t>
            </w:r>
          </w:p>
        </w:tc>
        <w:tc>
          <w:tcPr>
            <w:tcW w:w="2303" w:type="dxa"/>
            <w:vAlign w:val="center"/>
          </w:tcPr>
          <w:p w:rsidR="00B87792" w:rsidRPr="00324D5B" w:rsidRDefault="00B87792" w:rsidP="00453770">
            <w:pPr>
              <w:numPr>
                <w:ilvl w:val="12"/>
                <w:numId w:val="0"/>
              </w:numPr>
              <w:spacing w:before="240" w:line="360" w:lineRule="auto"/>
              <w:rPr>
                <w:rFonts w:asciiTheme="majorBidi" w:hAnsiTheme="majorBidi" w:cstheme="majorBidi"/>
                <w:sz w:val="28"/>
                <w:szCs w:val="28"/>
              </w:rPr>
            </w:pPr>
            <w:r w:rsidRPr="00324D5B">
              <w:rPr>
                <w:rFonts w:asciiTheme="majorBidi" w:hAnsiTheme="majorBidi" w:cstheme="majorBidi"/>
                <w:sz w:val="28"/>
                <w:szCs w:val="28"/>
              </w:rPr>
              <w:t xml:space="preserve">    800/1800 cSt</w:t>
            </w:r>
          </w:p>
        </w:tc>
      </w:tr>
      <w:tr w:rsidR="00B87792" w:rsidRPr="00324D5B" w:rsidTr="00453770">
        <w:trPr>
          <w:jc w:val="center"/>
        </w:trPr>
        <w:tc>
          <w:tcPr>
            <w:tcW w:w="3227" w:type="dxa"/>
            <w:vAlign w:val="center"/>
          </w:tcPr>
          <w:p w:rsidR="00B87792" w:rsidRPr="00324D5B" w:rsidRDefault="00B87792" w:rsidP="00453770">
            <w:pPr>
              <w:numPr>
                <w:ilvl w:val="12"/>
                <w:numId w:val="0"/>
              </w:numPr>
              <w:spacing w:before="240" w:line="360" w:lineRule="auto"/>
              <w:rPr>
                <w:rFonts w:asciiTheme="majorBidi" w:hAnsiTheme="majorBidi" w:cstheme="majorBidi"/>
                <w:sz w:val="28"/>
                <w:szCs w:val="28"/>
              </w:rPr>
            </w:pPr>
            <w:r w:rsidRPr="00324D5B">
              <w:rPr>
                <w:rFonts w:asciiTheme="majorBidi" w:hAnsiTheme="majorBidi" w:cstheme="majorBidi"/>
                <w:sz w:val="28"/>
                <w:szCs w:val="28"/>
              </w:rPr>
              <w:t>Sulfure              % pds</w:t>
            </w:r>
          </w:p>
        </w:tc>
        <w:tc>
          <w:tcPr>
            <w:tcW w:w="2977" w:type="dxa"/>
            <w:vAlign w:val="center"/>
          </w:tcPr>
          <w:p w:rsidR="00B87792" w:rsidRPr="00324D5B" w:rsidRDefault="00B87792" w:rsidP="00453770">
            <w:pPr>
              <w:numPr>
                <w:ilvl w:val="12"/>
                <w:numId w:val="0"/>
              </w:numPr>
              <w:spacing w:before="240" w:line="360" w:lineRule="auto"/>
              <w:ind w:left="113"/>
              <w:jc w:val="center"/>
              <w:rPr>
                <w:rFonts w:asciiTheme="majorBidi" w:hAnsiTheme="majorBidi" w:cstheme="majorBidi"/>
                <w:sz w:val="28"/>
                <w:szCs w:val="28"/>
              </w:rPr>
            </w:pPr>
            <w:r w:rsidRPr="00324D5B">
              <w:rPr>
                <w:rFonts w:asciiTheme="majorBidi" w:hAnsiTheme="majorBidi" w:cstheme="majorBidi"/>
                <w:sz w:val="28"/>
                <w:szCs w:val="28"/>
              </w:rPr>
              <w:t>ASTM D2622-94</w:t>
            </w:r>
          </w:p>
        </w:tc>
        <w:tc>
          <w:tcPr>
            <w:tcW w:w="2303" w:type="dxa"/>
            <w:vAlign w:val="center"/>
          </w:tcPr>
          <w:p w:rsidR="00B87792" w:rsidRPr="00324D5B" w:rsidRDefault="00B87792" w:rsidP="00453770">
            <w:pPr>
              <w:numPr>
                <w:ilvl w:val="12"/>
                <w:numId w:val="0"/>
              </w:numPr>
              <w:spacing w:before="240" w:line="360" w:lineRule="auto"/>
              <w:ind w:firstLine="497"/>
              <w:rPr>
                <w:rFonts w:asciiTheme="majorBidi" w:hAnsiTheme="majorBidi" w:cstheme="majorBidi"/>
                <w:sz w:val="28"/>
                <w:szCs w:val="28"/>
              </w:rPr>
            </w:pPr>
            <w:r w:rsidRPr="00324D5B">
              <w:rPr>
                <w:rFonts w:asciiTheme="majorBidi" w:hAnsiTheme="majorBidi" w:cstheme="majorBidi"/>
                <w:sz w:val="28"/>
                <w:szCs w:val="28"/>
              </w:rPr>
              <w:t>4 Max</w:t>
            </w:r>
          </w:p>
        </w:tc>
      </w:tr>
      <w:tr w:rsidR="00B87792" w:rsidRPr="00324D5B" w:rsidTr="00453770">
        <w:trPr>
          <w:jc w:val="center"/>
        </w:trPr>
        <w:tc>
          <w:tcPr>
            <w:tcW w:w="3227" w:type="dxa"/>
            <w:vAlign w:val="center"/>
          </w:tcPr>
          <w:p w:rsidR="00B87792" w:rsidRPr="00324D5B" w:rsidRDefault="00B87792" w:rsidP="00453770">
            <w:pPr>
              <w:numPr>
                <w:ilvl w:val="12"/>
                <w:numId w:val="0"/>
              </w:numPr>
              <w:spacing w:before="240" w:line="360" w:lineRule="auto"/>
              <w:rPr>
                <w:rFonts w:asciiTheme="majorBidi" w:hAnsiTheme="majorBidi" w:cstheme="majorBidi"/>
                <w:sz w:val="28"/>
                <w:szCs w:val="28"/>
              </w:rPr>
            </w:pPr>
            <w:r w:rsidRPr="00324D5B">
              <w:rPr>
                <w:rFonts w:asciiTheme="majorBidi" w:hAnsiTheme="majorBidi" w:cstheme="majorBidi"/>
                <w:sz w:val="28"/>
                <w:szCs w:val="28"/>
              </w:rPr>
              <w:t>Asphaltènes      % pds</w:t>
            </w:r>
          </w:p>
        </w:tc>
        <w:tc>
          <w:tcPr>
            <w:tcW w:w="2977" w:type="dxa"/>
            <w:vAlign w:val="center"/>
          </w:tcPr>
          <w:p w:rsidR="00B87792" w:rsidRPr="00324D5B" w:rsidRDefault="00B87792" w:rsidP="00453770">
            <w:pPr>
              <w:numPr>
                <w:ilvl w:val="12"/>
                <w:numId w:val="0"/>
              </w:numPr>
              <w:spacing w:before="240" w:line="360" w:lineRule="auto"/>
              <w:ind w:left="113"/>
              <w:jc w:val="center"/>
              <w:rPr>
                <w:rFonts w:asciiTheme="majorBidi" w:hAnsiTheme="majorBidi" w:cstheme="majorBidi"/>
                <w:sz w:val="28"/>
                <w:szCs w:val="28"/>
              </w:rPr>
            </w:pPr>
            <w:r w:rsidRPr="00324D5B">
              <w:rPr>
                <w:rFonts w:asciiTheme="majorBidi" w:hAnsiTheme="majorBidi" w:cstheme="majorBidi"/>
                <w:sz w:val="28"/>
                <w:szCs w:val="28"/>
              </w:rPr>
              <w:t>IP 143-84</w:t>
            </w:r>
          </w:p>
        </w:tc>
        <w:tc>
          <w:tcPr>
            <w:tcW w:w="2303" w:type="dxa"/>
            <w:vAlign w:val="center"/>
          </w:tcPr>
          <w:p w:rsidR="00B87792" w:rsidRPr="00324D5B" w:rsidRDefault="00B87792" w:rsidP="00453770">
            <w:pPr>
              <w:numPr>
                <w:ilvl w:val="12"/>
                <w:numId w:val="0"/>
              </w:numPr>
              <w:spacing w:before="240" w:line="360" w:lineRule="auto"/>
              <w:ind w:firstLine="497"/>
              <w:rPr>
                <w:rFonts w:asciiTheme="majorBidi" w:hAnsiTheme="majorBidi" w:cstheme="majorBidi"/>
                <w:sz w:val="28"/>
                <w:szCs w:val="28"/>
              </w:rPr>
            </w:pPr>
            <w:r w:rsidRPr="00324D5B">
              <w:rPr>
                <w:rFonts w:asciiTheme="majorBidi" w:hAnsiTheme="majorBidi" w:cstheme="majorBidi"/>
                <w:sz w:val="28"/>
                <w:szCs w:val="28"/>
              </w:rPr>
              <w:t xml:space="preserve"> 8 Min</w:t>
            </w:r>
          </w:p>
        </w:tc>
      </w:tr>
    </w:tbl>
    <w:p w:rsidR="00B87792" w:rsidRPr="00324D5B" w:rsidRDefault="00B87792" w:rsidP="00B87792">
      <w:pPr>
        <w:spacing w:before="240" w:after="0" w:line="360" w:lineRule="auto"/>
        <w:rPr>
          <w:rFonts w:ascii="Rockwell Condensed" w:hAnsi="Rockwell Condensed" w:cstheme="majorBidi"/>
          <w:b/>
          <w:bCs/>
          <w:sz w:val="28"/>
          <w:szCs w:val="28"/>
        </w:rPr>
      </w:pPr>
      <w:r w:rsidRPr="00324D5B">
        <w:rPr>
          <w:rFonts w:ascii="Rockwell Condensed" w:hAnsi="Rockwell Condensed" w:cstheme="majorBidi"/>
          <w:b/>
          <w:bCs/>
          <w:sz w:val="28"/>
          <w:szCs w:val="28"/>
        </w:rPr>
        <w:t>I. Recherche de l’asphalte convenable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Dans la raffinerie d’Arzew, le résidu atmosphérique subi</w:t>
      </w:r>
      <w:r>
        <w:rPr>
          <w:rFonts w:asciiTheme="majorBidi" w:hAnsiTheme="majorBidi" w:cstheme="majorBidi"/>
          <w:sz w:val="28"/>
          <w:szCs w:val="28"/>
        </w:rPr>
        <w:t>t</w:t>
      </w:r>
      <w:r w:rsidRPr="00324D5B">
        <w:rPr>
          <w:rFonts w:asciiTheme="majorBidi" w:hAnsiTheme="majorBidi" w:cstheme="majorBidi"/>
          <w:sz w:val="28"/>
          <w:szCs w:val="28"/>
        </w:rPr>
        <w:t xml:space="preserve"> d’autres extractions pour l’obtention des huiles dans deux zones 5 et 7. Le résidu lourd de ces zones peut servir  de charge et peut entrer dans la production des bitumes.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 but de cette partie est de chercher l’asphalte convenable au RSV de la zone 10 (fond 14C 1).</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 Pour cela il faut analyser les trois produits :</w:t>
      </w:r>
    </w:p>
    <w:p w:rsidR="00B87792" w:rsidRPr="00324D5B" w:rsidRDefault="00B87792" w:rsidP="00B87792">
      <w:pPr>
        <w:pStyle w:val="Paragraphedeliste"/>
        <w:numPr>
          <w:ilvl w:val="0"/>
          <w:numId w:val="1"/>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 RSV du fond de la colonne de désasphaltage de la zone 5.</w:t>
      </w:r>
    </w:p>
    <w:p w:rsidR="00B87792" w:rsidRPr="00324D5B" w:rsidRDefault="00B87792" w:rsidP="00B87792">
      <w:pPr>
        <w:pStyle w:val="Paragraphedeliste"/>
        <w:numPr>
          <w:ilvl w:val="0"/>
          <w:numId w:val="1"/>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 RSV du fond de la colonne de désasphaltage de la zone 7.</w:t>
      </w:r>
    </w:p>
    <w:p w:rsidR="00B87792" w:rsidRPr="00324D5B" w:rsidRDefault="00B87792" w:rsidP="00B87792">
      <w:pPr>
        <w:pStyle w:val="Paragraphedeliste"/>
        <w:numPr>
          <w:ilvl w:val="0"/>
          <w:numId w:val="1"/>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 RSV du fond de la colonne 14 C1 de désasphaltage de la zone 10.</w:t>
      </w:r>
    </w:p>
    <w:p w:rsidR="00B87792" w:rsidRPr="00324D5B" w:rsidRDefault="00B87792" w:rsidP="00B87792">
      <w:pPr>
        <w:spacing w:before="240" w:after="0" w:line="360" w:lineRule="auto"/>
        <w:rPr>
          <w:rFonts w:ascii="Rockwell Condensed" w:hAnsi="Rockwell Condensed" w:cstheme="majorBidi"/>
          <w:sz w:val="32"/>
          <w:szCs w:val="32"/>
        </w:rPr>
      </w:pPr>
    </w:p>
    <w:p w:rsidR="00B87792" w:rsidRPr="00324D5B" w:rsidRDefault="00B87792" w:rsidP="00B87792">
      <w:pPr>
        <w:spacing w:before="240" w:after="0" w:line="360" w:lineRule="auto"/>
        <w:rPr>
          <w:rFonts w:ascii="Rockwell Condensed" w:hAnsi="Rockwell Condensed" w:cstheme="majorBidi"/>
          <w:sz w:val="32"/>
          <w:szCs w:val="32"/>
        </w:rPr>
      </w:pPr>
      <w:r w:rsidRPr="00324D5B">
        <w:rPr>
          <w:rFonts w:ascii="Rockwell Condensed" w:hAnsi="Rockwell Condensed" w:cstheme="majorBidi"/>
          <w:sz w:val="32"/>
          <w:szCs w:val="32"/>
        </w:rPr>
        <w:lastRenderedPageBreak/>
        <w:t>I.1 Les essais :</w:t>
      </w:r>
    </w:p>
    <w:p w:rsidR="00B87792" w:rsidRPr="00324D5B" w:rsidRDefault="00B87792" w:rsidP="00B87792">
      <w:pPr>
        <w:spacing w:before="240" w:after="0" w:line="360" w:lineRule="auto"/>
        <w:rPr>
          <w:rFonts w:ascii="Monotype Corsiva" w:hAnsi="Monotype Corsiva" w:cstheme="majorBidi"/>
          <w:b/>
          <w:bCs/>
          <w:sz w:val="32"/>
          <w:szCs w:val="32"/>
          <w:u w:val="single"/>
        </w:rPr>
      </w:pPr>
      <w:r w:rsidRPr="00324D5B">
        <w:rPr>
          <w:rFonts w:ascii="Monotype Corsiva" w:hAnsi="Monotype Corsiva" w:cstheme="majorBidi"/>
          <w:b/>
          <w:bCs/>
          <w:sz w:val="32"/>
          <w:szCs w:val="32"/>
          <w:u w:val="single"/>
        </w:rPr>
        <w:t>I. 1.a Prise d’échantillon :</w:t>
      </w:r>
    </w:p>
    <w:p w:rsidR="00B87792" w:rsidRPr="00324D5B" w:rsidRDefault="00B87792" w:rsidP="00692D2A">
      <w:pPr>
        <w:pStyle w:val="Paragraphedeliste"/>
        <w:numPr>
          <w:ilvl w:val="0"/>
          <w:numId w:val="2"/>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L’échantillon dans des pots spécia</w:t>
      </w:r>
      <w:r>
        <w:rPr>
          <w:rFonts w:asciiTheme="majorBidi" w:hAnsiTheme="majorBidi" w:cstheme="majorBidi"/>
          <w:sz w:val="28"/>
          <w:szCs w:val="28"/>
        </w:rPr>
        <w:t>ux</w:t>
      </w:r>
      <w:r w:rsidR="00692D2A">
        <w:rPr>
          <w:rFonts w:asciiTheme="majorBidi" w:hAnsiTheme="majorBidi" w:cstheme="majorBidi"/>
          <w:sz w:val="28"/>
          <w:szCs w:val="28"/>
        </w:rPr>
        <w:t xml:space="preserve">, </w:t>
      </w:r>
      <w:r w:rsidR="00692D2A" w:rsidRPr="00324D5B">
        <w:rPr>
          <w:rFonts w:asciiTheme="majorBidi" w:hAnsiTheme="majorBidi" w:cstheme="majorBidi"/>
          <w:sz w:val="28"/>
          <w:szCs w:val="28"/>
        </w:rPr>
        <w:t>neufs, propres et secs</w:t>
      </w:r>
      <w:r w:rsidR="00692D2A">
        <w:rPr>
          <w:rFonts w:asciiTheme="majorBidi" w:hAnsiTheme="majorBidi" w:cstheme="majorBidi"/>
          <w:sz w:val="28"/>
          <w:szCs w:val="28"/>
        </w:rPr>
        <w:t>,</w:t>
      </w:r>
      <w:r w:rsidRPr="00324D5B">
        <w:rPr>
          <w:rFonts w:asciiTheme="majorBidi" w:hAnsiTheme="majorBidi" w:cstheme="majorBidi"/>
          <w:sz w:val="28"/>
          <w:szCs w:val="28"/>
        </w:rPr>
        <w:t xml:space="preserve"> de volume d’un litre en métal.</w:t>
      </w:r>
    </w:p>
    <w:p w:rsidR="00B87792" w:rsidRPr="00324D5B" w:rsidRDefault="00B87792" w:rsidP="00B87792">
      <w:pPr>
        <w:pStyle w:val="Paragraphedeliste"/>
        <w:numPr>
          <w:ilvl w:val="0"/>
          <w:numId w:val="2"/>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Ouverture de la vanne pour purger afin de dégager les impuretés et avoir un produit pur.</w:t>
      </w:r>
    </w:p>
    <w:p w:rsidR="00B87792" w:rsidRPr="00324D5B" w:rsidRDefault="00B87792" w:rsidP="00B87792">
      <w:pPr>
        <w:spacing w:before="240" w:after="0" w:line="360" w:lineRule="auto"/>
        <w:rPr>
          <w:rFonts w:ascii="Monotype Corsiva" w:hAnsi="Monotype Corsiva" w:cstheme="majorBidi"/>
          <w:b/>
          <w:bCs/>
          <w:i/>
          <w:iCs/>
          <w:sz w:val="32"/>
          <w:szCs w:val="32"/>
          <w:u w:val="single"/>
        </w:rPr>
      </w:pPr>
      <w:r w:rsidRPr="00324D5B">
        <w:rPr>
          <w:rFonts w:ascii="Monotype Corsiva" w:hAnsi="Monotype Corsiva" w:cstheme="majorBidi"/>
          <w:b/>
          <w:bCs/>
          <w:i/>
          <w:iCs/>
          <w:sz w:val="32"/>
          <w:szCs w:val="32"/>
          <w:u w:val="single"/>
        </w:rPr>
        <w:t>I.2. b Tests :</w:t>
      </w:r>
    </w:p>
    <w:p w:rsidR="00B87792" w:rsidRPr="00324D5B" w:rsidRDefault="00B87792" w:rsidP="00B87792">
      <w:pPr>
        <w:pStyle w:val="Paragraphedeliste"/>
        <w:numPr>
          <w:ilvl w:val="0"/>
          <w:numId w:val="3"/>
        </w:numPr>
        <w:spacing w:before="240" w:after="0" w:line="360" w:lineRule="auto"/>
        <w:ind w:left="284" w:hanging="284"/>
        <w:rPr>
          <w:b/>
          <w:bCs/>
          <w:i/>
          <w:iCs/>
          <w:sz w:val="28"/>
          <w:szCs w:val="28"/>
          <w:u w:val="single"/>
        </w:rPr>
      </w:pPr>
      <w:r w:rsidRPr="00324D5B">
        <w:rPr>
          <w:i/>
          <w:iCs/>
          <w:sz w:val="28"/>
          <w:szCs w:val="28"/>
        </w:rPr>
        <w:t>La pénétrabilité</w:t>
      </w:r>
      <w:r w:rsidRPr="00324D5B">
        <w:rPr>
          <w:b/>
          <w:bCs/>
          <w:i/>
          <w:iCs/>
          <w:sz w:val="28"/>
          <w:szCs w:val="28"/>
        </w:rPr>
        <w:t xml:space="preserve"> : </w:t>
      </w: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Cet essai permet de connaître la dureté du bitume sur la base de la pénétrabilité dans un échantillon de bitume évalué au dixième du millimètre d'une aiguille normalisée supportant une masse de 100 g durant 5 secondes à une température de 25 °C [Annexe B].</w:t>
      </w: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Plus le bitume est dur plus la pénétrabilité est faible, cet essai explique le nom commercial du bitume et donne sa classification.</w:t>
      </w: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w:t>
      </w:r>
      <w:r w:rsidRPr="00324D5B">
        <w:rPr>
          <w:rFonts w:ascii="Times New Roman" w:eastAsia="Times New Roman" w:hAnsi="Times New Roman" w:cs="Times New Roman"/>
          <w:noProof/>
          <w:sz w:val="28"/>
          <w:szCs w:val="28"/>
          <w:lang w:eastAsia="fr-FR"/>
        </w:rPr>
        <w:drawing>
          <wp:inline distT="0" distB="0" distL="0" distR="0">
            <wp:extent cx="2474484" cy="1622066"/>
            <wp:effectExtent l="19050" t="0" r="2016" b="0"/>
            <wp:docPr id="18" name="Image 1" descr="C:\Documents and Settings\malika\Bureau\photos labo\Photos-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Bureau\photos labo\Photos-00.jpg"/>
                    <pic:cNvPicPr>
                      <a:picLocks noChangeAspect="1" noChangeArrowheads="1"/>
                    </pic:cNvPicPr>
                  </pic:nvPicPr>
                  <pic:blipFill>
                    <a:blip r:embed="rId8" cstate="print"/>
                    <a:srcRect/>
                    <a:stretch>
                      <a:fillRect/>
                    </a:stretch>
                  </pic:blipFill>
                  <pic:spPr bwMode="auto">
                    <a:xfrm>
                      <a:off x="0" y="0"/>
                      <a:ext cx="2484023" cy="1628319"/>
                    </a:xfrm>
                    <a:prstGeom prst="rect">
                      <a:avLst/>
                    </a:prstGeom>
                    <a:noFill/>
                    <a:ln w="9525">
                      <a:noFill/>
                      <a:miter lim="800000"/>
                      <a:headEnd/>
                      <a:tailEnd/>
                    </a:ln>
                  </pic:spPr>
                </pic:pic>
              </a:graphicData>
            </a:graphic>
          </wp:inline>
        </w:drawing>
      </w:r>
    </w:p>
    <w:p w:rsidR="00B87792" w:rsidRPr="00324D5B" w:rsidRDefault="00B87792" w:rsidP="00C36A18">
      <w:pPr>
        <w:spacing w:before="240" w:after="0" w:line="360" w:lineRule="auto"/>
        <w:ind w:hanging="142"/>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6"/>
          <w:szCs w:val="26"/>
          <w:lang w:eastAsia="fr-FR"/>
        </w:rPr>
        <w:t>Fig</w:t>
      </w:r>
      <w:r>
        <w:rPr>
          <w:rFonts w:ascii="Times New Roman" w:eastAsia="Times New Roman" w:hAnsi="Times New Roman" w:cs="Times New Roman"/>
          <w:sz w:val="26"/>
          <w:szCs w:val="26"/>
          <w:lang w:eastAsia="fr-FR"/>
        </w:rPr>
        <w:t>ure</w:t>
      </w:r>
      <w:r w:rsidRPr="00324D5B">
        <w:rPr>
          <w:rFonts w:ascii="Times New Roman" w:eastAsia="Times New Roman" w:hAnsi="Times New Roman" w:cs="Times New Roman"/>
          <w:sz w:val="26"/>
          <w:szCs w:val="26"/>
          <w:lang w:eastAsia="fr-FR"/>
        </w:rPr>
        <w:t xml:space="preserve"> </w:t>
      </w:r>
      <w:r>
        <w:rPr>
          <w:rFonts w:ascii="Times New Roman" w:eastAsia="Times New Roman" w:hAnsi="Times New Roman" w:cs="Times New Roman"/>
          <w:sz w:val="26"/>
          <w:szCs w:val="26"/>
          <w:lang w:eastAsia="fr-FR"/>
        </w:rPr>
        <w:t>V.1</w:t>
      </w:r>
      <w:r w:rsidRPr="00324D5B">
        <w:rPr>
          <w:rFonts w:ascii="Times New Roman" w:eastAsia="Times New Roman" w:hAnsi="Times New Roman" w:cs="Times New Roman"/>
          <w:sz w:val="26"/>
          <w:szCs w:val="26"/>
          <w:lang w:eastAsia="fr-FR"/>
        </w:rPr>
        <w:t xml:space="preserve"> : </w:t>
      </w:r>
      <w:r w:rsidR="00C36A18">
        <w:rPr>
          <w:rFonts w:ascii="Times New Roman" w:eastAsia="Times New Roman" w:hAnsi="Times New Roman" w:cs="Times New Roman"/>
          <w:sz w:val="26"/>
          <w:szCs w:val="26"/>
          <w:lang w:eastAsia="fr-FR"/>
        </w:rPr>
        <w:t>B</w:t>
      </w:r>
      <w:r w:rsidRPr="00324D5B">
        <w:rPr>
          <w:rFonts w:ascii="Times New Roman" w:eastAsia="Times New Roman" w:hAnsi="Times New Roman" w:cs="Times New Roman"/>
          <w:sz w:val="26"/>
          <w:szCs w:val="26"/>
          <w:lang w:eastAsia="fr-FR"/>
        </w:rPr>
        <w:t>ain thermostatique pour maintenir les produits à la température de 25 °C</w:t>
      </w:r>
      <w:r w:rsidRPr="00324D5B">
        <w:rPr>
          <w:rFonts w:ascii="Times New Roman" w:eastAsia="Times New Roman" w:hAnsi="Times New Roman" w:cs="Times New Roman"/>
          <w:sz w:val="28"/>
          <w:szCs w:val="28"/>
          <w:lang w:eastAsia="fr-FR"/>
        </w:rPr>
        <w:t>.</w:t>
      </w:r>
    </w:p>
    <w:p w:rsidR="00B87792" w:rsidRPr="00324D5B" w:rsidRDefault="00B14680" w:rsidP="00B87792">
      <w:pPr>
        <w:spacing w:before="240" w:after="0" w:line="360" w:lineRule="auto"/>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lastRenderedPageBreak/>
        <w:pict>
          <v:rect id="_x0000_s1038" style="position:absolute;margin-left:134.6pt;margin-top:.1pt;width:58pt;height:170.35pt;z-index:251673600" strokecolor="white [3212]"/>
        </w:pict>
      </w:r>
      <w:r>
        <w:rPr>
          <w:rFonts w:ascii="Times New Roman" w:eastAsia="Times New Roman" w:hAnsi="Times New Roman" w:cs="Times New Roman"/>
          <w:noProof/>
          <w:sz w:val="28"/>
          <w:szCs w:val="28"/>
          <w:lang w:eastAsia="fr-FR"/>
        </w:rPr>
        <w:pict>
          <v:rect id="_x0000_s1037" style="position:absolute;margin-left:273.75pt;margin-top:8.95pt;width:45.65pt;height:157.05pt;z-index:251672576" strokecolor="white [3212]"/>
        </w:pict>
      </w:r>
      <w:r w:rsidR="00B87792" w:rsidRPr="00324D5B">
        <w:rPr>
          <w:rFonts w:ascii="Times New Roman" w:eastAsia="Times New Roman" w:hAnsi="Times New Roman" w:cs="Times New Roman"/>
          <w:sz w:val="28"/>
          <w:szCs w:val="28"/>
          <w:lang w:eastAsia="fr-FR"/>
        </w:rPr>
        <w:t xml:space="preserve">                                       </w:t>
      </w:r>
      <w:r w:rsidR="00B87792" w:rsidRPr="00324D5B">
        <w:rPr>
          <w:rFonts w:ascii="Times New Roman" w:eastAsia="Times New Roman" w:hAnsi="Times New Roman" w:cs="Times New Roman"/>
          <w:noProof/>
          <w:sz w:val="28"/>
          <w:szCs w:val="28"/>
          <w:lang w:eastAsia="fr-FR"/>
        </w:rPr>
        <w:drawing>
          <wp:inline distT="0" distB="0" distL="0" distR="0">
            <wp:extent cx="2283786" cy="1917511"/>
            <wp:effectExtent l="19050" t="0" r="2214" b="0"/>
            <wp:docPr id="19" name="Image 3" descr="C:\Documents and Settings\malika\Bureau\photos labo\Photos-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alika\Bureau\photos labo\Photos-0005..jpg"/>
                    <pic:cNvPicPr>
                      <a:picLocks noChangeAspect="1" noChangeArrowheads="1"/>
                    </pic:cNvPicPr>
                  </pic:nvPicPr>
                  <pic:blipFill>
                    <a:blip r:embed="rId9"/>
                    <a:srcRect/>
                    <a:stretch>
                      <a:fillRect/>
                    </a:stretch>
                  </pic:blipFill>
                  <pic:spPr bwMode="auto">
                    <a:xfrm>
                      <a:off x="0" y="0"/>
                      <a:ext cx="2286107" cy="1919460"/>
                    </a:xfrm>
                    <a:prstGeom prst="rect">
                      <a:avLst/>
                    </a:prstGeom>
                    <a:noFill/>
                    <a:ln w="9525">
                      <a:noFill/>
                      <a:miter lim="800000"/>
                      <a:headEnd/>
                      <a:tailEnd/>
                    </a:ln>
                  </pic:spPr>
                </pic:pic>
              </a:graphicData>
            </a:graphic>
          </wp:inline>
        </w:drawing>
      </w:r>
    </w:p>
    <w:p w:rsidR="00B87792" w:rsidRPr="00324D5B" w:rsidRDefault="00B87792" w:rsidP="00B87792">
      <w:pPr>
        <w:spacing w:before="240" w:after="0" w:line="360" w:lineRule="auto"/>
        <w:rPr>
          <w:rFonts w:ascii="Times New Roman" w:eastAsia="Times New Roman" w:hAnsi="Times New Roman" w:cs="Times New Roman"/>
          <w:sz w:val="26"/>
          <w:szCs w:val="26"/>
          <w:lang w:eastAsia="fr-FR"/>
        </w:rPr>
      </w:pPr>
      <w:r w:rsidRPr="00324D5B">
        <w:rPr>
          <w:rFonts w:ascii="Times New Roman" w:eastAsia="Times New Roman" w:hAnsi="Times New Roman" w:cs="Times New Roman"/>
          <w:sz w:val="28"/>
          <w:szCs w:val="28"/>
          <w:lang w:eastAsia="fr-FR"/>
        </w:rPr>
        <w:t xml:space="preserve">                                                 </w:t>
      </w:r>
      <w:r w:rsidRPr="00324D5B">
        <w:rPr>
          <w:rFonts w:ascii="Times New Roman" w:eastAsia="Times New Roman" w:hAnsi="Times New Roman" w:cs="Times New Roman"/>
          <w:sz w:val="26"/>
          <w:szCs w:val="26"/>
          <w:lang w:eastAsia="fr-FR"/>
        </w:rPr>
        <w:t>Fig</w:t>
      </w:r>
      <w:r>
        <w:rPr>
          <w:rFonts w:ascii="Times New Roman" w:eastAsia="Times New Roman" w:hAnsi="Times New Roman" w:cs="Times New Roman"/>
          <w:sz w:val="26"/>
          <w:szCs w:val="26"/>
          <w:lang w:eastAsia="fr-FR"/>
        </w:rPr>
        <w:t>ure</w:t>
      </w:r>
      <w:r w:rsidRPr="00324D5B">
        <w:rPr>
          <w:rFonts w:ascii="Times New Roman" w:eastAsia="Times New Roman" w:hAnsi="Times New Roman" w:cs="Times New Roman"/>
          <w:sz w:val="26"/>
          <w:szCs w:val="26"/>
          <w:lang w:eastAsia="fr-FR"/>
        </w:rPr>
        <w:t xml:space="preserve"> </w:t>
      </w:r>
      <w:r>
        <w:rPr>
          <w:rFonts w:ascii="Times New Roman" w:eastAsia="Times New Roman" w:hAnsi="Times New Roman" w:cs="Times New Roman"/>
          <w:sz w:val="26"/>
          <w:szCs w:val="26"/>
          <w:lang w:eastAsia="fr-FR"/>
        </w:rPr>
        <w:t>V.2</w:t>
      </w:r>
      <w:r w:rsidRPr="00324D5B">
        <w:rPr>
          <w:rFonts w:ascii="Times New Roman" w:eastAsia="Times New Roman" w:hAnsi="Times New Roman" w:cs="Times New Roman"/>
          <w:sz w:val="26"/>
          <w:szCs w:val="26"/>
          <w:lang w:eastAsia="fr-FR"/>
        </w:rPr>
        <w:t> : Le pénétromètre.</w:t>
      </w:r>
    </w:p>
    <w:p w:rsidR="00B87792" w:rsidRPr="00324D5B" w:rsidRDefault="00B87792" w:rsidP="00B87792">
      <w:pPr>
        <w:pStyle w:val="Paragraphedeliste"/>
        <w:numPr>
          <w:ilvl w:val="0"/>
          <w:numId w:val="3"/>
        </w:numPr>
        <w:spacing w:before="240" w:after="0" w:line="360" w:lineRule="auto"/>
        <w:ind w:left="426" w:hanging="284"/>
        <w:rPr>
          <w:i/>
          <w:iCs/>
          <w:sz w:val="28"/>
          <w:szCs w:val="28"/>
        </w:rPr>
      </w:pPr>
      <w:r w:rsidRPr="00324D5B">
        <w:rPr>
          <w:i/>
          <w:iCs/>
          <w:sz w:val="28"/>
          <w:szCs w:val="28"/>
        </w:rPr>
        <w:t>Le point de ramollissement :</w:t>
      </w: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Cet essai consiste à mesurer le point de ramollissement, on remplit un anneau de cuivre par du bitume puis on place une bille en acier au dessus et on immerge le tout dans de l'eau, on élève la température de 5 °C par minute, la température de ramollissement c'est celle où la bille entraîne le bitume se trouvant dans l'anneau au fond du récipient [Annexe B].</w:t>
      </w:r>
    </w:p>
    <w:p w:rsidR="00B87792" w:rsidRPr="00324D5B" w:rsidRDefault="00B14680" w:rsidP="00B87792">
      <w:pPr>
        <w:spacing w:before="240" w:after="0" w:line="360" w:lineRule="auto"/>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pict>
          <v:rect id="_x0000_s1026" style="position:absolute;margin-left:234pt;margin-top:6.05pt;width:27.95pt;height:92.95pt;z-index:251661312" strokecolor="white [3212]"/>
        </w:pict>
      </w:r>
      <w:r>
        <w:rPr>
          <w:rFonts w:ascii="Times New Roman" w:eastAsia="Times New Roman" w:hAnsi="Times New Roman" w:cs="Times New Roman"/>
          <w:noProof/>
          <w:sz w:val="28"/>
          <w:szCs w:val="28"/>
          <w:lang w:eastAsia="fr-FR"/>
        </w:rPr>
        <w:pict>
          <v:rect id="_x0000_s1027" style="position:absolute;margin-left:307.05pt;margin-top:6.05pt;width:44.05pt;height:92.4pt;z-index:251662336" strokecolor="white [3212]"/>
        </w:pict>
      </w:r>
      <w:r w:rsidR="00B87792" w:rsidRPr="00324D5B">
        <w:rPr>
          <w:rFonts w:ascii="Times New Roman" w:eastAsia="Times New Roman" w:hAnsi="Times New Roman" w:cs="Times New Roman"/>
          <w:sz w:val="28"/>
          <w:szCs w:val="28"/>
          <w:lang w:eastAsia="fr-FR"/>
        </w:rPr>
        <w:t xml:space="preserve">                               </w:t>
      </w:r>
      <w:r w:rsidR="00B87792" w:rsidRPr="00324D5B">
        <w:rPr>
          <w:rFonts w:ascii="Times New Roman" w:eastAsia="Times New Roman" w:hAnsi="Times New Roman" w:cs="Times New Roman"/>
          <w:noProof/>
          <w:sz w:val="28"/>
          <w:szCs w:val="28"/>
          <w:lang w:eastAsia="fr-FR"/>
        </w:rPr>
        <w:drawing>
          <wp:inline distT="0" distB="0" distL="0" distR="0">
            <wp:extent cx="1434437" cy="1075463"/>
            <wp:effectExtent l="19050" t="0" r="0" b="0"/>
            <wp:docPr id="20" name="Image 4" descr="C:\Documents and Settings\malika\Bureau\photos labo\Photos-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alika\Bureau\photos labo\Photos-0010.jpg"/>
                    <pic:cNvPicPr>
                      <a:picLocks noChangeAspect="1" noChangeArrowheads="1"/>
                    </pic:cNvPicPr>
                  </pic:nvPicPr>
                  <pic:blipFill>
                    <a:blip r:embed="rId10" cstate="print"/>
                    <a:srcRect/>
                    <a:stretch>
                      <a:fillRect/>
                    </a:stretch>
                  </pic:blipFill>
                  <pic:spPr bwMode="auto">
                    <a:xfrm>
                      <a:off x="0" y="0"/>
                      <a:ext cx="1434422" cy="1075452"/>
                    </a:xfrm>
                    <a:prstGeom prst="rect">
                      <a:avLst/>
                    </a:prstGeom>
                    <a:noFill/>
                    <a:ln w="9525">
                      <a:noFill/>
                      <a:miter lim="800000"/>
                      <a:headEnd/>
                      <a:tailEnd/>
                    </a:ln>
                  </pic:spPr>
                </pic:pic>
              </a:graphicData>
            </a:graphic>
          </wp:inline>
        </w:drawing>
      </w:r>
      <w:r w:rsidR="00B87792" w:rsidRPr="00324D5B">
        <w:rPr>
          <w:rFonts w:ascii="Times New Roman" w:eastAsia="Times New Roman" w:hAnsi="Times New Roman" w:cs="Times New Roman"/>
          <w:sz w:val="28"/>
          <w:szCs w:val="28"/>
          <w:lang w:eastAsia="fr-FR"/>
        </w:rPr>
        <w:t xml:space="preserve">   </w:t>
      </w:r>
      <w:r w:rsidR="00B87792" w:rsidRPr="00324D5B">
        <w:rPr>
          <w:rFonts w:ascii="Times New Roman" w:eastAsia="Times New Roman" w:hAnsi="Times New Roman" w:cs="Times New Roman"/>
          <w:noProof/>
          <w:sz w:val="28"/>
          <w:szCs w:val="28"/>
          <w:lang w:eastAsia="fr-FR"/>
        </w:rPr>
        <w:drawing>
          <wp:inline distT="0" distB="0" distL="0" distR="0">
            <wp:extent cx="1413965" cy="1044054"/>
            <wp:effectExtent l="19050" t="0" r="0" b="0"/>
            <wp:docPr id="21" name="Image 1" descr="C:\Documents and Settings\malika\Bureau\photos labo\Photos-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Bureau\photos labo\Photos-0009.jpg"/>
                    <pic:cNvPicPr>
                      <a:picLocks noChangeAspect="1" noChangeArrowheads="1"/>
                    </pic:cNvPicPr>
                  </pic:nvPicPr>
                  <pic:blipFill>
                    <a:blip r:embed="rId11" cstate="print"/>
                    <a:srcRect/>
                    <a:stretch>
                      <a:fillRect/>
                    </a:stretch>
                  </pic:blipFill>
                  <pic:spPr bwMode="auto">
                    <a:xfrm>
                      <a:off x="0" y="0"/>
                      <a:ext cx="1413965" cy="1044054"/>
                    </a:xfrm>
                    <a:prstGeom prst="rect">
                      <a:avLst/>
                    </a:prstGeom>
                    <a:noFill/>
                    <a:ln w="9525">
                      <a:noFill/>
                      <a:miter lim="800000"/>
                      <a:headEnd/>
                      <a:tailEnd/>
                    </a:ln>
                  </pic:spPr>
                </pic:pic>
              </a:graphicData>
            </a:graphic>
          </wp:inline>
        </w:drawing>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                                                  Fig</w:t>
      </w:r>
      <w:r>
        <w:rPr>
          <w:rFonts w:asciiTheme="majorBidi" w:hAnsiTheme="majorBidi" w:cstheme="majorBidi"/>
          <w:sz w:val="26"/>
          <w:szCs w:val="26"/>
        </w:rPr>
        <w:t>ure</w:t>
      </w:r>
      <w:r w:rsidRPr="00324D5B">
        <w:rPr>
          <w:rFonts w:asciiTheme="majorBidi" w:hAnsiTheme="majorBidi" w:cstheme="majorBidi"/>
          <w:sz w:val="26"/>
          <w:szCs w:val="26"/>
        </w:rPr>
        <w:t> </w:t>
      </w:r>
      <w:r>
        <w:rPr>
          <w:rFonts w:asciiTheme="majorBidi" w:hAnsiTheme="majorBidi" w:cstheme="majorBidi"/>
          <w:sz w:val="26"/>
          <w:szCs w:val="26"/>
        </w:rPr>
        <w:t>V.3</w:t>
      </w:r>
      <w:r w:rsidRPr="00324D5B">
        <w:rPr>
          <w:rFonts w:asciiTheme="majorBidi" w:hAnsiTheme="majorBidi" w:cstheme="majorBidi"/>
          <w:sz w:val="26"/>
          <w:szCs w:val="26"/>
        </w:rPr>
        <w:t xml:space="preserve"> : Les anneaux et les billes.</w:t>
      </w:r>
    </w:p>
    <w:p w:rsidR="00B87792" w:rsidRPr="00324D5B" w:rsidRDefault="00B87792" w:rsidP="00B87792">
      <w:pPr>
        <w:spacing w:before="240" w:after="0" w:line="360" w:lineRule="auto"/>
        <w:rPr>
          <w:sz w:val="28"/>
          <w:szCs w:val="28"/>
        </w:rPr>
      </w:pPr>
      <w:r w:rsidRPr="00324D5B">
        <w:rPr>
          <w:sz w:val="28"/>
          <w:szCs w:val="28"/>
        </w:rPr>
        <w:t xml:space="preserve">                                  </w:t>
      </w:r>
      <w:r w:rsidRPr="00324D5B">
        <w:rPr>
          <w:noProof/>
          <w:sz w:val="28"/>
          <w:szCs w:val="28"/>
          <w:lang w:eastAsia="fr-FR"/>
        </w:rPr>
        <w:drawing>
          <wp:inline distT="0" distB="0" distL="0" distR="0">
            <wp:extent cx="1407142" cy="1624751"/>
            <wp:effectExtent l="19050" t="0" r="2558" b="0"/>
            <wp:docPr id="22" name="Image 1" descr="C:\Documents and Settings\malika\Bureau\15_0010_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alika\Bureau\15_0010_701.jpg"/>
                    <pic:cNvPicPr>
                      <a:picLocks noChangeAspect="1" noChangeArrowheads="1"/>
                    </pic:cNvPicPr>
                  </pic:nvPicPr>
                  <pic:blipFill>
                    <a:blip r:embed="rId12"/>
                    <a:srcRect/>
                    <a:stretch>
                      <a:fillRect/>
                    </a:stretch>
                  </pic:blipFill>
                  <pic:spPr bwMode="auto">
                    <a:xfrm>
                      <a:off x="0" y="0"/>
                      <a:ext cx="1412938" cy="1631444"/>
                    </a:xfrm>
                    <a:prstGeom prst="rect">
                      <a:avLst/>
                    </a:prstGeom>
                    <a:noFill/>
                    <a:ln w="9525">
                      <a:noFill/>
                      <a:miter lim="800000"/>
                      <a:headEnd/>
                      <a:tailEnd/>
                    </a:ln>
                  </pic:spPr>
                </pic:pic>
              </a:graphicData>
            </a:graphic>
          </wp:inline>
        </w:drawing>
      </w:r>
      <w:r w:rsidRPr="00324D5B">
        <w:rPr>
          <w:sz w:val="28"/>
          <w:szCs w:val="28"/>
        </w:rPr>
        <w:t xml:space="preserve">          </w:t>
      </w:r>
      <w:r w:rsidRPr="00324D5B">
        <w:rPr>
          <w:noProof/>
          <w:sz w:val="28"/>
          <w:szCs w:val="28"/>
          <w:lang w:eastAsia="fr-FR"/>
        </w:rPr>
        <w:drawing>
          <wp:inline distT="0" distB="0" distL="0" distR="0">
            <wp:extent cx="1181953" cy="1543915"/>
            <wp:effectExtent l="19050" t="0" r="0" b="0"/>
            <wp:docPr id="23" name="Image 66" descr="http://www.igm.fr/images/bitume/billeanneaumanu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igm.fr/images/bitume/billeanneaumanuel.jpg"/>
                    <pic:cNvPicPr>
                      <a:picLocks noChangeAspect="1" noChangeArrowheads="1"/>
                    </pic:cNvPicPr>
                  </pic:nvPicPr>
                  <pic:blipFill>
                    <a:blip r:embed="rId13"/>
                    <a:srcRect/>
                    <a:stretch>
                      <a:fillRect/>
                    </a:stretch>
                  </pic:blipFill>
                  <pic:spPr bwMode="auto">
                    <a:xfrm>
                      <a:off x="0" y="0"/>
                      <a:ext cx="1186516" cy="1549876"/>
                    </a:xfrm>
                    <a:prstGeom prst="rect">
                      <a:avLst/>
                    </a:prstGeom>
                    <a:noFill/>
                    <a:ln w="9525">
                      <a:noFill/>
                      <a:miter lim="800000"/>
                      <a:headEnd/>
                      <a:tailEnd/>
                    </a:ln>
                  </pic:spPr>
                </pic:pic>
              </a:graphicData>
            </a:graphic>
          </wp:inline>
        </w:drawing>
      </w:r>
      <w:r w:rsidRPr="00324D5B">
        <w:rPr>
          <w:sz w:val="28"/>
          <w:szCs w:val="28"/>
        </w:rPr>
        <w:t xml:space="preserve">        </w:t>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                            Fig</w:t>
      </w:r>
      <w:r>
        <w:rPr>
          <w:rFonts w:asciiTheme="majorBidi" w:hAnsiTheme="majorBidi" w:cstheme="majorBidi"/>
          <w:sz w:val="26"/>
          <w:szCs w:val="26"/>
        </w:rPr>
        <w:t>ure</w:t>
      </w:r>
      <w:r w:rsidRPr="00324D5B">
        <w:rPr>
          <w:rFonts w:asciiTheme="majorBidi" w:hAnsiTheme="majorBidi" w:cstheme="majorBidi"/>
          <w:sz w:val="26"/>
          <w:szCs w:val="26"/>
        </w:rPr>
        <w:t> </w:t>
      </w:r>
      <w:r>
        <w:rPr>
          <w:rFonts w:asciiTheme="majorBidi" w:hAnsiTheme="majorBidi" w:cstheme="majorBidi"/>
          <w:sz w:val="26"/>
          <w:szCs w:val="26"/>
        </w:rPr>
        <w:t>V.4</w:t>
      </w:r>
      <w:r w:rsidRPr="00324D5B">
        <w:rPr>
          <w:rFonts w:asciiTheme="majorBidi" w:hAnsiTheme="majorBidi" w:cstheme="majorBidi"/>
          <w:sz w:val="26"/>
          <w:szCs w:val="26"/>
        </w:rPr>
        <w:t xml:space="preserve"> : Support des anneaux et appareillage de mesure.</w:t>
      </w:r>
    </w:p>
    <w:p w:rsidR="00B87792" w:rsidRPr="00324D5B" w:rsidRDefault="00B87792" w:rsidP="00B87792">
      <w:pPr>
        <w:pStyle w:val="Paragraphedeliste"/>
        <w:numPr>
          <w:ilvl w:val="0"/>
          <w:numId w:val="3"/>
        </w:numPr>
        <w:spacing w:before="240" w:after="0" w:line="360" w:lineRule="auto"/>
        <w:ind w:left="426" w:hanging="284"/>
        <w:rPr>
          <w:i/>
          <w:iCs/>
          <w:sz w:val="28"/>
          <w:szCs w:val="28"/>
        </w:rPr>
      </w:pPr>
      <w:r w:rsidRPr="00324D5B">
        <w:rPr>
          <w:i/>
          <w:iCs/>
          <w:sz w:val="28"/>
          <w:szCs w:val="28"/>
        </w:rPr>
        <w:lastRenderedPageBreak/>
        <w:t>Point de flash :</w:t>
      </w:r>
    </w:p>
    <w:p w:rsidR="00B87792" w:rsidRPr="00324D5B" w:rsidRDefault="00B14680" w:rsidP="00B87792">
      <w:pPr>
        <w:spacing w:before="240" w:after="0" w:line="360" w:lineRule="auto"/>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pict>
          <v:rect id="_x0000_s1028" style="position:absolute;margin-left:-3.5pt;margin-top:68.55pt;width:170.3pt;height:128.95pt;z-index:-251653120" strokecolor="white [3212]"/>
        </w:pict>
      </w:r>
      <w:r w:rsidR="00B87792" w:rsidRPr="00324D5B">
        <w:rPr>
          <w:rFonts w:ascii="Times New Roman" w:eastAsia="Times New Roman" w:hAnsi="Times New Roman" w:cs="Times New Roman"/>
          <w:sz w:val="28"/>
          <w:szCs w:val="28"/>
          <w:lang w:eastAsia="fr-FR"/>
        </w:rPr>
        <w:t>Le bitume soumis à une élévation de température dégage des vapeurs qui s'enflamment au contact d'une flamme, cette température correspondante est le point d'éclair en vase ouvert, cette température intéresse la sécurité liée au transport et la manipulation des produits inflammables [Annexe B].</w:t>
      </w:r>
    </w:p>
    <w:p w:rsidR="00B87792" w:rsidRPr="00324D5B" w:rsidRDefault="00B14680" w:rsidP="00B87792">
      <w:pPr>
        <w:spacing w:before="240" w:after="0" w:line="360" w:lineRule="auto"/>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pict>
          <v:rect id="_x0000_s1039" style="position:absolute;margin-left:59.4pt;margin-top:9.95pt;width:103.3pt;height:58.85pt;z-index:251674624" strokecolor="white [3212]"/>
        </w:pict>
      </w:r>
      <w:r w:rsidR="00B87792" w:rsidRPr="00324D5B">
        <w:rPr>
          <w:rFonts w:ascii="Times New Roman" w:eastAsia="Times New Roman" w:hAnsi="Times New Roman" w:cs="Times New Roman"/>
          <w:noProof/>
          <w:sz w:val="28"/>
          <w:szCs w:val="28"/>
          <w:lang w:eastAsia="fr-FR"/>
        </w:rPr>
        <w:drawing>
          <wp:anchor distT="0" distB="0" distL="114300" distR="114300" simplePos="0" relativeHeight="251660288" behindDoc="1" locked="0" layoutInCell="1" allowOverlap="1">
            <wp:simplePos x="0" y="0"/>
            <wp:positionH relativeFrom="column">
              <wp:posOffset>841157</wp:posOffset>
            </wp:positionH>
            <wp:positionV relativeFrom="paragraph">
              <wp:posOffset>35078</wp:posOffset>
            </wp:positionV>
            <wp:extent cx="4356801" cy="2859206"/>
            <wp:effectExtent l="19050" t="0" r="5649" b="0"/>
            <wp:wrapNone/>
            <wp:docPr id="43" name="Image 13" descr="C:\Documents and Settings\malika\Bureau\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malika\Bureau\11.JPG"/>
                    <pic:cNvPicPr>
                      <a:picLocks noChangeAspect="1" noChangeArrowheads="1"/>
                    </pic:cNvPicPr>
                  </pic:nvPicPr>
                  <pic:blipFill>
                    <a:blip r:embed="rId14"/>
                    <a:srcRect/>
                    <a:stretch>
                      <a:fillRect/>
                    </a:stretch>
                  </pic:blipFill>
                  <pic:spPr bwMode="auto">
                    <a:xfrm>
                      <a:off x="0" y="0"/>
                      <a:ext cx="4356801" cy="2859206"/>
                    </a:xfrm>
                    <a:prstGeom prst="rect">
                      <a:avLst/>
                    </a:prstGeom>
                    <a:noFill/>
                    <a:ln w="9525">
                      <a:noFill/>
                      <a:miter lim="800000"/>
                      <a:headEnd/>
                      <a:tailEnd/>
                    </a:ln>
                  </pic:spPr>
                </pic:pic>
              </a:graphicData>
            </a:graphic>
          </wp:anchor>
        </w:drawing>
      </w: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w:t>
      </w: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p>
    <w:p w:rsidR="00B87792" w:rsidRPr="00324D5B" w:rsidRDefault="00B87792" w:rsidP="00B87792">
      <w:pPr>
        <w:spacing w:before="240" w:after="0" w:line="360" w:lineRule="auto"/>
        <w:rPr>
          <w:rFonts w:ascii="Times New Roman" w:eastAsia="Times New Roman" w:hAnsi="Times New Roman" w:cs="Times New Roman"/>
          <w:noProof/>
          <w:sz w:val="28"/>
          <w:szCs w:val="28"/>
          <w:lang w:eastAsia="fr-FR"/>
        </w:rPr>
      </w:pPr>
      <w:r w:rsidRPr="00324D5B">
        <w:rPr>
          <w:rFonts w:ascii="Times New Roman" w:eastAsia="Times New Roman" w:hAnsi="Times New Roman" w:cs="Times New Roman"/>
          <w:noProof/>
          <w:sz w:val="28"/>
          <w:szCs w:val="28"/>
          <w:lang w:eastAsia="fr-FR"/>
        </w:rPr>
        <w:t xml:space="preserve">                          </w:t>
      </w:r>
      <w:r w:rsidRPr="00324D5B">
        <w:rPr>
          <w:rFonts w:ascii="Times New Roman" w:eastAsia="Times New Roman" w:hAnsi="Times New Roman" w:cs="Times New Roman"/>
          <w:noProof/>
          <w:sz w:val="26"/>
          <w:szCs w:val="26"/>
          <w:lang w:eastAsia="fr-FR"/>
        </w:rPr>
        <w:t>Fig</w:t>
      </w:r>
      <w:r>
        <w:rPr>
          <w:rFonts w:ascii="Times New Roman" w:eastAsia="Times New Roman" w:hAnsi="Times New Roman" w:cs="Times New Roman"/>
          <w:noProof/>
          <w:sz w:val="26"/>
          <w:szCs w:val="26"/>
          <w:lang w:eastAsia="fr-FR"/>
        </w:rPr>
        <w:t>ure</w:t>
      </w:r>
      <w:r w:rsidRPr="00324D5B">
        <w:rPr>
          <w:rFonts w:ascii="Times New Roman" w:eastAsia="Times New Roman" w:hAnsi="Times New Roman" w:cs="Times New Roman"/>
          <w:noProof/>
          <w:sz w:val="26"/>
          <w:szCs w:val="26"/>
          <w:lang w:eastAsia="fr-FR"/>
        </w:rPr>
        <w:t> </w:t>
      </w:r>
      <w:r>
        <w:rPr>
          <w:rFonts w:ascii="Times New Roman" w:eastAsia="Times New Roman" w:hAnsi="Times New Roman" w:cs="Times New Roman"/>
          <w:noProof/>
          <w:sz w:val="26"/>
          <w:szCs w:val="26"/>
          <w:lang w:eastAsia="fr-FR"/>
        </w:rPr>
        <w:t>V.5</w:t>
      </w:r>
      <w:r w:rsidRPr="00324D5B">
        <w:rPr>
          <w:rFonts w:ascii="Times New Roman" w:eastAsia="Times New Roman" w:hAnsi="Times New Roman" w:cs="Times New Roman"/>
          <w:noProof/>
          <w:sz w:val="26"/>
          <w:szCs w:val="26"/>
          <w:lang w:eastAsia="fr-FR"/>
        </w:rPr>
        <w:t xml:space="preserve"> : Appareillage de mesure du point de flash.</w:t>
      </w:r>
      <w:r w:rsidRPr="00324D5B">
        <w:rPr>
          <w:rFonts w:ascii="Times New Roman" w:eastAsia="Times New Roman" w:hAnsi="Times New Roman" w:cs="Times New Roman"/>
          <w:sz w:val="26"/>
          <w:szCs w:val="26"/>
          <w:lang w:eastAsia="fr-FR"/>
        </w:rPr>
        <w:t xml:space="preserve">                 </w:t>
      </w:r>
    </w:p>
    <w:p w:rsidR="00B87792" w:rsidRPr="00324D5B" w:rsidRDefault="00B87792" w:rsidP="00B87792">
      <w:pPr>
        <w:spacing w:before="240" w:after="0" w:line="360" w:lineRule="auto"/>
        <w:rPr>
          <w:b/>
          <w:bCs/>
          <w:i/>
          <w:iCs/>
          <w:sz w:val="28"/>
          <w:szCs w:val="28"/>
        </w:rPr>
      </w:pPr>
      <w:r w:rsidRPr="00324D5B">
        <w:rPr>
          <w:b/>
          <w:bCs/>
          <w:i/>
          <w:iCs/>
          <w:sz w:val="28"/>
          <w:szCs w:val="28"/>
        </w:rPr>
        <w:t xml:space="preserve">  - </w:t>
      </w:r>
      <w:r w:rsidRPr="00324D5B">
        <w:rPr>
          <w:i/>
          <w:iCs/>
          <w:sz w:val="28"/>
          <w:szCs w:val="28"/>
        </w:rPr>
        <w:t>Densité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La densité relative des produits bitumineux est le rapport de la masse d’un volume de produit à 25°C, à celle d’un égal volume d’eau à la même température.</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Pour la mesurer on compare les poids de volumes égaux d’échantillon et d’eau distillée.</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Les volumes égaux sont obtenus par le remplissage d’un pycnomètre, d’eau distillée puis d’échantillon, tenu dans un bain à la même température que celle de l’analyse.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La densité est donnée par la formule suivante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m:oMathPara>
        <m:oMath>
          <m:r>
            <w:rPr>
              <w:rFonts w:ascii="Cambria Math" w:eastAsia="Times New Roman" w:hAnsi="Cambria Math" w:cs="Times New Roman"/>
              <w:sz w:val="28"/>
              <w:szCs w:val="28"/>
              <w:lang w:eastAsia="fr-FR"/>
            </w:rPr>
            <m:t>d à 25°C=</m:t>
          </m:r>
          <m:f>
            <m:fPr>
              <m:ctrlPr>
                <w:rPr>
                  <w:rFonts w:ascii="Cambria Math" w:eastAsia="Times New Roman" w:hAnsi="Cambria Math" w:cs="Times New Roman"/>
                  <w:i/>
                  <w:sz w:val="28"/>
                  <w:szCs w:val="28"/>
                  <w:lang w:eastAsia="fr-FR"/>
                </w:rPr>
              </m:ctrlPr>
            </m:fPr>
            <m:num>
              <m:r>
                <w:rPr>
                  <w:rFonts w:ascii="Cambria Math" w:eastAsia="Times New Roman" w:hAnsi="Cambria Math" w:cs="Times New Roman"/>
                  <w:sz w:val="28"/>
                  <w:szCs w:val="28"/>
                  <w:lang w:eastAsia="fr-FR"/>
                </w:rPr>
                <m:t>(</m:t>
              </m:r>
              <m:sSub>
                <m:sSubPr>
                  <m:ctrlPr>
                    <w:rPr>
                      <w:rFonts w:ascii="Cambria Math" w:eastAsia="Times New Roman" w:hAnsi="Cambria Math" w:cs="Times New Roman"/>
                      <w:i/>
                      <w:sz w:val="28"/>
                      <w:szCs w:val="28"/>
                      <w:lang w:eastAsia="fr-FR"/>
                    </w:rPr>
                  </m:ctrlPr>
                </m:sSubPr>
                <m:e>
                  <m:r>
                    <w:rPr>
                      <w:rFonts w:ascii="Cambria Math" w:eastAsia="Times New Roman" w:hAnsi="Cambria Math" w:cs="Times New Roman"/>
                      <w:sz w:val="28"/>
                      <w:szCs w:val="28"/>
                      <w:lang w:eastAsia="fr-FR"/>
                    </w:rPr>
                    <m:t>E</m:t>
                  </m:r>
                </m:e>
                <m:sub>
                  <m:r>
                    <w:rPr>
                      <w:rFonts w:ascii="Cambria Math" w:eastAsia="Times New Roman" w:hAnsi="Cambria Math" w:cs="Times New Roman"/>
                      <w:sz w:val="28"/>
                      <w:szCs w:val="28"/>
                      <w:lang w:eastAsia="fr-FR"/>
                    </w:rPr>
                    <m:t>3</m:t>
                  </m:r>
                </m:sub>
              </m:sSub>
              <m:r>
                <w:rPr>
                  <w:rFonts w:ascii="Cambria Math" w:eastAsia="Times New Roman" w:hAnsi="Cambria Math" w:cs="Times New Roman"/>
                  <w:sz w:val="28"/>
                  <w:szCs w:val="28"/>
                  <w:lang w:eastAsia="fr-FR"/>
                </w:rPr>
                <m:t>-</m:t>
              </m:r>
              <m:sSub>
                <m:sSubPr>
                  <m:ctrlPr>
                    <w:rPr>
                      <w:rFonts w:ascii="Cambria Math" w:eastAsia="Times New Roman" w:hAnsi="Cambria Math" w:cs="Times New Roman"/>
                      <w:i/>
                      <w:sz w:val="28"/>
                      <w:szCs w:val="28"/>
                      <w:lang w:eastAsia="fr-FR"/>
                    </w:rPr>
                  </m:ctrlPr>
                </m:sSubPr>
                <m:e>
                  <m:r>
                    <w:rPr>
                      <w:rFonts w:ascii="Cambria Math" w:eastAsia="Times New Roman" w:hAnsi="Cambria Math" w:cs="Times New Roman"/>
                      <w:sz w:val="28"/>
                      <w:szCs w:val="28"/>
                      <w:lang w:eastAsia="fr-FR"/>
                    </w:rPr>
                    <m:t>E</m:t>
                  </m:r>
                </m:e>
                <m:sub>
                  <m:r>
                    <w:rPr>
                      <w:rFonts w:ascii="Cambria Math" w:eastAsia="Times New Roman" w:hAnsi="Cambria Math" w:cs="Times New Roman"/>
                      <w:sz w:val="28"/>
                      <w:szCs w:val="28"/>
                      <w:lang w:eastAsia="fr-FR"/>
                    </w:rPr>
                    <m:t>1</m:t>
                  </m:r>
                </m:sub>
              </m:sSub>
              <m:r>
                <w:rPr>
                  <w:rFonts w:ascii="Cambria Math" w:eastAsia="Times New Roman" w:hAnsi="Cambria Math" w:cs="Times New Roman"/>
                  <w:sz w:val="28"/>
                  <w:szCs w:val="28"/>
                  <w:lang w:eastAsia="fr-FR"/>
                </w:rPr>
                <m:t>)</m:t>
              </m:r>
            </m:num>
            <m:den>
              <m:d>
                <m:dPr>
                  <m:ctrlPr>
                    <w:rPr>
                      <w:rFonts w:ascii="Cambria Math" w:eastAsia="Times New Roman" w:hAnsi="Cambria Math" w:cs="Times New Roman"/>
                      <w:i/>
                      <w:sz w:val="28"/>
                      <w:szCs w:val="28"/>
                      <w:lang w:eastAsia="fr-FR"/>
                    </w:rPr>
                  </m:ctrlPr>
                </m:dPr>
                <m:e>
                  <m:sSub>
                    <m:sSubPr>
                      <m:ctrlPr>
                        <w:rPr>
                          <w:rFonts w:ascii="Cambria Math" w:eastAsia="Times New Roman" w:hAnsi="Cambria Math" w:cs="Times New Roman"/>
                          <w:i/>
                          <w:sz w:val="28"/>
                          <w:szCs w:val="28"/>
                          <w:lang w:eastAsia="fr-FR"/>
                        </w:rPr>
                      </m:ctrlPr>
                    </m:sSubPr>
                    <m:e>
                      <m:r>
                        <w:rPr>
                          <w:rFonts w:ascii="Cambria Math" w:eastAsia="Times New Roman" w:hAnsi="Cambria Math" w:cs="Times New Roman"/>
                          <w:sz w:val="28"/>
                          <w:szCs w:val="28"/>
                          <w:lang w:eastAsia="fr-FR"/>
                        </w:rPr>
                        <m:t>E</m:t>
                      </m:r>
                    </m:e>
                    <m:sub>
                      <m:r>
                        <w:rPr>
                          <w:rFonts w:ascii="Cambria Math" w:eastAsia="Times New Roman" w:hAnsi="Cambria Math" w:cs="Times New Roman"/>
                          <w:sz w:val="28"/>
                          <w:szCs w:val="28"/>
                          <w:lang w:eastAsia="fr-FR"/>
                        </w:rPr>
                        <m:t>2</m:t>
                      </m:r>
                    </m:sub>
                  </m:sSub>
                  <m:r>
                    <w:rPr>
                      <w:rFonts w:ascii="Cambria Math" w:eastAsia="Times New Roman" w:hAnsi="Cambria Math" w:cs="Times New Roman"/>
                      <w:sz w:val="28"/>
                      <w:szCs w:val="28"/>
                      <w:lang w:eastAsia="fr-FR"/>
                    </w:rPr>
                    <m:t>-</m:t>
                  </m:r>
                  <m:sSub>
                    <m:sSubPr>
                      <m:ctrlPr>
                        <w:rPr>
                          <w:rFonts w:ascii="Cambria Math" w:eastAsia="Times New Roman" w:hAnsi="Cambria Math" w:cs="Times New Roman"/>
                          <w:i/>
                          <w:sz w:val="28"/>
                          <w:szCs w:val="28"/>
                          <w:lang w:eastAsia="fr-FR"/>
                        </w:rPr>
                      </m:ctrlPr>
                    </m:sSubPr>
                    <m:e>
                      <m:r>
                        <w:rPr>
                          <w:rFonts w:ascii="Cambria Math" w:eastAsia="Times New Roman" w:hAnsi="Cambria Math" w:cs="Times New Roman"/>
                          <w:sz w:val="28"/>
                          <w:szCs w:val="28"/>
                          <w:lang w:eastAsia="fr-FR"/>
                        </w:rPr>
                        <m:t>E</m:t>
                      </m:r>
                    </m:e>
                    <m:sub>
                      <m:r>
                        <w:rPr>
                          <w:rFonts w:ascii="Cambria Math" w:eastAsia="Times New Roman" w:hAnsi="Cambria Math" w:cs="Times New Roman"/>
                          <w:sz w:val="28"/>
                          <w:szCs w:val="28"/>
                          <w:lang w:eastAsia="fr-FR"/>
                        </w:rPr>
                        <m:t xml:space="preserve">1 </m:t>
                      </m:r>
                    </m:sub>
                  </m:sSub>
                </m:e>
              </m:d>
              <m:r>
                <w:rPr>
                  <w:rFonts w:ascii="Cambria Math" w:eastAsia="Times New Roman" w:hAnsi="Cambria Math" w:cs="Times New Roman"/>
                  <w:sz w:val="28"/>
                  <w:szCs w:val="28"/>
                  <w:lang w:eastAsia="fr-FR"/>
                </w:rPr>
                <m:t>–(</m:t>
              </m:r>
              <m:sSub>
                <m:sSubPr>
                  <m:ctrlPr>
                    <w:rPr>
                      <w:rFonts w:ascii="Cambria Math" w:eastAsia="Times New Roman" w:hAnsi="Cambria Math" w:cs="Times New Roman"/>
                      <w:i/>
                      <w:sz w:val="28"/>
                      <w:szCs w:val="28"/>
                      <w:lang w:eastAsia="fr-FR"/>
                    </w:rPr>
                  </m:ctrlPr>
                </m:sSubPr>
                <m:e>
                  <m:r>
                    <w:rPr>
                      <w:rFonts w:ascii="Cambria Math" w:eastAsia="Times New Roman" w:hAnsi="Cambria Math" w:cs="Times New Roman"/>
                      <w:sz w:val="28"/>
                      <w:szCs w:val="28"/>
                      <w:lang w:eastAsia="fr-FR"/>
                    </w:rPr>
                    <m:t>E</m:t>
                  </m:r>
                </m:e>
                <m:sub>
                  <m:r>
                    <w:rPr>
                      <w:rFonts w:ascii="Cambria Math" w:eastAsia="Times New Roman" w:hAnsi="Cambria Math" w:cs="Times New Roman"/>
                      <w:sz w:val="28"/>
                      <w:szCs w:val="28"/>
                      <w:lang w:eastAsia="fr-FR"/>
                    </w:rPr>
                    <m:t>4</m:t>
                  </m:r>
                </m:sub>
              </m:sSub>
              <m:r>
                <w:rPr>
                  <w:rFonts w:ascii="Cambria Math" w:eastAsia="Times New Roman" w:hAnsi="Cambria Math" w:cs="Times New Roman"/>
                  <w:sz w:val="28"/>
                  <w:szCs w:val="28"/>
                  <w:lang w:eastAsia="fr-FR"/>
                </w:rPr>
                <m:t>-</m:t>
              </m:r>
              <m:sSub>
                <m:sSubPr>
                  <m:ctrlPr>
                    <w:rPr>
                      <w:rFonts w:ascii="Cambria Math" w:eastAsia="Times New Roman" w:hAnsi="Cambria Math" w:cs="Times New Roman"/>
                      <w:i/>
                      <w:sz w:val="28"/>
                      <w:szCs w:val="28"/>
                      <w:lang w:eastAsia="fr-FR"/>
                    </w:rPr>
                  </m:ctrlPr>
                </m:sSubPr>
                <m:e>
                  <m:r>
                    <w:rPr>
                      <w:rFonts w:ascii="Cambria Math" w:eastAsia="Times New Roman" w:hAnsi="Cambria Math" w:cs="Times New Roman"/>
                      <w:sz w:val="28"/>
                      <w:szCs w:val="28"/>
                      <w:lang w:eastAsia="fr-FR"/>
                    </w:rPr>
                    <m:t>E</m:t>
                  </m:r>
                </m:e>
                <m:sub>
                  <m:r>
                    <w:rPr>
                      <w:rFonts w:ascii="Cambria Math" w:eastAsia="Times New Roman" w:hAnsi="Cambria Math" w:cs="Times New Roman"/>
                      <w:sz w:val="28"/>
                      <w:szCs w:val="28"/>
                      <w:lang w:eastAsia="fr-FR"/>
                    </w:rPr>
                    <m:t>3</m:t>
                  </m:r>
                </m:sub>
              </m:sSub>
              <m:r>
                <w:rPr>
                  <w:rFonts w:ascii="Cambria Math" w:eastAsia="Times New Roman" w:hAnsi="Cambria Math" w:cs="Times New Roman"/>
                  <w:sz w:val="28"/>
                  <w:szCs w:val="28"/>
                  <w:lang w:eastAsia="fr-FR"/>
                </w:rPr>
                <m:t>)</m:t>
              </m:r>
            </m:den>
          </m:f>
        </m:oMath>
      </m:oMathPara>
    </w:p>
    <w:p w:rsidR="00B87792" w:rsidRPr="00324D5B" w:rsidRDefault="00B87792" w:rsidP="00B87792">
      <w:pPr>
        <w:spacing w:before="240" w:after="0" w:line="360" w:lineRule="auto"/>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Tels que : E</w:t>
      </w:r>
      <w:r w:rsidRPr="00324D5B">
        <w:rPr>
          <w:rFonts w:ascii="Times New Roman" w:eastAsia="Times New Roman" w:hAnsi="Times New Roman" w:cs="Times New Roman"/>
          <w:sz w:val="28"/>
          <w:szCs w:val="28"/>
          <w:vertAlign w:val="subscript"/>
          <w:lang w:eastAsia="fr-FR"/>
        </w:rPr>
        <w:t>1 </w:t>
      </w:r>
      <w:r w:rsidRPr="00324D5B">
        <w:rPr>
          <w:rFonts w:ascii="Times New Roman" w:eastAsia="Times New Roman" w:hAnsi="Times New Roman" w:cs="Times New Roman"/>
          <w:sz w:val="28"/>
          <w:szCs w:val="28"/>
          <w:lang w:eastAsia="fr-FR"/>
        </w:rPr>
        <w:t>: la masse du pycnomètre vide.</w:t>
      </w:r>
    </w:p>
    <w:p w:rsidR="00B87792" w:rsidRPr="00324D5B" w:rsidRDefault="00B14680"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lastRenderedPageBreak/>
        <w:pict>
          <v:rect id="_x0000_s1033" style="position:absolute;left:0;text-align:left;margin-left:274.15pt;margin-top:7.8pt;width:21.45pt;height:85.3pt;z-index:251668480" strokecolor="white [3212]"/>
        </w:pict>
      </w:r>
      <w:r>
        <w:rPr>
          <w:rFonts w:ascii="Times New Roman" w:eastAsia="Times New Roman" w:hAnsi="Times New Roman" w:cs="Times New Roman"/>
          <w:noProof/>
          <w:sz w:val="28"/>
          <w:szCs w:val="28"/>
          <w:lang w:eastAsia="fr-FR"/>
        </w:rPr>
        <w:pict>
          <v:rect id="_x0000_s1032" style="position:absolute;left:0;text-align:left;margin-left:180.8pt;margin-top:7.8pt;width:29pt;height:85.3pt;z-index:251667456" strokecolor="white [3212]"/>
        </w:pict>
      </w:r>
      <w:r w:rsidR="00B87792" w:rsidRPr="00324D5B">
        <w:rPr>
          <w:rFonts w:ascii="Times New Roman" w:eastAsia="Times New Roman" w:hAnsi="Times New Roman" w:cs="Times New Roman"/>
          <w:sz w:val="28"/>
          <w:szCs w:val="28"/>
          <w:lang w:eastAsia="fr-FR"/>
        </w:rPr>
        <w:t xml:space="preserve">                                             </w:t>
      </w:r>
      <w:r w:rsidR="00B87792" w:rsidRPr="00324D5B">
        <w:rPr>
          <w:rFonts w:ascii="Times New Roman" w:eastAsia="Times New Roman" w:hAnsi="Times New Roman" w:cs="Times New Roman"/>
          <w:noProof/>
          <w:sz w:val="28"/>
          <w:szCs w:val="28"/>
          <w:lang w:eastAsia="fr-FR"/>
        </w:rPr>
        <w:drawing>
          <wp:inline distT="0" distB="0" distL="0" distR="0">
            <wp:extent cx="1363541" cy="985961"/>
            <wp:effectExtent l="19050" t="0" r="8059" b="0"/>
            <wp:docPr id="24" name="Image 2" descr="C:\Documents and Settings\malika\Bureau\Photos-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malika\Bureau\Photos-0011.jpg"/>
                    <pic:cNvPicPr>
                      <a:picLocks noChangeAspect="1" noChangeArrowheads="1"/>
                    </pic:cNvPicPr>
                  </pic:nvPicPr>
                  <pic:blipFill>
                    <a:blip r:embed="rId15" cstate="print"/>
                    <a:srcRect/>
                    <a:stretch>
                      <a:fillRect/>
                    </a:stretch>
                  </pic:blipFill>
                  <pic:spPr bwMode="auto">
                    <a:xfrm>
                      <a:off x="0" y="0"/>
                      <a:ext cx="1365238" cy="987188"/>
                    </a:xfrm>
                    <a:prstGeom prst="rect">
                      <a:avLst/>
                    </a:prstGeom>
                    <a:noFill/>
                    <a:ln w="9525">
                      <a:noFill/>
                      <a:miter lim="800000"/>
                      <a:headEnd/>
                      <a:tailEnd/>
                    </a:ln>
                  </pic:spPr>
                </pic:pic>
              </a:graphicData>
            </a:graphic>
          </wp:inline>
        </w:drawing>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6"/>
          <w:szCs w:val="26"/>
          <w:lang w:eastAsia="fr-FR"/>
        </w:rPr>
      </w:pPr>
      <w:r w:rsidRPr="00324D5B">
        <w:rPr>
          <w:rFonts w:ascii="Times New Roman" w:eastAsia="Times New Roman" w:hAnsi="Times New Roman" w:cs="Times New Roman"/>
          <w:sz w:val="28"/>
          <w:szCs w:val="28"/>
          <w:lang w:eastAsia="fr-FR"/>
        </w:rPr>
        <w:t xml:space="preserve">                                         </w:t>
      </w:r>
      <w:r w:rsidRPr="00324D5B">
        <w:rPr>
          <w:rFonts w:ascii="Times New Roman" w:eastAsia="Times New Roman" w:hAnsi="Times New Roman" w:cs="Times New Roman"/>
          <w:sz w:val="26"/>
          <w:szCs w:val="26"/>
          <w:lang w:eastAsia="fr-FR"/>
        </w:rPr>
        <w:t>Fig</w:t>
      </w:r>
      <w:r>
        <w:rPr>
          <w:rFonts w:ascii="Times New Roman" w:eastAsia="Times New Roman" w:hAnsi="Times New Roman" w:cs="Times New Roman"/>
          <w:sz w:val="26"/>
          <w:szCs w:val="26"/>
          <w:lang w:eastAsia="fr-FR"/>
        </w:rPr>
        <w:t>ure</w:t>
      </w:r>
      <w:r w:rsidRPr="00324D5B">
        <w:rPr>
          <w:rFonts w:ascii="Times New Roman" w:eastAsia="Times New Roman" w:hAnsi="Times New Roman" w:cs="Times New Roman"/>
          <w:sz w:val="26"/>
          <w:szCs w:val="26"/>
          <w:lang w:eastAsia="fr-FR"/>
        </w:rPr>
        <w:t xml:space="preserve"> </w:t>
      </w:r>
      <w:r>
        <w:rPr>
          <w:rFonts w:ascii="Times New Roman" w:eastAsia="Times New Roman" w:hAnsi="Times New Roman" w:cs="Times New Roman"/>
          <w:sz w:val="26"/>
          <w:szCs w:val="26"/>
          <w:lang w:eastAsia="fr-FR"/>
        </w:rPr>
        <w:t>V.6</w:t>
      </w:r>
      <w:r w:rsidRPr="00324D5B">
        <w:rPr>
          <w:rFonts w:ascii="Times New Roman" w:eastAsia="Times New Roman" w:hAnsi="Times New Roman" w:cs="Times New Roman"/>
          <w:sz w:val="26"/>
          <w:szCs w:val="26"/>
          <w:lang w:eastAsia="fr-FR"/>
        </w:rPr>
        <w:t> : Pycnomètre vide.</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E</w:t>
      </w:r>
      <w:r w:rsidRPr="00324D5B">
        <w:rPr>
          <w:rFonts w:ascii="Times New Roman" w:eastAsia="Times New Roman" w:hAnsi="Times New Roman" w:cs="Times New Roman"/>
          <w:sz w:val="28"/>
          <w:szCs w:val="28"/>
          <w:vertAlign w:val="subscript"/>
          <w:lang w:eastAsia="fr-FR"/>
        </w:rPr>
        <w:t>2 </w:t>
      </w:r>
      <w:r w:rsidRPr="00324D5B">
        <w:rPr>
          <w:rFonts w:ascii="Times New Roman" w:eastAsia="Times New Roman" w:hAnsi="Times New Roman" w:cs="Times New Roman"/>
          <w:sz w:val="28"/>
          <w:szCs w:val="28"/>
          <w:lang w:eastAsia="fr-FR"/>
        </w:rPr>
        <w:t>: la masse du pycnomètre remplit d’eau distillée à 25°C.</w:t>
      </w:r>
    </w:p>
    <w:p w:rsidR="00B87792" w:rsidRPr="00324D5B" w:rsidRDefault="00B14680"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pict>
          <v:rect id="_x0000_s1035" style="position:absolute;left:0;text-align:left;margin-left:167.7pt;margin-top:17.9pt;width:37.25pt;height:114.65pt;z-index:251670528" strokecolor="white [3212]"/>
        </w:pict>
      </w:r>
      <w:r>
        <w:rPr>
          <w:rFonts w:ascii="Times New Roman" w:eastAsia="Times New Roman" w:hAnsi="Times New Roman" w:cs="Times New Roman"/>
          <w:noProof/>
          <w:sz w:val="28"/>
          <w:szCs w:val="28"/>
          <w:lang w:eastAsia="fr-FR"/>
        </w:rPr>
        <w:pict>
          <v:rect id="_x0000_s1034" style="position:absolute;left:0;text-align:left;margin-left:267.2pt;margin-top:22.25pt;width:46.85pt;height:110.3pt;z-index:251669504" strokecolor="white [3212]"/>
        </w:pict>
      </w:r>
      <w:r>
        <w:rPr>
          <w:rFonts w:ascii="Times New Roman" w:eastAsia="Times New Roman" w:hAnsi="Times New Roman" w:cs="Times New Roman"/>
          <w:noProof/>
          <w:sz w:val="28"/>
          <w:szCs w:val="28"/>
          <w:lang w:eastAsia="fr-FR"/>
        </w:rPr>
        <w:pict>
          <v:rect id="_x0000_s1036" style="position:absolute;left:0;text-align:left;margin-left:50.75pt;margin-top:17.9pt;width:64.9pt;height:15.05pt;z-index:251671552" strokecolor="white [3212]"/>
        </w:pict>
      </w:r>
      <w:r w:rsidR="00B87792" w:rsidRPr="00324D5B">
        <w:rPr>
          <w:rFonts w:ascii="Times New Roman" w:eastAsia="Times New Roman" w:hAnsi="Times New Roman" w:cs="Times New Roman"/>
          <w:sz w:val="28"/>
          <w:szCs w:val="28"/>
          <w:lang w:eastAsia="fr-FR"/>
        </w:rPr>
        <w:t xml:space="preserve">              E</w:t>
      </w:r>
      <w:r w:rsidR="00B87792" w:rsidRPr="00324D5B">
        <w:rPr>
          <w:rFonts w:ascii="Times New Roman" w:eastAsia="Times New Roman" w:hAnsi="Times New Roman" w:cs="Times New Roman"/>
          <w:sz w:val="28"/>
          <w:szCs w:val="28"/>
          <w:vertAlign w:val="subscript"/>
          <w:lang w:eastAsia="fr-FR"/>
        </w:rPr>
        <w:t>3 </w:t>
      </w:r>
      <w:r w:rsidR="00B87792" w:rsidRPr="00324D5B">
        <w:rPr>
          <w:rFonts w:ascii="Times New Roman" w:eastAsia="Times New Roman" w:hAnsi="Times New Roman" w:cs="Times New Roman"/>
          <w:sz w:val="28"/>
          <w:szCs w:val="28"/>
          <w:lang w:eastAsia="fr-FR"/>
        </w:rPr>
        <w:t>: la masse du pycnomètre remplit à la moitié du produit à 25 °C.</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w:t>
      </w:r>
      <w:r w:rsidRPr="00324D5B">
        <w:rPr>
          <w:rFonts w:ascii="Times New Roman" w:eastAsia="Times New Roman" w:hAnsi="Times New Roman" w:cs="Times New Roman"/>
          <w:noProof/>
          <w:sz w:val="28"/>
          <w:szCs w:val="28"/>
          <w:lang w:eastAsia="fr-FR"/>
        </w:rPr>
        <w:drawing>
          <wp:inline distT="0" distB="0" distL="0" distR="0">
            <wp:extent cx="1638287" cy="1357952"/>
            <wp:effectExtent l="19050" t="0" r="13" b="0"/>
            <wp:docPr id="25" name="Image 3" descr="C:\Documents and Settings\malika\Bureau\Photos-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alika\Bureau\Photos-0010..jpg"/>
                    <pic:cNvPicPr>
                      <a:picLocks noChangeAspect="1" noChangeArrowheads="1"/>
                    </pic:cNvPicPr>
                  </pic:nvPicPr>
                  <pic:blipFill>
                    <a:blip r:embed="rId16" cstate="print"/>
                    <a:srcRect/>
                    <a:stretch>
                      <a:fillRect/>
                    </a:stretch>
                  </pic:blipFill>
                  <pic:spPr bwMode="auto">
                    <a:xfrm>
                      <a:off x="0" y="0"/>
                      <a:ext cx="1643422" cy="1362208"/>
                    </a:xfrm>
                    <a:prstGeom prst="rect">
                      <a:avLst/>
                    </a:prstGeom>
                    <a:noFill/>
                    <a:ln w="9525">
                      <a:noFill/>
                      <a:miter lim="800000"/>
                      <a:headEnd/>
                      <a:tailEnd/>
                    </a:ln>
                  </pic:spPr>
                </pic:pic>
              </a:graphicData>
            </a:graphic>
          </wp:inline>
        </w:drawing>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6"/>
          <w:szCs w:val="26"/>
          <w:lang w:eastAsia="fr-FR"/>
        </w:rPr>
      </w:pPr>
      <w:r w:rsidRPr="00324D5B">
        <w:rPr>
          <w:rFonts w:ascii="Times New Roman" w:eastAsia="Times New Roman" w:hAnsi="Times New Roman" w:cs="Times New Roman"/>
          <w:sz w:val="28"/>
          <w:szCs w:val="28"/>
          <w:lang w:eastAsia="fr-FR"/>
        </w:rPr>
        <w:t xml:space="preserve">                           </w:t>
      </w:r>
      <w:r w:rsidRPr="00324D5B">
        <w:rPr>
          <w:rFonts w:ascii="Times New Roman" w:eastAsia="Times New Roman" w:hAnsi="Times New Roman" w:cs="Times New Roman"/>
          <w:sz w:val="26"/>
          <w:szCs w:val="26"/>
          <w:lang w:eastAsia="fr-FR"/>
        </w:rPr>
        <w:t>Fig</w:t>
      </w:r>
      <w:r>
        <w:rPr>
          <w:rFonts w:ascii="Times New Roman" w:eastAsia="Times New Roman" w:hAnsi="Times New Roman" w:cs="Times New Roman"/>
          <w:sz w:val="26"/>
          <w:szCs w:val="26"/>
          <w:lang w:eastAsia="fr-FR"/>
        </w:rPr>
        <w:t>ure</w:t>
      </w:r>
      <w:r w:rsidRPr="00324D5B">
        <w:rPr>
          <w:rFonts w:ascii="Times New Roman" w:eastAsia="Times New Roman" w:hAnsi="Times New Roman" w:cs="Times New Roman"/>
          <w:sz w:val="26"/>
          <w:szCs w:val="26"/>
          <w:lang w:eastAsia="fr-FR"/>
        </w:rPr>
        <w:t> </w:t>
      </w:r>
      <w:r>
        <w:rPr>
          <w:rFonts w:ascii="Times New Roman" w:eastAsia="Times New Roman" w:hAnsi="Times New Roman" w:cs="Times New Roman"/>
          <w:sz w:val="26"/>
          <w:szCs w:val="26"/>
          <w:lang w:eastAsia="fr-FR"/>
        </w:rPr>
        <w:t>V.7</w:t>
      </w:r>
      <w:r w:rsidRPr="00324D5B">
        <w:rPr>
          <w:rFonts w:ascii="Times New Roman" w:eastAsia="Times New Roman" w:hAnsi="Times New Roman" w:cs="Times New Roman"/>
          <w:sz w:val="26"/>
          <w:szCs w:val="26"/>
          <w:lang w:eastAsia="fr-FR"/>
        </w:rPr>
        <w:t xml:space="preserve"> : Pycnomètre rempli à moitié du produit.</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E</w:t>
      </w:r>
      <w:r w:rsidRPr="00324D5B">
        <w:rPr>
          <w:rFonts w:ascii="Times New Roman" w:eastAsia="Times New Roman" w:hAnsi="Times New Roman" w:cs="Times New Roman"/>
          <w:sz w:val="28"/>
          <w:szCs w:val="28"/>
          <w:vertAlign w:val="subscript"/>
          <w:lang w:eastAsia="fr-FR"/>
        </w:rPr>
        <w:t>4 </w:t>
      </w:r>
      <w:r w:rsidRPr="00324D5B">
        <w:rPr>
          <w:rFonts w:ascii="Times New Roman" w:eastAsia="Times New Roman" w:hAnsi="Times New Roman" w:cs="Times New Roman"/>
          <w:sz w:val="28"/>
          <w:szCs w:val="28"/>
          <w:lang w:eastAsia="fr-FR"/>
        </w:rPr>
        <w:t xml:space="preserve">: la masse du pycnomètre rempli à moitié du produit et l’autre moitié d’eau distillée à 25 °C [Annexe B].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numPr>
          <w:ilvl w:val="0"/>
          <w:numId w:val="5"/>
        </w:numPr>
        <w:spacing w:before="240" w:after="0" w:line="360" w:lineRule="auto"/>
        <w:rPr>
          <w:i/>
          <w:iCs/>
          <w:sz w:val="28"/>
          <w:szCs w:val="28"/>
        </w:rPr>
      </w:pPr>
      <w:r w:rsidRPr="00324D5B">
        <w:rPr>
          <w:i/>
          <w:iCs/>
          <w:sz w:val="28"/>
          <w:szCs w:val="28"/>
        </w:rPr>
        <w:t>Viscosité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La viscosité est une propriété qu’a tout fluide d’opposer une résistance aux forces qui tendent à déplacer les unes par rapport aux autres.</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Si des liquides newtoniens sont testés à l'aide de viscosimètres capillaires, la viscosité est exprimée en unités de viscosité cinématique ν. La gravité est utilisée comme force entraînant le liquide à travers le capillaire. La masse volumique ρ de l'échantillon est un paramètre additionnel.</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La viscosité cinématique  ν et la viscosité dynamique η sont liées par la formule suivante :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36"/>
          <w:szCs w:val="36"/>
          <w:lang w:eastAsia="fr-FR"/>
        </w:rPr>
      </w:pPr>
      <w:r w:rsidRPr="00324D5B">
        <w:rPr>
          <w:rFonts w:ascii="Times New Roman" w:eastAsia="Times New Roman" w:hAnsi="Times New Roman" w:cs="Times New Roman"/>
          <w:sz w:val="28"/>
          <w:szCs w:val="28"/>
          <w:lang w:eastAsia="fr-FR"/>
        </w:rPr>
        <w:t xml:space="preserve">                         </w:t>
      </w:r>
      <m:oMath>
        <m:r>
          <m:rPr>
            <m:sty m:val="p"/>
          </m:rPr>
          <w:rPr>
            <w:rFonts w:ascii="Cambria Math" w:eastAsia="Times New Roman" w:hAnsi="Cambria Math" w:cs="Times New Roman"/>
            <w:sz w:val="36"/>
            <w:szCs w:val="36"/>
            <w:lang w:eastAsia="fr-FR"/>
          </w:rPr>
          <m:t>ν</m:t>
        </m:r>
        <m:r>
          <m:rPr>
            <m:sty m:val="p"/>
          </m:rPr>
          <w:rPr>
            <w:rFonts w:ascii="Cambria Math" w:eastAsia="Times New Roman" w:hAnsi="Times New Roman" w:cs="Times New Roman"/>
            <w:sz w:val="36"/>
            <w:szCs w:val="36"/>
            <w:lang w:eastAsia="fr-FR"/>
          </w:rPr>
          <m:t>=</m:t>
        </m:r>
        <m:f>
          <m:fPr>
            <m:ctrlPr>
              <w:rPr>
                <w:rFonts w:ascii="Cambria Math" w:eastAsia="Times New Roman" w:hAnsi="Times New Roman" w:cs="Times New Roman"/>
                <w:sz w:val="36"/>
                <w:szCs w:val="36"/>
                <w:lang w:eastAsia="fr-FR"/>
              </w:rPr>
            </m:ctrlPr>
          </m:fPr>
          <m:num>
            <m:r>
              <m:rPr>
                <m:sty m:val="p"/>
              </m:rPr>
              <w:rPr>
                <w:rFonts w:ascii="Cambria Math" w:eastAsia="Times New Roman" w:hAnsi="Cambria Math" w:cs="Times New Roman"/>
                <w:sz w:val="36"/>
                <w:szCs w:val="36"/>
                <w:lang w:eastAsia="fr-FR"/>
              </w:rPr>
              <m:t>η</m:t>
            </m:r>
          </m:num>
          <m:den>
            <m:r>
              <m:rPr>
                <m:sty m:val="p"/>
              </m:rPr>
              <w:rPr>
                <w:rFonts w:ascii="Cambria Math" w:eastAsia="Times New Roman" w:hAnsi="Cambria Math" w:cs="Times New Roman"/>
                <w:sz w:val="36"/>
                <w:szCs w:val="36"/>
                <w:lang w:eastAsia="fr-FR"/>
              </w:rPr>
              <m:t>ρ</m:t>
            </m:r>
          </m:den>
        </m:f>
        <m:r>
          <m:rPr>
            <m:sty m:val="p"/>
          </m:rPr>
          <w:rPr>
            <w:rFonts w:ascii="Cambria Math" w:eastAsia="Times New Roman" w:hAnsi="Times New Roman" w:cs="Times New Roman"/>
            <w:sz w:val="36"/>
            <w:szCs w:val="36"/>
            <w:lang w:eastAsia="fr-FR"/>
          </w:rPr>
          <m:t>[</m:t>
        </m:r>
        <m:f>
          <m:fPr>
            <m:ctrlPr>
              <w:rPr>
                <w:rFonts w:ascii="Cambria Math" w:eastAsia="Times New Roman" w:hAnsi="Times New Roman" w:cs="Times New Roman"/>
                <w:sz w:val="36"/>
                <w:szCs w:val="36"/>
                <w:lang w:eastAsia="fr-FR"/>
              </w:rPr>
            </m:ctrlPr>
          </m:fPr>
          <m:num>
            <m:sSup>
              <m:sSupPr>
                <m:ctrlPr>
                  <w:rPr>
                    <w:rFonts w:ascii="Cambria Math" w:eastAsia="Times New Roman" w:hAnsi="Times New Roman" w:cs="Times New Roman"/>
                    <w:sz w:val="36"/>
                    <w:szCs w:val="36"/>
                    <w:lang w:eastAsia="fr-FR"/>
                  </w:rPr>
                </m:ctrlPr>
              </m:sSupPr>
              <m:e>
                <m:r>
                  <m:rPr>
                    <m:sty m:val="p"/>
                  </m:rPr>
                  <w:rPr>
                    <w:rFonts w:ascii="Cambria Math" w:eastAsia="Times New Roman" w:hAnsi="Times New Roman" w:cs="Times New Roman"/>
                    <w:sz w:val="36"/>
                    <w:szCs w:val="36"/>
                    <w:lang w:eastAsia="fr-FR"/>
                  </w:rPr>
                  <m:t>m</m:t>
                </m:r>
              </m:e>
              <m:sup>
                <m:r>
                  <m:rPr>
                    <m:sty m:val="p"/>
                  </m:rPr>
                  <w:rPr>
                    <w:rFonts w:ascii="Cambria Math" w:eastAsia="Times New Roman" w:hAnsi="Times New Roman" w:cs="Times New Roman"/>
                    <w:sz w:val="36"/>
                    <w:szCs w:val="36"/>
                    <w:lang w:eastAsia="fr-FR"/>
                  </w:rPr>
                  <m:t>2</m:t>
                </m:r>
              </m:sup>
            </m:sSup>
          </m:num>
          <m:den>
            <m:r>
              <m:rPr>
                <m:sty m:val="p"/>
              </m:rPr>
              <w:rPr>
                <w:rFonts w:ascii="Cambria Math" w:eastAsia="Times New Roman" w:hAnsi="Times New Roman" w:cs="Times New Roman"/>
                <w:sz w:val="36"/>
                <w:szCs w:val="36"/>
                <w:lang w:eastAsia="fr-FR"/>
              </w:rPr>
              <m:t>s</m:t>
            </m:r>
          </m:den>
        </m:f>
        <m:r>
          <m:rPr>
            <m:sty m:val="p"/>
          </m:rPr>
          <w:rPr>
            <w:rFonts w:ascii="Cambria Math" w:eastAsia="Times New Roman" w:hAnsi="Times New Roman" w:cs="Times New Roman"/>
            <w:sz w:val="36"/>
            <w:szCs w:val="36"/>
            <w:lang w:eastAsia="fr-FR"/>
          </w:rPr>
          <m:t>]</m:t>
        </m:r>
      </m:oMath>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95674E">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lastRenderedPageBreak/>
        <w:t xml:space="preserve">Remarque : il existe d’autres façons d’exprimer la viscosité .Par exemple en Degré Engler (sans dimension) : c’est le rapport (ν / ν </w:t>
      </w:r>
      <w:r w:rsidRPr="00324D5B">
        <w:rPr>
          <w:rFonts w:ascii="Times New Roman" w:eastAsia="Times New Roman" w:hAnsi="Times New Roman" w:cs="Times New Roman"/>
          <w:sz w:val="28"/>
          <w:szCs w:val="28"/>
          <w:vertAlign w:val="subscript"/>
          <w:lang w:eastAsia="fr-FR"/>
        </w:rPr>
        <w:t>eau</w:t>
      </w:r>
      <w:r w:rsidRPr="00324D5B">
        <w:rPr>
          <w:rFonts w:ascii="Times New Roman" w:eastAsia="Times New Roman" w:hAnsi="Times New Roman" w:cs="Times New Roman"/>
          <w:sz w:val="28"/>
          <w:szCs w:val="28"/>
          <w:lang w:eastAsia="fr-FR"/>
        </w:rPr>
        <w:t xml:space="preserve">)= (t / t </w:t>
      </w:r>
      <w:r w:rsidRPr="00324D5B">
        <w:rPr>
          <w:rFonts w:ascii="Times New Roman" w:eastAsia="Times New Roman" w:hAnsi="Times New Roman" w:cs="Times New Roman"/>
          <w:sz w:val="28"/>
          <w:szCs w:val="28"/>
          <w:vertAlign w:val="subscript"/>
          <w:lang w:eastAsia="fr-FR"/>
        </w:rPr>
        <w:t>eau</w:t>
      </w:r>
      <w:r w:rsidRPr="00324D5B">
        <w:rPr>
          <w:rFonts w:ascii="Times New Roman" w:eastAsia="Times New Roman" w:hAnsi="Times New Roman" w:cs="Times New Roman"/>
          <w:sz w:val="28"/>
          <w:szCs w:val="28"/>
          <w:lang w:eastAsia="fr-FR"/>
        </w:rPr>
        <w:t>) où</w:t>
      </w:r>
      <w:r w:rsidR="0095674E">
        <w:rPr>
          <w:rFonts w:ascii="Times New Roman" w:eastAsia="Times New Roman" w:hAnsi="Times New Roman" w:cs="Times New Roman"/>
          <w:sz w:val="28"/>
          <w:szCs w:val="28"/>
          <w:lang w:eastAsia="fr-FR"/>
        </w:rPr>
        <w:t xml:space="preserve">            </w:t>
      </w:r>
      <w:r w:rsidRPr="00324D5B">
        <w:rPr>
          <w:rFonts w:ascii="Times New Roman" w:eastAsia="Times New Roman" w:hAnsi="Times New Roman" w:cs="Times New Roman"/>
          <w:sz w:val="28"/>
          <w:szCs w:val="28"/>
          <w:lang w:eastAsia="fr-FR"/>
        </w:rPr>
        <w:t xml:space="preserve">t et t </w:t>
      </w:r>
      <w:r w:rsidRPr="00324D5B">
        <w:rPr>
          <w:rFonts w:ascii="Times New Roman" w:eastAsia="Times New Roman" w:hAnsi="Times New Roman" w:cs="Times New Roman"/>
          <w:sz w:val="28"/>
          <w:szCs w:val="28"/>
          <w:vertAlign w:val="subscript"/>
          <w:lang w:eastAsia="fr-FR"/>
        </w:rPr>
        <w:t>eau</w:t>
      </w:r>
      <w:r w:rsidRPr="00324D5B">
        <w:rPr>
          <w:rFonts w:ascii="Times New Roman" w:eastAsia="Times New Roman" w:hAnsi="Times New Roman" w:cs="Times New Roman"/>
          <w:sz w:val="28"/>
          <w:szCs w:val="28"/>
          <w:lang w:eastAsia="fr-FR"/>
        </w:rPr>
        <w:t xml:space="preserve"> sont des temps d’écoulement du fluide et de l’eau respectivement mesurés dans les mêmes conditions expérimentales.</w:t>
      </w:r>
    </w:p>
    <w:p w:rsidR="00B87792" w:rsidRPr="00324D5B" w:rsidRDefault="00B87792" w:rsidP="00B87792">
      <w:pPr>
        <w:spacing w:before="240" w:after="0" w:line="360" w:lineRule="auto"/>
        <w:ind w:firstLine="708"/>
        <w:rPr>
          <w:rFonts w:ascii="Times New Roman" w:eastAsia="Times New Roman" w:hAnsi="Times New Roman" w:cs="Times New Roman"/>
          <w:sz w:val="28"/>
          <w:szCs w:val="28"/>
          <w:lang w:eastAsia="fr-FR"/>
        </w:rPr>
      </w:pPr>
      <w:r w:rsidRPr="00324D5B">
        <w:rPr>
          <w:rFonts w:ascii="Times New Roman" w:eastAsia="Times New Roman" w:hAnsi="Times New Roman" w:cs="Times New Roman"/>
          <w:b/>
          <w:bCs/>
          <w:sz w:val="28"/>
          <w:szCs w:val="28"/>
          <w:lang w:eastAsia="fr-FR"/>
        </w:rPr>
        <w:t>Viscosimètre d'Ostwald</w:t>
      </w:r>
      <w:r w:rsidRPr="00324D5B">
        <w:rPr>
          <w:rFonts w:ascii="Times New Roman" w:eastAsia="Times New Roman" w:hAnsi="Times New Roman" w:cs="Times New Roman"/>
          <w:b/>
          <w:bCs/>
          <w:sz w:val="24"/>
          <w:szCs w:val="24"/>
          <w:lang w:eastAsia="fr-FR"/>
        </w:rPr>
        <w:t xml:space="preserve"> </w:t>
      </w:r>
      <w:r w:rsidRPr="00324D5B">
        <w:rPr>
          <w:rFonts w:ascii="Times New Roman" w:eastAsia="Times New Roman" w:hAnsi="Times New Roman" w:cs="Times New Roman"/>
          <w:sz w:val="28"/>
          <w:szCs w:val="28"/>
          <w:lang w:eastAsia="fr-FR"/>
        </w:rPr>
        <w:t>[Annexe B]</w:t>
      </w:r>
    </w:p>
    <w:p w:rsidR="00B87792" w:rsidRPr="00324D5B" w:rsidRDefault="00B87792" w:rsidP="00B87792">
      <w:pPr>
        <w:spacing w:before="240" w:after="0" w:line="360" w:lineRule="auto"/>
        <w:ind w:firstLine="708"/>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4"/>
          <w:szCs w:val="24"/>
          <w:lang w:eastAsia="fr-FR"/>
        </w:rPr>
        <w:t> </w:t>
      </w:r>
      <w:r w:rsidRPr="00324D5B">
        <w:rPr>
          <w:rFonts w:ascii="Times New Roman" w:eastAsia="Times New Roman" w:hAnsi="Times New Roman" w:cs="Times New Roman"/>
          <w:sz w:val="28"/>
          <w:szCs w:val="28"/>
          <w:lang w:eastAsia="fr-FR"/>
        </w:rPr>
        <w:t xml:space="preserve"> On mesure la durée d'écoulement t d'un volume V de liquide à travers un tube capillaire. La viscosité  cinématique  est proportionnelle à la durée t :   </w:t>
      </w:r>
    </w:p>
    <w:p w:rsidR="00B87792" w:rsidRPr="00324D5B" w:rsidRDefault="00B87792" w:rsidP="00B87792">
      <w:pPr>
        <w:spacing w:before="240" w:after="0" w:line="360" w:lineRule="auto"/>
        <w:ind w:firstLine="708"/>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ν = K· t  </w:t>
      </w:r>
    </w:p>
    <w:p w:rsidR="00B87792" w:rsidRPr="00324D5B" w:rsidRDefault="00B87792" w:rsidP="00B87792">
      <w:pPr>
        <w:spacing w:before="240" w:after="0" w:line="360" w:lineRule="auto"/>
        <w:ind w:firstLine="708"/>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K : la constante de l'appareil (K) fournie par le constructeur.</w:t>
      </w:r>
    </w:p>
    <w:p w:rsidR="00B87792" w:rsidRPr="00324D5B" w:rsidRDefault="00B87792" w:rsidP="00B87792">
      <w:pPr>
        <w:spacing w:before="240" w:after="0" w:line="360" w:lineRule="auto"/>
        <w:ind w:firstLine="708"/>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Si on ne connaît pas cette constante, on la détermine préalablement à l'aide de l'eau. </w:t>
      </w:r>
    </w:p>
    <w:p w:rsidR="00B87792" w:rsidRPr="00324D5B" w:rsidRDefault="00B87792" w:rsidP="00B87792">
      <w:pPr>
        <w:pStyle w:val="Paragraphedeliste"/>
        <w:spacing w:before="240" w:after="0" w:line="360" w:lineRule="auto"/>
        <w:ind w:left="0" w:firstLine="567"/>
        <w:jc w:val="center"/>
        <w:rPr>
          <w:rFonts w:ascii="Times New Roman" w:eastAsia="Times New Roman" w:hAnsi="Times New Roman" w:cs="Times New Roman"/>
          <w:sz w:val="28"/>
          <w:szCs w:val="28"/>
          <w:lang w:eastAsia="fr-FR"/>
        </w:rPr>
      </w:pPr>
      <w:r w:rsidRPr="00324D5B">
        <w:rPr>
          <w:b/>
          <w:bCs/>
          <w:i/>
          <w:iCs/>
          <w:noProof/>
          <w:sz w:val="28"/>
          <w:szCs w:val="28"/>
          <w:u w:val="single"/>
          <w:lang w:eastAsia="fr-FR"/>
        </w:rPr>
        <w:drawing>
          <wp:inline distT="0" distB="0" distL="0" distR="0">
            <wp:extent cx="1754524" cy="2245057"/>
            <wp:effectExtent l="19050" t="0" r="0" b="0"/>
            <wp:docPr id="11" name="Image 68" descr="http://www.igm.fr/images/bitume/viscosim%E8t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igm.fr/images/bitume/viscosim%E8tre.jpg"/>
                    <pic:cNvPicPr>
                      <a:picLocks noChangeAspect="1" noChangeArrowheads="1"/>
                    </pic:cNvPicPr>
                  </pic:nvPicPr>
                  <pic:blipFill>
                    <a:blip r:embed="rId17"/>
                    <a:srcRect/>
                    <a:stretch>
                      <a:fillRect/>
                    </a:stretch>
                  </pic:blipFill>
                  <pic:spPr bwMode="auto">
                    <a:xfrm>
                      <a:off x="0" y="0"/>
                      <a:ext cx="1740230" cy="2226767"/>
                    </a:xfrm>
                    <a:prstGeom prst="rect">
                      <a:avLst/>
                    </a:prstGeom>
                    <a:noFill/>
                    <a:ln w="9525">
                      <a:noFill/>
                      <a:miter lim="800000"/>
                      <a:headEnd/>
                      <a:tailEnd/>
                    </a:ln>
                  </pic:spPr>
                </pic:pic>
              </a:graphicData>
            </a:graphic>
          </wp:inline>
        </w:drawing>
      </w:r>
      <w:r w:rsidR="00B14680" w:rsidRPr="00B14680">
        <w:rPr>
          <w:noProof/>
          <w:sz w:val="28"/>
          <w:szCs w:val="28"/>
          <w:lang w:eastAsia="fr-FR"/>
        </w:rPr>
        <w:pict>
          <v:rect id="_x0000_s1029" style="position:absolute;left:0;text-align:left;margin-left:314.05pt;margin-top:11.45pt;width:14.5pt;height:183.35pt;z-index:251664384;mso-position-horizontal-relative:text;mso-position-vertical-relative:text" strokecolor="white [3212]"/>
        </w:pict>
      </w:r>
    </w:p>
    <w:p w:rsidR="00B87792" w:rsidRPr="00324D5B" w:rsidRDefault="00B14680" w:rsidP="00B87792">
      <w:pPr>
        <w:pStyle w:val="Paragraphedeliste"/>
        <w:spacing w:before="240" w:after="0" w:line="360" w:lineRule="auto"/>
        <w:ind w:left="0" w:firstLine="567"/>
        <w:rPr>
          <w:sz w:val="28"/>
          <w:szCs w:val="28"/>
        </w:rPr>
      </w:pPr>
      <w:r>
        <w:rPr>
          <w:noProof/>
          <w:sz w:val="28"/>
          <w:szCs w:val="28"/>
          <w:lang w:eastAsia="fr-FR"/>
        </w:rPr>
        <w:pict>
          <v:rect id="_x0000_s1030" style="position:absolute;left:0;text-align:left;margin-left:184pt;margin-top:166.65pt;width:144.55pt;height:16.25pt;z-index:251665408" strokecolor="white [3212]"/>
        </w:pict>
      </w:r>
      <w:r w:rsidR="00B87792" w:rsidRPr="00324D5B">
        <w:rPr>
          <w:sz w:val="28"/>
          <w:szCs w:val="28"/>
        </w:rPr>
        <w:t xml:space="preserve">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6"/>
          <w:szCs w:val="26"/>
          <w:lang w:eastAsia="fr-FR"/>
        </w:rPr>
      </w:pPr>
      <w:r w:rsidRPr="00324D5B">
        <w:rPr>
          <w:rFonts w:ascii="Times New Roman" w:eastAsia="Times New Roman" w:hAnsi="Times New Roman" w:cs="Times New Roman"/>
          <w:sz w:val="26"/>
          <w:szCs w:val="26"/>
          <w:lang w:eastAsia="fr-FR"/>
        </w:rPr>
        <w:t xml:space="preserve">                                   Fig</w:t>
      </w:r>
      <w:r>
        <w:rPr>
          <w:rFonts w:ascii="Times New Roman" w:eastAsia="Times New Roman" w:hAnsi="Times New Roman" w:cs="Times New Roman"/>
          <w:sz w:val="26"/>
          <w:szCs w:val="26"/>
          <w:lang w:eastAsia="fr-FR"/>
        </w:rPr>
        <w:t>ure</w:t>
      </w:r>
      <w:r w:rsidRPr="00324D5B">
        <w:rPr>
          <w:rFonts w:ascii="Times New Roman" w:eastAsia="Times New Roman" w:hAnsi="Times New Roman" w:cs="Times New Roman"/>
          <w:sz w:val="26"/>
          <w:szCs w:val="26"/>
          <w:lang w:eastAsia="fr-FR"/>
        </w:rPr>
        <w:t> </w:t>
      </w:r>
      <w:r>
        <w:rPr>
          <w:rFonts w:ascii="Times New Roman" w:eastAsia="Times New Roman" w:hAnsi="Times New Roman" w:cs="Times New Roman"/>
          <w:sz w:val="26"/>
          <w:szCs w:val="26"/>
          <w:lang w:eastAsia="fr-FR"/>
        </w:rPr>
        <w:t>V.8</w:t>
      </w:r>
      <w:r w:rsidRPr="00324D5B">
        <w:rPr>
          <w:rFonts w:ascii="Times New Roman" w:eastAsia="Times New Roman" w:hAnsi="Times New Roman" w:cs="Times New Roman"/>
          <w:sz w:val="26"/>
          <w:szCs w:val="26"/>
          <w:lang w:eastAsia="fr-FR"/>
        </w:rPr>
        <w:t xml:space="preserve"> : Viscosimètre d'Ostwald à tube capillaire</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p>
    <w:p w:rsidR="00B87792" w:rsidRPr="00324D5B" w:rsidRDefault="00B87792" w:rsidP="00B87792">
      <w:pPr>
        <w:pStyle w:val="Paragraphedeliste"/>
        <w:numPr>
          <w:ilvl w:val="0"/>
          <w:numId w:val="3"/>
        </w:numPr>
        <w:spacing w:before="240" w:after="0" w:line="360" w:lineRule="auto"/>
        <w:ind w:left="284" w:hanging="142"/>
        <w:rPr>
          <w:b/>
          <w:bCs/>
          <w:i/>
          <w:iCs/>
          <w:sz w:val="28"/>
          <w:szCs w:val="28"/>
        </w:rPr>
      </w:pPr>
      <w:r w:rsidRPr="00324D5B">
        <w:rPr>
          <w:b/>
          <w:bCs/>
          <w:i/>
          <w:iCs/>
          <w:sz w:val="28"/>
          <w:szCs w:val="28"/>
        </w:rPr>
        <w:lastRenderedPageBreak/>
        <w:t xml:space="preserve"> </w:t>
      </w:r>
      <w:r w:rsidRPr="00324D5B">
        <w:rPr>
          <w:i/>
          <w:iCs/>
          <w:sz w:val="28"/>
          <w:szCs w:val="28"/>
        </w:rPr>
        <w:t>Ductilité </w:t>
      </w:r>
      <w:r w:rsidRPr="00324D5B">
        <w:rPr>
          <w:b/>
          <w:bCs/>
          <w:i/>
          <w:iCs/>
          <w:sz w:val="28"/>
          <w:szCs w:val="28"/>
        </w:rPr>
        <w:t>:</w:t>
      </w:r>
    </w:p>
    <w:p w:rsidR="00B87792" w:rsidRPr="00324D5B" w:rsidRDefault="00B87792" w:rsidP="00111789">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La ductilité d’un bitume consiste à mesurer son élasticité par l’allongement jusqu'à la rupture en le tirant à</w:t>
      </w:r>
      <w:r w:rsidR="00111789">
        <w:rPr>
          <w:rFonts w:ascii="Times New Roman" w:eastAsia="Times New Roman" w:hAnsi="Times New Roman" w:cs="Times New Roman"/>
          <w:sz w:val="28"/>
          <w:szCs w:val="28"/>
          <w:lang w:eastAsia="fr-FR"/>
        </w:rPr>
        <w:t xml:space="preserve"> une</w:t>
      </w:r>
      <w:r w:rsidRPr="00324D5B">
        <w:rPr>
          <w:rFonts w:ascii="Times New Roman" w:eastAsia="Times New Roman" w:hAnsi="Times New Roman" w:cs="Times New Roman"/>
          <w:sz w:val="28"/>
          <w:szCs w:val="28"/>
          <w:lang w:eastAsia="fr-FR"/>
        </w:rPr>
        <w:t xml:space="preserve"> vitesse et </w:t>
      </w:r>
      <w:r w:rsidR="00111789">
        <w:rPr>
          <w:rFonts w:ascii="Times New Roman" w:eastAsia="Times New Roman" w:hAnsi="Times New Roman" w:cs="Times New Roman"/>
          <w:sz w:val="28"/>
          <w:szCs w:val="28"/>
          <w:lang w:eastAsia="fr-FR"/>
        </w:rPr>
        <w:t xml:space="preserve">une </w:t>
      </w:r>
      <w:r w:rsidRPr="00324D5B">
        <w:rPr>
          <w:rFonts w:ascii="Times New Roman" w:eastAsia="Times New Roman" w:hAnsi="Times New Roman" w:cs="Times New Roman"/>
          <w:sz w:val="28"/>
          <w:szCs w:val="28"/>
          <w:lang w:eastAsia="fr-FR"/>
        </w:rPr>
        <w:t>température normalisées.</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 xml:space="preserve">La langueur maximale du fil correspondant  à l’instant de la rupture donne la ductilité et s’exprime en centimètre.   </w:t>
      </w:r>
    </w:p>
    <w:p w:rsidR="00B87792" w:rsidRPr="00324D5B" w:rsidRDefault="00B87792" w:rsidP="00B87792">
      <w:pPr>
        <w:pStyle w:val="Paragraphedeliste"/>
        <w:spacing w:before="240" w:after="0" w:line="360" w:lineRule="auto"/>
        <w:ind w:left="0" w:firstLine="567"/>
        <w:rPr>
          <w:rFonts w:ascii="Times New Roman" w:eastAsia="Times New Roman" w:hAnsi="Times New Roman" w:cs="Times New Roman"/>
          <w:sz w:val="28"/>
          <w:szCs w:val="28"/>
          <w:lang w:eastAsia="fr-FR"/>
        </w:rPr>
      </w:pPr>
      <w:r w:rsidRPr="00324D5B">
        <w:rPr>
          <w:rFonts w:ascii="Times New Roman" w:eastAsia="Times New Roman" w:hAnsi="Times New Roman" w:cs="Times New Roman"/>
          <w:sz w:val="28"/>
          <w:szCs w:val="28"/>
          <w:lang w:eastAsia="fr-FR"/>
        </w:rPr>
        <w:t>La mesure est faite par un appareil de ductilimètre et un moule où on verse notre produit [Annexe B].</w:t>
      </w:r>
    </w:p>
    <w:p w:rsidR="00B87792" w:rsidRPr="00722611" w:rsidRDefault="00B14680" w:rsidP="00B87792">
      <w:pPr>
        <w:spacing w:before="240" w:after="0" w:line="360" w:lineRule="auto"/>
        <w:rPr>
          <w:rFonts w:ascii="Times New Roman" w:eastAsia="Times New Roman" w:hAnsi="Times New Roman" w:cs="Times New Roman"/>
          <w:sz w:val="28"/>
          <w:szCs w:val="28"/>
          <w:lang w:eastAsia="fr-FR"/>
        </w:rPr>
      </w:pPr>
      <w:r w:rsidRPr="00B14680">
        <w:rPr>
          <w:noProof/>
          <w:sz w:val="28"/>
          <w:szCs w:val="28"/>
          <w:lang w:eastAsia="fr-FR"/>
        </w:rPr>
        <w:pict>
          <v:rect id="_x0000_s1031" style="position:absolute;margin-left:-4.75pt;margin-top:7.15pt;width:89.7pt;height:84.35pt;z-index:251666432" strokecolor="white [3212]"/>
        </w:pict>
      </w:r>
      <w:r w:rsidR="00B87792" w:rsidRPr="00324D5B">
        <w:rPr>
          <w:noProof/>
          <w:lang w:eastAsia="fr-FR"/>
        </w:rPr>
        <w:drawing>
          <wp:inline distT="0" distB="0" distL="0" distR="0">
            <wp:extent cx="2601320" cy="866632"/>
            <wp:effectExtent l="19050" t="0" r="8530" b="0"/>
            <wp:docPr id="15" name="Image 4" descr="C:\Documents and Settings\malika\Bureau\6345CAV5JA3DCA0YOTTACAB9F2ZBCAHXGD4BCAAM7GLJCA2CNKRUCABW15X7CATCMT8YCAB2YW1SCAEGTOKPCAMZ4R2RCASS2QJRCAITMY0ZCAJ12WRBCARIXUVVCAU3QR52CA5VZ3Z9CA1TJ3YYCAPBN7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alika\Bureau\6345CAV5JA3DCA0YOTTACAB9F2ZBCAHXGD4BCAAM7GLJCA2CNKRUCABW15X7CATCMT8YCAB2YW1SCAEGTOKPCAMZ4R2RCASS2QJRCAITMY0ZCAJ12WRBCARIXUVVCAU3QR52CA5VZ3Z9CA1TJ3YYCAPBN7CL.jpg"/>
                    <pic:cNvPicPr>
                      <a:picLocks noChangeAspect="1" noChangeArrowheads="1"/>
                    </pic:cNvPicPr>
                  </pic:nvPicPr>
                  <pic:blipFill>
                    <a:blip r:embed="rId18"/>
                    <a:srcRect/>
                    <a:stretch>
                      <a:fillRect/>
                    </a:stretch>
                  </pic:blipFill>
                  <pic:spPr bwMode="auto">
                    <a:xfrm>
                      <a:off x="0" y="0"/>
                      <a:ext cx="2603094" cy="867223"/>
                    </a:xfrm>
                    <a:prstGeom prst="rect">
                      <a:avLst/>
                    </a:prstGeom>
                    <a:noFill/>
                    <a:ln w="9525">
                      <a:noFill/>
                      <a:miter lim="800000"/>
                      <a:headEnd/>
                      <a:tailEnd/>
                    </a:ln>
                  </pic:spPr>
                </pic:pic>
              </a:graphicData>
            </a:graphic>
          </wp:inline>
        </w:drawing>
      </w:r>
      <w:r w:rsidR="00B87792" w:rsidRPr="00324D5B">
        <w:rPr>
          <w:noProof/>
          <w:lang w:eastAsia="fr-FR"/>
        </w:rPr>
        <w:t xml:space="preserve">                                                 </w:t>
      </w:r>
      <w:r w:rsidR="00B87792" w:rsidRPr="00324D5B">
        <w:rPr>
          <w:noProof/>
          <w:lang w:eastAsia="fr-FR"/>
        </w:rPr>
        <w:drawing>
          <wp:inline distT="0" distB="0" distL="0" distR="0">
            <wp:extent cx="1426210" cy="955040"/>
            <wp:effectExtent l="19050" t="0" r="2540" b="0"/>
            <wp:docPr id="12" name="Image 5" descr="C:\Documents and Settings\malika\Bureau\TQG4CA640AA0CAPCRNLGCACXWNC3CAQ243A0CAWXV70QCA9RND38CALBT5ZQCAMDLT87CAX0DT5ECA7GC3QBCAFWX3VRCAYK9UUACAJRC2WZCAD0LIVECA62SD8CCA6DYH7YCAVP9F1ACA9013MUCAE5NC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malika\Bureau\TQG4CA640AA0CAPCRNLGCACXWNC3CAQ243A0CAWXV70QCA9RND38CALBT5ZQCAMDLT87CAX0DT5ECA7GC3QBCAFWX3VRCAYK9UUACAJRC2WZCAD0LIVECA62SD8CCA6DYH7YCAVP9F1ACA9013MUCAE5NCGB.jpg"/>
                    <pic:cNvPicPr>
                      <a:picLocks noChangeAspect="1" noChangeArrowheads="1"/>
                    </pic:cNvPicPr>
                  </pic:nvPicPr>
                  <pic:blipFill>
                    <a:blip r:embed="rId19"/>
                    <a:srcRect/>
                    <a:stretch>
                      <a:fillRect/>
                    </a:stretch>
                  </pic:blipFill>
                  <pic:spPr bwMode="auto">
                    <a:xfrm>
                      <a:off x="0" y="0"/>
                      <a:ext cx="1426210" cy="955040"/>
                    </a:xfrm>
                    <a:prstGeom prst="rect">
                      <a:avLst/>
                    </a:prstGeom>
                    <a:noFill/>
                    <a:ln w="9525">
                      <a:noFill/>
                      <a:miter lim="800000"/>
                      <a:headEnd/>
                      <a:tailEnd/>
                    </a:ln>
                  </pic:spPr>
                </pic:pic>
              </a:graphicData>
            </a:graphic>
          </wp:inline>
        </w:drawing>
      </w:r>
      <w:r w:rsidR="00B87792" w:rsidRPr="00324D5B">
        <w:rPr>
          <w:noProof/>
          <w:lang w:eastAsia="fr-FR"/>
        </w:rPr>
        <w:t xml:space="preserve">  </w:t>
      </w:r>
      <w:r w:rsidR="00B87792" w:rsidRPr="00324D5B">
        <w:rPr>
          <w:rFonts w:ascii="Times New Roman" w:eastAsia="Times New Roman" w:hAnsi="Times New Roman" w:cs="Times New Roman"/>
          <w:sz w:val="28"/>
          <w:szCs w:val="28"/>
          <w:lang w:eastAsia="fr-FR"/>
        </w:rPr>
        <w:t xml:space="preserve">      </w:t>
      </w:r>
      <w:r w:rsidR="00B87792">
        <w:rPr>
          <w:rFonts w:ascii="Times New Roman" w:eastAsia="Times New Roman" w:hAnsi="Times New Roman" w:cs="Times New Roman"/>
          <w:sz w:val="28"/>
          <w:szCs w:val="28"/>
          <w:lang w:eastAsia="fr-FR"/>
        </w:rPr>
        <w:t xml:space="preserve">        </w:t>
      </w:r>
      <w:r w:rsidR="00B87792" w:rsidRPr="00324D5B">
        <w:rPr>
          <w:rFonts w:asciiTheme="majorBidi" w:eastAsia="Times New Roman" w:hAnsiTheme="majorBidi" w:cstheme="majorBidi"/>
          <w:sz w:val="26"/>
          <w:szCs w:val="26"/>
          <w:lang w:eastAsia="fr-FR"/>
        </w:rPr>
        <w:t>Fig</w:t>
      </w:r>
      <w:r w:rsidR="00B87792">
        <w:rPr>
          <w:rFonts w:asciiTheme="majorBidi" w:eastAsia="Times New Roman" w:hAnsiTheme="majorBidi" w:cstheme="majorBidi"/>
          <w:sz w:val="26"/>
          <w:szCs w:val="26"/>
          <w:lang w:eastAsia="fr-FR"/>
        </w:rPr>
        <w:t>ure</w:t>
      </w:r>
      <w:r w:rsidR="00B87792" w:rsidRPr="00324D5B">
        <w:rPr>
          <w:rFonts w:asciiTheme="majorBidi" w:eastAsia="Times New Roman" w:hAnsiTheme="majorBidi" w:cstheme="majorBidi"/>
          <w:sz w:val="26"/>
          <w:szCs w:val="26"/>
          <w:lang w:eastAsia="fr-FR"/>
        </w:rPr>
        <w:t xml:space="preserve"> </w:t>
      </w:r>
      <w:r w:rsidR="00B87792">
        <w:rPr>
          <w:rFonts w:asciiTheme="majorBidi" w:eastAsia="Times New Roman" w:hAnsiTheme="majorBidi" w:cstheme="majorBidi"/>
          <w:sz w:val="26"/>
          <w:szCs w:val="26"/>
          <w:lang w:eastAsia="fr-FR"/>
        </w:rPr>
        <w:t>V.9</w:t>
      </w:r>
      <w:r w:rsidR="00B87792" w:rsidRPr="00324D5B">
        <w:rPr>
          <w:rFonts w:asciiTheme="majorBidi" w:eastAsia="Times New Roman" w:hAnsiTheme="majorBidi" w:cstheme="majorBidi"/>
          <w:sz w:val="26"/>
          <w:szCs w:val="26"/>
          <w:lang w:eastAsia="fr-FR"/>
        </w:rPr>
        <w:t> </w:t>
      </w:r>
      <w:r w:rsidR="00B87792" w:rsidRPr="00324D5B">
        <w:rPr>
          <w:rFonts w:asciiTheme="majorBidi" w:hAnsiTheme="majorBidi" w:cstheme="majorBidi"/>
          <w:sz w:val="26"/>
          <w:szCs w:val="26"/>
        </w:rPr>
        <w:t xml:space="preserve">: </w:t>
      </w:r>
      <w:r w:rsidR="00B87792" w:rsidRPr="00324D5B">
        <w:rPr>
          <w:rFonts w:asciiTheme="majorBidi" w:eastAsia="Times New Roman" w:hAnsiTheme="majorBidi" w:cstheme="majorBidi"/>
          <w:sz w:val="26"/>
          <w:szCs w:val="26"/>
          <w:lang w:eastAsia="fr-FR"/>
        </w:rPr>
        <w:t xml:space="preserve">Appareil de mesure de la ductilité.           </w:t>
      </w:r>
      <w:r w:rsidR="00B87792">
        <w:rPr>
          <w:rFonts w:asciiTheme="majorBidi" w:eastAsia="Times New Roman" w:hAnsiTheme="majorBidi" w:cstheme="majorBidi"/>
          <w:sz w:val="26"/>
          <w:szCs w:val="26"/>
          <w:lang w:eastAsia="fr-FR"/>
        </w:rPr>
        <w:t xml:space="preserve">           </w:t>
      </w:r>
      <w:r w:rsidR="00B87792" w:rsidRPr="00324D5B">
        <w:rPr>
          <w:rFonts w:asciiTheme="majorBidi" w:eastAsia="Times New Roman" w:hAnsiTheme="majorBidi" w:cstheme="majorBidi"/>
          <w:sz w:val="26"/>
          <w:szCs w:val="26"/>
          <w:lang w:eastAsia="fr-FR"/>
        </w:rPr>
        <w:t xml:space="preserve"> Fig</w:t>
      </w:r>
      <w:r w:rsidR="00B87792">
        <w:rPr>
          <w:rFonts w:asciiTheme="majorBidi" w:eastAsia="Times New Roman" w:hAnsiTheme="majorBidi" w:cstheme="majorBidi"/>
          <w:sz w:val="26"/>
          <w:szCs w:val="26"/>
          <w:lang w:eastAsia="fr-FR"/>
        </w:rPr>
        <w:t>ure</w:t>
      </w:r>
      <w:r w:rsidR="00B87792" w:rsidRPr="00324D5B">
        <w:rPr>
          <w:rFonts w:asciiTheme="majorBidi" w:eastAsia="Times New Roman" w:hAnsiTheme="majorBidi" w:cstheme="majorBidi"/>
          <w:sz w:val="26"/>
          <w:szCs w:val="26"/>
          <w:lang w:eastAsia="fr-FR"/>
        </w:rPr>
        <w:t> </w:t>
      </w:r>
      <w:r w:rsidR="00B87792">
        <w:rPr>
          <w:rFonts w:asciiTheme="majorBidi" w:eastAsia="Times New Roman" w:hAnsiTheme="majorBidi" w:cstheme="majorBidi"/>
          <w:sz w:val="26"/>
          <w:szCs w:val="26"/>
          <w:lang w:eastAsia="fr-FR"/>
        </w:rPr>
        <w:t>V.10</w:t>
      </w:r>
      <w:r w:rsidR="00B87792" w:rsidRPr="00324D5B">
        <w:rPr>
          <w:rFonts w:asciiTheme="majorBidi" w:eastAsia="Times New Roman" w:hAnsiTheme="majorBidi" w:cstheme="majorBidi"/>
          <w:sz w:val="26"/>
          <w:szCs w:val="26"/>
          <w:lang w:eastAsia="fr-FR"/>
        </w:rPr>
        <w:t xml:space="preserve"> : Le moule  </w:t>
      </w: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p>
    <w:p w:rsidR="00B87792" w:rsidRPr="00324D5B" w:rsidRDefault="00B87792" w:rsidP="00B87792">
      <w:pPr>
        <w:spacing w:before="240" w:after="0" w:line="360" w:lineRule="auto"/>
        <w:rPr>
          <w:rFonts w:ascii="Rockwell Condensed" w:hAnsi="Rockwell Condensed" w:cstheme="majorBidi"/>
          <w:sz w:val="28"/>
          <w:szCs w:val="28"/>
        </w:rPr>
      </w:pPr>
    </w:p>
    <w:p w:rsidR="00B87792" w:rsidRPr="00324D5B" w:rsidRDefault="00B87792" w:rsidP="00B87792">
      <w:pPr>
        <w:spacing w:before="240" w:after="0" w:line="360" w:lineRule="auto"/>
        <w:rPr>
          <w:rFonts w:ascii="Rockwell Condensed" w:hAnsi="Rockwell Condensed" w:cstheme="majorBidi"/>
          <w:sz w:val="28"/>
          <w:szCs w:val="28"/>
        </w:rPr>
      </w:pPr>
      <w:r w:rsidRPr="00324D5B">
        <w:rPr>
          <w:rFonts w:ascii="Rockwell Condensed" w:hAnsi="Rockwell Condensed" w:cstheme="majorBidi"/>
          <w:sz w:val="28"/>
          <w:szCs w:val="28"/>
        </w:rPr>
        <w:lastRenderedPageBreak/>
        <w:t xml:space="preserve">II. Discussion des résultats :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Les échantillons  sont soumis aux quelques analyses et les résultats sont donnés dans les tableaux suivants :</w:t>
      </w:r>
    </w:p>
    <w:p w:rsidR="00B87792" w:rsidRPr="00324D5B" w:rsidRDefault="00B87792" w:rsidP="00B87792">
      <w:pPr>
        <w:spacing w:before="240" w:after="0" w:line="360" w:lineRule="auto"/>
        <w:rPr>
          <w:rFonts w:ascii="Monotype Corsiva" w:hAnsi="Monotype Corsiva" w:cstheme="majorBidi"/>
          <w:b/>
          <w:bCs/>
          <w:sz w:val="32"/>
          <w:szCs w:val="32"/>
        </w:rPr>
      </w:pPr>
      <w:r w:rsidRPr="00324D5B">
        <w:rPr>
          <w:rFonts w:ascii="Monotype Corsiva" w:hAnsi="Monotype Corsiva" w:cstheme="majorBidi"/>
          <w:b/>
          <w:bCs/>
          <w:sz w:val="32"/>
          <w:szCs w:val="32"/>
        </w:rPr>
        <w:t xml:space="preserve">II.1 Les résultats : </w:t>
      </w:r>
    </w:p>
    <w:p w:rsidR="00B87792" w:rsidRPr="00324D5B" w:rsidRDefault="00B87792" w:rsidP="00B87792">
      <w:pPr>
        <w:tabs>
          <w:tab w:val="left" w:pos="1052"/>
        </w:tabs>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t>Tableau </w:t>
      </w:r>
      <w:r>
        <w:rPr>
          <w:rFonts w:asciiTheme="majorBidi" w:hAnsiTheme="majorBidi" w:cstheme="majorBidi"/>
          <w:sz w:val="26"/>
          <w:szCs w:val="26"/>
        </w:rPr>
        <w:t>V.2</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L</w:t>
      </w:r>
      <w:r w:rsidRPr="00324D5B">
        <w:rPr>
          <w:rFonts w:asciiTheme="majorBidi" w:hAnsiTheme="majorBidi" w:cstheme="majorBidi"/>
          <w:sz w:val="26"/>
          <w:szCs w:val="26"/>
        </w:rPr>
        <w:t>es analyses effectuées sur RSV de la 14C1 de la zone 10.</w:t>
      </w:r>
    </w:p>
    <w:tbl>
      <w:tblPr>
        <w:tblStyle w:val="Grilledutableau"/>
        <w:tblW w:w="9747" w:type="dxa"/>
        <w:jc w:val="center"/>
        <w:tblLook w:val="04A0"/>
      </w:tblPr>
      <w:tblGrid>
        <w:gridCol w:w="1797"/>
        <w:gridCol w:w="2817"/>
        <w:gridCol w:w="2724"/>
        <w:gridCol w:w="2409"/>
      </w:tblGrid>
      <w:tr w:rsidR="00B87792" w:rsidRPr="00324D5B" w:rsidTr="00453770">
        <w:trPr>
          <w:jc w:val="center"/>
        </w:trPr>
        <w:tc>
          <w:tcPr>
            <w:tcW w:w="1797"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Temps  </w:t>
            </w:r>
            <w:r w:rsidRPr="00324D5B">
              <w:rPr>
                <w:rFonts w:asciiTheme="majorBidi" w:hAnsiTheme="majorBidi" w:cstheme="majorBidi"/>
                <w:sz w:val="24"/>
                <w:szCs w:val="24"/>
              </w:rPr>
              <w:t>(jour)</w:t>
            </w:r>
          </w:p>
        </w:tc>
        <w:tc>
          <w:tcPr>
            <w:tcW w:w="2817"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Pénétration</w:t>
            </w:r>
            <w:r w:rsidRPr="00324D5B">
              <w:rPr>
                <w:rFonts w:asciiTheme="majorBidi" w:hAnsiTheme="majorBidi" w:cstheme="majorBidi"/>
                <w:sz w:val="28"/>
                <w:szCs w:val="28"/>
              </w:rPr>
              <w:t xml:space="preserve"> </w:t>
            </w:r>
            <w:r w:rsidRPr="00324D5B">
              <w:rPr>
                <w:rFonts w:asciiTheme="majorBidi" w:hAnsiTheme="majorBidi" w:cstheme="majorBidi"/>
                <w:sz w:val="24"/>
                <w:szCs w:val="24"/>
              </w:rPr>
              <w:t>(1/10 mm)</w:t>
            </w:r>
          </w:p>
        </w:tc>
        <w:tc>
          <w:tcPr>
            <w:tcW w:w="2724"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Ramollissement </w:t>
            </w:r>
            <w:r w:rsidRPr="00324D5B">
              <w:rPr>
                <w:rFonts w:asciiTheme="majorBidi" w:hAnsiTheme="majorBidi" w:cstheme="majorBidi"/>
                <w:sz w:val="24"/>
                <w:szCs w:val="24"/>
              </w:rPr>
              <w:t>(°C)</w:t>
            </w:r>
          </w:p>
        </w:tc>
        <w:tc>
          <w:tcPr>
            <w:tcW w:w="2409"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Point de flash </w:t>
            </w:r>
            <w:r w:rsidRPr="00324D5B">
              <w:rPr>
                <w:rFonts w:asciiTheme="majorBidi" w:hAnsiTheme="majorBidi" w:cstheme="majorBidi"/>
                <w:sz w:val="24"/>
                <w:szCs w:val="24"/>
              </w:rPr>
              <w:t>(°C)</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183</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295</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186</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296</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193</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280</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175</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278</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173</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37</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286</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195</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35</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288</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7</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214</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35</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290</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208</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296</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236</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286</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218</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282</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196</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292</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121</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290</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13</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269</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35</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290</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14</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218</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288</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271</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37</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252</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16</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268</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35</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281</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192</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283</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18</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170</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39</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285</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301</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302</w:t>
            </w:r>
          </w:p>
        </w:tc>
      </w:tr>
      <w:tr w:rsidR="00B87792" w:rsidRPr="00324D5B" w:rsidTr="00453770">
        <w:trPr>
          <w:jc w:val="center"/>
        </w:trPr>
        <w:tc>
          <w:tcPr>
            <w:tcW w:w="1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20</w:t>
            </w:r>
          </w:p>
        </w:tc>
        <w:tc>
          <w:tcPr>
            <w:tcW w:w="281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253</w:t>
            </w:r>
          </w:p>
        </w:tc>
        <w:tc>
          <w:tcPr>
            <w:tcW w:w="272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296</w:t>
            </w:r>
          </w:p>
        </w:tc>
      </w:tr>
    </w:tbl>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lastRenderedPageBreak/>
        <w:t>Tableau </w:t>
      </w:r>
      <w:r>
        <w:rPr>
          <w:rFonts w:asciiTheme="majorBidi" w:hAnsiTheme="majorBidi" w:cstheme="majorBidi"/>
          <w:sz w:val="26"/>
          <w:szCs w:val="26"/>
        </w:rPr>
        <w:t>V.3</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L</w:t>
      </w:r>
      <w:r w:rsidRPr="00324D5B">
        <w:rPr>
          <w:rFonts w:asciiTheme="majorBidi" w:hAnsiTheme="majorBidi" w:cstheme="majorBidi"/>
          <w:sz w:val="26"/>
          <w:szCs w:val="26"/>
        </w:rPr>
        <w:t>es analyses effectuées sur RSV de la zone 7.</w:t>
      </w:r>
    </w:p>
    <w:tbl>
      <w:tblPr>
        <w:tblStyle w:val="Grilledutableau"/>
        <w:tblW w:w="9747" w:type="dxa"/>
        <w:jc w:val="center"/>
        <w:tblLook w:val="04A0"/>
      </w:tblPr>
      <w:tblGrid>
        <w:gridCol w:w="1809"/>
        <w:gridCol w:w="2797"/>
        <w:gridCol w:w="2732"/>
        <w:gridCol w:w="2409"/>
      </w:tblGrid>
      <w:tr w:rsidR="00B87792" w:rsidRPr="00324D5B" w:rsidTr="00453770">
        <w:trPr>
          <w:jc w:val="center"/>
        </w:trPr>
        <w:tc>
          <w:tcPr>
            <w:tcW w:w="1809"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Temps  </w:t>
            </w:r>
            <w:r w:rsidRPr="00324D5B">
              <w:rPr>
                <w:rFonts w:asciiTheme="majorBidi" w:hAnsiTheme="majorBidi" w:cstheme="majorBidi"/>
                <w:sz w:val="24"/>
                <w:szCs w:val="24"/>
              </w:rPr>
              <w:t>(jour)</w:t>
            </w:r>
          </w:p>
        </w:tc>
        <w:tc>
          <w:tcPr>
            <w:tcW w:w="2797"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Pénétration</w:t>
            </w:r>
            <w:r w:rsidRPr="00324D5B">
              <w:rPr>
                <w:rFonts w:asciiTheme="majorBidi" w:hAnsiTheme="majorBidi" w:cstheme="majorBidi"/>
                <w:sz w:val="28"/>
                <w:szCs w:val="28"/>
              </w:rPr>
              <w:t xml:space="preserve"> </w:t>
            </w:r>
            <w:r w:rsidRPr="00324D5B">
              <w:rPr>
                <w:rFonts w:asciiTheme="majorBidi" w:hAnsiTheme="majorBidi" w:cstheme="majorBidi"/>
                <w:sz w:val="24"/>
                <w:szCs w:val="24"/>
              </w:rPr>
              <w:t>(1/10 mm)</w:t>
            </w:r>
          </w:p>
        </w:tc>
        <w:tc>
          <w:tcPr>
            <w:tcW w:w="2732"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Ramollissement </w:t>
            </w:r>
            <w:r w:rsidRPr="00324D5B">
              <w:rPr>
                <w:rFonts w:asciiTheme="majorBidi" w:hAnsiTheme="majorBidi" w:cstheme="majorBidi"/>
                <w:sz w:val="24"/>
                <w:szCs w:val="24"/>
              </w:rPr>
              <w:t>(°C)</w:t>
            </w:r>
          </w:p>
        </w:tc>
        <w:tc>
          <w:tcPr>
            <w:tcW w:w="2409"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Point de flash </w:t>
            </w:r>
            <w:r w:rsidRPr="00324D5B">
              <w:rPr>
                <w:rFonts w:asciiTheme="majorBidi" w:hAnsiTheme="majorBidi" w:cstheme="majorBidi"/>
                <w:sz w:val="24"/>
                <w:szCs w:val="24"/>
              </w:rPr>
              <w:t>(°C)</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120</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168</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324</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48</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332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313</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253</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305</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117</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7</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123</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317</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170</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42</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319</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124</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320</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65</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44</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50</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313</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13</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44</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310</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14</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151</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42</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80</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332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16</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45</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44</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320</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18</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190</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151</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320</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20</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356</w:t>
            </w:r>
          </w:p>
        </w:tc>
      </w:tr>
    </w:tbl>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after="0" w:line="360" w:lineRule="auto"/>
        <w:rPr>
          <w:rFonts w:asciiTheme="majorBidi" w:hAnsiTheme="majorBidi" w:cstheme="majorBidi"/>
          <w:sz w:val="26"/>
          <w:szCs w:val="26"/>
        </w:rPr>
      </w:pPr>
    </w:p>
    <w:p w:rsidR="00B87792" w:rsidRPr="00324D5B" w:rsidRDefault="00B87792" w:rsidP="00B87792">
      <w:pPr>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lastRenderedPageBreak/>
        <w:t>Tableau </w:t>
      </w:r>
      <w:r>
        <w:rPr>
          <w:rFonts w:asciiTheme="majorBidi" w:hAnsiTheme="majorBidi" w:cstheme="majorBidi"/>
          <w:sz w:val="26"/>
          <w:szCs w:val="26"/>
        </w:rPr>
        <w:t>V.4</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L</w:t>
      </w:r>
      <w:r w:rsidRPr="00324D5B">
        <w:rPr>
          <w:rFonts w:asciiTheme="majorBidi" w:hAnsiTheme="majorBidi" w:cstheme="majorBidi"/>
          <w:sz w:val="26"/>
          <w:szCs w:val="26"/>
        </w:rPr>
        <w:t>es analyses effectuées sur RSV de la zone 5.</w:t>
      </w:r>
    </w:p>
    <w:tbl>
      <w:tblPr>
        <w:tblStyle w:val="Grilledutableau"/>
        <w:tblW w:w="9747" w:type="dxa"/>
        <w:jc w:val="center"/>
        <w:tblLook w:val="04A0"/>
      </w:tblPr>
      <w:tblGrid>
        <w:gridCol w:w="1809"/>
        <w:gridCol w:w="2797"/>
        <w:gridCol w:w="2732"/>
        <w:gridCol w:w="2409"/>
      </w:tblGrid>
      <w:tr w:rsidR="00B87792" w:rsidRPr="00324D5B" w:rsidTr="00453770">
        <w:trPr>
          <w:jc w:val="center"/>
        </w:trPr>
        <w:tc>
          <w:tcPr>
            <w:tcW w:w="1809"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Temps  </w:t>
            </w:r>
            <w:r w:rsidRPr="00324D5B">
              <w:rPr>
                <w:rFonts w:asciiTheme="majorBidi" w:hAnsiTheme="majorBidi" w:cstheme="majorBidi"/>
                <w:sz w:val="24"/>
                <w:szCs w:val="24"/>
              </w:rPr>
              <w:t>(jour)</w:t>
            </w:r>
          </w:p>
        </w:tc>
        <w:tc>
          <w:tcPr>
            <w:tcW w:w="2797"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Pénétration</w:t>
            </w:r>
            <w:r w:rsidRPr="00324D5B">
              <w:rPr>
                <w:rFonts w:asciiTheme="majorBidi" w:hAnsiTheme="majorBidi" w:cstheme="majorBidi"/>
                <w:sz w:val="28"/>
                <w:szCs w:val="28"/>
              </w:rPr>
              <w:t xml:space="preserve"> </w:t>
            </w:r>
            <w:r w:rsidRPr="00324D5B">
              <w:rPr>
                <w:rFonts w:asciiTheme="majorBidi" w:hAnsiTheme="majorBidi" w:cstheme="majorBidi"/>
                <w:sz w:val="24"/>
                <w:szCs w:val="24"/>
              </w:rPr>
              <w:t>(1/10 mm)</w:t>
            </w:r>
          </w:p>
        </w:tc>
        <w:tc>
          <w:tcPr>
            <w:tcW w:w="2732"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Ramollissement </w:t>
            </w:r>
            <w:r w:rsidRPr="00324D5B">
              <w:rPr>
                <w:rFonts w:asciiTheme="majorBidi" w:hAnsiTheme="majorBidi" w:cstheme="majorBidi"/>
                <w:sz w:val="24"/>
                <w:szCs w:val="24"/>
              </w:rPr>
              <w:t>(°C)</w:t>
            </w:r>
          </w:p>
        </w:tc>
        <w:tc>
          <w:tcPr>
            <w:tcW w:w="2409" w:type="dxa"/>
          </w:tcPr>
          <w:p w:rsidR="00B87792" w:rsidRPr="00324D5B" w:rsidRDefault="00B87792" w:rsidP="00453770">
            <w:pPr>
              <w:tabs>
                <w:tab w:val="left" w:pos="1052"/>
              </w:tabs>
              <w:spacing w:line="360" w:lineRule="auto"/>
              <w:rPr>
                <w:rFonts w:asciiTheme="majorBidi" w:hAnsiTheme="majorBidi" w:cstheme="majorBidi"/>
                <w:b/>
                <w:bCs/>
                <w:sz w:val="28"/>
                <w:szCs w:val="28"/>
              </w:rPr>
            </w:pPr>
            <w:r w:rsidRPr="00324D5B">
              <w:rPr>
                <w:rFonts w:asciiTheme="majorBidi" w:hAnsiTheme="majorBidi" w:cstheme="majorBidi"/>
                <w:b/>
                <w:bCs/>
                <w:sz w:val="28"/>
                <w:szCs w:val="28"/>
              </w:rPr>
              <w:t xml:space="preserve">Point de flash </w:t>
            </w:r>
            <w:r w:rsidRPr="00324D5B">
              <w:rPr>
                <w:rFonts w:asciiTheme="majorBidi" w:hAnsiTheme="majorBidi" w:cstheme="majorBidi"/>
                <w:sz w:val="24"/>
                <w:szCs w:val="24"/>
              </w:rPr>
              <w:t>(°C)</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249</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317</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142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52</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313</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61</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58</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315</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301</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337</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153</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323</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7</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306</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157</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88</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154</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69</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25</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315</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125</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314</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13</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77</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14</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166</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44</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15</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89</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33</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16</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118</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318</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68</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314</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18</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62</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376</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383</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272</w:t>
            </w:r>
          </w:p>
        </w:tc>
      </w:tr>
      <w:tr w:rsidR="00B87792" w:rsidRPr="00324D5B" w:rsidTr="00453770">
        <w:trPr>
          <w:jc w:val="center"/>
        </w:trPr>
        <w:tc>
          <w:tcPr>
            <w:tcW w:w="18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20</w:t>
            </w:r>
          </w:p>
        </w:tc>
        <w:tc>
          <w:tcPr>
            <w:tcW w:w="2797"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86</w:t>
            </w:r>
          </w:p>
        </w:tc>
        <w:tc>
          <w:tcPr>
            <w:tcW w:w="273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w:t>
            </w:r>
          </w:p>
        </w:tc>
        <w:tc>
          <w:tcPr>
            <w:tcW w:w="2409"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315</w:t>
            </w:r>
          </w:p>
        </w:tc>
      </w:tr>
    </w:tbl>
    <w:p w:rsidR="00B87792" w:rsidRPr="00324D5B" w:rsidRDefault="00B87792" w:rsidP="00B87792">
      <w:pPr>
        <w:spacing w:before="240" w:after="0" w:line="360" w:lineRule="auto"/>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Monotype Corsiva" w:hAnsi="Monotype Corsiva" w:cstheme="majorBidi"/>
          <w:b/>
          <w:bCs/>
          <w:sz w:val="32"/>
          <w:szCs w:val="32"/>
        </w:rPr>
      </w:pPr>
      <w:r w:rsidRPr="00324D5B">
        <w:rPr>
          <w:rFonts w:ascii="Monotype Corsiva" w:hAnsi="Monotype Corsiva" w:cstheme="majorBidi"/>
          <w:b/>
          <w:bCs/>
          <w:sz w:val="32"/>
          <w:szCs w:val="32"/>
        </w:rPr>
        <w:lastRenderedPageBreak/>
        <w:t>II.2  La représentation graphique  et l’interprétation des résultats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Les résultats sont tracés graphiquement afin de pouvoir apprécier la tendance des éventuelles variations des chacun des paramètres à étudier.</w:t>
      </w:r>
    </w:p>
    <w:p w:rsidR="00B87792" w:rsidRPr="00324D5B" w:rsidRDefault="00B14680" w:rsidP="00B87792">
      <w:pPr>
        <w:spacing w:before="240" w:after="0" w:line="360" w:lineRule="auto"/>
      </w:pPr>
      <w:r>
        <w:rPr>
          <w:noProof/>
          <w:lang w:eastAsia="fr-FR"/>
        </w:rPr>
        <w:pict>
          <v:shapetype id="_x0000_t32" coordsize="21600,21600" o:spt="32" o:oned="t" path="m,l21600,21600e" filled="f">
            <v:path arrowok="t" fillok="f" o:connecttype="none"/>
            <o:lock v:ext="edit" shapetype="t"/>
          </v:shapetype>
          <v:shape id="_x0000_s1041" type="#_x0000_t32" style="position:absolute;margin-left:43.7pt;margin-top:144.95pt;width:393.85pt;height:0;z-index:251677696" o:connectortype="straight" strokecolor="#4bacc6 [3208]" strokeweight="1pt">
            <v:stroke dashstyle="dash"/>
            <v:shadow color="#868686"/>
          </v:shape>
        </w:pict>
      </w:r>
      <w:r>
        <w:rPr>
          <w:noProof/>
          <w:lang w:eastAsia="fr-FR"/>
        </w:rPr>
        <w:pict>
          <v:shape id="_x0000_s1040" type="#_x0000_t32" style="position:absolute;margin-left:43.7pt;margin-top:222.55pt;width:393.85pt;height:0;z-index:251676672" o:connectortype="straight" strokecolor="#4bacc6 [3208]" strokeweight="1pt">
            <v:stroke dashstyle="dash"/>
            <v:shadow color="#868686"/>
          </v:shape>
        </w:pict>
      </w:r>
      <w:r w:rsidR="00B87792" w:rsidRPr="00324D5B">
        <w:rPr>
          <w:noProof/>
          <w:lang w:eastAsia="fr-FR"/>
        </w:rPr>
        <w:drawing>
          <wp:inline distT="0" distB="0" distL="0" distR="0">
            <wp:extent cx="6262840" cy="4444779"/>
            <wp:effectExtent l="19050" t="0" r="23660" b="0"/>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87792" w:rsidRPr="00324D5B" w:rsidRDefault="00B87792" w:rsidP="00C36A18">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V.11</w:t>
      </w:r>
      <w:r w:rsidRPr="00324D5B">
        <w:rPr>
          <w:rFonts w:asciiTheme="majorBidi" w:hAnsiTheme="majorBidi" w:cstheme="majorBidi"/>
          <w:sz w:val="26"/>
          <w:szCs w:val="26"/>
        </w:rPr>
        <w:t xml:space="preserve"> : </w:t>
      </w:r>
      <w:r w:rsidR="00C36A18">
        <w:rPr>
          <w:rFonts w:asciiTheme="majorBidi" w:hAnsiTheme="majorBidi" w:cstheme="majorBidi"/>
          <w:sz w:val="26"/>
          <w:szCs w:val="26"/>
        </w:rPr>
        <w:t>V</w:t>
      </w:r>
      <w:r w:rsidRPr="00324D5B">
        <w:rPr>
          <w:rFonts w:asciiTheme="majorBidi" w:hAnsiTheme="majorBidi" w:cstheme="majorBidi"/>
          <w:sz w:val="26"/>
          <w:szCs w:val="26"/>
        </w:rPr>
        <w:t>ariation da la pénétrabilité de l’asphalte zone 7 et 5 et le RSV zone 10 pendant 20 jours.</w:t>
      </w:r>
    </w:p>
    <w:p w:rsidR="00B87792" w:rsidRPr="00324D5B" w:rsidRDefault="00B87792" w:rsidP="00453770">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D’après la figure </w:t>
      </w:r>
      <w:r>
        <w:rPr>
          <w:rFonts w:asciiTheme="majorBidi" w:hAnsiTheme="majorBidi" w:cstheme="majorBidi"/>
          <w:sz w:val="28"/>
          <w:szCs w:val="28"/>
        </w:rPr>
        <w:t>V.11</w:t>
      </w:r>
      <w:r w:rsidRPr="00324D5B">
        <w:rPr>
          <w:rFonts w:asciiTheme="majorBidi" w:hAnsiTheme="majorBidi" w:cstheme="majorBidi"/>
          <w:sz w:val="28"/>
          <w:szCs w:val="28"/>
        </w:rPr>
        <w:t> : les résultats que nous avons obtenus pour la pénétrabilité de l’asphalte des 3 zones (10, 7, 5), montrent une variation dans les valeurs de la pénétrabilité comprise entre 160 et 280 d’un 1/10 mm avec une moyenne autour de 250 (1/10 mm) qui peut être traité dans la colonne d’oxydation</w:t>
      </w:r>
      <w:r w:rsidR="00DA12A7">
        <w:rPr>
          <w:rFonts w:asciiTheme="majorBidi" w:hAnsiTheme="majorBidi" w:cstheme="majorBidi"/>
          <w:sz w:val="28"/>
          <w:szCs w:val="28"/>
        </w:rPr>
        <w:t xml:space="preserve"> [</w:t>
      </w:r>
      <w:r w:rsidR="00453770">
        <w:rPr>
          <w:rFonts w:asciiTheme="majorBidi" w:hAnsiTheme="majorBidi" w:cstheme="majorBidi"/>
          <w:sz w:val="28"/>
          <w:szCs w:val="28"/>
        </w:rPr>
        <w:t>6</w:t>
      </w:r>
      <w:r w:rsidR="00DA12A7">
        <w:rPr>
          <w:rFonts w:asciiTheme="majorBidi" w:hAnsiTheme="majorBidi" w:cstheme="majorBidi"/>
          <w:sz w:val="28"/>
          <w:szCs w:val="28"/>
        </w:rPr>
        <w:t>]</w:t>
      </w:r>
      <w:r w:rsidRPr="00324D5B">
        <w:rPr>
          <w:rFonts w:asciiTheme="majorBidi" w:hAnsiTheme="majorBidi" w:cstheme="majorBidi"/>
          <w:sz w:val="28"/>
          <w:szCs w:val="28"/>
        </w:rPr>
        <w:t>.</w:t>
      </w:r>
    </w:p>
    <w:p w:rsidR="00B87792" w:rsidRPr="00324D5B" w:rsidRDefault="00B87792" w:rsidP="00B87792">
      <w:pPr>
        <w:spacing w:before="240" w:after="0" w:line="360" w:lineRule="auto"/>
        <w:ind w:left="284" w:firstLine="424"/>
        <w:rPr>
          <w:rFonts w:asciiTheme="majorBidi" w:hAnsiTheme="majorBidi" w:cstheme="majorBidi"/>
          <w:sz w:val="28"/>
          <w:szCs w:val="28"/>
        </w:rPr>
      </w:pPr>
      <w:r w:rsidRPr="00324D5B">
        <w:rPr>
          <w:rFonts w:asciiTheme="majorBidi" w:hAnsiTheme="majorBidi" w:cstheme="majorBidi"/>
          <w:sz w:val="28"/>
          <w:szCs w:val="28"/>
        </w:rPr>
        <w:t>Les points de la figure qui représentent les valeurs de la pénétrabilité de l’asphalte zone 7 sont les plus voisins aux valeurs du RSV zone 10.</w:t>
      </w:r>
    </w:p>
    <w:p w:rsidR="00B87792" w:rsidRPr="00324D5B" w:rsidRDefault="00B87792" w:rsidP="00B87792">
      <w:pPr>
        <w:spacing w:before="240" w:after="0" w:line="360" w:lineRule="auto"/>
        <w:ind w:left="284" w:firstLine="424"/>
        <w:rPr>
          <w:rFonts w:asciiTheme="majorBidi" w:hAnsiTheme="majorBidi" w:cstheme="majorBidi"/>
          <w:sz w:val="28"/>
          <w:szCs w:val="28"/>
        </w:rPr>
      </w:pPr>
      <w:r w:rsidRPr="00324D5B">
        <w:rPr>
          <w:rFonts w:asciiTheme="majorBidi" w:hAnsiTheme="majorBidi" w:cstheme="majorBidi"/>
          <w:sz w:val="28"/>
          <w:szCs w:val="28"/>
        </w:rPr>
        <w:lastRenderedPageBreak/>
        <w:t xml:space="preserve">Par contre les valeurs de l’asphalte zone 5 sont aléatoires par rapport à celle de zone 10. </w:t>
      </w:r>
    </w:p>
    <w:p w:rsidR="00B87792" w:rsidRPr="00324D5B" w:rsidRDefault="00B14680" w:rsidP="00B87792">
      <w:pPr>
        <w:spacing w:before="240" w:after="0" w:line="360" w:lineRule="auto"/>
      </w:pPr>
      <w:r>
        <w:rPr>
          <w:noProof/>
          <w:lang w:eastAsia="fr-FR"/>
        </w:rPr>
        <w:pict>
          <v:shape id="_x0000_s1043" type="#_x0000_t32" style="position:absolute;margin-left:37.45pt;margin-top:119.2pt;width:395.7pt;height:0;z-index:251679744" o:connectortype="straight" strokecolor="#4bacc6 [3208]" strokeweight="1pt">
            <v:stroke dashstyle="dash"/>
            <v:shadow color="#868686"/>
          </v:shape>
        </w:pict>
      </w:r>
      <w:r>
        <w:rPr>
          <w:noProof/>
          <w:lang w:eastAsia="fr-FR"/>
        </w:rPr>
        <w:pict>
          <v:shape id="_x0000_s1042" type="#_x0000_t32" style="position:absolute;margin-left:37.45pt;margin-top:201.85pt;width:395.7pt;height:0;z-index:251678720" o:connectortype="straight" strokecolor="#4bacc6 [3208]" strokeweight="1pt">
            <v:stroke dashstyle="dash"/>
            <v:shadow color="#868686"/>
          </v:shape>
        </w:pict>
      </w:r>
      <w:r w:rsidR="00B87792" w:rsidRPr="00324D5B">
        <w:rPr>
          <w:noProof/>
          <w:lang w:eastAsia="fr-FR"/>
        </w:rPr>
        <w:drawing>
          <wp:inline distT="0" distB="0" distL="0" distR="0">
            <wp:extent cx="6143211" cy="4647068"/>
            <wp:effectExtent l="19050" t="0" r="9939" b="1132"/>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V.12</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V</w:t>
      </w:r>
      <w:r w:rsidRPr="00324D5B">
        <w:rPr>
          <w:rFonts w:asciiTheme="majorBidi" w:hAnsiTheme="majorBidi" w:cstheme="majorBidi"/>
          <w:sz w:val="26"/>
          <w:szCs w:val="26"/>
        </w:rPr>
        <w:t>ariation du point de ramollissement de l’asphalte zone 7 et 5 et le RSV zone 10 pendant 20 jours.</w:t>
      </w:r>
    </w:p>
    <w:p w:rsidR="00B87792" w:rsidRPr="00324D5B" w:rsidRDefault="00B87792" w:rsidP="00B87792">
      <w:pPr>
        <w:spacing w:before="240" w:after="0" w:line="360" w:lineRule="auto"/>
        <w:ind w:firstLine="709"/>
        <w:rPr>
          <w:rFonts w:asciiTheme="majorBidi" w:hAnsiTheme="majorBidi" w:cstheme="majorBidi"/>
          <w:sz w:val="28"/>
          <w:szCs w:val="28"/>
        </w:rPr>
      </w:pPr>
      <w:r w:rsidRPr="00324D5B">
        <w:rPr>
          <w:rFonts w:asciiTheme="majorBidi" w:hAnsiTheme="majorBidi" w:cstheme="majorBidi"/>
          <w:sz w:val="28"/>
          <w:szCs w:val="28"/>
        </w:rPr>
        <w:t xml:space="preserve">D’après la figure </w:t>
      </w:r>
      <w:r>
        <w:rPr>
          <w:rFonts w:asciiTheme="majorBidi" w:hAnsiTheme="majorBidi" w:cstheme="majorBidi"/>
          <w:sz w:val="28"/>
          <w:szCs w:val="28"/>
        </w:rPr>
        <w:t>V.12</w:t>
      </w:r>
      <w:r w:rsidRPr="00324D5B">
        <w:rPr>
          <w:rFonts w:asciiTheme="majorBidi" w:hAnsiTheme="majorBidi" w:cstheme="majorBidi"/>
          <w:sz w:val="28"/>
          <w:szCs w:val="28"/>
        </w:rPr>
        <w:t> : le suivi de ramollissement du RSV zone 10 montre que les résultats sont relativement bons assur</w:t>
      </w:r>
      <w:r>
        <w:rPr>
          <w:rFonts w:asciiTheme="majorBidi" w:hAnsiTheme="majorBidi" w:cstheme="majorBidi"/>
          <w:sz w:val="28"/>
          <w:szCs w:val="28"/>
        </w:rPr>
        <w:t>ant</w:t>
      </w:r>
      <w:r w:rsidRPr="00324D5B">
        <w:rPr>
          <w:rFonts w:asciiTheme="majorBidi" w:hAnsiTheme="majorBidi" w:cstheme="majorBidi"/>
          <w:sz w:val="28"/>
          <w:szCs w:val="28"/>
        </w:rPr>
        <w:t xml:space="preserve"> un bitume </w:t>
      </w:r>
      <w:r>
        <w:rPr>
          <w:rFonts w:asciiTheme="majorBidi" w:hAnsiTheme="majorBidi" w:cstheme="majorBidi"/>
          <w:sz w:val="28"/>
          <w:szCs w:val="28"/>
        </w:rPr>
        <w:t xml:space="preserve">qui </w:t>
      </w:r>
      <w:r w:rsidRPr="00324D5B">
        <w:rPr>
          <w:rFonts w:asciiTheme="majorBidi" w:hAnsiTheme="majorBidi" w:cstheme="majorBidi"/>
          <w:sz w:val="28"/>
          <w:szCs w:val="28"/>
        </w:rPr>
        <w:t>répond à normes commerciales après l’oxydation.</w:t>
      </w:r>
    </w:p>
    <w:p w:rsidR="00B87792" w:rsidRPr="00324D5B" w:rsidRDefault="00B87792" w:rsidP="00453770">
      <w:pPr>
        <w:spacing w:before="240" w:after="0" w:line="360" w:lineRule="auto"/>
        <w:ind w:firstLine="709"/>
        <w:rPr>
          <w:rFonts w:asciiTheme="majorBidi" w:hAnsiTheme="majorBidi" w:cstheme="majorBidi"/>
          <w:sz w:val="28"/>
          <w:szCs w:val="28"/>
        </w:rPr>
      </w:pPr>
      <w:r w:rsidRPr="00324D5B">
        <w:rPr>
          <w:rFonts w:asciiTheme="majorBidi" w:hAnsiTheme="majorBidi" w:cstheme="majorBidi"/>
          <w:sz w:val="28"/>
          <w:szCs w:val="28"/>
        </w:rPr>
        <w:t>L’asphalte zone 7 à tendance à se stabiliser entre 30 et 50, cet intervalle reste aux normes requises pour la spécification du bitume</w:t>
      </w:r>
      <w:r w:rsidR="00DA12A7">
        <w:rPr>
          <w:rFonts w:asciiTheme="majorBidi" w:hAnsiTheme="majorBidi" w:cstheme="majorBidi"/>
          <w:sz w:val="28"/>
          <w:szCs w:val="28"/>
        </w:rPr>
        <w:t xml:space="preserve"> [</w:t>
      </w:r>
      <w:r w:rsidR="00453770">
        <w:rPr>
          <w:rFonts w:asciiTheme="majorBidi" w:hAnsiTheme="majorBidi" w:cstheme="majorBidi"/>
          <w:sz w:val="28"/>
          <w:szCs w:val="28"/>
        </w:rPr>
        <w:t>6</w:t>
      </w:r>
      <w:r w:rsidR="00DA12A7">
        <w:rPr>
          <w:rFonts w:asciiTheme="majorBidi" w:hAnsiTheme="majorBidi" w:cstheme="majorBidi"/>
          <w:sz w:val="28"/>
          <w:szCs w:val="28"/>
        </w:rPr>
        <w:t>]</w:t>
      </w:r>
      <w:r w:rsidRPr="00324D5B">
        <w:rPr>
          <w:rFonts w:asciiTheme="majorBidi" w:hAnsiTheme="majorBidi" w:cstheme="majorBidi"/>
          <w:sz w:val="28"/>
          <w:szCs w:val="28"/>
        </w:rPr>
        <w:t xml:space="preserve">. </w:t>
      </w:r>
    </w:p>
    <w:p w:rsidR="00B87792" w:rsidRDefault="00B87792" w:rsidP="00B87792">
      <w:pPr>
        <w:spacing w:before="240" w:after="0" w:line="360" w:lineRule="auto"/>
        <w:ind w:firstLine="709"/>
        <w:rPr>
          <w:rFonts w:asciiTheme="majorBidi" w:hAnsiTheme="majorBidi" w:cstheme="majorBidi"/>
          <w:sz w:val="28"/>
          <w:szCs w:val="28"/>
        </w:rPr>
      </w:pPr>
      <w:r w:rsidRPr="00324D5B">
        <w:rPr>
          <w:rFonts w:asciiTheme="majorBidi" w:hAnsiTheme="majorBidi" w:cstheme="majorBidi"/>
          <w:sz w:val="28"/>
          <w:szCs w:val="28"/>
        </w:rPr>
        <w:t>Selon les valeurs de ramollissement de l’asphalte zone 5 on peut dire que le ramollissement est très proche à celle des deux autres zones.</w:t>
      </w:r>
    </w:p>
    <w:p w:rsidR="00B87792" w:rsidRPr="00324D5B" w:rsidRDefault="00B87792" w:rsidP="00B87792">
      <w:pPr>
        <w:spacing w:before="240" w:after="0" w:line="360" w:lineRule="auto"/>
        <w:ind w:firstLine="709"/>
        <w:rPr>
          <w:rFonts w:asciiTheme="majorBidi" w:hAnsiTheme="majorBidi" w:cstheme="majorBidi"/>
          <w:sz w:val="28"/>
          <w:szCs w:val="28"/>
        </w:rPr>
      </w:pPr>
    </w:p>
    <w:p w:rsidR="00B87792" w:rsidRPr="00324D5B" w:rsidRDefault="00B14680" w:rsidP="00B87792">
      <w:pPr>
        <w:spacing w:before="240" w:after="0" w:line="360" w:lineRule="auto"/>
      </w:pPr>
      <w:r>
        <w:rPr>
          <w:noProof/>
          <w:lang w:eastAsia="fr-FR"/>
        </w:rPr>
        <w:pict>
          <v:shape id="_x0000_s1045" type="#_x0000_t32" style="position:absolute;margin-left:58.1pt;margin-top:145.15pt;width:329.35pt;height:0;z-index:251681792" o:connectortype="straight" strokecolor="#4bacc6 [3208]" strokeweight="1pt">
            <v:stroke dashstyle="dash"/>
            <v:shadow color="#868686"/>
          </v:shape>
        </w:pict>
      </w:r>
      <w:r>
        <w:rPr>
          <w:noProof/>
          <w:lang w:eastAsia="fr-FR"/>
        </w:rPr>
        <w:pict>
          <v:shape id="_x0000_s1044" type="#_x0000_t32" style="position:absolute;margin-left:58.1pt;margin-top:285.95pt;width:329.35pt;height:.6pt;z-index:251680768" o:connectortype="straight" strokecolor="#4bacc6 [3208]" strokeweight="1pt">
            <v:stroke dashstyle="dash"/>
            <v:shadow color="#868686"/>
          </v:shape>
        </w:pict>
      </w:r>
      <w:r w:rsidR="00B87792" w:rsidRPr="00324D5B">
        <w:rPr>
          <w:noProof/>
          <w:lang w:eastAsia="fr-FR"/>
        </w:rPr>
        <w:drawing>
          <wp:inline distT="0" distB="0" distL="0" distR="0">
            <wp:extent cx="5750225" cy="4175184"/>
            <wp:effectExtent l="19050" t="0" r="21925" b="0"/>
            <wp:docPr id="6"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V.13</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V</w:t>
      </w:r>
      <w:r w:rsidRPr="00324D5B">
        <w:rPr>
          <w:rFonts w:asciiTheme="majorBidi" w:hAnsiTheme="majorBidi" w:cstheme="majorBidi"/>
          <w:sz w:val="26"/>
          <w:szCs w:val="26"/>
        </w:rPr>
        <w:t>ariation du point de flash de l’asphalte zone 7 et 5 et le RSV zone 10 pendant 20 jours.</w:t>
      </w:r>
    </w:p>
    <w:p w:rsidR="00B87792" w:rsidRPr="00324D5B" w:rsidRDefault="00B87792" w:rsidP="00453770">
      <w:pPr>
        <w:spacing w:before="240" w:after="0" w:line="360" w:lineRule="auto"/>
        <w:ind w:firstLine="708"/>
        <w:rPr>
          <w:rFonts w:asciiTheme="majorBidi" w:hAnsiTheme="majorBidi" w:cstheme="majorBidi"/>
          <w:sz w:val="28"/>
          <w:szCs w:val="28"/>
        </w:rPr>
      </w:pPr>
      <w:r w:rsidRPr="00324D5B">
        <w:rPr>
          <w:rFonts w:asciiTheme="majorBidi" w:hAnsiTheme="majorBidi" w:cstheme="majorBidi"/>
          <w:sz w:val="28"/>
          <w:szCs w:val="28"/>
        </w:rPr>
        <w:t>D’après la figure 20 : On peut voir dès le premier regard à ces présentations que les valeurs de point de flash  sont relativement stables pour le RSV zone 10 et l’asphaltes zone 7 et 5 sur une marge de 250 et 330°C  cette marge est satisfaisante en comparaison avec les exigences du bitume commercialisé</w:t>
      </w:r>
      <w:r w:rsidR="00DA12A7">
        <w:rPr>
          <w:rFonts w:asciiTheme="majorBidi" w:hAnsiTheme="majorBidi" w:cstheme="majorBidi"/>
          <w:sz w:val="28"/>
          <w:szCs w:val="28"/>
        </w:rPr>
        <w:t xml:space="preserve"> [</w:t>
      </w:r>
      <w:r w:rsidR="00453770">
        <w:rPr>
          <w:rFonts w:asciiTheme="majorBidi" w:hAnsiTheme="majorBidi" w:cstheme="majorBidi"/>
          <w:sz w:val="28"/>
          <w:szCs w:val="28"/>
        </w:rPr>
        <w:t>6</w:t>
      </w:r>
      <w:r w:rsidR="00DA12A7">
        <w:rPr>
          <w:rFonts w:asciiTheme="majorBidi" w:hAnsiTheme="majorBidi" w:cstheme="majorBidi"/>
          <w:sz w:val="28"/>
          <w:szCs w:val="28"/>
        </w:rPr>
        <w:t>]</w:t>
      </w:r>
      <w:r w:rsidRPr="00324D5B">
        <w:rPr>
          <w:rFonts w:asciiTheme="majorBidi" w:hAnsiTheme="majorBidi" w:cstheme="majorBidi"/>
          <w:sz w:val="28"/>
          <w:szCs w:val="28"/>
        </w:rPr>
        <w:t xml:space="preserve">. </w:t>
      </w:r>
    </w:p>
    <w:p w:rsidR="00B87792" w:rsidRDefault="00B87792" w:rsidP="00B87792">
      <w:pPr>
        <w:spacing w:before="240" w:after="0" w:line="360" w:lineRule="auto"/>
        <w:rPr>
          <w:rFonts w:ascii="Monotype Corsiva" w:hAnsi="Monotype Corsiva" w:cstheme="majorBidi"/>
          <w:b/>
          <w:bCs/>
          <w:sz w:val="32"/>
          <w:szCs w:val="32"/>
        </w:rPr>
      </w:pPr>
      <w:r w:rsidRPr="00324D5B">
        <w:rPr>
          <w:rFonts w:ascii="Monotype Corsiva" w:hAnsi="Monotype Corsiva" w:cstheme="majorBidi"/>
          <w:b/>
          <w:bCs/>
          <w:sz w:val="32"/>
          <w:szCs w:val="32"/>
        </w:rPr>
        <w:t>Remarque :</w:t>
      </w:r>
    </w:p>
    <w:p w:rsidR="00B87792" w:rsidRPr="00123C12" w:rsidRDefault="00B87792" w:rsidP="00B87792">
      <w:pPr>
        <w:pStyle w:val="Paragraphedeliste"/>
        <w:numPr>
          <w:ilvl w:val="0"/>
          <w:numId w:val="15"/>
        </w:numPr>
        <w:spacing w:before="240" w:after="0" w:line="360" w:lineRule="auto"/>
        <w:rPr>
          <w:rFonts w:asciiTheme="majorBidi" w:hAnsiTheme="majorBidi" w:cstheme="majorBidi"/>
          <w:sz w:val="28"/>
          <w:szCs w:val="28"/>
        </w:rPr>
      </w:pPr>
      <w:r w:rsidRPr="00123C12">
        <w:rPr>
          <w:rFonts w:asciiTheme="majorBidi" w:hAnsiTheme="majorBidi" w:cstheme="majorBidi"/>
          <w:sz w:val="28"/>
          <w:szCs w:val="28"/>
        </w:rPr>
        <w:t>Quand, la pénétrabilité est élevée, le point de ramollissement et le point de flash sont bas</w:t>
      </w:r>
      <w:r>
        <w:rPr>
          <w:rFonts w:asciiTheme="majorBidi" w:hAnsiTheme="majorBidi" w:cstheme="majorBidi"/>
          <w:sz w:val="28"/>
          <w:szCs w:val="28"/>
        </w:rPr>
        <w:t>,</w:t>
      </w:r>
      <w:r w:rsidRPr="00123C12">
        <w:rPr>
          <w:rFonts w:asciiTheme="majorBidi" w:hAnsiTheme="majorBidi" w:cstheme="majorBidi"/>
          <w:sz w:val="28"/>
          <w:szCs w:val="28"/>
        </w:rPr>
        <w:t xml:space="preserve"> alors la température de fonctionnement ou le vide appliqué dans la colonne de distillation sous vide n’est pas suffisant(e)</w:t>
      </w:r>
      <w:r w:rsidR="00453770">
        <w:rPr>
          <w:rFonts w:asciiTheme="majorBidi" w:hAnsiTheme="majorBidi" w:cstheme="majorBidi"/>
          <w:sz w:val="28"/>
          <w:szCs w:val="28"/>
        </w:rPr>
        <w:t xml:space="preserve"> [2]</w:t>
      </w:r>
      <w:r w:rsidRPr="00123C12">
        <w:rPr>
          <w:rFonts w:asciiTheme="majorBidi" w:hAnsiTheme="majorBidi" w:cstheme="majorBidi"/>
          <w:sz w:val="28"/>
          <w:szCs w:val="28"/>
        </w:rPr>
        <w:t xml:space="preserve">, et pour </w:t>
      </w:r>
      <w:r w:rsidRPr="00123C12">
        <w:rPr>
          <w:rFonts w:asciiTheme="majorBidi" w:hAnsiTheme="majorBidi" w:cstheme="majorBidi"/>
          <w:sz w:val="28"/>
          <w:szCs w:val="28"/>
        </w:rPr>
        <w:lastRenderedPageBreak/>
        <w:t xml:space="preserve">ajuster </w:t>
      </w:r>
      <w:r>
        <w:rPr>
          <w:rFonts w:asciiTheme="majorBidi" w:hAnsiTheme="majorBidi" w:cstheme="majorBidi"/>
          <w:sz w:val="28"/>
          <w:szCs w:val="28"/>
        </w:rPr>
        <w:t>la production</w:t>
      </w:r>
      <w:r w:rsidRPr="00123C12">
        <w:rPr>
          <w:rFonts w:asciiTheme="majorBidi" w:hAnsiTheme="majorBidi" w:cstheme="majorBidi"/>
          <w:sz w:val="28"/>
          <w:szCs w:val="28"/>
        </w:rPr>
        <w:t>,</w:t>
      </w:r>
      <w:r>
        <w:rPr>
          <w:rFonts w:asciiTheme="majorBidi" w:hAnsiTheme="majorBidi" w:cstheme="majorBidi"/>
          <w:sz w:val="28"/>
          <w:szCs w:val="28"/>
        </w:rPr>
        <w:t xml:space="preserve"> il faut ajuster </w:t>
      </w:r>
      <w:r w:rsidRPr="00123C12">
        <w:rPr>
          <w:rFonts w:asciiTheme="majorBidi" w:hAnsiTheme="majorBidi" w:cstheme="majorBidi"/>
          <w:sz w:val="28"/>
          <w:szCs w:val="28"/>
        </w:rPr>
        <w:t xml:space="preserve">les paramètres </w:t>
      </w:r>
      <w:r>
        <w:rPr>
          <w:rFonts w:asciiTheme="majorBidi" w:hAnsiTheme="majorBidi" w:cstheme="majorBidi"/>
          <w:sz w:val="28"/>
          <w:szCs w:val="28"/>
        </w:rPr>
        <w:t>de fonctionnement</w:t>
      </w:r>
      <w:r w:rsidRPr="00123C12">
        <w:rPr>
          <w:rFonts w:asciiTheme="majorBidi" w:hAnsiTheme="majorBidi" w:cstheme="majorBidi"/>
          <w:sz w:val="28"/>
          <w:szCs w:val="28"/>
        </w:rPr>
        <w:t xml:space="preserve">, </w:t>
      </w:r>
      <w:r>
        <w:rPr>
          <w:rFonts w:asciiTheme="majorBidi" w:hAnsiTheme="majorBidi" w:cstheme="majorBidi"/>
          <w:sz w:val="28"/>
          <w:szCs w:val="28"/>
        </w:rPr>
        <w:t>en</w:t>
      </w:r>
      <w:r w:rsidRPr="00123C12">
        <w:rPr>
          <w:rFonts w:asciiTheme="majorBidi" w:hAnsiTheme="majorBidi" w:cstheme="majorBidi"/>
          <w:sz w:val="28"/>
          <w:szCs w:val="28"/>
        </w:rPr>
        <w:t xml:space="preserve"> augment</w:t>
      </w:r>
      <w:r>
        <w:rPr>
          <w:rFonts w:asciiTheme="majorBidi" w:hAnsiTheme="majorBidi" w:cstheme="majorBidi"/>
          <w:sz w:val="28"/>
          <w:szCs w:val="28"/>
        </w:rPr>
        <w:t>ant</w:t>
      </w:r>
      <w:r w:rsidRPr="00123C12">
        <w:rPr>
          <w:rFonts w:asciiTheme="majorBidi" w:hAnsiTheme="majorBidi" w:cstheme="majorBidi"/>
          <w:sz w:val="28"/>
          <w:szCs w:val="28"/>
        </w:rPr>
        <w:t xml:space="preserve"> la température ou le vide appliqué</w:t>
      </w:r>
      <w:r>
        <w:rPr>
          <w:rFonts w:asciiTheme="majorBidi" w:hAnsiTheme="majorBidi" w:cstheme="majorBidi"/>
          <w:sz w:val="28"/>
          <w:szCs w:val="28"/>
        </w:rPr>
        <w:t>,</w:t>
      </w:r>
      <w:r w:rsidRPr="00123C12">
        <w:rPr>
          <w:rFonts w:asciiTheme="majorBidi" w:hAnsiTheme="majorBidi" w:cstheme="majorBidi"/>
          <w:sz w:val="28"/>
          <w:szCs w:val="28"/>
        </w:rPr>
        <w:t xml:space="preserve"> et v</w:t>
      </w:r>
      <w:r>
        <w:rPr>
          <w:rFonts w:asciiTheme="majorBidi" w:hAnsiTheme="majorBidi" w:cstheme="majorBidi"/>
          <w:sz w:val="28"/>
          <w:szCs w:val="28"/>
        </w:rPr>
        <w:t>ic</w:t>
      </w:r>
      <w:r w:rsidRPr="00123C12">
        <w:rPr>
          <w:rFonts w:asciiTheme="majorBidi" w:hAnsiTheme="majorBidi" w:cstheme="majorBidi"/>
          <w:sz w:val="28"/>
          <w:szCs w:val="28"/>
        </w:rPr>
        <w:t>e versa</w:t>
      </w:r>
      <w:r>
        <w:rPr>
          <w:rFonts w:asciiTheme="majorBidi" w:hAnsiTheme="majorBidi" w:cstheme="majorBidi"/>
          <w:sz w:val="28"/>
          <w:szCs w:val="28"/>
        </w:rPr>
        <w:t xml:space="preserve"> [annexe A].</w:t>
      </w:r>
    </w:p>
    <w:p w:rsidR="00B87792" w:rsidRPr="005E55DB" w:rsidRDefault="00B87792" w:rsidP="00B87792">
      <w:pPr>
        <w:pStyle w:val="Paragraphedeliste"/>
        <w:numPr>
          <w:ilvl w:val="0"/>
          <w:numId w:val="15"/>
        </w:numPr>
        <w:spacing w:before="240" w:after="0" w:line="360" w:lineRule="auto"/>
        <w:rPr>
          <w:rFonts w:asciiTheme="majorBidi" w:hAnsiTheme="majorBidi" w:cstheme="majorBidi"/>
          <w:sz w:val="28"/>
          <w:szCs w:val="28"/>
        </w:rPr>
      </w:pPr>
      <w:r w:rsidRPr="005E55DB">
        <w:rPr>
          <w:rFonts w:asciiTheme="majorBidi" w:hAnsiTheme="majorBidi" w:cstheme="majorBidi"/>
          <w:sz w:val="28"/>
          <w:szCs w:val="28"/>
        </w:rPr>
        <w:t>Dans les trois figures (V.11, 12,13) on remarque des points maximums et d’autres minimums.</w:t>
      </w:r>
    </w:p>
    <w:p w:rsidR="00B87792" w:rsidRPr="00324D5B" w:rsidRDefault="00B87792" w:rsidP="00B87792">
      <w:pPr>
        <w:pStyle w:val="Paragraphedeliste"/>
        <w:numPr>
          <w:ilvl w:val="0"/>
          <w:numId w:val="12"/>
        </w:numPr>
        <w:tabs>
          <w:tab w:val="left" w:pos="993"/>
        </w:tabs>
        <w:spacing w:before="240" w:after="0" w:line="360" w:lineRule="auto"/>
        <w:ind w:left="709" w:firstLine="0"/>
        <w:rPr>
          <w:rFonts w:asciiTheme="majorBidi" w:hAnsiTheme="majorBidi" w:cstheme="majorBidi"/>
          <w:sz w:val="28"/>
          <w:szCs w:val="28"/>
        </w:rPr>
      </w:pPr>
      <w:r w:rsidRPr="00324D5B">
        <w:rPr>
          <w:rFonts w:asciiTheme="majorBidi" w:hAnsiTheme="majorBidi" w:cstheme="majorBidi"/>
          <w:sz w:val="28"/>
          <w:szCs w:val="28"/>
        </w:rPr>
        <w:t>Pour la pénétrabilité :</w:t>
      </w:r>
    </w:p>
    <w:p w:rsidR="00B87792" w:rsidRPr="00324D5B" w:rsidRDefault="00B87792" w:rsidP="00B87792">
      <w:pPr>
        <w:pStyle w:val="Paragraphedeliste"/>
        <w:spacing w:before="240" w:after="0" w:line="360" w:lineRule="auto"/>
        <w:ind w:left="709"/>
        <w:rPr>
          <w:rFonts w:asciiTheme="majorBidi" w:hAnsiTheme="majorBidi" w:cstheme="majorBidi"/>
          <w:sz w:val="28"/>
          <w:szCs w:val="28"/>
        </w:rPr>
      </w:pPr>
      <w:r w:rsidRPr="00324D5B">
        <w:rPr>
          <w:rFonts w:asciiTheme="majorBidi" w:hAnsiTheme="majorBidi" w:cstheme="majorBidi"/>
          <w:sz w:val="28"/>
          <w:szCs w:val="28"/>
        </w:rPr>
        <w:t>*les maximums représentent les bitumes  mous [Annexe A], ces bitumes contiennent  des fractions des produits légers (les Gasoils).</w:t>
      </w:r>
    </w:p>
    <w:p w:rsidR="00B87792" w:rsidRPr="00324D5B" w:rsidRDefault="00B87792" w:rsidP="00B87792">
      <w:pPr>
        <w:pStyle w:val="Paragraphedeliste"/>
        <w:spacing w:before="240" w:after="0" w:line="360" w:lineRule="auto"/>
        <w:ind w:left="709"/>
        <w:rPr>
          <w:rFonts w:asciiTheme="majorBidi" w:hAnsiTheme="majorBidi" w:cstheme="majorBidi"/>
          <w:sz w:val="28"/>
          <w:szCs w:val="28"/>
        </w:rPr>
      </w:pPr>
      <w:r w:rsidRPr="00324D5B">
        <w:rPr>
          <w:rFonts w:asciiTheme="majorBidi" w:hAnsiTheme="majorBidi" w:cstheme="majorBidi"/>
          <w:sz w:val="28"/>
          <w:szCs w:val="28"/>
        </w:rPr>
        <w:t xml:space="preserve">*les minimums représentent des bitumes durs, ces bitumes contiennent peu des produits légers </w:t>
      </w:r>
      <w:r>
        <w:rPr>
          <w:rFonts w:asciiTheme="majorBidi" w:hAnsiTheme="majorBidi" w:cstheme="majorBidi"/>
          <w:sz w:val="28"/>
          <w:szCs w:val="28"/>
        </w:rPr>
        <w:t>(</w:t>
      </w:r>
      <w:r w:rsidRPr="00324D5B">
        <w:rPr>
          <w:rFonts w:asciiTheme="majorBidi" w:hAnsiTheme="majorBidi" w:cstheme="majorBidi"/>
          <w:sz w:val="28"/>
          <w:szCs w:val="28"/>
        </w:rPr>
        <w:t>une quantité négligeable</w:t>
      </w:r>
      <w:r>
        <w:rPr>
          <w:rFonts w:asciiTheme="majorBidi" w:hAnsiTheme="majorBidi" w:cstheme="majorBidi"/>
          <w:sz w:val="28"/>
          <w:szCs w:val="28"/>
        </w:rPr>
        <w:t>)</w:t>
      </w:r>
      <w:r w:rsidRPr="00324D5B">
        <w:rPr>
          <w:rFonts w:asciiTheme="majorBidi" w:hAnsiTheme="majorBidi" w:cstheme="majorBidi"/>
          <w:sz w:val="28"/>
          <w:szCs w:val="28"/>
        </w:rPr>
        <w:t>.</w:t>
      </w:r>
    </w:p>
    <w:p w:rsidR="00B87792" w:rsidRPr="00324D5B" w:rsidRDefault="00B87792" w:rsidP="00B87792">
      <w:pPr>
        <w:pStyle w:val="Paragraphedeliste"/>
        <w:numPr>
          <w:ilvl w:val="0"/>
          <w:numId w:val="12"/>
        </w:numPr>
        <w:tabs>
          <w:tab w:val="left" w:pos="993"/>
        </w:tabs>
        <w:spacing w:before="240" w:after="0" w:line="360" w:lineRule="auto"/>
        <w:ind w:left="709" w:firstLine="0"/>
        <w:rPr>
          <w:rFonts w:asciiTheme="majorBidi" w:hAnsiTheme="majorBidi" w:cstheme="majorBidi"/>
          <w:sz w:val="28"/>
          <w:szCs w:val="28"/>
        </w:rPr>
      </w:pPr>
      <w:r w:rsidRPr="00324D5B">
        <w:rPr>
          <w:rFonts w:asciiTheme="majorBidi" w:hAnsiTheme="majorBidi" w:cstheme="majorBidi"/>
          <w:sz w:val="28"/>
          <w:szCs w:val="28"/>
        </w:rPr>
        <w:t>Pour le ramollissement :</w:t>
      </w:r>
    </w:p>
    <w:p w:rsidR="00B87792" w:rsidRPr="00324D5B" w:rsidRDefault="00B87792" w:rsidP="00B87792">
      <w:pPr>
        <w:pStyle w:val="Paragraphedeliste"/>
        <w:spacing w:before="240" w:after="0" w:line="360" w:lineRule="auto"/>
        <w:ind w:left="709"/>
        <w:rPr>
          <w:rFonts w:asciiTheme="majorBidi" w:hAnsiTheme="majorBidi" w:cstheme="majorBidi"/>
          <w:sz w:val="28"/>
          <w:szCs w:val="28"/>
        </w:rPr>
      </w:pPr>
      <w:r w:rsidRPr="00324D5B">
        <w:rPr>
          <w:rFonts w:asciiTheme="majorBidi" w:hAnsiTheme="majorBidi" w:cstheme="majorBidi"/>
          <w:sz w:val="28"/>
          <w:szCs w:val="28"/>
        </w:rPr>
        <w:t>*les maximums représentent les bitumes qui sont difficilement fondus ou ramollis.</w:t>
      </w:r>
    </w:p>
    <w:p w:rsidR="00B87792" w:rsidRPr="00324D5B" w:rsidRDefault="00B87792" w:rsidP="00B87792">
      <w:pPr>
        <w:pStyle w:val="Paragraphedeliste"/>
        <w:spacing w:before="240" w:after="0" w:line="360" w:lineRule="auto"/>
        <w:ind w:left="709"/>
        <w:rPr>
          <w:rFonts w:asciiTheme="majorBidi" w:hAnsiTheme="majorBidi" w:cstheme="majorBidi"/>
          <w:sz w:val="28"/>
          <w:szCs w:val="28"/>
        </w:rPr>
      </w:pPr>
      <w:r w:rsidRPr="00324D5B">
        <w:rPr>
          <w:rFonts w:asciiTheme="majorBidi" w:hAnsiTheme="majorBidi" w:cstheme="majorBidi"/>
          <w:sz w:val="28"/>
          <w:szCs w:val="28"/>
        </w:rPr>
        <w:t xml:space="preserve">*les minimums représentent des bitumes facilement ramollis pour des faibles valeurs de température. </w:t>
      </w:r>
    </w:p>
    <w:p w:rsidR="00B87792" w:rsidRPr="00324D5B" w:rsidRDefault="00B87792" w:rsidP="00B87792">
      <w:pPr>
        <w:pStyle w:val="Paragraphedeliste"/>
        <w:numPr>
          <w:ilvl w:val="0"/>
          <w:numId w:val="12"/>
        </w:numPr>
        <w:tabs>
          <w:tab w:val="left" w:pos="993"/>
        </w:tabs>
        <w:spacing w:before="240" w:after="0" w:line="360" w:lineRule="auto"/>
        <w:ind w:left="709" w:firstLine="0"/>
        <w:rPr>
          <w:rFonts w:asciiTheme="majorBidi" w:hAnsiTheme="majorBidi" w:cstheme="majorBidi"/>
          <w:sz w:val="28"/>
          <w:szCs w:val="28"/>
        </w:rPr>
      </w:pPr>
      <w:r w:rsidRPr="00324D5B">
        <w:rPr>
          <w:rFonts w:asciiTheme="majorBidi" w:hAnsiTheme="majorBidi" w:cstheme="majorBidi"/>
          <w:sz w:val="28"/>
          <w:szCs w:val="28"/>
        </w:rPr>
        <w:t>Pour le point de flash :</w:t>
      </w:r>
    </w:p>
    <w:p w:rsidR="00B87792" w:rsidRPr="00324D5B" w:rsidRDefault="00B87792" w:rsidP="00B87792">
      <w:pPr>
        <w:pStyle w:val="Paragraphedeliste"/>
        <w:spacing w:before="240" w:after="0" w:line="360" w:lineRule="auto"/>
        <w:ind w:left="709"/>
        <w:rPr>
          <w:rFonts w:asciiTheme="majorBidi" w:hAnsiTheme="majorBidi" w:cstheme="majorBidi"/>
          <w:sz w:val="28"/>
          <w:szCs w:val="28"/>
        </w:rPr>
      </w:pPr>
      <w:r w:rsidRPr="00324D5B">
        <w:rPr>
          <w:rFonts w:asciiTheme="majorBidi" w:hAnsiTheme="majorBidi" w:cstheme="majorBidi"/>
          <w:sz w:val="28"/>
          <w:szCs w:val="28"/>
        </w:rPr>
        <w:t>*les minimums  représentent les bitumes qui contiennent des produits légers  ou des gaz rapidement inflammés.</w:t>
      </w:r>
    </w:p>
    <w:p w:rsidR="00B87792" w:rsidRDefault="00B87792" w:rsidP="00B87792">
      <w:pPr>
        <w:pStyle w:val="Paragraphedeliste"/>
        <w:spacing w:before="240" w:after="0" w:line="360" w:lineRule="auto"/>
        <w:ind w:left="709"/>
        <w:rPr>
          <w:rFonts w:asciiTheme="majorBidi" w:hAnsiTheme="majorBidi" w:cstheme="majorBidi"/>
          <w:sz w:val="28"/>
          <w:szCs w:val="28"/>
        </w:rPr>
      </w:pPr>
      <w:r w:rsidRPr="00324D5B">
        <w:rPr>
          <w:rFonts w:asciiTheme="majorBidi" w:hAnsiTheme="majorBidi" w:cstheme="majorBidi"/>
          <w:sz w:val="28"/>
          <w:szCs w:val="28"/>
        </w:rPr>
        <w:t xml:space="preserve">* les maximums représentent des bitumes </w:t>
      </w:r>
      <w:r>
        <w:rPr>
          <w:rFonts w:asciiTheme="majorBidi" w:hAnsiTheme="majorBidi" w:cstheme="majorBidi"/>
          <w:sz w:val="28"/>
          <w:szCs w:val="28"/>
        </w:rPr>
        <w:t>contenant</w:t>
      </w:r>
      <w:r w:rsidRPr="00324D5B">
        <w:rPr>
          <w:rFonts w:asciiTheme="majorBidi" w:hAnsiTheme="majorBidi" w:cstheme="majorBidi"/>
          <w:sz w:val="28"/>
          <w:szCs w:val="28"/>
        </w:rPr>
        <w:t xml:space="preserve"> peu des produits inflammés. </w:t>
      </w:r>
    </w:p>
    <w:p w:rsidR="00B87792" w:rsidRPr="00324D5B" w:rsidRDefault="00B87792" w:rsidP="00B87792">
      <w:pPr>
        <w:pStyle w:val="Paragraphedeliste"/>
        <w:spacing w:before="240" w:after="0" w:line="360" w:lineRule="auto"/>
        <w:rPr>
          <w:rFonts w:ascii="Monotype Corsiva" w:hAnsi="Monotype Corsiva" w:cstheme="majorBidi"/>
          <w:b/>
          <w:bCs/>
          <w:sz w:val="32"/>
          <w:szCs w:val="32"/>
        </w:rPr>
      </w:pPr>
      <w:r w:rsidRPr="00324D5B">
        <w:rPr>
          <w:rFonts w:ascii="Monotype Corsiva" w:hAnsi="Monotype Corsiva" w:cstheme="majorBidi"/>
          <w:b/>
          <w:bCs/>
          <w:sz w:val="32"/>
          <w:szCs w:val="32"/>
        </w:rPr>
        <w:t>II.3 Récapitulation des interprétations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hint="cs"/>
          <w:sz w:val="28"/>
          <w:szCs w:val="28"/>
          <w:rtl/>
        </w:rPr>
        <w:t xml:space="preserve"> </w:t>
      </w:r>
      <w:r w:rsidRPr="00324D5B">
        <w:rPr>
          <w:rFonts w:asciiTheme="majorBidi" w:hAnsiTheme="majorBidi" w:cstheme="majorBidi"/>
          <w:sz w:val="28"/>
          <w:szCs w:val="28"/>
        </w:rPr>
        <w:t xml:space="preserve">   D’après les résultats des tests con</w:t>
      </w:r>
      <w:r>
        <w:rPr>
          <w:rFonts w:asciiTheme="majorBidi" w:hAnsiTheme="majorBidi" w:cstheme="majorBidi"/>
          <w:sz w:val="28"/>
          <w:szCs w:val="28"/>
        </w:rPr>
        <w:t>c</w:t>
      </w:r>
      <w:r w:rsidRPr="00324D5B">
        <w:rPr>
          <w:rFonts w:asciiTheme="majorBidi" w:hAnsiTheme="majorBidi" w:cstheme="majorBidi"/>
          <w:sz w:val="28"/>
          <w:szCs w:val="28"/>
        </w:rPr>
        <w:t>er</w:t>
      </w:r>
      <w:r>
        <w:rPr>
          <w:rFonts w:asciiTheme="majorBidi" w:hAnsiTheme="majorBidi" w:cstheme="majorBidi"/>
          <w:sz w:val="28"/>
          <w:szCs w:val="28"/>
        </w:rPr>
        <w:t>n</w:t>
      </w:r>
      <w:r w:rsidRPr="00324D5B">
        <w:rPr>
          <w:rFonts w:asciiTheme="majorBidi" w:hAnsiTheme="majorBidi" w:cstheme="majorBidi"/>
          <w:sz w:val="28"/>
          <w:szCs w:val="28"/>
        </w:rPr>
        <w:t>ant l’asphalte zone 7 et 5 et le RSV zone10  représentés dans les figures précédents, on constate que l’asphalte de zone 7 se rapproche aux normes requises pour le bitume routier.</w:t>
      </w:r>
    </w:p>
    <w:p w:rsidR="00B87792" w:rsidRPr="00324D5B" w:rsidRDefault="00B87792" w:rsidP="00B87792">
      <w:pPr>
        <w:spacing w:before="240" w:after="0" w:line="360" w:lineRule="auto"/>
        <w:ind w:firstLine="284"/>
        <w:rPr>
          <w:rFonts w:asciiTheme="majorBidi" w:hAnsiTheme="majorBidi" w:cstheme="majorBidi"/>
          <w:sz w:val="28"/>
          <w:szCs w:val="28"/>
          <w:rtl/>
          <w:lang w:bidi="ar-DZ"/>
        </w:rPr>
      </w:pPr>
      <w:r w:rsidRPr="00324D5B">
        <w:rPr>
          <w:rFonts w:asciiTheme="majorBidi" w:hAnsiTheme="majorBidi" w:cstheme="majorBidi"/>
          <w:sz w:val="28"/>
          <w:szCs w:val="28"/>
        </w:rPr>
        <w:t>Par contre nous avons remarqué que les caractéristiques de l’asphalte zone 5 ne sont pas stables sur une marge définie mais il est à peu près aléatoire.</w:t>
      </w:r>
    </w:p>
    <w:p w:rsidR="00B87792" w:rsidRDefault="00B87792" w:rsidP="00B87792">
      <w:pPr>
        <w:spacing w:before="240" w:after="0" w:line="360" w:lineRule="auto"/>
        <w:rPr>
          <w:rFonts w:ascii="Rockwell Condensed" w:hAnsi="Rockwell Condensed" w:cstheme="majorBidi"/>
          <w:b/>
          <w:bCs/>
          <w:sz w:val="28"/>
          <w:szCs w:val="28"/>
        </w:rPr>
      </w:pPr>
    </w:p>
    <w:p w:rsidR="00B87792" w:rsidRDefault="00B87792" w:rsidP="00B87792">
      <w:pPr>
        <w:spacing w:before="240" w:after="0" w:line="360" w:lineRule="auto"/>
        <w:rPr>
          <w:rFonts w:ascii="Rockwell Condensed" w:hAnsi="Rockwell Condensed" w:cstheme="majorBidi"/>
          <w:b/>
          <w:bCs/>
          <w:sz w:val="28"/>
          <w:szCs w:val="28"/>
        </w:rPr>
      </w:pPr>
    </w:p>
    <w:p w:rsidR="00B87792" w:rsidRPr="00324D5B" w:rsidRDefault="00B87792" w:rsidP="00B87792">
      <w:pPr>
        <w:spacing w:before="240" w:after="0" w:line="360" w:lineRule="auto"/>
        <w:rPr>
          <w:rFonts w:ascii="Comic Sans MS" w:hAnsi="Comic Sans MS" w:cstheme="majorBidi"/>
          <w:b/>
          <w:bCs/>
          <w:sz w:val="28"/>
          <w:szCs w:val="28"/>
        </w:rPr>
      </w:pPr>
      <w:r w:rsidRPr="00324D5B">
        <w:rPr>
          <w:rFonts w:ascii="Rockwell Condensed" w:hAnsi="Rockwell Condensed" w:cstheme="majorBidi"/>
          <w:b/>
          <w:bCs/>
          <w:sz w:val="28"/>
          <w:szCs w:val="28"/>
        </w:rPr>
        <w:lastRenderedPageBreak/>
        <w:t>Partie B : récupération de l’asphaltes convenables :</w:t>
      </w:r>
    </w:p>
    <w:p w:rsidR="00B87792" w:rsidRPr="00324D5B" w:rsidRDefault="00B87792" w:rsidP="00B87792">
      <w:pPr>
        <w:spacing w:before="240" w:after="0" w:line="360" w:lineRule="auto"/>
        <w:rPr>
          <w:rFonts w:ascii="Rockwell Condensed" w:hAnsi="Rockwell Condensed" w:cstheme="majorBidi"/>
          <w:sz w:val="28"/>
          <w:szCs w:val="28"/>
        </w:rPr>
      </w:pPr>
      <w:r w:rsidRPr="00324D5B">
        <w:rPr>
          <w:rFonts w:ascii="Rockwell Condensed" w:hAnsi="Rockwell Condensed" w:cstheme="majorBidi"/>
          <w:sz w:val="28"/>
          <w:szCs w:val="28"/>
        </w:rPr>
        <w:t>I. L’étude du mélange au niveau de laboratoire :</w:t>
      </w:r>
    </w:p>
    <w:p w:rsidR="00B87792" w:rsidRPr="00324D5B" w:rsidRDefault="00B87792" w:rsidP="004E6E3D">
      <w:pPr>
        <w:spacing w:before="240" w:after="0" w:line="360" w:lineRule="auto"/>
      </w:pPr>
      <w:r w:rsidRPr="00324D5B">
        <w:rPr>
          <w:rFonts w:asciiTheme="majorBidi" w:hAnsiTheme="majorBidi" w:cstheme="majorBidi"/>
          <w:sz w:val="28"/>
          <w:szCs w:val="28"/>
        </w:rPr>
        <w:t xml:space="preserve">       Les tests effectués à l’asphalte de la zone 7 nous montre</w:t>
      </w:r>
      <w:r w:rsidR="004E6E3D">
        <w:rPr>
          <w:rFonts w:asciiTheme="majorBidi" w:hAnsiTheme="majorBidi" w:cstheme="majorBidi"/>
          <w:sz w:val="28"/>
          <w:szCs w:val="28"/>
        </w:rPr>
        <w:t>nt</w:t>
      </w:r>
      <w:r w:rsidRPr="00324D5B">
        <w:rPr>
          <w:rFonts w:asciiTheme="majorBidi" w:hAnsiTheme="majorBidi" w:cstheme="majorBidi"/>
          <w:sz w:val="28"/>
          <w:szCs w:val="28"/>
        </w:rPr>
        <w:t xml:space="preserve"> qu’il peut être considéré comme un produit semi fini </w:t>
      </w:r>
      <w:r w:rsidR="004E6E3D">
        <w:rPr>
          <w:rFonts w:asciiTheme="majorBidi" w:hAnsiTheme="majorBidi" w:cstheme="majorBidi"/>
          <w:sz w:val="28"/>
          <w:szCs w:val="28"/>
        </w:rPr>
        <w:t xml:space="preserve">et </w:t>
      </w:r>
      <w:r w:rsidRPr="00324D5B">
        <w:rPr>
          <w:rFonts w:asciiTheme="majorBidi" w:hAnsiTheme="majorBidi" w:cstheme="majorBidi"/>
          <w:sz w:val="28"/>
          <w:szCs w:val="28"/>
        </w:rPr>
        <w:t>peu</w:t>
      </w:r>
      <w:r w:rsidR="004E6E3D">
        <w:rPr>
          <w:rFonts w:asciiTheme="majorBidi" w:hAnsiTheme="majorBidi" w:cstheme="majorBidi"/>
          <w:sz w:val="28"/>
          <w:szCs w:val="28"/>
        </w:rPr>
        <w:t>t</w:t>
      </w:r>
      <w:r w:rsidRPr="00324D5B">
        <w:rPr>
          <w:rFonts w:asciiTheme="majorBidi" w:hAnsiTheme="majorBidi" w:cstheme="majorBidi"/>
          <w:sz w:val="28"/>
          <w:szCs w:val="28"/>
        </w:rPr>
        <w:t xml:space="preserve"> </w:t>
      </w:r>
      <w:r w:rsidR="004E6E3D">
        <w:rPr>
          <w:rFonts w:asciiTheme="majorBidi" w:hAnsiTheme="majorBidi" w:cstheme="majorBidi"/>
          <w:sz w:val="28"/>
          <w:szCs w:val="28"/>
        </w:rPr>
        <w:t>se</w:t>
      </w:r>
      <w:r w:rsidRPr="00324D5B">
        <w:rPr>
          <w:rFonts w:asciiTheme="majorBidi" w:hAnsiTheme="majorBidi" w:cstheme="majorBidi"/>
          <w:sz w:val="28"/>
          <w:szCs w:val="28"/>
        </w:rPr>
        <w:t xml:space="preserve"> réagi</w:t>
      </w:r>
      <w:r w:rsidR="004E6E3D">
        <w:rPr>
          <w:rFonts w:asciiTheme="majorBidi" w:hAnsiTheme="majorBidi" w:cstheme="majorBidi"/>
          <w:sz w:val="28"/>
          <w:szCs w:val="28"/>
        </w:rPr>
        <w:t>r</w:t>
      </w:r>
      <w:r w:rsidRPr="00324D5B">
        <w:rPr>
          <w:rFonts w:asciiTheme="majorBidi" w:hAnsiTheme="majorBidi" w:cstheme="majorBidi"/>
          <w:sz w:val="28"/>
          <w:szCs w:val="28"/>
        </w:rPr>
        <w:t xml:space="preserve"> avec le RSV de la zone 10 dans une colonne de l’oxydation pour obtenir finalement un produit fini qui est le bitume routier , pour cela il nous faut une étude au niveau de  laboratoire sur le mélange des deux produits</w:t>
      </w:r>
      <w:r>
        <w:rPr>
          <w:rFonts w:asciiTheme="majorBidi" w:hAnsiTheme="majorBidi" w:cstheme="majorBidi"/>
          <w:sz w:val="28"/>
          <w:szCs w:val="28"/>
        </w:rPr>
        <w:t xml:space="preserve"> ( 80% RSV zone 10 et 20% RSV zone 7)</w:t>
      </w:r>
      <w:r w:rsidRPr="00324D5B">
        <w:rPr>
          <w:rFonts w:asciiTheme="majorBidi" w:hAnsiTheme="majorBidi" w:cstheme="majorBidi"/>
          <w:sz w:val="28"/>
          <w:szCs w:val="28"/>
        </w:rPr>
        <w:t xml:space="preserve">.                                                                                                                                                                                                                                                                                                                                                                                                                                                                                                                                                                                                                                                                                                                                                                                                                                                                                                                                                                                                                                                                                                                                                                                                                                                                                                                                                                                                        </w:t>
      </w:r>
      <w:r w:rsidRPr="00324D5B">
        <w:t xml:space="preserve">               </w:t>
      </w:r>
    </w:p>
    <w:p w:rsidR="00B87792" w:rsidRPr="00324D5B" w:rsidRDefault="00B87792" w:rsidP="00B87792">
      <w:pPr>
        <w:spacing w:before="240" w:after="0" w:line="360" w:lineRule="auto"/>
        <w:jc w:val="both"/>
        <w:rPr>
          <w:rFonts w:asciiTheme="majorBidi" w:hAnsiTheme="majorBidi" w:cstheme="majorBidi"/>
          <w:sz w:val="28"/>
          <w:szCs w:val="28"/>
        </w:rPr>
      </w:pPr>
      <w:r w:rsidRPr="00324D5B">
        <w:rPr>
          <w:rFonts w:asciiTheme="majorBidi" w:hAnsiTheme="majorBidi" w:cstheme="majorBidi"/>
          <w:sz w:val="28"/>
          <w:szCs w:val="28"/>
        </w:rPr>
        <w:t xml:space="preserve">Les tableaux suivants représentent la pénétrabilité et le ramollissement pour le RSV zone 10 et l’asphalte zone 7 pendant 5 jours et la variation des caractéristiques de mélange des deux produits dans la même période. </w:t>
      </w:r>
    </w:p>
    <w:p w:rsidR="00B87792" w:rsidRPr="00324D5B" w:rsidRDefault="00B87792" w:rsidP="00B87792">
      <w:pPr>
        <w:spacing w:before="240" w:after="0" w:line="360" w:lineRule="auto"/>
        <w:jc w:val="both"/>
        <w:rPr>
          <w:rFonts w:ascii="Monotype Corsiva" w:hAnsi="Monotype Corsiva" w:cstheme="majorBidi"/>
          <w:b/>
          <w:bCs/>
          <w:sz w:val="32"/>
          <w:szCs w:val="32"/>
        </w:rPr>
      </w:pPr>
      <w:r w:rsidRPr="00324D5B">
        <w:rPr>
          <w:rFonts w:ascii="Monotype Corsiva" w:hAnsi="Monotype Corsiva" w:cstheme="majorBidi"/>
          <w:b/>
          <w:bCs/>
          <w:sz w:val="32"/>
          <w:szCs w:val="32"/>
        </w:rPr>
        <w:t xml:space="preserve">I.1 Les résultats : </w:t>
      </w:r>
    </w:p>
    <w:p w:rsidR="00B87792" w:rsidRPr="00324D5B" w:rsidRDefault="00B87792" w:rsidP="00B87792">
      <w:pPr>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t>Tableau </w:t>
      </w:r>
      <w:r>
        <w:rPr>
          <w:rFonts w:asciiTheme="majorBidi" w:hAnsiTheme="majorBidi" w:cstheme="majorBidi"/>
          <w:sz w:val="26"/>
          <w:szCs w:val="26"/>
        </w:rPr>
        <w:t>V.3</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L</w:t>
      </w:r>
      <w:r w:rsidRPr="00324D5B">
        <w:rPr>
          <w:rFonts w:asciiTheme="majorBidi" w:hAnsiTheme="majorBidi" w:cstheme="majorBidi"/>
          <w:sz w:val="26"/>
          <w:szCs w:val="26"/>
        </w:rPr>
        <w:t>es tests effectués sur RSV zone 10 et l’asphalte zone 7.</w:t>
      </w:r>
    </w:p>
    <w:tbl>
      <w:tblPr>
        <w:tblStyle w:val="Grilledutableau"/>
        <w:tblW w:w="0" w:type="auto"/>
        <w:tblLook w:val="04A0"/>
      </w:tblPr>
      <w:tblGrid>
        <w:gridCol w:w="1842"/>
        <w:gridCol w:w="1842"/>
        <w:gridCol w:w="1842"/>
        <w:gridCol w:w="1843"/>
        <w:gridCol w:w="1843"/>
      </w:tblGrid>
      <w:tr w:rsidR="00B87792" w:rsidRPr="00324D5B" w:rsidTr="00453770">
        <w:tc>
          <w:tcPr>
            <w:tcW w:w="1842" w:type="dxa"/>
            <w:vMerge w:val="restart"/>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 xml:space="preserve">Temps </w:t>
            </w:r>
            <w:r w:rsidRPr="00324D5B">
              <w:rPr>
                <w:rFonts w:asciiTheme="majorBidi" w:hAnsiTheme="majorBidi" w:cstheme="majorBidi"/>
                <w:sz w:val="24"/>
                <w:szCs w:val="24"/>
              </w:rPr>
              <w:t>(jours)</w:t>
            </w:r>
          </w:p>
        </w:tc>
        <w:tc>
          <w:tcPr>
            <w:tcW w:w="3684" w:type="dxa"/>
            <w:gridSpan w:val="2"/>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RSV  zone 10</w:t>
            </w:r>
          </w:p>
        </w:tc>
        <w:tc>
          <w:tcPr>
            <w:tcW w:w="3686" w:type="dxa"/>
            <w:gridSpan w:val="2"/>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Asphalte zone7</w:t>
            </w:r>
          </w:p>
        </w:tc>
      </w:tr>
      <w:tr w:rsidR="00B87792" w:rsidRPr="00324D5B" w:rsidTr="00453770">
        <w:tc>
          <w:tcPr>
            <w:tcW w:w="1842" w:type="dxa"/>
            <w:vMerge/>
          </w:tcPr>
          <w:p w:rsidR="00B87792" w:rsidRPr="00324D5B" w:rsidRDefault="00B87792" w:rsidP="00453770">
            <w:pPr>
              <w:spacing w:line="360" w:lineRule="auto"/>
              <w:jc w:val="center"/>
              <w:rPr>
                <w:rFonts w:asciiTheme="majorBidi" w:hAnsiTheme="majorBidi" w:cstheme="majorBidi"/>
                <w:b/>
                <w:bCs/>
                <w:sz w:val="28"/>
                <w:szCs w:val="28"/>
              </w:rPr>
            </w:pPr>
          </w:p>
        </w:tc>
        <w:tc>
          <w:tcPr>
            <w:tcW w:w="1842"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P</w:t>
            </w:r>
            <w:r w:rsidRPr="00324D5B">
              <w:rPr>
                <w:rFonts w:asciiTheme="majorBidi" w:hAnsiTheme="majorBidi" w:cstheme="majorBidi"/>
                <w:sz w:val="24"/>
                <w:szCs w:val="24"/>
              </w:rPr>
              <w:t>énétrabilité</w:t>
            </w:r>
          </w:p>
        </w:tc>
        <w:tc>
          <w:tcPr>
            <w:tcW w:w="1842"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R</w:t>
            </w:r>
            <w:r w:rsidRPr="00324D5B">
              <w:rPr>
                <w:rFonts w:asciiTheme="majorBidi" w:hAnsiTheme="majorBidi" w:cstheme="majorBidi"/>
                <w:sz w:val="24"/>
                <w:szCs w:val="24"/>
              </w:rPr>
              <w:t>amollissement</w:t>
            </w:r>
          </w:p>
        </w:tc>
        <w:tc>
          <w:tcPr>
            <w:tcW w:w="1843"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P</w:t>
            </w:r>
            <w:r w:rsidRPr="00324D5B">
              <w:rPr>
                <w:rFonts w:asciiTheme="majorBidi" w:hAnsiTheme="majorBidi" w:cstheme="majorBidi"/>
                <w:sz w:val="24"/>
                <w:szCs w:val="24"/>
              </w:rPr>
              <w:t>énétrabilité</w:t>
            </w:r>
          </w:p>
        </w:tc>
        <w:tc>
          <w:tcPr>
            <w:tcW w:w="1843"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R</w:t>
            </w:r>
            <w:r w:rsidRPr="00324D5B">
              <w:rPr>
                <w:rFonts w:asciiTheme="majorBidi" w:hAnsiTheme="majorBidi" w:cstheme="majorBidi"/>
                <w:sz w:val="24"/>
                <w:szCs w:val="24"/>
              </w:rPr>
              <w:t>amollissement</w:t>
            </w:r>
          </w:p>
        </w:tc>
      </w:tr>
      <w:tr w:rsidR="00B87792" w:rsidRPr="00324D5B" w:rsidTr="00453770">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196</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37</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91</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r>
      <w:tr w:rsidR="00B87792" w:rsidRPr="00324D5B" w:rsidTr="00453770">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190</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39</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87</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r>
      <w:tr w:rsidR="00B87792" w:rsidRPr="00324D5B" w:rsidTr="00453770">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226</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116</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37</w:t>
            </w:r>
          </w:p>
        </w:tc>
      </w:tr>
      <w:tr w:rsidR="00B87792" w:rsidRPr="00324D5B" w:rsidTr="00453770">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213</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34</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120</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39</w:t>
            </w:r>
          </w:p>
        </w:tc>
      </w:tr>
      <w:tr w:rsidR="00B87792" w:rsidRPr="00324D5B" w:rsidTr="00453770">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169</w:t>
            </w:r>
          </w:p>
        </w:tc>
        <w:tc>
          <w:tcPr>
            <w:tcW w:w="1842"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42</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107</w:t>
            </w:r>
          </w:p>
        </w:tc>
        <w:tc>
          <w:tcPr>
            <w:tcW w:w="1843"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40</w:t>
            </w:r>
          </w:p>
        </w:tc>
      </w:tr>
    </w:tbl>
    <w:p w:rsidR="00B87792" w:rsidRPr="00324D5B" w:rsidRDefault="00B87792" w:rsidP="00B87792">
      <w:pPr>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Tableau </w:t>
      </w:r>
      <w:r>
        <w:rPr>
          <w:rFonts w:asciiTheme="majorBidi" w:hAnsiTheme="majorBidi" w:cstheme="majorBidi"/>
          <w:sz w:val="26"/>
          <w:szCs w:val="26"/>
        </w:rPr>
        <w:t>V.4</w:t>
      </w:r>
      <w:r w:rsidRPr="00324D5B">
        <w:rPr>
          <w:rFonts w:asciiTheme="majorBidi" w:hAnsiTheme="majorBidi" w:cstheme="majorBidi"/>
          <w:sz w:val="26"/>
          <w:szCs w:val="26"/>
        </w:rPr>
        <w:t xml:space="preserve">: </w:t>
      </w:r>
      <w:r w:rsidR="00C36A18" w:rsidRPr="00324D5B">
        <w:rPr>
          <w:rFonts w:asciiTheme="majorBidi" w:hAnsiTheme="majorBidi" w:cstheme="majorBidi"/>
          <w:sz w:val="26"/>
          <w:szCs w:val="26"/>
        </w:rPr>
        <w:t>L</w:t>
      </w:r>
      <w:r w:rsidRPr="00324D5B">
        <w:rPr>
          <w:rFonts w:asciiTheme="majorBidi" w:hAnsiTheme="majorBidi" w:cstheme="majorBidi"/>
          <w:sz w:val="26"/>
          <w:szCs w:val="26"/>
        </w:rPr>
        <w:t>es tests effectués sur le mélange de RSV zone 10 et zone 7.</w:t>
      </w:r>
    </w:p>
    <w:tbl>
      <w:tblPr>
        <w:tblStyle w:val="Grilledutableau"/>
        <w:tblW w:w="0" w:type="auto"/>
        <w:tblLook w:val="04A0"/>
      </w:tblPr>
      <w:tblGrid>
        <w:gridCol w:w="1951"/>
        <w:gridCol w:w="1418"/>
        <w:gridCol w:w="1275"/>
        <w:gridCol w:w="1134"/>
        <w:gridCol w:w="1276"/>
        <w:gridCol w:w="1134"/>
        <w:gridCol w:w="1024"/>
      </w:tblGrid>
      <w:tr w:rsidR="00B87792" w:rsidRPr="00324D5B" w:rsidTr="00453770">
        <w:tc>
          <w:tcPr>
            <w:tcW w:w="1951"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 xml:space="preserve">Temps </w:t>
            </w:r>
            <w:r w:rsidRPr="00324D5B">
              <w:rPr>
                <w:rFonts w:asciiTheme="majorBidi" w:hAnsiTheme="majorBidi" w:cstheme="majorBidi"/>
                <w:sz w:val="24"/>
                <w:szCs w:val="24"/>
              </w:rPr>
              <w:t>(jours)</w:t>
            </w:r>
          </w:p>
        </w:tc>
        <w:tc>
          <w:tcPr>
            <w:tcW w:w="1418"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P</w:t>
            </w:r>
          </w:p>
        </w:tc>
        <w:tc>
          <w:tcPr>
            <w:tcW w:w="1275"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R</w:t>
            </w:r>
          </w:p>
        </w:tc>
        <w:tc>
          <w:tcPr>
            <w:tcW w:w="1134"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duc</w:t>
            </w:r>
          </w:p>
        </w:tc>
        <w:tc>
          <w:tcPr>
            <w:tcW w:w="1276"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d</w:t>
            </w:r>
          </w:p>
        </w:tc>
        <w:tc>
          <w:tcPr>
            <w:tcW w:w="1134"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v</w:t>
            </w:r>
          </w:p>
        </w:tc>
        <w:tc>
          <w:tcPr>
            <w:tcW w:w="1024" w:type="dxa"/>
          </w:tcPr>
          <w:p w:rsidR="00B87792" w:rsidRPr="00324D5B" w:rsidRDefault="00B87792" w:rsidP="00453770">
            <w:pPr>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P.F</w:t>
            </w:r>
          </w:p>
        </w:tc>
      </w:tr>
      <w:tr w:rsidR="00B87792" w:rsidRPr="00324D5B" w:rsidTr="00453770">
        <w:tc>
          <w:tcPr>
            <w:tcW w:w="1951"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1418"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175</w:t>
            </w:r>
          </w:p>
        </w:tc>
        <w:tc>
          <w:tcPr>
            <w:tcW w:w="1275"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39</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96</w:t>
            </w:r>
          </w:p>
        </w:tc>
        <w:tc>
          <w:tcPr>
            <w:tcW w:w="1276"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1.026</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902</w:t>
            </w:r>
          </w:p>
        </w:tc>
        <w:tc>
          <w:tcPr>
            <w:tcW w:w="102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260</w:t>
            </w:r>
          </w:p>
        </w:tc>
      </w:tr>
      <w:tr w:rsidR="00B87792" w:rsidRPr="00324D5B" w:rsidTr="00453770">
        <w:tc>
          <w:tcPr>
            <w:tcW w:w="1951"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1418"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190</w:t>
            </w:r>
          </w:p>
        </w:tc>
        <w:tc>
          <w:tcPr>
            <w:tcW w:w="1275"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40</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93</w:t>
            </w:r>
          </w:p>
        </w:tc>
        <w:tc>
          <w:tcPr>
            <w:tcW w:w="1276"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1.023</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894</w:t>
            </w:r>
          </w:p>
        </w:tc>
        <w:tc>
          <w:tcPr>
            <w:tcW w:w="102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280</w:t>
            </w:r>
          </w:p>
        </w:tc>
      </w:tr>
      <w:tr w:rsidR="00B87792" w:rsidRPr="00324D5B" w:rsidTr="00453770">
        <w:tc>
          <w:tcPr>
            <w:tcW w:w="1951"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1418"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212</w:t>
            </w:r>
          </w:p>
        </w:tc>
        <w:tc>
          <w:tcPr>
            <w:tcW w:w="1275"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96</w:t>
            </w:r>
          </w:p>
        </w:tc>
        <w:tc>
          <w:tcPr>
            <w:tcW w:w="1276"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1.028</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897</w:t>
            </w:r>
          </w:p>
        </w:tc>
        <w:tc>
          <w:tcPr>
            <w:tcW w:w="102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233</w:t>
            </w:r>
          </w:p>
        </w:tc>
      </w:tr>
      <w:tr w:rsidR="00B87792" w:rsidRPr="00324D5B" w:rsidTr="00453770">
        <w:tc>
          <w:tcPr>
            <w:tcW w:w="1951"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1418"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265</w:t>
            </w:r>
          </w:p>
        </w:tc>
        <w:tc>
          <w:tcPr>
            <w:tcW w:w="1275"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32</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99</w:t>
            </w:r>
          </w:p>
        </w:tc>
        <w:tc>
          <w:tcPr>
            <w:tcW w:w="1276"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1.031</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887</w:t>
            </w:r>
          </w:p>
        </w:tc>
        <w:tc>
          <w:tcPr>
            <w:tcW w:w="102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187</w:t>
            </w:r>
          </w:p>
        </w:tc>
      </w:tr>
      <w:tr w:rsidR="00B87792" w:rsidRPr="00324D5B" w:rsidTr="00453770">
        <w:tc>
          <w:tcPr>
            <w:tcW w:w="1951"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1418"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198</w:t>
            </w:r>
          </w:p>
        </w:tc>
        <w:tc>
          <w:tcPr>
            <w:tcW w:w="1275"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37</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95</w:t>
            </w:r>
          </w:p>
        </w:tc>
        <w:tc>
          <w:tcPr>
            <w:tcW w:w="1276"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1.03</w:t>
            </w:r>
          </w:p>
        </w:tc>
        <w:tc>
          <w:tcPr>
            <w:tcW w:w="113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898</w:t>
            </w:r>
          </w:p>
        </w:tc>
        <w:tc>
          <w:tcPr>
            <w:tcW w:w="1024" w:type="dxa"/>
          </w:tcPr>
          <w:p w:rsidR="00B87792" w:rsidRPr="00324D5B" w:rsidRDefault="00B87792" w:rsidP="00453770">
            <w:pPr>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196</w:t>
            </w:r>
          </w:p>
        </w:tc>
      </w:tr>
    </w:tbl>
    <w:p w:rsidR="00B87792" w:rsidRPr="00324D5B" w:rsidRDefault="00B87792" w:rsidP="00B87792">
      <w:pPr>
        <w:spacing w:before="240" w:after="0" w:line="360" w:lineRule="auto"/>
        <w:rPr>
          <w:rFonts w:ascii="Monotype Corsiva" w:hAnsi="Monotype Corsiva" w:cstheme="majorBidi"/>
          <w:b/>
          <w:bCs/>
          <w:sz w:val="32"/>
          <w:szCs w:val="32"/>
        </w:rPr>
      </w:pPr>
      <w:r w:rsidRPr="00324D5B">
        <w:rPr>
          <w:rFonts w:ascii="Monotype Corsiva" w:hAnsi="Monotype Corsiva" w:cstheme="majorBidi"/>
          <w:b/>
          <w:bCs/>
          <w:sz w:val="32"/>
          <w:szCs w:val="32"/>
        </w:rPr>
        <w:lastRenderedPageBreak/>
        <w:t>I.2 La représentation graphique  et l’interprétation des résultats :</w:t>
      </w:r>
    </w:p>
    <w:p w:rsidR="00B87792" w:rsidRPr="00324D5B" w:rsidRDefault="00B87792" w:rsidP="00B87792">
      <w:pPr>
        <w:spacing w:before="240" w:after="0" w:line="360" w:lineRule="auto"/>
        <w:jc w:val="center"/>
      </w:pPr>
      <w:r w:rsidRPr="00324D5B">
        <w:rPr>
          <w:noProof/>
          <w:lang w:eastAsia="fr-FR"/>
        </w:rPr>
        <w:drawing>
          <wp:inline distT="0" distB="0" distL="0" distR="0">
            <wp:extent cx="4732351" cy="2258171"/>
            <wp:effectExtent l="19050" t="0" r="11099" b="8779"/>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87792" w:rsidRPr="00324D5B" w:rsidRDefault="00B87792" w:rsidP="00C36A18">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V.14</w:t>
      </w:r>
      <w:r w:rsidRPr="00324D5B">
        <w:rPr>
          <w:rFonts w:asciiTheme="majorBidi" w:hAnsiTheme="majorBidi" w:cstheme="majorBidi"/>
          <w:sz w:val="26"/>
          <w:szCs w:val="26"/>
        </w:rPr>
        <w:t xml:space="preserve"> : </w:t>
      </w:r>
      <w:r w:rsidR="00C36A18" w:rsidRPr="00324D5B">
        <w:rPr>
          <w:rFonts w:asciiTheme="majorBidi" w:hAnsiTheme="majorBidi" w:cstheme="majorBidi"/>
          <w:sz w:val="26"/>
          <w:szCs w:val="26"/>
        </w:rPr>
        <w:t>V</w:t>
      </w:r>
      <w:r w:rsidRPr="00324D5B">
        <w:rPr>
          <w:rFonts w:asciiTheme="majorBidi" w:hAnsiTheme="majorBidi" w:cstheme="majorBidi"/>
          <w:sz w:val="26"/>
          <w:szCs w:val="26"/>
        </w:rPr>
        <w:t>ariation des valeurs de pénétrabilité en fonction du temps.</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La figure </w:t>
      </w:r>
      <w:r>
        <w:rPr>
          <w:rFonts w:asciiTheme="majorBidi" w:hAnsiTheme="majorBidi" w:cstheme="majorBidi"/>
          <w:sz w:val="28"/>
          <w:szCs w:val="28"/>
        </w:rPr>
        <w:t>V.14</w:t>
      </w:r>
      <w:r w:rsidRPr="00324D5B">
        <w:rPr>
          <w:rFonts w:asciiTheme="majorBidi" w:hAnsiTheme="majorBidi" w:cstheme="majorBidi"/>
          <w:sz w:val="28"/>
          <w:szCs w:val="28"/>
        </w:rPr>
        <w:t xml:space="preserve"> qui représente la variation de la pénétrabilité pendant 5 jours montre que la pénétrabilité de mélange reste toujours satisfaisante.  </w:t>
      </w:r>
    </w:p>
    <w:p w:rsidR="00B87792" w:rsidRPr="00324D5B" w:rsidRDefault="00B87792" w:rsidP="00B87792">
      <w:pPr>
        <w:spacing w:before="240" w:after="0" w:line="360" w:lineRule="auto"/>
        <w:jc w:val="center"/>
      </w:pPr>
      <w:r w:rsidRPr="00324D5B">
        <w:rPr>
          <w:noProof/>
          <w:lang w:eastAsia="fr-FR"/>
        </w:rPr>
        <w:drawing>
          <wp:inline distT="0" distB="0" distL="0" distR="0">
            <wp:extent cx="4575561" cy="2075291"/>
            <wp:effectExtent l="19050" t="0" r="15489" b="1159"/>
            <wp:docPr id="8"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87792" w:rsidRPr="00324D5B" w:rsidRDefault="00B87792" w:rsidP="00C36A18">
      <w:pPr>
        <w:spacing w:before="240"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V.15</w:t>
      </w:r>
      <w:r w:rsidRPr="00324D5B">
        <w:rPr>
          <w:rFonts w:asciiTheme="majorBidi" w:hAnsiTheme="majorBidi" w:cstheme="majorBidi"/>
          <w:sz w:val="26"/>
          <w:szCs w:val="26"/>
        </w:rPr>
        <w:t> : Variation d</w:t>
      </w:r>
      <w:r w:rsidR="00C36A18">
        <w:rPr>
          <w:rFonts w:asciiTheme="majorBidi" w:hAnsiTheme="majorBidi" w:cstheme="majorBidi"/>
          <w:sz w:val="26"/>
          <w:szCs w:val="26"/>
        </w:rPr>
        <w:t>u point</w:t>
      </w:r>
      <w:r w:rsidRPr="00324D5B">
        <w:rPr>
          <w:rFonts w:asciiTheme="majorBidi" w:hAnsiTheme="majorBidi" w:cstheme="majorBidi"/>
          <w:sz w:val="26"/>
          <w:szCs w:val="26"/>
        </w:rPr>
        <w:t xml:space="preserve"> de ramollissement en fonction du temps.</w:t>
      </w:r>
    </w:p>
    <w:p w:rsidR="00B87792"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6"/>
          <w:szCs w:val="26"/>
        </w:rPr>
        <w:t xml:space="preserve">           </w:t>
      </w:r>
      <w:r w:rsidRPr="00324D5B">
        <w:rPr>
          <w:rFonts w:asciiTheme="majorBidi" w:hAnsiTheme="majorBidi" w:cstheme="majorBidi"/>
          <w:sz w:val="28"/>
          <w:szCs w:val="28"/>
        </w:rPr>
        <w:t xml:space="preserve">La figure </w:t>
      </w:r>
      <w:r>
        <w:rPr>
          <w:rFonts w:asciiTheme="majorBidi" w:hAnsiTheme="majorBidi" w:cstheme="majorBidi"/>
          <w:sz w:val="28"/>
          <w:szCs w:val="28"/>
        </w:rPr>
        <w:t>V.15</w:t>
      </w:r>
      <w:r w:rsidRPr="00324D5B">
        <w:rPr>
          <w:rFonts w:asciiTheme="majorBidi" w:hAnsiTheme="majorBidi" w:cstheme="majorBidi"/>
          <w:sz w:val="28"/>
          <w:szCs w:val="28"/>
        </w:rPr>
        <w:t xml:space="preserve"> qui représente la variation du point de ramollissement pendant 5 jours montre que le ramollissement est en proportion inverse avec la pénétrabilité et est aussi satisfaisante.</w:t>
      </w: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jc w:val="center"/>
      </w:pPr>
      <w:r w:rsidRPr="00324D5B">
        <w:rPr>
          <w:noProof/>
          <w:lang w:eastAsia="fr-FR"/>
        </w:rPr>
        <w:drawing>
          <wp:inline distT="0" distB="0" distL="0" distR="0">
            <wp:extent cx="4575561" cy="2067339"/>
            <wp:effectExtent l="19050" t="0" r="15489" b="9111"/>
            <wp:docPr id="9" name="Graphique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87792" w:rsidRPr="00324D5B" w:rsidRDefault="00B87792" w:rsidP="00B87792">
      <w:pPr>
        <w:spacing w:before="240"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V.16</w:t>
      </w:r>
      <w:r w:rsidRPr="00324D5B">
        <w:rPr>
          <w:rFonts w:asciiTheme="majorBidi" w:hAnsiTheme="majorBidi" w:cstheme="majorBidi"/>
          <w:sz w:val="26"/>
          <w:szCs w:val="26"/>
        </w:rPr>
        <w:t> : Variation des valeurs du point de flash en fonction du temps.</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La figure </w:t>
      </w:r>
      <w:r>
        <w:rPr>
          <w:rFonts w:asciiTheme="majorBidi" w:hAnsiTheme="majorBidi" w:cstheme="majorBidi"/>
          <w:sz w:val="28"/>
          <w:szCs w:val="28"/>
        </w:rPr>
        <w:t>V.16</w:t>
      </w:r>
      <w:r w:rsidRPr="00324D5B">
        <w:rPr>
          <w:rFonts w:asciiTheme="majorBidi" w:hAnsiTheme="majorBidi" w:cstheme="majorBidi"/>
          <w:sz w:val="28"/>
          <w:szCs w:val="28"/>
        </w:rPr>
        <w:t xml:space="preserve"> qui représente la variation du point de flash pendant 5 jours montre que les valeurs sont relativement bonnes.</w:t>
      </w:r>
    </w:p>
    <w:p w:rsidR="00B87792" w:rsidRPr="00324D5B" w:rsidRDefault="00B87792" w:rsidP="00B87792">
      <w:pPr>
        <w:spacing w:before="240" w:after="0" w:line="360" w:lineRule="auto"/>
        <w:jc w:val="center"/>
      </w:pPr>
      <w:r w:rsidRPr="00324D5B">
        <w:rPr>
          <w:noProof/>
          <w:lang w:eastAsia="fr-FR"/>
        </w:rPr>
        <w:drawing>
          <wp:inline distT="0" distB="0" distL="0" distR="0">
            <wp:extent cx="4577466" cy="2154804"/>
            <wp:effectExtent l="19050" t="0" r="13584" b="0"/>
            <wp:docPr id="4" name="Graphique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87792" w:rsidRPr="00324D5B" w:rsidRDefault="00B87792" w:rsidP="00B87792">
      <w:pPr>
        <w:spacing w:before="240"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V.17</w:t>
      </w:r>
      <w:r w:rsidRPr="00324D5B">
        <w:rPr>
          <w:rFonts w:asciiTheme="majorBidi" w:hAnsiTheme="majorBidi" w:cstheme="majorBidi"/>
          <w:sz w:val="26"/>
          <w:szCs w:val="26"/>
        </w:rPr>
        <w:t> : Variation de la viscosité cinématique en fonction du temps.</w:t>
      </w:r>
    </w:p>
    <w:p w:rsidR="00B87792"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La figure </w:t>
      </w:r>
      <w:r>
        <w:rPr>
          <w:rFonts w:asciiTheme="majorBidi" w:hAnsiTheme="majorBidi" w:cstheme="majorBidi"/>
          <w:sz w:val="28"/>
          <w:szCs w:val="28"/>
        </w:rPr>
        <w:t>V.17</w:t>
      </w:r>
      <w:r w:rsidRPr="00324D5B">
        <w:rPr>
          <w:rFonts w:asciiTheme="majorBidi" w:hAnsiTheme="majorBidi" w:cstheme="majorBidi"/>
          <w:sz w:val="28"/>
          <w:szCs w:val="28"/>
        </w:rPr>
        <w:t xml:space="preserve"> qui représente la variation de la viscosité pendant 5 jours montre que la viscosité est vérifiée les conditions requises pour la production de bitume.</w:t>
      </w: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jc w:val="center"/>
        <w:rPr>
          <w:rFonts w:asciiTheme="majorBidi" w:hAnsiTheme="majorBidi" w:cstheme="majorBidi"/>
          <w:sz w:val="28"/>
          <w:szCs w:val="28"/>
        </w:rPr>
      </w:pPr>
      <w:r w:rsidRPr="00324D5B">
        <w:rPr>
          <w:noProof/>
          <w:lang w:eastAsia="fr-FR"/>
        </w:rPr>
        <w:drawing>
          <wp:inline distT="0" distB="0" distL="0" distR="0">
            <wp:extent cx="4572386" cy="2011680"/>
            <wp:effectExtent l="19050" t="0" r="18664" b="7620"/>
            <wp:docPr id="14" name="Graphique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87792" w:rsidRPr="00324D5B" w:rsidRDefault="00B87792" w:rsidP="000465FF">
      <w:pPr>
        <w:spacing w:before="240" w:after="0" w:line="360" w:lineRule="auto"/>
        <w:jc w:val="center"/>
        <w:rPr>
          <w:rFonts w:asciiTheme="majorBidi" w:hAnsiTheme="majorBidi" w:cstheme="majorBidi"/>
          <w:sz w:val="28"/>
          <w:szCs w:val="28"/>
        </w:rPr>
      </w:pPr>
      <w:r w:rsidRPr="00324D5B">
        <w:rPr>
          <w:rFonts w:asciiTheme="majorBidi" w:hAnsiTheme="majorBidi" w:cstheme="majorBidi"/>
          <w:sz w:val="26"/>
          <w:szCs w:val="26"/>
        </w:rPr>
        <w:t xml:space="preserve">Figure </w:t>
      </w:r>
      <w:r>
        <w:rPr>
          <w:rFonts w:asciiTheme="majorBidi" w:hAnsiTheme="majorBidi" w:cstheme="majorBidi"/>
          <w:sz w:val="26"/>
          <w:szCs w:val="26"/>
        </w:rPr>
        <w:t>V.18</w:t>
      </w:r>
      <w:r w:rsidRPr="00324D5B">
        <w:rPr>
          <w:rFonts w:asciiTheme="majorBidi" w:hAnsiTheme="majorBidi" w:cstheme="majorBidi"/>
          <w:sz w:val="26"/>
          <w:szCs w:val="26"/>
        </w:rPr>
        <w:t xml:space="preserve"> : </w:t>
      </w:r>
      <w:r w:rsidR="000465FF" w:rsidRPr="00324D5B">
        <w:rPr>
          <w:rFonts w:asciiTheme="majorBidi" w:hAnsiTheme="majorBidi" w:cstheme="majorBidi"/>
          <w:sz w:val="26"/>
          <w:szCs w:val="26"/>
        </w:rPr>
        <w:t>V</w:t>
      </w:r>
      <w:r w:rsidRPr="00324D5B">
        <w:rPr>
          <w:rFonts w:asciiTheme="majorBidi" w:hAnsiTheme="majorBidi" w:cstheme="majorBidi"/>
          <w:sz w:val="26"/>
          <w:szCs w:val="26"/>
        </w:rPr>
        <w:t>ariation de la densité en fonction du temps.</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La figure </w:t>
      </w:r>
      <w:r>
        <w:rPr>
          <w:rFonts w:asciiTheme="majorBidi" w:hAnsiTheme="majorBidi" w:cstheme="majorBidi"/>
          <w:sz w:val="28"/>
          <w:szCs w:val="28"/>
        </w:rPr>
        <w:t>V.18</w:t>
      </w:r>
      <w:r w:rsidRPr="00324D5B">
        <w:rPr>
          <w:rFonts w:asciiTheme="majorBidi" w:hAnsiTheme="majorBidi" w:cstheme="majorBidi"/>
          <w:sz w:val="28"/>
          <w:szCs w:val="28"/>
        </w:rPr>
        <w:t xml:space="preserve">  qui représente la variation de la densité pendant 5 jours montre que la majorité des valeurs sont en bon sens que les conditions normales pour un bitume commercialisé.</w:t>
      </w:r>
    </w:p>
    <w:p w:rsidR="00B87792" w:rsidRPr="00324D5B" w:rsidRDefault="00B87792" w:rsidP="00B87792">
      <w:pPr>
        <w:spacing w:before="240" w:after="0" w:line="360" w:lineRule="auto"/>
      </w:pPr>
      <w:r w:rsidRPr="00324D5B">
        <w:rPr>
          <w:noProof/>
          <w:lang w:eastAsia="fr-FR"/>
        </w:rPr>
        <w:drawing>
          <wp:anchor distT="0" distB="0" distL="114300" distR="114300" simplePos="0" relativeHeight="251675648" behindDoc="0" locked="0" layoutInCell="1" allowOverlap="1">
            <wp:simplePos x="0" y="0"/>
            <wp:positionH relativeFrom="column">
              <wp:posOffset>732790</wp:posOffset>
            </wp:positionH>
            <wp:positionV relativeFrom="paragraph">
              <wp:posOffset>210185</wp:posOffset>
            </wp:positionV>
            <wp:extent cx="4573905" cy="1947545"/>
            <wp:effectExtent l="19050" t="0" r="17145" b="0"/>
            <wp:wrapSquare wrapText="bothSides"/>
            <wp:docPr id="10" name="Graphique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rsidR="00B87792" w:rsidRPr="00324D5B" w:rsidRDefault="00B87792" w:rsidP="00B87792">
      <w:pPr>
        <w:spacing w:before="240" w:after="0" w:line="360" w:lineRule="auto"/>
      </w:pPr>
    </w:p>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jc w:val="center"/>
        <w:rPr>
          <w:rFonts w:asciiTheme="majorBidi" w:hAnsiTheme="majorBidi" w:cstheme="majorBidi"/>
          <w:sz w:val="26"/>
          <w:szCs w:val="26"/>
        </w:rPr>
      </w:pPr>
    </w:p>
    <w:p w:rsidR="00B87792" w:rsidRPr="00324D5B" w:rsidRDefault="00B87792" w:rsidP="000465FF">
      <w:pPr>
        <w:spacing w:before="240"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V19</w:t>
      </w:r>
      <w:r w:rsidRPr="00324D5B">
        <w:rPr>
          <w:rFonts w:asciiTheme="majorBidi" w:hAnsiTheme="majorBidi" w:cstheme="majorBidi"/>
          <w:sz w:val="26"/>
          <w:szCs w:val="26"/>
        </w:rPr>
        <w:t xml:space="preserve"> : </w:t>
      </w:r>
      <w:r w:rsidR="000465FF" w:rsidRPr="00324D5B">
        <w:rPr>
          <w:rFonts w:asciiTheme="majorBidi" w:hAnsiTheme="majorBidi" w:cstheme="majorBidi"/>
          <w:sz w:val="26"/>
          <w:szCs w:val="26"/>
        </w:rPr>
        <w:t>V</w:t>
      </w:r>
      <w:r w:rsidRPr="00324D5B">
        <w:rPr>
          <w:rFonts w:asciiTheme="majorBidi" w:hAnsiTheme="majorBidi" w:cstheme="majorBidi"/>
          <w:sz w:val="26"/>
          <w:szCs w:val="26"/>
        </w:rPr>
        <w:t>ariation de la ductilité en fonction du temps.</w:t>
      </w:r>
    </w:p>
    <w:p w:rsidR="00B87792"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La figure </w:t>
      </w:r>
      <w:r>
        <w:rPr>
          <w:rFonts w:asciiTheme="majorBidi" w:hAnsiTheme="majorBidi" w:cstheme="majorBidi"/>
          <w:sz w:val="28"/>
          <w:szCs w:val="28"/>
        </w:rPr>
        <w:t>V.19</w:t>
      </w:r>
      <w:r w:rsidRPr="00324D5B">
        <w:rPr>
          <w:rFonts w:asciiTheme="majorBidi" w:hAnsiTheme="majorBidi" w:cstheme="majorBidi"/>
          <w:sz w:val="28"/>
          <w:szCs w:val="28"/>
        </w:rPr>
        <w:t xml:space="preserve"> qui représente la variation de la ductilité pendant 5 jours montre que les valeurs répondent aux normes de production de bitume.</w:t>
      </w:r>
    </w:p>
    <w:p w:rsidR="00B87792" w:rsidRDefault="00B87792" w:rsidP="00B87792">
      <w:pPr>
        <w:spacing w:before="240" w:after="0" w:line="360" w:lineRule="auto"/>
        <w:rPr>
          <w:rFonts w:asciiTheme="majorBidi" w:hAnsiTheme="majorBidi" w:cstheme="majorBidi"/>
          <w:sz w:val="28"/>
          <w:szCs w:val="28"/>
        </w:rPr>
      </w:pPr>
      <w:r w:rsidRPr="009155C1">
        <w:rPr>
          <w:rFonts w:ascii="Monotype Corsiva" w:hAnsi="Monotype Corsiva" w:cstheme="majorBidi"/>
          <w:b/>
          <w:bCs/>
          <w:sz w:val="32"/>
          <w:szCs w:val="32"/>
        </w:rPr>
        <w:t>Remarque importante</w:t>
      </w:r>
      <w:r>
        <w:rPr>
          <w:rFonts w:asciiTheme="majorBidi" w:hAnsiTheme="majorBidi" w:cstheme="majorBidi"/>
          <w:sz w:val="28"/>
          <w:szCs w:val="28"/>
        </w:rPr>
        <w:t xml:space="preserve"> :                                                                                                                                                                                                                   Dans le 4</w:t>
      </w:r>
      <w:r w:rsidRPr="003052AB">
        <w:rPr>
          <w:rFonts w:asciiTheme="majorBidi" w:hAnsiTheme="majorBidi" w:cstheme="majorBidi"/>
          <w:sz w:val="28"/>
          <w:szCs w:val="28"/>
          <w:vertAlign w:val="superscript"/>
        </w:rPr>
        <w:t>e</w:t>
      </w:r>
      <w:r>
        <w:rPr>
          <w:rFonts w:asciiTheme="majorBidi" w:hAnsiTheme="majorBidi" w:cstheme="majorBidi"/>
          <w:sz w:val="28"/>
          <w:szCs w:val="28"/>
        </w:rPr>
        <w:t xml:space="preserve"> jour, la valeur de pénétrabilité est élevée, le point de ramollissement et le point de flash sont bas, alors la température ou le vide appliqué n’est pas suffisant, il faut augmenter soit la température soit le vide</w:t>
      </w:r>
      <w:r w:rsidR="006F35D1">
        <w:rPr>
          <w:rFonts w:asciiTheme="majorBidi" w:hAnsiTheme="majorBidi" w:cstheme="majorBidi"/>
          <w:sz w:val="28"/>
          <w:szCs w:val="28"/>
        </w:rPr>
        <w:t xml:space="preserve"> [2]</w:t>
      </w:r>
      <w:r>
        <w:rPr>
          <w:rFonts w:asciiTheme="majorBidi" w:hAnsiTheme="majorBidi" w:cstheme="majorBidi"/>
          <w:sz w:val="28"/>
          <w:szCs w:val="28"/>
        </w:rPr>
        <w:t>.</w:t>
      </w:r>
    </w:p>
    <w:p w:rsidR="00B87792" w:rsidRDefault="00B87792" w:rsidP="00B87792">
      <w:pPr>
        <w:spacing w:before="240" w:after="0" w:line="360" w:lineRule="auto"/>
        <w:rPr>
          <w:rFonts w:asciiTheme="majorBidi" w:hAnsiTheme="majorBidi" w:cstheme="majorBidi"/>
          <w:sz w:val="28"/>
          <w:szCs w:val="28"/>
        </w:rPr>
      </w:pPr>
      <w:r>
        <w:rPr>
          <w:rFonts w:asciiTheme="majorBidi" w:hAnsiTheme="majorBidi" w:cstheme="majorBidi"/>
          <w:sz w:val="28"/>
          <w:szCs w:val="28"/>
        </w:rPr>
        <w:lastRenderedPageBreak/>
        <w:t xml:space="preserve">Pour la diminution de la valeur de la densité et la viscosité, et l’augmentation de la valeur de ductilité, il faut augmenter le débit de VGO (Gasoil) [Annexe A]. </w:t>
      </w:r>
    </w:p>
    <w:p w:rsidR="00B87792" w:rsidRPr="00324D5B" w:rsidRDefault="00B87792" w:rsidP="00B87792">
      <w:pPr>
        <w:spacing w:before="240" w:after="0" w:line="360" w:lineRule="auto"/>
        <w:rPr>
          <w:rFonts w:ascii="Rockwell Condensed" w:hAnsi="Rockwell Condensed" w:cstheme="majorBidi"/>
          <w:sz w:val="28"/>
          <w:szCs w:val="28"/>
        </w:rPr>
      </w:pPr>
      <w:r w:rsidRPr="00324D5B">
        <w:rPr>
          <w:rFonts w:ascii="Rockwell Condensed" w:hAnsi="Rockwell Condensed" w:cstheme="majorBidi"/>
          <w:sz w:val="28"/>
          <w:szCs w:val="28"/>
        </w:rPr>
        <w:t>II. L’oxydation du mélange et les corrections effectuées pour ajuster la production :</w:t>
      </w:r>
    </w:p>
    <w:p w:rsidR="00B87792" w:rsidRPr="00324D5B" w:rsidRDefault="00B87792" w:rsidP="00B87792">
      <w:pPr>
        <w:spacing w:before="240" w:after="0" w:line="360" w:lineRule="auto"/>
        <w:rPr>
          <w:rFonts w:ascii="Footlight MT Light" w:hAnsi="Footlight MT Light" w:cstheme="majorBidi"/>
          <w:b/>
          <w:bCs/>
          <w:sz w:val="30"/>
          <w:szCs w:val="30"/>
        </w:rPr>
      </w:pPr>
      <w:r w:rsidRPr="00324D5B">
        <w:rPr>
          <w:rFonts w:ascii="Footlight MT Light" w:hAnsi="Footlight MT Light" w:cstheme="majorBidi"/>
          <w:b/>
          <w:bCs/>
          <w:sz w:val="30"/>
          <w:szCs w:val="30"/>
        </w:rPr>
        <w:t>II.1 Avant l’ajustement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Selon les résultats,  nous avons trouvé que dans la plupart du temps le mélange répond aux exigences de production, signifiait qu’on peut injecter l’asphalte zone 7 au niveau de la zone 10 avec le RSV, ce mélange préalablement étudié sera traité dans la colonne d’oxydation pour obtenir un bitume routier prêt à être commercialisé.</w:t>
      </w:r>
    </w:p>
    <w:p w:rsidR="00B87792" w:rsidRPr="00324D5B" w:rsidRDefault="00B87792" w:rsidP="00B87792">
      <w:pPr>
        <w:spacing w:before="240" w:after="0" w:line="360" w:lineRule="auto"/>
        <w:ind w:left="360"/>
        <w:rPr>
          <w:rFonts w:ascii="Monotype Corsiva" w:hAnsi="Monotype Corsiva" w:cstheme="majorBidi"/>
          <w:b/>
          <w:bCs/>
          <w:sz w:val="32"/>
          <w:szCs w:val="32"/>
        </w:rPr>
      </w:pPr>
      <w:r w:rsidRPr="00324D5B">
        <w:rPr>
          <w:rFonts w:ascii="Monotype Corsiva" w:hAnsi="Monotype Corsiva" w:cstheme="majorBidi"/>
          <w:b/>
          <w:bCs/>
          <w:sz w:val="32"/>
          <w:szCs w:val="32"/>
        </w:rPr>
        <w:t>II.1. a  Les résultats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Le tableau suivant représente les résultats des analyses effectuées sur le mélange oxydé :</w:t>
      </w:r>
    </w:p>
    <w:p w:rsidR="00B87792" w:rsidRPr="00324D5B" w:rsidRDefault="00B87792" w:rsidP="00B87792">
      <w:pPr>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t xml:space="preserve">Tableau </w:t>
      </w:r>
      <w:r>
        <w:rPr>
          <w:rFonts w:asciiTheme="majorBidi" w:hAnsiTheme="majorBidi" w:cstheme="majorBidi"/>
          <w:sz w:val="26"/>
          <w:szCs w:val="26"/>
        </w:rPr>
        <w:t>V.7</w:t>
      </w:r>
      <w:r w:rsidRPr="00324D5B">
        <w:rPr>
          <w:rFonts w:asciiTheme="majorBidi" w:hAnsiTheme="majorBidi" w:cstheme="majorBidi"/>
          <w:sz w:val="26"/>
          <w:szCs w:val="26"/>
        </w:rPr>
        <w:t> : Résultats des tests effectués sur le mélange oxydé.</w:t>
      </w:r>
    </w:p>
    <w:tbl>
      <w:tblPr>
        <w:tblStyle w:val="Grilledutableau"/>
        <w:tblW w:w="9747" w:type="dxa"/>
        <w:tblLayout w:type="fixed"/>
        <w:tblLook w:val="04A0"/>
      </w:tblPr>
      <w:tblGrid>
        <w:gridCol w:w="1101"/>
        <w:gridCol w:w="1134"/>
        <w:gridCol w:w="1134"/>
        <w:gridCol w:w="1134"/>
        <w:gridCol w:w="5244"/>
      </w:tblGrid>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jour</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P</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R</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P</w:t>
            </w:r>
            <w:r w:rsidR="00E23228">
              <w:rPr>
                <w:rFonts w:asciiTheme="majorBidi" w:hAnsiTheme="majorBidi" w:cstheme="majorBidi"/>
                <w:b/>
                <w:bCs/>
                <w:sz w:val="28"/>
                <w:szCs w:val="28"/>
              </w:rPr>
              <w:t>.</w:t>
            </w:r>
            <w:r w:rsidRPr="00324D5B">
              <w:rPr>
                <w:rFonts w:asciiTheme="majorBidi" w:hAnsiTheme="majorBidi" w:cstheme="majorBidi"/>
                <w:b/>
                <w:bCs/>
                <w:sz w:val="28"/>
                <w:szCs w:val="28"/>
              </w:rPr>
              <w:t xml:space="preserve"> </w:t>
            </w:r>
            <w:r w:rsidR="00E23228" w:rsidRPr="00324D5B">
              <w:rPr>
                <w:rFonts w:asciiTheme="majorBidi" w:hAnsiTheme="majorBidi" w:cstheme="majorBidi"/>
                <w:b/>
                <w:bCs/>
                <w:sz w:val="28"/>
                <w:szCs w:val="28"/>
              </w:rPr>
              <w:t>F</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b/>
                <w:bCs/>
                <w:sz w:val="28"/>
                <w:szCs w:val="28"/>
              </w:rPr>
            </w:pPr>
            <w:r w:rsidRPr="00324D5B">
              <w:rPr>
                <w:rFonts w:asciiTheme="majorBidi" w:hAnsiTheme="majorBidi" w:cstheme="majorBidi"/>
                <w:b/>
                <w:bCs/>
                <w:sz w:val="28"/>
                <w:szCs w:val="28"/>
              </w:rPr>
              <w:t>Remarques</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39</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66</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298</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 xml:space="preserve">A ajuster </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42</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60</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283</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Bon</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45</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53</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275</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Bon</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59</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279</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Bon</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52</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273</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Bon -échantillon pour la 2</w:t>
            </w:r>
            <w:r w:rsidRPr="00324D5B">
              <w:rPr>
                <w:rFonts w:asciiTheme="majorBidi" w:hAnsiTheme="majorBidi" w:cstheme="majorBidi"/>
                <w:sz w:val="28"/>
                <w:szCs w:val="28"/>
                <w:vertAlign w:val="superscript"/>
              </w:rPr>
              <w:t xml:space="preserve">ème </w:t>
            </w:r>
            <w:r w:rsidRPr="00324D5B">
              <w:rPr>
                <w:rFonts w:asciiTheme="majorBidi" w:hAnsiTheme="majorBidi" w:cstheme="majorBidi"/>
                <w:sz w:val="28"/>
                <w:szCs w:val="28"/>
              </w:rPr>
              <w:t>partie-</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68</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301</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 ajuster</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7</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52</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264</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 ajuster</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57</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272</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Bon</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54</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38</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263</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 ajuster</w:t>
            </w:r>
          </w:p>
        </w:tc>
      </w:tr>
      <w:tr w:rsidR="00B87792" w:rsidRPr="00324D5B" w:rsidTr="00453770">
        <w:tc>
          <w:tcPr>
            <w:tcW w:w="1101"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51</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113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266</w:t>
            </w:r>
          </w:p>
        </w:tc>
        <w:tc>
          <w:tcPr>
            <w:tcW w:w="524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 ajuster</w:t>
            </w:r>
          </w:p>
        </w:tc>
      </w:tr>
    </w:tbl>
    <w:p w:rsidR="00B87792" w:rsidRPr="00324D5B" w:rsidRDefault="00B87792" w:rsidP="00B87792">
      <w:pPr>
        <w:spacing w:before="240" w:after="0" w:line="360" w:lineRule="auto"/>
        <w:rPr>
          <w:rFonts w:asciiTheme="majorBidi" w:hAnsiTheme="majorBidi" w:cstheme="majorBidi"/>
          <w:sz w:val="28"/>
          <w:szCs w:val="28"/>
        </w:rPr>
      </w:pPr>
    </w:p>
    <w:p w:rsidR="00B87792" w:rsidRPr="00324D5B" w:rsidRDefault="00B87792" w:rsidP="00B87792">
      <w:pPr>
        <w:spacing w:before="240" w:after="0" w:line="360" w:lineRule="auto"/>
        <w:ind w:left="426"/>
        <w:rPr>
          <w:rFonts w:ascii="Monotype Corsiva" w:hAnsi="Monotype Corsiva" w:cstheme="majorBidi"/>
          <w:b/>
          <w:bCs/>
          <w:sz w:val="32"/>
          <w:szCs w:val="32"/>
        </w:rPr>
      </w:pPr>
      <w:r w:rsidRPr="00324D5B">
        <w:rPr>
          <w:rFonts w:ascii="Monotype Corsiva" w:hAnsi="Monotype Corsiva" w:cstheme="majorBidi"/>
          <w:b/>
          <w:bCs/>
          <w:sz w:val="32"/>
          <w:szCs w:val="32"/>
        </w:rPr>
        <w:lastRenderedPageBreak/>
        <w:t>II.1. b  Représentation graphique et l’interprétation des résultats</w:t>
      </w:r>
    </w:p>
    <w:p w:rsidR="00B87792" w:rsidRPr="00324D5B" w:rsidRDefault="00B87792" w:rsidP="00B87792">
      <w:pPr>
        <w:spacing w:before="240" w:after="0" w:line="360" w:lineRule="auto"/>
        <w:jc w:val="center"/>
        <w:rPr>
          <w:rFonts w:asciiTheme="majorBidi" w:hAnsiTheme="majorBidi" w:cstheme="majorBidi"/>
          <w:sz w:val="28"/>
          <w:szCs w:val="28"/>
        </w:rPr>
      </w:pPr>
      <w:r w:rsidRPr="00324D5B">
        <w:rPr>
          <w:rFonts w:asciiTheme="majorBidi" w:hAnsiTheme="majorBidi" w:cstheme="majorBidi"/>
          <w:noProof/>
          <w:sz w:val="28"/>
          <w:szCs w:val="28"/>
          <w:lang w:eastAsia="fr-FR"/>
        </w:rPr>
        <w:drawing>
          <wp:inline distT="0" distB="0" distL="0" distR="0">
            <wp:extent cx="5631252" cy="2743200"/>
            <wp:effectExtent l="19050" t="0" r="26598" b="0"/>
            <wp:docPr id="5" name="Graphique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V.20</w:t>
      </w:r>
      <w:r w:rsidRPr="00324D5B">
        <w:rPr>
          <w:rFonts w:asciiTheme="majorBidi" w:hAnsiTheme="majorBidi" w:cstheme="majorBidi"/>
          <w:sz w:val="26"/>
          <w:szCs w:val="26"/>
        </w:rPr>
        <w:t xml:space="preserve"> : variation des valeurs de </w:t>
      </w:r>
      <w:r w:rsidR="000465FF">
        <w:rPr>
          <w:rFonts w:asciiTheme="majorBidi" w:hAnsiTheme="majorBidi" w:cstheme="majorBidi"/>
          <w:sz w:val="26"/>
          <w:szCs w:val="26"/>
        </w:rPr>
        <w:t xml:space="preserve">la </w:t>
      </w:r>
      <w:r w:rsidRPr="00324D5B">
        <w:rPr>
          <w:rFonts w:asciiTheme="majorBidi" w:hAnsiTheme="majorBidi" w:cstheme="majorBidi"/>
          <w:sz w:val="26"/>
          <w:szCs w:val="26"/>
        </w:rPr>
        <w:t>pénétrabilité et</w:t>
      </w:r>
      <w:r w:rsidR="000465FF">
        <w:rPr>
          <w:rFonts w:asciiTheme="majorBidi" w:hAnsiTheme="majorBidi" w:cstheme="majorBidi"/>
          <w:sz w:val="26"/>
          <w:szCs w:val="26"/>
        </w:rPr>
        <w:t xml:space="preserve"> le point de </w:t>
      </w:r>
      <w:r w:rsidRPr="00324D5B">
        <w:rPr>
          <w:rFonts w:asciiTheme="majorBidi" w:hAnsiTheme="majorBidi" w:cstheme="majorBidi"/>
          <w:sz w:val="26"/>
          <w:szCs w:val="26"/>
        </w:rPr>
        <w:t xml:space="preserve"> ramollissement pendant 10 jours.</w:t>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La figure </w:t>
      </w:r>
      <w:r>
        <w:rPr>
          <w:rFonts w:asciiTheme="majorBidi" w:hAnsiTheme="majorBidi" w:cstheme="majorBidi"/>
          <w:sz w:val="26"/>
          <w:szCs w:val="26"/>
        </w:rPr>
        <w:t>V.20</w:t>
      </w:r>
      <w:r w:rsidRPr="00324D5B">
        <w:rPr>
          <w:rFonts w:asciiTheme="majorBidi" w:hAnsiTheme="majorBidi" w:cstheme="majorBidi"/>
          <w:sz w:val="26"/>
          <w:szCs w:val="26"/>
        </w:rPr>
        <w:t xml:space="preserve"> d’après la représentation graphique de la variation des valeurs de pénétrabilité et ramollissement en fonction de temps, on remarque que le produit n’est pas toujours conforme au normes de bitume routier qu’il y a une pénétrabilité comprise entre 40 et 50(1/10 mm), et un ramollissement entre 47 et 61°C.</w:t>
      </w:r>
    </w:p>
    <w:p w:rsidR="00B87792" w:rsidRPr="00324D5B" w:rsidRDefault="00B87792" w:rsidP="00B87792">
      <w:pPr>
        <w:spacing w:before="240" w:after="0" w:line="360" w:lineRule="auto"/>
        <w:rPr>
          <w:rFonts w:asciiTheme="majorBidi" w:hAnsiTheme="majorBidi" w:cstheme="majorBidi"/>
          <w:sz w:val="26"/>
          <w:szCs w:val="26"/>
        </w:rPr>
      </w:pPr>
    </w:p>
    <w:p w:rsidR="00B87792" w:rsidRPr="00324D5B" w:rsidRDefault="00B87792" w:rsidP="00B87792">
      <w:pPr>
        <w:spacing w:before="240" w:after="0" w:line="360" w:lineRule="auto"/>
        <w:rPr>
          <w:rFonts w:asciiTheme="majorBidi" w:hAnsiTheme="majorBidi" w:cstheme="majorBidi"/>
          <w:sz w:val="26"/>
          <w:szCs w:val="26"/>
        </w:rPr>
      </w:pPr>
    </w:p>
    <w:p w:rsidR="00B87792" w:rsidRPr="00324D5B" w:rsidRDefault="00B87792" w:rsidP="00B87792">
      <w:pPr>
        <w:spacing w:before="240" w:after="0" w:line="360" w:lineRule="auto"/>
        <w:rPr>
          <w:rFonts w:asciiTheme="majorBidi" w:hAnsiTheme="majorBidi" w:cstheme="majorBidi"/>
          <w:sz w:val="26"/>
          <w:szCs w:val="26"/>
        </w:rPr>
      </w:pPr>
    </w:p>
    <w:p w:rsidR="00B87792" w:rsidRPr="00324D5B" w:rsidRDefault="00B87792" w:rsidP="00B87792">
      <w:pPr>
        <w:spacing w:before="240" w:after="0" w:line="360" w:lineRule="auto"/>
        <w:rPr>
          <w:rFonts w:asciiTheme="majorBidi" w:hAnsiTheme="majorBidi" w:cstheme="majorBidi"/>
          <w:sz w:val="26"/>
          <w:szCs w:val="26"/>
        </w:rPr>
      </w:pPr>
    </w:p>
    <w:p w:rsidR="00B87792" w:rsidRDefault="00B87792" w:rsidP="00B87792">
      <w:pPr>
        <w:spacing w:before="240" w:after="0" w:line="360" w:lineRule="auto"/>
        <w:rPr>
          <w:rFonts w:asciiTheme="majorBidi" w:hAnsiTheme="majorBidi" w:cstheme="majorBidi"/>
          <w:sz w:val="26"/>
          <w:szCs w:val="26"/>
        </w:rPr>
      </w:pPr>
    </w:p>
    <w:p w:rsidR="000465FF" w:rsidRPr="00324D5B" w:rsidRDefault="000465FF" w:rsidP="00B87792">
      <w:pPr>
        <w:spacing w:before="240" w:after="0" w:line="360" w:lineRule="auto"/>
        <w:rPr>
          <w:rFonts w:asciiTheme="majorBidi" w:hAnsiTheme="majorBidi" w:cstheme="majorBidi"/>
          <w:sz w:val="26"/>
          <w:szCs w:val="26"/>
        </w:rPr>
      </w:pPr>
    </w:p>
    <w:p w:rsidR="00B87792" w:rsidRPr="00324D5B" w:rsidRDefault="00B87792" w:rsidP="00B87792">
      <w:pPr>
        <w:spacing w:before="240" w:after="0" w:line="360" w:lineRule="auto"/>
        <w:rPr>
          <w:rFonts w:asciiTheme="majorBidi" w:hAnsiTheme="majorBidi" w:cstheme="majorBidi"/>
          <w:sz w:val="26"/>
          <w:szCs w:val="26"/>
        </w:rPr>
      </w:pPr>
    </w:p>
    <w:p w:rsidR="00B87792" w:rsidRPr="00324D5B" w:rsidRDefault="00B87792" w:rsidP="00B87792">
      <w:pPr>
        <w:spacing w:before="240" w:after="0" w:line="360" w:lineRule="auto"/>
        <w:rPr>
          <w:rFonts w:asciiTheme="majorBidi" w:hAnsiTheme="majorBidi" w:cstheme="majorBidi"/>
          <w:sz w:val="26"/>
          <w:szCs w:val="26"/>
        </w:rPr>
      </w:pPr>
    </w:p>
    <w:p w:rsidR="00B87792" w:rsidRPr="00324D5B" w:rsidRDefault="00B87792" w:rsidP="00B87792">
      <w:pPr>
        <w:spacing w:before="240" w:after="0" w:line="360" w:lineRule="auto"/>
        <w:ind w:left="1134" w:hanging="774"/>
        <w:rPr>
          <w:rFonts w:ascii="Footlight MT Light" w:hAnsi="Footlight MT Light" w:cstheme="majorBidi"/>
          <w:b/>
          <w:bCs/>
          <w:sz w:val="30"/>
          <w:szCs w:val="30"/>
        </w:rPr>
      </w:pPr>
      <w:r w:rsidRPr="00324D5B">
        <w:rPr>
          <w:rFonts w:ascii="Footlight MT Light" w:hAnsi="Footlight MT Light" w:cstheme="majorBidi"/>
          <w:b/>
          <w:bCs/>
          <w:sz w:val="30"/>
          <w:szCs w:val="30"/>
        </w:rPr>
        <w:lastRenderedPageBreak/>
        <w:t>II. 2   Après l’ajustement :</w:t>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Les points qui ne sont pas conformes aux normes sont des produits hors normes et doivent subir un ajustement par des modifications au niveau des paramètres physiques tels que : la température ou la pression de fonctionnement de la colonne sous vide  et le débit d’air de la colonne d’oxydation.</w:t>
      </w:r>
    </w:p>
    <w:p w:rsidR="00B87792" w:rsidRPr="00324D5B" w:rsidRDefault="00B87792" w:rsidP="00B87792">
      <w:pPr>
        <w:pStyle w:val="Paragraphedeliste"/>
        <w:spacing w:before="240" w:after="0" w:line="360" w:lineRule="auto"/>
        <w:ind w:left="426"/>
        <w:rPr>
          <w:rFonts w:ascii="Monotype Corsiva" w:hAnsi="Monotype Corsiva" w:cstheme="majorBidi"/>
          <w:b/>
          <w:bCs/>
          <w:sz w:val="32"/>
          <w:szCs w:val="32"/>
        </w:rPr>
      </w:pPr>
      <w:r w:rsidRPr="00324D5B">
        <w:rPr>
          <w:rFonts w:ascii="Monotype Corsiva" w:hAnsi="Monotype Corsiva" w:cstheme="majorBidi"/>
          <w:b/>
          <w:bCs/>
          <w:sz w:val="32"/>
          <w:szCs w:val="32"/>
        </w:rPr>
        <w:t>II.2. a  Les résultats :</w:t>
      </w:r>
    </w:p>
    <w:p w:rsidR="00B87792" w:rsidRPr="00324D5B"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Les analyses effectuées sur le mélange dans le même jour après la modification sont représentés dans le tableau ci-dessous : </w:t>
      </w:r>
    </w:p>
    <w:p w:rsidR="00B87792" w:rsidRPr="00324D5B" w:rsidRDefault="00B87792" w:rsidP="00B87792">
      <w:pPr>
        <w:spacing w:after="0" w:line="360" w:lineRule="auto"/>
        <w:jc w:val="center"/>
        <w:rPr>
          <w:rFonts w:asciiTheme="majorBidi" w:hAnsiTheme="majorBidi" w:cstheme="majorBidi"/>
          <w:sz w:val="26"/>
          <w:szCs w:val="26"/>
        </w:rPr>
      </w:pPr>
      <w:r w:rsidRPr="00324D5B">
        <w:rPr>
          <w:rFonts w:asciiTheme="majorBidi" w:hAnsiTheme="majorBidi" w:cstheme="majorBidi"/>
          <w:sz w:val="26"/>
          <w:szCs w:val="26"/>
        </w:rPr>
        <w:t>Tableau </w:t>
      </w:r>
      <w:r>
        <w:rPr>
          <w:rFonts w:asciiTheme="majorBidi" w:hAnsiTheme="majorBidi" w:cstheme="majorBidi"/>
          <w:sz w:val="26"/>
          <w:szCs w:val="26"/>
        </w:rPr>
        <w:t>V.8</w:t>
      </w:r>
      <w:r w:rsidRPr="00324D5B">
        <w:rPr>
          <w:rFonts w:asciiTheme="majorBidi" w:hAnsiTheme="majorBidi" w:cstheme="majorBidi"/>
          <w:sz w:val="26"/>
          <w:szCs w:val="26"/>
        </w:rPr>
        <w:t xml:space="preserve"> : </w:t>
      </w:r>
      <w:r w:rsidR="000465FF" w:rsidRPr="00324D5B">
        <w:rPr>
          <w:rFonts w:asciiTheme="majorBidi" w:hAnsiTheme="majorBidi" w:cstheme="majorBidi"/>
          <w:sz w:val="26"/>
          <w:szCs w:val="26"/>
        </w:rPr>
        <w:t>R</w:t>
      </w:r>
      <w:r w:rsidRPr="00324D5B">
        <w:rPr>
          <w:rFonts w:asciiTheme="majorBidi" w:hAnsiTheme="majorBidi" w:cstheme="majorBidi"/>
          <w:sz w:val="26"/>
          <w:szCs w:val="26"/>
        </w:rPr>
        <w:t>ésultats des tests effectués sur le mélange oxydé après les modifications physiques apportées.</w:t>
      </w:r>
    </w:p>
    <w:tbl>
      <w:tblPr>
        <w:tblStyle w:val="Grilledutableau"/>
        <w:tblW w:w="9747" w:type="dxa"/>
        <w:tblLook w:val="04A0"/>
      </w:tblPr>
      <w:tblGrid>
        <w:gridCol w:w="902"/>
        <w:gridCol w:w="764"/>
        <w:gridCol w:w="994"/>
        <w:gridCol w:w="992"/>
        <w:gridCol w:w="6095"/>
      </w:tblGrid>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jour</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P</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R</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P</w:t>
            </w:r>
            <w:r w:rsidR="00E23228">
              <w:rPr>
                <w:rFonts w:asciiTheme="majorBidi" w:hAnsiTheme="majorBidi" w:cstheme="majorBidi"/>
                <w:sz w:val="28"/>
                <w:szCs w:val="28"/>
              </w:rPr>
              <w:t>.</w:t>
            </w:r>
            <w:r w:rsidR="00E23228" w:rsidRPr="00324D5B">
              <w:rPr>
                <w:rFonts w:asciiTheme="majorBidi" w:hAnsiTheme="majorBidi" w:cstheme="majorBidi"/>
                <w:sz w:val="28"/>
                <w:szCs w:val="28"/>
              </w:rPr>
              <w:t>F</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Les modifications apportées</w:t>
            </w:r>
            <w:r w:rsidR="008B77BA">
              <w:rPr>
                <w:rFonts w:asciiTheme="majorBidi" w:hAnsiTheme="majorBidi" w:cstheme="majorBidi"/>
                <w:sz w:val="28"/>
                <w:szCs w:val="28"/>
              </w:rPr>
              <w:t xml:space="preserve"> [2]</w:t>
            </w:r>
            <w:r w:rsidRPr="00324D5B">
              <w:rPr>
                <w:rFonts w:asciiTheme="majorBidi" w:hAnsiTheme="majorBidi" w:cstheme="majorBidi"/>
                <w:sz w:val="28"/>
                <w:szCs w:val="28"/>
              </w:rPr>
              <w:t xml:space="preserve"> </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49</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281</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 xml:space="preserve">Diminution du débit d’air au niveau de la colonne 14C2 </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42</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60</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283</w:t>
            </w:r>
          </w:p>
        </w:tc>
        <w:tc>
          <w:tcPr>
            <w:tcW w:w="6095" w:type="dxa"/>
          </w:tcPr>
          <w:p w:rsidR="00B87792" w:rsidRPr="00324D5B" w:rsidRDefault="00B87792" w:rsidP="00453770">
            <w:pPr>
              <w:tabs>
                <w:tab w:val="left" w:pos="1052"/>
                <w:tab w:val="left" w:pos="1089"/>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3</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45</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53</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275</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43</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59</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279</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52</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273</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42</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60</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284</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Diminution du vide au niveau de la colonne 14C1</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7</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49</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51</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269</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Augmentation du débit d’air  au niveau de la colonne 14C2</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8</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46</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47</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272</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9</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50</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41</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267</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Augmentation du débit d’air  au niveau de la colonne 14C2</w:t>
            </w:r>
          </w:p>
        </w:tc>
      </w:tr>
      <w:tr w:rsidR="00B87792" w:rsidRPr="00324D5B" w:rsidTr="00453770">
        <w:tc>
          <w:tcPr>
            <w:tcW w:w="90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10</w:t>
            </w:r>
          </w:p>
        </w:tc>
        <w:tc>
          <w:tcPr>
            <w:tcW w:w="76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48</w:t>
            </w:r>
          </w:p>
        </w:tc>
        <w:tc>
          <w:tcPr>
            <w:tcW w:w="994"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57</w:t>
            </w:r>
          </w:p>
        </w:tc>
        <w:tc>
          <w:tcPr>
            <w:tcW w:w="992"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271</w:t>
            </w:r>
          </w:p>
        </w:tc>
        <w:tc>
          <w:tcPr>
            <w:tcW w:w="6095" w:type="dxa"/>
          </w:tcPr>
          <w:p w:rsidR="00B87792" w:rsidRPr="00324D5B" w:rsidRDefault="00B87792" w:rsidP="00453770">
            <w:pPr>
              <w:tabs>
                <w:tab w:val="left" w:pos="1052"/>
              </w:tabs>
              <w:spacing w:line="360" w:lineRule="auto"/>
              <w:jc w:val="center"/>
              <w:rPr>
                <w:rFonts w:asciiTheme="majorBidi" w:hAnsiTheme="majorBidi" w:cstheme="majorBidi"/>
                <w:sz w:val="28"/>
                <w:szCs w:val="28"/>
              </w:rPr>
            </w:pPr>
            <w:r w:rsidRPr="00324D5B">
              <w:rPr>
                <w:rFonts w:asciiTheme="majorBidi" w:hAnsiTheme="majorBidi" w:cstheme="majorBidi"/>
                <w:sz w:val="28"/>
                <w:szCs w:val="28"/>
              </w:rPr>
              <w:t>Augmentation du débit d’air au niveau de la colonne 14C2</w:t>
            </w:r>
          </w:p>
        </w:tc>
      </w:tr>
    </w:tbl>
    <w:p w:rsidR="00B87792" w:rsidRPr="00324D5B" w:rsidRDefault="00B87792" w:rsidP="00B87792">
      <w:pPr>
        <w:spacing w:after="0" w:line="360" w:lineRule="auto"/>
        <w:rPr>
          <w:rFonts w:asciiTheme="majorBidi" w:hAnsiTheme="majorBidi" w:cstheme="majorBidi"/>
          <w:sz w:val="26"/>
          <w:szCs w:val="26"/>
        </w:rPr>
      </w:pPr>
    </w:p>
    <w:p w:rsidR="00B87792" w:rsidRPr="00324D5B" w:rsidRDefault="00B87792" w:rsidP="0026794A">
      <w:pPr>
        <w:spacing w:before="240" w:after="0" w:line="360" w:lineRule="auto"/>
        <w:rPr>
          <w:rFonts w:asciiTheme="majorBidi" w:hAnsiTheme="majorBidi" w:cstheme="majorBidi"/>
          <w:sz w:val="28"/>
          <w:szCs w:val="28"/>
        </w:rPr>
      </w:pPr>
      <w:r w:rsidRPr="00324D5B">
        <w:rPr>
          <w:rFonts w:asciiTheme="majorBidi" w:hAnsiTheme="majorBidi" w:cstheme="majorBidi"/>
          <w:b/>
          <w:bCs/>
          <w:sz w:val="28"/>
          <w:szCs w:val="28"/>
        </w:rPr>
        <w:lastRenderedPageBreak/>
        <w:t>Remarque </w:t>
      </w:r>
      <w:r w:rsidRPr="00324D5B">
        <w:rPr>
          <w:rFonts w:asciiTheme="majorBidi" w:hAnsiTheme="majorBidi" w:cstheme="majorBidi"/>
          <w:sz w:val="28"/>
          <w:szCs w:val="28"/>
        </w:rPr>
        <w:t>: il est préférable de faire l’ajustement au niveau de 14 C 2 parce que </w:t>
      </w:r>
      <w:r w:rsidR="008B77BA">
        <w:rPr>
          <w:rFonts w:asciiTheme="majorBidi" w:hAnsiTheme="majorBidi" w:cstheme="majorBidi"/>
          <w:sz w:val="28"/>
          <w:szCs w:val="28"/>
        </w:rPr>
        <w:t>[</w:t>
      </w:r>
      <w:r w:rsidR="0026794A">
        <w:rPr>
          <w:rFonts w:asciiTheme="majorBidi" w:hAnsiTheme="majorBidi" w:cstheme="majorBidi"/>
          <w:sz w:val="28"/>
          <w:szCs w:val="28"/>
        </w:rPr>
        <w:t>2</w:t>
      </w:r>
      <w:r w:rsidR="008B77BA">
        <w:rPr>
          <w:rFonts w:asciiTheme="majorBidi" w:hAnsiTheme="majorBidi" w:cstheme="majorBidi"/>
          <w:sz w:val="28"/>
          <w:szCs w:val="28"/>
        </w:rPr>
        <w:t>]</w:t>
      </w:r>
      <w:r w:rsidRPr="00324D5B">
        <w:rPr>
          <w:rFonts w:asciiTheme="majorBidi" w:hAnsiTheme="majorBidi" w:cstheme="majorBidi"/>
          <w:sz w:val="28"/>
          <w:szCs w:val="28"/>
        </w:rPr>
        <w:t>:</w:t>
      </w:r>
    </w:p>
    <w:p w:rsidR="00B87792" w:rsidRPr="00324D5B" w:rsidRDefault="00B87792" w:rsidP="00B87792">
      <w:pPr>
        <w:pStyle w:val="Paragraphedeliste"/>
        <w:numPr>
          <w:ilvl w:val="0"/>
          <w:numId w:val="3"/>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Moins de risque.</w:t>
      </w:r>
    </w:p>
    <w:p w:rsidR="00B87792" w:rsidRPr="00324D5B" w:rsidRDefault="00B87792" w:rsidP="00B87792">
      <w:pPr>
        <w:pStyle w:val="Paragraphedeliste"/>
        <w:numPr>
          <w:ilvl w:val="0"/>
          <w:numId w:val="3"/>
        </w:num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Facile à manipuler.</w:t>
      </w:r>
    </w:p>
    <w:p w:rsidR="00B87792" w:rsidRPr="00324D5B" w:rsidRDefault="00B87792" w:rsidP="00B87792">
      <w:pPr>
        <w:spacing w:before="240" w:after="0" w:line="360" w:lineRule="auto"/>
        <w:rPr>
          <w:rFonts w:ascii="Monotype Corsiva" w:hAnsi="Monotype Corsiva" w:cstheme="majorBidi"/>
          <w:b/>
          <w:bCs/>
          <w:sz w:val="32"/>
          <w:szCs w:val="32"/>
        </w:rPr>
      </w:pPr>
      <w:r w:rsidRPr="00324D5B">
        <w:rPr>
          <w:rFonts w:ascii="Monotype Corsiva" w:hAnsi="Monotype Corsiva" w:cstheme="majorBidi"/>
          <w:b/>
          <w:bCs/>
          <w:sz w:val="32"/>
          <w:szCs w:val="32"/>
        </w:rPr>
        <w:t>II.2. b  Représentation graphique et l’interprétation des résultats</w:t>
      </w:r>
    </w:p>
    <w:p w:rsidR="00B87792" w:rsidRPr="00324D5B" w:rsidRDefault="00B87792" w:rsidP="00B87792">
      <w:pPr>
        <w:spacing w:before="240" w:after="0" w:line="360" w:lineRule="auto"/>
        <w:jc w:val="center"/>
        <w:rPr>
          <w:rFonts w:asciiTheme="majorBidi" w:hAnsiTheme="majorBidi" w:cstheme="majorBidi"/>
          <w:sz w:val="28"/>
          <w:szCs w:val="28"/>
        </w:rPr>
      </w:pPr>
      <w:r w:rsidRPr="00324D5B">
        <w:rPr>
          <w:rFonts w:asciiTheme="majorBidi" w:hAnsiTheme="majorBidi" w:cstheme="majorBidi"/>
          <w:noProof/>
          <w:sz w:val="28"/>
          <w:szCs w:val="28"/>
          <w:lang w:eastAsia="fr-FR"/>
        </w:rPr>
        <w:drawing>
          <wp:inline distT="0" distB="0" distL="0" distR="0">
            <wp:extent cx="4572000" cy="2743200"/>
            <wp:effectExtent l="19050" t="0" r="19050" b="0"/>
            <wp:docPr id="16" name="Graphique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B87792" w:rsidRPr="00324D5B" w:rsidRDefault="00B87792" w:rsidP="00B87792">
      <w:pPr>
        <w:spacing w:before="240" w:after="0" w:line="360" w:lineRule="auto"/>
        <w:rPr>
          <w:rFonts w:asciiTheme="majorBidi" w:hAnsiTheme="majorBidi" w:cstheme="majorBidi"/>
          <w:sz w:val="26"/>
          <w:szCs w:val="26"/>
        </w:rPr>
      </w:pPr>
      <w:r w:rsidRPr="00324D5B">
        <w:rPr>
          <w:rFonts w:asciiTheme="majorBidi" w:hAnsiTheme="majorBidi" w:cstheme="majorBidi"/>
          <w:sz w:val="26"/>
          <w:szCs w:val="26"/>
        </w:rPr>
        <w:t xml:space="preserve">Figure </w:t>
      </w:r>
      <w:r>
        <w:rPr>
          <w:rFonts w:asciiTheme="majorBidi" w:hAnsiTheme="majorBidi" w:cstheme="majorBidi"/>
          <w:sz w:val="26"/>
          <w:szCs w:val="26"/>
        </w:rPr>
        <w:t>V.</w:t>
      </w:r>
      <w:r w:rsidRPr="00324D5B">
        <w:rPr>
          <w:rFonts w:asciiTheme="majorBidi" w:hAnsiTheme="majorBidi" w:cstheme="majorBidi"/>
          <w:sz w:val="26"/>
          <w:szCs w:val="26"/>
        </w:rPr>
        <w:t>2</w:t>
      </w:r>
      <w:r>
        <w:rPr>
          <w:rFonts w:asciiTheme="majorBidi" w:hAnsiTheme="majorBidi" w:cstheme="majorBidi"/>
          <w:sz w:val="26"/>
          <w:szCs w:val="26"/>
        </w:rPr>
        <w:t>1</w:t>
      </w:r>
      <w:r w:rsidRPr="00324D5B">
        <w:rPr>
          <w:rFonts w:asciiTheme="majorBidi" w:hAnsiTheme="majorBidi" w:cstheme="majorBidi"/>
          <w:sz w:val="26"/>
          <w:szCs w:val="26"/>
        </w:rPr>
        <w:t xml:space="preserve"> : </w:t>
      </w:r>
      <w:r w:rsidR="000465FF" w:rsidRPr="00324D5B">
        <w:rPr>
          <w:rFonts w:asciiTheme="majorBidi" w:hAnsiTheme="majorBidi" w:cstheme="majorBidi"/>
          <w:sz w:val="26"/>
          <w:szCs w:val="26"/>
        </w:rPr>
        <w:t>V</w:t>
      </w:r>
      <w:r w:rsidRPr="00324D5B">
        <w:rPr>
          <w:rFonts w:asciiTheme="majorBidi" w:hAnsiTheme="majorBidi" w:cstheme="majorBidi"/>
          <w:sz w:val="26"/>
          <w:szCs w:val="26"/>
        </w:rPr>
        <w:t>ariation des valeurs de</w:t>
      </w:r>
      <w:r w:rsidR="000465FF">
        <w:rPr>
          <w:rFonts w:asciiTheme="majorBidi" w:hAnsiTheme="majorBidi" w:cstheme="majorBidi"/>
          <w:sz w:val="26"/>
          <w:szCs w:val="26"/>
        </w:rPr>
        <w:t xml:space="preserve"> la </w:t>
      </w:r>
      <w:r w:rsidRPr="00324D5B">
        <w:rPr>
          <w:rFonts w:asciiTheme="majorBidi" w:hAnsiTheme="majorBidi" w:cstheme="majorBidi"/>
          <w:sz w:val="26"/>
          <w:szCs w:val="26"/>
        </w:rPr>
        <w:t xml:space="preserve"> pénétrabilité et </w:t>
      </w:r>
      <w:r w:rsidR="000465FF">
        <w:rPr>
          <w:rFonts w:asciiTheme="majorBidi" w:hAnsiTheme="majorBidi" w:cstheme="majorBidi"/>
          <w:sz w:val="26"/>
          <w:szCs w:val="26"/>
        </w:rPr>
        <w:t xml:space="preserve">le point de </w:t>
      </w:r>
      <w:r w:rsidRPr="00324D5B">
        <w:rPr>
          <w:rFonts w:asciiTheme="majorBidi" w:hAnsiTheme="majorBidi" w:cstheme="majorBidi"/>
          <w:sz w:val="26"/>
          <w:szCs w:val="26"/>
        </w:rPr>
        <w:t>ramollissement pendant 10 jours après les modifications.</w:t>
      </w:r>
    </w:p>
    <w:p w:rsidR="00B87792" w:rsidRDefault="00B87792" w:rsidP="00B87792">
      <w:pPr>
        <w:spacing w:before="240" w:after="0" w:line="360" w:lineRule="auto"/>
        <w:rPr>
          <w:rFonts w:asciiTheme="majorBidi" w:hAnsiTheme="majorBidi" w:cstheme="majorBidi"/>
          <w:sz w:val="28"/>
          <w:szCs w:val="28"/>
        </w:rPr>
      </w:pPr>
      <w:r w:rsidRPr="00324D5B">
        <w:rPr>
          <w:rFonts w:asciiTheme="majorBidi" w:hAnsiTheme="majorBidi" w:cstheme="majorBidi"/>
          <w:sz w:val="28"/>
          <w:szCs w:val="28"/>
        </w:rPr>
        <w:t xml:space="preserve">La figure </w:t>
      </w:r>
      <w:r>
        <w:rPr>
          <w:rFonts w:asciiTheme="majorBidi" w:hAnsiTheme="majorBidi" w:cstheme="majorBidi"/>
          <w:sz w:val="28"/>
          <w:szCs w:val="28"/>
        </w:rPr>
        <w:t>V.21</w:t>
      </w:r>
      <w:r w:rsidRPr="00324D5B">
        <w:rPr>
          <w:rFonts w:asciiTheme="majorBidi" w:hAnsiTheme="majorBidi" w:cstheme="majorBidi"/>
          <w:sz w:val="28"/>
          <w:szCs w:val="28"/>
        </w:rPr>
        <w:t xml:space="preserve"> d’après la représentation graphique de la variation des valeurs de</w:t>
      </w:r>
      <w:r>
        <w:rPr>
          <w:rFonts w:asciiTheme="majorBidi" w:hAnsiTheme="majorBidi" w:cstheme="majorBidi"/>
          <w:sz w:val="28"/>
          <w:szCs w:val="28"/>
        </w:rPr>
        <w:t xml:space="preserve"> </w:t>
      </w:r>
      <w:r w:rsidRPr="00324D5B">
        <w:rPr>
          <w:rFonts w:asciiTheme="majorBidi" w:hAnsiTheme="majorBidi" w:cstheme="majorBidi"/>
          <w:sz w:val="28"/>
          <w:szCs w:val="28"/>
        </w:rPr>
        <w:t>pénétrabilité et ramollissement en fonction de temps après les modifications physiques, on remarque que la plupart des produits sont ajustés [de moyen de 4/5] et  qu’ils sont conformes aux normes de bitume routier [pénétrabilité comprise entre 40 et 50 (1/10 mm), et un ramollissement entre 47 et 61°C].</w:t>
      </w: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Theme="majorBidi" w:hAnsiTheme="majorBidi" w:cstheme="majorBidi"/>
          <w:sz w:val="28"/>
          <w:szCs w:val="28"/>
        </w:rPr>
      </w:pPr>
    </w:p>
    <w:p w:rsidR="00B87792" w:rsidRDefault="00B87792" w:rsidP="00B87792">
      <w:pPr>
        <w:spacing w:before="240" w:after="0" w:line="360" w:lineRule="auto"/>
        <w:rPr>
          <w:rFonts w:ascii="Bernard MT Condensed" w:hAnsi="Bernard MT Condensed" w:cstheme="majorBidi"/>
          <w:sz w:val="27"/>
          <w:szCs w:val="27"/>
        </w:rPr>
      </w:pPr>
      <w:r w:rsidRPr="00A22205">
        <w:rPr>
          <w:rFonts w:ascii="Bernard MT Condensed" w:hAnsi="Bernard MT Condensed" w:cstheme="majorBidi"/>
          <w:sz w:val="27"/>
          <w:szCs w:val="27"/>
        </w:rPr>
        <w:lastRenderedPageBreak/>
        <w:t>Conclusion :</w:t>
      </w:r>
    </w:p>
    <w:p w:rsidR="00775AF5" w:rsidRPr="00A22205" w:rsidRDefault="00775AF5" w:rsidP="00B87792">
      <w:pPr>
        <w:spacing w:before="240" w:after="0" w:line="360" w:lineRule="auto"/>
        <w:rPr>
          <w:rFonts w:ascii="Bernard MT Condensed" w:hAnsi="Bernard MT Condensed" w:cstheme="majorBidi"/>
          <w:sz w:val="27"/>
          <w:szCs w:val="27"/>
        </w:rPr>
      </w:pPr>
    </w:p>
    <w:p w:rsidR="00B87792" w:rsidRDefault="00B87792" w:rsidP="006B4EE2">
      <w:pPr>
        <w:ind w:firstLine="426"/>
        <w:jc w:val="both"/>
        <w:rPr>
          <w:rFonts w:asciiTheme="majorBidi" w:hAnsiTheme="majorBidi" w:cstheme="majorBidi"/>
          <w:sz w:val="28"/>
          <w:szCs w:val="28"/>
        </w:rPr>
      </w:pPr>
      <w:r>
        <w:rPr>
          <w:rFonts w:asciiTheme="majorBidi" w:hAnsiTheme="majorBidi" w:cstheme="majorBidi"/>
          <w:sz w:val="28"/>
          <w:szCs w:val="28"/>
        </w:rPr>
        <w:t>Durant la période de stage au sein de raffinerie d’Arzew, l’approche de près au domaine industriel me perm</w:t>
      </w:r>
      <w:r w:rsidR="00E776EE">
        <w:rPr>
          <w:rFonts w:asciiTheme="majorBidi" w:hAnsiTheme="majorBidi" w:cstheme="majorBidi"/>
          <w:sz w:val="28"/>
          <w:szCs w:val="28"/>
        </w:rPr>
        <w:t>e</w:t>
      </w:r>
      <w:r>
        <w:rPr>
          <w:rFonts w:asciiTheme="majorBidi" w:hAnsiTheme="majorBidi" w:cstheme="majorBidi"/>
          <w:sz w:val="28"/>
          <w:szCs w:val="28"/>
        </w:rPr>
        <w:t xml:space="preserve">t de concevoir une image sur l’industrie et de découvrir la complexité des installations. </w:t>
      </w:r>
      <w:r w:rsidRPr="003E5838">
        <w:rPr>
          <w:rFonts w:asciiTheme="majorBidi" w:hAnsiTheme="majorBidi" w:cstheme="majorBidi"/>
          <w:sz w:val="28"/>
          <w:szCs w:val="28"/>
        </w:rPr>
        <w:t xml:space="preserve">À la même occasion, j'ai </w:t>
      </w:r>
      <w:r w:rsidR="00E776EE">
        <w:rPr>
          <w:rFonts w:asciiTheme="majorBidi" w:hAnsiTheme="majorBidi" w:cstheme="majorBidi"/>
          <w:sz w:val="28"/>
          <w:szCs w:val="28"/>
        </w:rPr>
        <w:t>remarqué</w:t>
      </w:r>
      <w:r>
        <w:rPr>
          <w:rFonts w:asciiTheme="majorBidi" w:hAnsiTheme="majorBidi" w:cstheme="majorBidi"/>
          <w:sz w:val="28"/>
          <w:szCs w:val="28"/>
        </w:rPr>
        <w:t xml:space="preserve"> </w:t>
      </w:r>
      <w:r w:rsidR="00E776EE">
        <w:rPr>
          <w:rFonts w:asciiTheme="majorBidi" w:hAnsiTheme="majorBidi" w:cstheme="majorBidi"/>
          <w:sz w:val="28"/>
          <w:szCs w:val="28"/>
        </w:rPr>
        <w:t>que l</w:t>
      </w:r>
      <w:r>
        <w:rPr>
          <w:rFonts w:asciiTheme="majorBidi" w:hAnsiTheme="majorBidi" w:cstheme="majorBidi"/>
          <w:sz w:val="28"/>
          <w:szCs w:val="28"/>
        </w:rPr>
        <w:t xml:space="preserve">es appareils </w:t>
      </w:r>
      <w:r w:rsidR="00E776EE">
        <w:rPr>
          <w:rFonts w:asciiTheme="majorBidi" w:hAnsiTheme="majorBidi" w:cstheme="majorBidi"/>
          <w:sz w:val="28"/>
          <w:szCs w:val="28"/>
        </w:rPr>
        <w:t xml:space="preserve">sont très anciens </w:t>
      </w:r>
      <w:r w:rsidRPr="003E5838">
        <w:rPr>
          <w:rFonts w:asciiTheme="majorBidi" w:hAnsiTheme="majorBidi" w:cstheme="majorBidi"/>
          <w:sz w:val="28"/>
          <w:szCs w:val="28"/>
        </w:rPr>
        <w:t>et incapa</w:t>
      </w:r>
      <w:r w:rsidR="00E776EE">
        <w:rPr>
          <w:rFonts w:asciiTheme="majorBidi" w:hAnsiTheme="majorBidi" w:cstheme="majorBidi"/>
          <w:sz w:val="28"/>
          <w:szCs w:val="28"/>
        </w:rPr>
        <w:t>ble</w:t>
      </w:r>
      <w:r w:rsidRPr="003E5838">
        <w:rPr>
          <w:rFonts w:asciiTheme="majorBidi" w:hAnsiTheme="majorBidi" w:cstheme="majorBidi"/>
          <w:sz w:val="28"/>
          <w:szCs w:val="28"/>
        </w:rPr>
        <w:t xml:space="preserve">s </w:t>
      </w:r>
      <w:r w:rsidR="00E776EE">
        <w:rPr>
          <w:rFonts w:asciiTheme="majorBidi" w:hAnsiTheme="majorBidi" w:cstheme="majorBidi"/>
          <w:sz w:val="28"/>
          <w:szCs w:val="28"/>
        </w:rPr>
        <w:t>de</w:t>
      </w:r>
      <w:r w:rsidRPr="003E5838">
        <w:rPr>
          <w:rFonts w:asciiTheme="majorBidi" w:hAnsiTheme="majorBidi" w:cstheme="majorBidi"/>
          <w:sz w:val="28"/>
          <w:szCs w:val="28"/>
        </w:rPr>
        <w:t xml:space="preserve"> livrer</w:t>
      </w:r>
      <w:r>
        <w:rPr>
          <w:rFonts w:asciiTheme="majorBidi" w:hAnsiTheme="majorBidi" w:cstheme="majorBidi"/>
          <w:sz w:val="28"/>
          <w:szCs w:val="28"/>
        </w:rPr>
        <w:t xml:space="preserve"> tels que les compresseurs et les pompes qui peuvent suivre le régime actuel de production et qui nécessitant à chaque fois soit une réparation soit un nettoyage ou tout simplement un arrêt définitif.   </w:t>
      </w:r>
    </w:p>
    <w:p w:rsidR="00B87792" w:rsidRDefault="00B87792" w:rsidP="006B4EE2">
      <w:pPr>
        <w:ind w:firstLine="426"/>
        <w:jc w:val="both"/>
        <w:rPr>
          <w:rFonts w:asciiTheme="majorBidi" w:hAnsiTheme="majorBidi" w:cstheme="majorBidi"/>
          <w:sz w:val="28"/>
          <w:szCs w:val="28"/>
        </w:rPr>
      </w:pPr>
      <w:r>
        <w:rPr>
          <w:rFonts w:asciiTheme="majorBidi" w:hAnsiTheme="majorBidi" w:cstheme="majorBidi"/>
          <w:sz w:val="28"/>
          <w:szCs w:val="28"/>
        </w:rPr>
        <w:t xml:space="preserve">A travers l’étude que j’ai effectuée dans ce chapitre , </w:t>
      </w:r>
      <w:r w:rsidR="002921B1">
        <w:rPr>
          <w:rFonts w:asciiTheme="majorBidi" w:hAnsiTheme="majorBidi" w:cstheme="majorBidi"/>
          <w:sz w:val="28"/>
          <w:szCs w:val="28"/>
        </w:rPr>
        <w:t xml:space="preserve">et </w:t>
      </w:r>
      <w:r>
        <w:rPr>
          <w:rFonts w:asciiTheme="majorBidi" w:hAnsiTheme="majorBidi" w:cstheme="majorBidi"/>
          <w:sz w:val="28"/>
          <w:szCs w:val="28"/>
        </w:rPr>
        <w:t xml:space="preserve">après avoir </w:t>
      </w:r>
      <w:r w:rsidR="002921B1">
        <w:rPr>
          <w:rFonts w:asciiTheme="majorBidi" w:hAnsiTheme="majorBidi" w:cstheme="majorBidi"/>
          <w:sz w:val="28"/>
          <w:szCs w:val="28"/>
        </w:rPr>
        <w:t xml:space="preserve">eu </w:t>
      </w:r>
      <w:r>
        <w:rPr>
          <w:rFonts w:asciiTheme="majorBidi" w:hAnsiTheme="majorBidi" w:cstheme="majorBidi"/>
          <w:sz w:val="28"/>
          <w:szCs w:val="28"/>
        </w:rPr>
        <w:t xml:space="preserve">les résultats, </w:t>
      </w:r>
      <w:r w:rsidR="002921B1">
        <w:rPr>
          <w:rFonts w:asciiTheme="majorBidi" w:hAnsiTheme="majorBidi" w:cstheme="majorBidi"/>
          <w:sz w:val="28"/>
          <w:szCs w:val="28"/>
        </w:rPr>
        <w:t xml:space="preserve">je confirme </w:t>
      </w:r>
      <w:r>
        <w:rPr>
          <w:rFonts w:asciiTheme="majorBidi" w:hAnsiTheme="majorBidi" w:cstheme="majorBidi"/>
          <w:sz w:val="28"/>
          <w:szCs w:val="28"/>
        </w:rPr>
        <w:t>que la fabrication des bitumes routiers grade 40/50 est possible en substituant partiellement le résidu sous vide (RSV) par l’asphalte issu de l’unité de désasphaltage au propane de la zone 7, par contre la quantité et l’instabilité des caractéristiques de l’asphalte de la zone 5 ( zone à des appareils très anciens)  nous oblige</w:t>
      </w:r>
      <w:r w:rsidR="00F375B9">
        <w:rPr>
          <w:rFonts w:asciiTheme="majorBidi" w:hAnsiTheme="majorBidi" w:cstheme="majorBidi"/>
          <w:sz w:val="28"/>
          <w:szCs w:val="28"/>
        </w:rPr>
        <w:t>nt</w:t>
      </w:r>
      <w:r>
        <w:rPr>
          <w:rFonts w:asciiTheme="majorBidi" w:hAnsiTheme="majorBidi" w:cstheme="majorBidi"/>
          <w:sz w:val="28"/>
          <w:szCs w:val="28"/>
        </w:rPr>
        <w:t xml:space="preserve"> de le néglig</w:t>
      </w:r>
      <w:r w:rsidR="00F375B9">
        <w:rPr>
          <w:rFonts w:asciiTheme="majorBidi" w:hAnsiTheme="majorBidi" w:cstheme="majorBidi"/>
          <w:sz w:val="28"/>
          <w:szCs w:val="28"/>
        </w:rPr>
        <w:t>er</w:t>
      </w:r>
      <w:r>
        <w:rPr>
          <w:rFonts w:asciiTheme="majorBidi" w:hAnsiTheme="majorBidi" w:cstheme="majorBidi"/>
          <w:sz w:val="28"/>
          <w:szCs w:val="28"/>
        </w:rPr>
        <w:t>.</w:t>
      </w:r>
    </w:p>
    <w:p w:rsidR="00B87792" w:rsidRDefault="00B87792" w:rsidP="006B4EE2">
      <w:pPr>
        <w:ind w:firstLine="426"/>
        <w:jc w:val="both"/>
        <w:rPr>
          <w:rFonts w:asciiTheme="majorBidi" w:hAnsiTheme="majorBidi" w:cstheme="majorBidi"/>
          <w:sz w:val="28"/>
          <w:szCs w:val="28"/>
        </w:rPr>
      </w:pPr>
      <w:r>
        <w:rPr>
          <w:rFonts w:asciiTheme="majorBidi" w:hAnsiTheme="majorBidi" w:cstheme="majorBidi"/>
          <w:sz w:val="28"/>
          <w:szCs w:val="28"/>
        </w:rPr>
        <w:t xml:space="preserve">On remarque d’après les analyses au laboratoire de contrôle que l’asphalte de la zone 7 possède une qualité irrégulière, dans ce cas on propose de l’additionner avec le RSV de la zone 10 pour subir le même traitement au niveau de la colonne d’oxydation, en cas de produire un bitume hors normes il faut ajuster la production </w:t>
      </w:r>
      <w:r w:rsidR="00500036">
        <w:rPr>
          <w:rFonts w:asciiTheme="majorBidi" w:hAnsiTheme="majorBidi" w:cstheme="majorBidi"/>
          <w:sz w:val="28"/>
          <w:szCs w:val="28"/>
        </w:rPr>
        <w:t>e</w:t>
      </w:r>
      <w:r>
        <w:rPr>
          <w:rFonts w:asciiTheme="majorBidi" w:hAnsiTheme="majorBidi" w:cstheme="majorBidi"/>
          <w:sz w:val="28"/>
          <w:szCs w:val="28"/>
        </w:rPr>
        <w:t>n jouant sur les paramètres de fonctionnement des deux colonnes [Annexe A].</w:t>
      </w:r>
    </w:p>
    <w:p w:rsidR="00740D0F" w:rsidRPr="00DA12A7" w:rsidRDefault="00740D0F" w:rsidP="00DA12A7">
      <w:pPr>
        <w:ind w:left="426"/>
        <w:jc w:val="both"/>
      </w:pPr>
    </w:p>
    <w:sectPr w:rsidR="00740D0F" w:rsidRPr="00DA12A7" w:rsidSect="00C36A18">
      <w:headerReference w:type="default" r:id="rId31"/>
      <w:footerReference w:type="default" r:id="rId32"/>
      <w:pgSz w:w="11906" w:h="16838"/>
      <w:pgMar w:top="1417" w:right="1417" w:bottom="1417" w:left="1417" w:header="708" w:footer="708" w:gutter="0"/>
      <w:pgNumType w:start="7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9C6" w:rsidRDefault="00C719C6" w:rsidP="00072B7B">
      <w:pPr>
        <w:spacing w:after="0" w:line="240" w:lineRule="auto"/>
      </w:pPr>
      <w:r>
        <w:separator/>
      </w:r>
    </w:p>
  </w:endnote>
  <w:endnote w:type="continuationSeparator" w:id="1">
    <w:p w:rsidR="00C719C6" w:rsidRDefault="00C719C6" w:rsidP="00072B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Rockwell Condensed">
    <w:panose1 w:val="020606030504050201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8310"/>
      <w:docPartObj>
        <w:docPartGallery w:val="Page Numbers (Bottom of Page)"/>
        <w:docPartUnique/>
      </w:docPartObj>
    </w:sdtPr>
    <w:sdtContent>
      <w:p w:rsidR="00453770" w:rsidRDefault="00B14680">
        <w:pPr>
          <w:pStyle w:val="Pieddepage"/>
          <w:jc w:val="right"/>
        </w:pPr>
        <w:fldSimple w:instr=" PAGE   \* MERGEFORMAT ">
          <w:r w:rsidR="00775AF5">
            <w:rPr>
              <w:noProof/>
            </w:rPr>
            <w:t>96</w:t>
          </w:r>
        </w:fldSimple>
      </w:p>
    </w:sdtContent>
  </w:sdt>
  <w:p w:rsidR="00453770" w:rsidRDefault="0045377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9C6" w:rsidRDefault="00C719C6" w:rsidP="00072B7B">
      <w:pPr>
        <w:spacing w:after="0" w:line="240" w:lineRule="auto"/>
      </w:pPr>
      <w:r>
        <w:separator/>
      </w:r>
    </w:p>
  </w:footnote>
  <w:footnote w:type="continuationSeparator" w:id="1">
    <w:p w:rsidR="00C719C6" w:rsidRDefault="00C719C6" w:rsidP="00072B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770" w:rsidRDefault="00B14680" w:rsidP="00883762">
    <w:pPr>
      <w:pStyle w:val="En-tte"/>
      <w:ind w:hanging="142"/>
    </w:pPr>
    <w:r>
      <w:rPr>
        <w:noProof/>
        <w:lang w:eastAsia="fr-FR"/>
      </w:rPr>
      <w:pict>
        <v:shapetype id="_x0000_t32" coordsize="21600,21600" o:spt="32" o:oned="t" path="m,l21600,21600e" filled="f">
          <v:path arrowok="t" fillok="f" o:connecttype="none"/>
          <o:lock v:ext="edit" shapetype="t"/>
        </v:shapetype>
        <v:shape id="_x0000_s2049" type="#_x0000_t32" style="position:absolute;margin-left:50pt;margin-top:8.5pt;width:24.4pt;height:0;z-index:251660288" o:connectortype="straight" strokeweight="1.75pt">
          <v:shadow on="t" opacity=".5"/>
          <o:extrusion v:ext="view" rotationangle=",10"/>
        </v:shape>
      </w:pict>
    </w:r>
    <w:r w:rsidR="00453770">
      <w:t>Chapitre</w:t>
    </w:r>
    <w:r w:rsidR="00E776EE">
      <w:t xml:space="preserve"> </w:t>
    </w:r>
    <w:r w:rsidR="00883762">
      <w:t>5</w:t>
    </w:r>
    <w:r w:rsidR="00453770">
      <w:t xml:space="preserve">               Récupération des asphaltes da la RA1/Z comme charge de production des bitumes.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E71C7"/>
    <w:multiLevelType w:val="hybridMultilevel"/>
    <w:tmpl w:val="D05C0B42"/>
    <w:lvl w:ilvl="0" w:tplc="74DA323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D4597"/>
    <w:multiLevelType w:val="hybridMultilevel"/>
    <w:tmpl w:val="9572A61C"/>
    <w:lvl w:ilvl="0" w:tplc="A0F42DE6">
      <w:numFmt w:val="bullet"/>
      <w:lvlText w:val="-"/>
      <w:lvlJc w:val="left"/>
      <w:pPr>
        <w:ind w:left="3479" w:hanging="360"/>
      </w:pPr>
      <w:rPr>
        <w:rFonts w:ascii="Calibri" w:eastAsiaTheme="minorHAnsi" w:hAnsi="Calibri" w:cstheme="minorBidi" w:hint="default"/>
      </w:rPr>
    </w:lvl>
    <w:lvl w:ilvl="1" w:tplc="040C0003" w:tentative="1">
      <w:start w:val="1"/>
      <w:numFmt w:val="bullet"/>
      <w:lvlText w:val="o"/>
      <w:lvlJc w:val="left"/>
      <w:pPr>
        <w:ind w:left="4199" w:hanging="360"/>
      </w:pPr>
      <w:rPr>
        <w:rFonts w:ascii="Courier New" w:hAnsi="Courier New" w:cs="Courier New" w:hint="default"/>
      </w:rPr>
    </w:lvl>
    <w:lvl w:ilvl="2" w:tplc="040C0005" w:tentative="1">
      <w:start w:val="1"/>
      <w:numFmt w:val="bullet"/>
      <w:lvlText w:val=""/>
      <w:lvlJc w:val="left"/>
      <w:pPr>
        <w:ind w:left="4919" w:hanging="360"/>
      </w:pPr>
      <w:rPr>
        <w:rFonts w:ascii="Wingdings" w:hAnsi="Wingdings" w:hint="default"/>
      </w:rPr>
    </w:lvl>
    <w:lvl w:ilvl="3" w:tplc="040C0001" w:tentative="1">
      <w:start w:val="1"/>
      <w:numFmt w:val="bullet"/>
      <w:lvlText w:val=""/>
      <w:lvlJc w:val="left"/>
      <w:pPr>
        <w:ind w:left="5639" w:hanging="360"/>
      </w:pPr>
      <w:rPr>
        <w:rFonts w:ascii="Symbol" w:hAnsi="Symbol" w:hint="default"/>
      </w:rPr>
    </w:lvl>
    <w:lvl w:ilvl="4" w:tplc="040C0003" w:tentative="1">
      <w:start w:val="1"/>
      <w:numFmt w:val="bullet"/>
      <w:lvlText w:val="o"/>
      <w:lvlJc w:val="left"/>
      <w:pPr>
        <w:ind w:left="6359" w:hanging="360"/>
      </w:pPr>
      <w:rPr>
        <w:rFonts w:ascii="Courier New" w:hAnsi="Courier New" w:cs="Courier New" w:hint="default"/>
      </w:rPr>
    </w:lvl>
    <w:lvl w:ilvl="5" w:tplc="040C0005" w:tentative="1">
      <w:start w:val="1"/>
      <w:numFmt w:val="bullet"/>
      <w:lvlText w:val=""/>
      <w:lvlJc w:val="left"/>
      <w:pPr>
        <w:ind w:left="7079" w:hanging="360"/>
      </w:pPr>
      <w:rPr>
        <w:rFonts w:ascii="Wingdings" w:hAnsi="Wingdings" w:hint="default"/>
      </w:rPr>
    </w:lvl>
    <w:lvl w:ilvl="6" w:tplc="040C0001" w:tentative="1">
      <w:start w:val="1"/>
      <w:numFmt w:val="bullet"/>
      <w:lvlText w:val=""/>
      <w:lvlJc w:val="left"/>
      <w:pPr>
        <w:ind w:left="7799" w:hanging="360"/>
      </w:pPr>
      <w:rPr>
        <w:rFonts w:ascii="Symbol" w:hAnsi="Symbol" w:hint="default"/>
      </w:rPr>
    </w:lvl>
    <w:lvl w:ilvl="7" w:tplc="040C0003" w:tentative="1">
      <w:start w:val="1"/>
      <w:numFmt w:val="bullet"/>
      <w:lvlText w:val="o"/>
      <w:lvlJc w:val="left"/>
      <w:pPr>
        <w:ind w:left="8519" w:hanging="360"/>
      </w:pPr>
      <w:rPr>
        <w:rFonts w:ascii="Courier New" w:hAnsi="Courier New" w:cs="Courier New" w:hint="default"/>
      </w:rPr>
    </w:lvl>
    <w:lvl w:ilvl="8" w:tplc="040C0005" w:tentative="1">
      <w:start w:val="1"/>
      <w:numFmt w:val="bullet"/>
      <w:lvlText w:val=""/>
      <w:lvlJc w:val="left"/>
      <w:pPr>
        <w:ind w:left="9239" w:hanging="360"/>
      </w:pPr>
      <w:rPr>
        <w:rFonts w:ascii="Wingdings" w:hAnsi="Wingdings" w:hint="default"/>
      </w:rPr>
    </w:lvl>
  </w:abstractNum>
  <w:abstractNum w:abstractNumId="2">
    <w:nsid w:val="11924606"/>
    <w:multiLevelType w:val="hybridMultilevel"/>
    <w:tmpl w:val="058C0FB4"/>
    <w:lvl w:ilvl="0" w:tplc="A0F42DE6">
      <w:numFmt w:val="bullet"/>
      <w:lvlText w:val="-"/>
      <w:lvlJc w:val="left"/>
      <w:pPr>
        <w:ind w:left="770" w:hanging="360"/>
      </w:pPr>
      <w:rPr>
        <w:rFonts w:ascii="Calibri" w:eastAsiaTheme="minorHAnsi" w:hAnsi="Calibri" w:cstheme="minorBidi"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
    <w:nsid w:val="13C64FCA"/>
    <w:multiLevelType w:val="hybridMultilevel"/>
    <w:tmpl w:val="F6E202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6F26CC9"/>
    <w:multiLevelType w:val="hybridMultilevel"/>
    <w:tmpl w:val="5428DFFE"/>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8242FC3"/>
    <w:multiLevelType w:val="hybridMultilevel"/>
    <w:tmpl w:val="BE5C5B9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nsid w:val="2F614C9A"/>
    <w:multiLevelType w:val="hybridMultilevel"/>
    <w:tmpl w:val="BBB47D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3E107E7"/>
    <w:multiLevelType w:val="hybridMultilevel"/>
    <w:tmpl w:val="F6E202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CCC2195"/>
    <w:multiLevelType w:val="hybridMultilevel"/>
    <w:tmpl w:val="099047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D2866D5"/>
    <w:multiLevelType w:val="hybridMultilevel"/>
    <w:tmpl w:val="7120744E"/>
    <w:lvl w:ilvl="0" w:tplc="040C0005">
      <w:start w:val="1"/>
      <w:numFmt w:val="bullet"/>
      <w:lvlText w:val=""/>
      <w:lvlJc w:val="left"/>
      <w:pPr>
        <w:ind w:left="758" w:hanging="360"/>
      </w:pPr>
      <w:rPr>
        <w:rFonts w:ascii="Wingdings" w:hAnsi="Wingdings" w:hint="default"/>
      </w:rPr>
    </w:lvl>
    <w:lvl w:ilvl="1" w:tplc="040C0003" w:tentative="1">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10">
    <w:nsid w:val="6F624F26"/>
    <w:multiLevelType w:val="multilevel"/>
    <w:tmpl w:val="E9DA07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nsid w:val="73C80212"/>
    <w:multiLevelType w:val="hybridMultilevel"/>
    <w:tmpl w:val="54664B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7794465E"/>
    <w:multiLevelType w:val="hybridMultilevel"/>
    <w:tmpl w:val="A2065C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9DB239B"/>
    <w:multiLevelType w:val="hybridMultilevel"/>
    <w:tmpl w:val="7932D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B5E0B91"/>
    <w:multiLevelType w:val="hybridMultilevel"/>
    <w:tmpl w:val="E224F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0"/>
  </w:num>
  <w:num w:numId="5">
    <w:abstractNumId w:val="2"/>
  </w:num>
  <w:num w:numId="6">
    <w:abstractNumId w:val="11"/>
  </w:num>
  <w:num w:numId="7">
    <w:abstractNumId w:val="6"/>
  </w:num>
  <w:num w:numId="8">
    <w:abstractNumId w:val="10"/>
  </w:num>
  <w:num w:numId="9">
    <w:abstractNumId w:val="5"/>
  </w:num>
  <w:num w:numId="10">
    <w:abstractNumId w:val="7"/>
  </w:num>
  <w:num w:numId="11">
    <w:abstractNumId w:val="3"/>
  </w:num>
  <w:num w:numId="12">
    <w:abstractNumId w:val="4"/>
  </w:num>
  <w:num w:numId="13">
    <w:abstractNumId w:val="14"/>
  </w:num>
  <w:num w:numId="14">
    <w:abstractNumId w:val="12"/>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o:shapelayout v:ext="edit">
      <o:idmap v:ext="edit" data="2"/>
      <o:rules v:ext="edit">
        <o:r id="V:Rule2" type="connector" idref="#_x0000_s2049"/>
      </o:rules>
    </o:shapelayout>
  </w:hdrShapeDefaults>
  <w:footnotePr>
    <w:footnote w:id="0"/>
    <w:footnote w:id="1"/>
  </w:footnotePr>
  <w:endnotePr>
    <w:endnote w:id="0"/>
    <w:endnote w:id="1"/>
  </w:endnotePr>
  <w:compat/>
  <w:rsids>
    <w:rsidRoot w:val="00B87792"/>
    <w:rsid w:val="000465FF"/>
    <w:rsid w:val="00072B7B"/>
    <w:rsid w:val="000A6818"/>
    <w:rsid w:val="00111789"/>
    <w:rsid w:val="001E4917"/>
    <w:rsid w:val="00252309"/>
    <w:rsid w:val="00254D20"/>
    <w:rsid w:val="0026379F"/>
    <w:rsid w:val="0026794A"/>
    <w:rsid w:val="00275612"/>
    <w:rsid w:val="002921B1"/>
    <w:rsid w:val="002F37D8"/>
    <w:rsid w:val="0030703B"/>
    <w:rsid w:val="00310636"/>
    <w:rsid w:val="00380CCD"/>
    <w:rsid w:val="00383FBD"/>
    <w:rsid w:val="00453770"/>
    <w:rsid w:val="004E6E3D"/>
    <w:rsid w:val="00500036"/>
    <w:rsid w:val="00554ED7"/>
    <w:rsid w:val="005A685F"/>
    <w:rsid w:val="005F47F3"/>
    <w:rsid w:val="00692D2A"/>
    <w:rsid w:val="006B4EE2"/>
    <w:rsid w:val="006F35D1"/>
    <w:rsid w:val="006F6EE2"/>
    <w:rsid w:val="007152B1"/>
    <w:rsid w:val="00740D0F"/>
    <w:rsid w:val="00775AF5"/>
    <w:rsid w:val="00883762"/>
    <w:rsid w:val="008B77BA"/>
    <w:rsid w:val="00933622"/>
    <w:rsid w:val="0095674E"/>
    <w:rsid w:val="00963555"/>
    <w:rsid w:val="009E6E0F"/>
    <w:rsid w:val="00A41BBA"/>
    <w:rsid w:val="00A8662C"/>
    <w:rsid w:val="00B14680"/>
    <w:rsid w:val="00B87792"/>
    <w:rsid w:val="00C06878"/>
    <w:rsid w:val="00C36A18"/>
    <w:rsid w:val="00C719C6"/>
    <w:rsid w:val="00C960EE"/>
    <w:rsid w:val="00CD1441"/>
    <w:rsid w:val="00CF29EC"/>
    <w:rsid w:val="00D33911"/>
    <w:rsid w:val="00DA12A7"/>
    <w:rsid w:val="00E23228"/>
    <w:rsid w:val="00E776EE"/>
    <w:rsid w:val="00F375B9"/>
    <w:rsid w:val="00F911AC"/>
    <w:rsid w:val="00FD1037"/>
    <w:rsid w:val="00FF34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7" type="connector" idref="#_x0000_s1040"/>
        <o:r id="V:Rule8" type="connector" idref="#_x0000_s1043"/>
        <o:r id="V:Rule9" type="connector" idref="#_x0000_s1044"/>
        <o:r id="V:Rule10" type="connector" idref="#_x0000_s1045"/>
        <o:r id="V:Rule11" type="connector" idref="#_x0000_s1041"/>
        <o:r id="V:Rule12"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792"/>
  </w:style>
  <w:style w:type="paragraph" w:styleId="Titre7">
    <w:name w:val="heading 7"/>
    <w:basedOn w:val="Normal"/>
    <w:next w:val="Normal"/>
    <w:link w:val="Titre7Car"/>
    <w:qFormat/>
    <w:rsid w:val="00B87792"/>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7Car">
    <w:name w:val="Titre 7 Car"/>
    <w:basedOn w:val="Policepardfaut"/>
    <w:link w:val="Titre7"/>
    <w:rsid w:val="00B87792"/>
    <w:rPr>
      <w:rFonts w:ascii="Times New Roman" w:eastAsia="Times New Roman" w:hAnsi="Times New Roman" w:cs="Times New Roman"/>
      <w:b/>
      <w:bCs/>
      <w:color w:val="000000"/>
      <w:sz w:val="24"/>
      <w:szCs w:val="24"/>
    </w:rPr>
  </w:style>
  <w:style w:type="paragraph" w:styleId="Paragraphedeliste">
    <w:name w:val="List Paragraph"/>
    <w:basedOn w:val="Normal"/>
    <w:uiPriority w:val="34"/>
    <w:qFormat/>
    <w:rsid w:val="00B87792"/>
    <w:pPr>
      <w:ind w:left="720"/>
      <w:contextualSpacing/>
    </w:pPr>
  </w:style>
  <w:style w:type="table" w:styleId="Grilledutableau">
    <w:name w:val="Table Grid"/>
    <w:basedOn w:val="TableauNormal"/>
    <w:uiPriority w:val="59"/>
    <w:rsid w:val="00B877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8779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87792"/>
    <w:rPr>
      <w:rFonts w:ascii="Tahoma" w:hAnsi="Tahoma" w:cs="Tahoma"/>
      <w:sz w:val="16"/>
      <w:szCs w:val="16"/>
    </w:rPr>
  </w:style>
  <w:style w:type="paragraph" w:styleId="En-tte">
    <w:name w:val="header"/>
    <w:basedOn w:val="Normal"/>
    <w:link w:val="En-tteCar"/>
    <w:uiPriority w:val="99"/>
    <w:semiHidden/>
    <w:unhideWhenUsed/>
    <w:rsid w:val="00B8779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87792"/>
  </w:style>
  <w:style w:type="paragraph" w:styleId="Pieddepage">
    <w:name w:val="footer"/>
    <w:basedOn w:val="Normal"/>
    <w:link w:val="PieddepageCar"/>
    <w:uiPriority w:val="99"/>
    <w:unhideWhenUsed/>
    <w:rsid w:val="00B8779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8779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chart" Target="charts/chart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chart" Target="charts/chart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chart" Target="charts/chart1.xml"/><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hart" Target="charts/chart5.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chart" Target="charts/chart4.xml"/><Relationship Id="rId28" Type="http://schemas.openxmlformats.org/officeDocument/2006/relationships/chart" Target="charts/chart9.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chart" Target="charts/chart1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lasseur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Documents%20and%20Settings\malika\Bureau\Classeur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8.8602903545735565E-2"/>
          <c:y val="8.0580799970927014E-2"/>
          <c:w val="0.79954046966370063"/>
          <c:h val="0.80355340737848124"/>
        </c:manualLayout>
      </c:layout>
      <c:scatterChart>
        <c:scatterStyle val="smoothMarker"/>
        <c:ser>
          <c:idx val="1"/>
          <c:order val="0"/>
          <c:tx>
            <c:v>z10</c:v>
          </c:tx>
          <c:spPr>
            <a:ln>
              <a:solidFill>
                <a:schemeClr val="accent1"/>
              </a:solidFill>
            </a:ln>
          </c:spPr>
          <c:marker>
            <c:spPr>
              <a:solidFill>
                <a:schemeClr val="accent1"/>
              </a:solidFill>
              <a:ln>
                <a:solidFill>
                  <a:schemeClr val="accent1"/>
                </a:solidFill>
              </a:ln>
            </c:spPr>
          </c:marker>
          <c:xVal>
            <c:numRef>
              <c:f>Feuil1!$A$2:$A$21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Feuil1!$B$2:$B$21</c:f>
              <c:numCache>
                <c:formatCode>General</c:formatCode>
                <c:ptCount val="20"/>
                <c:pt idx="0">
                  <c:v>183</c:v>
                </c:pt>
                <c:pt idx="1">
                  <c:v>186</c:v>
                </c:pt>
                <c:pt idx="2">
                  <c:v>193</c:v>
                </c:pt>
                <c:pt idx="3">
                  <c:v>175</c:v>
                </c:pt>
                <c:pt idx="4">
                  <c:v>173</c:v>
                </c:pt>
                <c:pt idx="5">
                  <c:v>195</c:v>
                </c:pt>
                <c:pt idx="6">
                  <c:v>214</c:v>
                </c:pt>
                <c:pt idx="7">
                  <c:v>208</c:v>
                </c:pt>
                <c:pt idx="8">
                  <c:v>236</c:v>
                </c:pt>
                <c:pt idx="9">
                  <c:v>218</c:v>
                </c:pt>
                <c:pt idx="10">
                  <c:v>196</c:v>
                </c:pt>
                <c:pt idx="11">
                  <c:v>121</c:v>
                </c:pt>
                <c:pt idx="12">
                  <c:v>269</c:v>
                </c:pt>
                <c:pt idx="13">
                  <c:v>218</c:v>
                </c:pt>
                <c:pt idx="14">
                  <c:v>271</c:v>
                </c:pt>
                <c:pt idx="15">
                  <c:v>268</c:v>
                </c:pt>
                <c:pt idx="16">
                  <c:v>192</c:v>
                </c:pt>
                <c:pt idx="17">
                  <c:v>170</c:v>
                </c:pt>
                <c:pt idx="18">
                  <c:v>301</c:v>
                </c:pt>
                <c:pt idx="19">
                  <c:v>253</c:v>
                </c:pt>
              </c:numCache>
            </c:numRef>
          </c:yVal>
          <c:smooth val="1"/>
        </c:ser>
        <c:ser>
          <c:idx val="2"/>
          <c:order val="1"/>
          <c:tx>
            <c:v>z7</c:v>
          </c:tx>
          <c:spPr>
            <a:ln>
              <a:solidFill>
                <a:schemeClr val="accent2"/>
              </a:solidFill>
            </a:ln>
          </c:spPr>
          <c:marker>
            <c:spPr>
              <a:solidFill>
                <a:schemeClr val="accent2"/>
              </a:solidFill>
              <a:ln>
                <a:solidFill>
                  <a:schemeClr val="accent2"/>
                </a:solidFill>
              </a:ln>
            </c:spPr>
          </c:marker>
          <c:xVal>
            <c:numRef>
              <c:f>Feuil1!$F$2:$F$21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Feuil1!$G$2:$G$21</c:f>
              <c:numCache>
                <c:formatCode>General</c:formatCode>
                <c:ptCount val="20"/>
                <c:pt idx="0">
                  <c:v>120</c:v>
                </c:pt>
                <c:pt idx="1">
                  <c:v>168</c:v>
                </c:pt>
                <c:pt idx="2">
                  <c:v>68</c:v>
                </c:pt>
                <c:pt idx="3">
                  <c:v>183</c:v>
                </c:pt>
                <c:pt idx="4">
                  <c:v>232</c:v>
                </c:pt>
                <c:pt idx="5">
                  <c:v>147</c:v>
                </c:pt>
                <c:pt idx="6">
                  <c:v>123</c:v>
                </c:pt>
                <c:pt idx="7">
                  <c:v>170</c:v>
                </c:pt>
                <c:pt idx="8">
                  <c:v>124</c:v>
                </c:pt>
                <c:pt idx="9">
                  <c:v>52</c:v>
                </c:pt>
                <c:pt idx="10">
                  <c:v>65</c:v>
                </c:pt>
                <c:pt idx="11">
                  <c:v>50</c:v>
                </c:pt>
                <c:pt idx="12">
                  <c:v>52</c:v>
                </c:pt>
                <c:pt idx="13">
                  <c:v>151</c:v>
                </c:pt>
                <c:pt idx="14">
                  <c:v>180</c:v>
                </c:pt>
                <c:pt idx="15">
                  <c:v>45</c:v>
                </c:pt>
                <c:pt idx="16">
                  <c:v>198</c:v>
                </c:pt>
                <c:pt idx="17">
                  <c:v>190</c:v>
                </c:pt>
                <c:pt idx="18">
                  <c:v>151</c:v>
                </c:pt>
                <c:pt idx="19">
                  <c:v>212</c:v>
                </c:pt>
              </c:numCache>
            </c:numRef>
          </c:yVal>
          <c:smooth val="1"/>
        </c:ser>
        <c:ser>
          <c:idx val="3"/>
          <c:order val="2"/>
          <c:tx>
            <c:v>z5</c:v>
          </c:tx>
          <c:spPr>
            <a:ln>
              <a:solidFill>
                <a:schemeClr val="accent3"/>
              </a:solidFill>
            </a:ln>
          </c:spPr>
          <c:marker>
            <c:spPr>
              <a:solidFill>
                <a:schemeClr val="accent3"/>
              </a:solidFill>
              <a:ln>
                <a:solidFill>
                  <a:schemeClr val="accent3"/>
                </a:solidFill>
              </a:ln>
            </c:spPr>
          </c:marker>
          <c:xVal>
            <c:numRef>
              <c:f>Feuil1!$K$2:$K$21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Feuil1!$L$2:$L$21</c:f>
              <c:numCache>
                <c:formatCode>General</c:formatCode>
                <c:ptCount val="20"/>
                <c:pt idx="0">
                  <c:v>249</c:v>
                </c:pt>
                <c:pt idx="1">
                  <c:v>142</c:v>
                </c:pt>
                <c:pt idx="2">
                  <c:v>61</c:v>
                </c:pt>
                <c:pt idx="3">
                  <c:v>301</c:v>
                </c:pt>
                <c:pt idx="4">
                  <c:v>337</c:v>
                </c:pt>
                <c:pt idx="5">
                  <c:v>153</c:v>
                </c:pt>
                <c:pt idx="6">
                  <c:v>306</c:v>
                </c:pt>
                <c:pt idx="7">
                  <c:v>157</c:v>
                </c:pt>
                <c:pt idx="8">
                  <c:v>88</c:v>
                </c:pt>
                <c:pt idx="9">
                  <c:v>154</c:v>
                </c:pt>
                <c:pt idx="10">
                  <c:v>69</c:v>
                </c:pt>
                <c:pt idx="11">
                  <c:v>125</c:v>
                </c:pt>
                <c:pt idx="12">
                  <c:v>77</c:v>
                </c:pt>
                <c:pt idx="13">
                  <c:v>166</c:v>
                </c:pt>
                <c:pt idx="14">
                  <c:v>89</c:v>
                </c:pt>
                <c:pt idx="15">
                  <c:v>118</c:v>
                </c:pt>
                <c:pt idx="16">
                  <c:v>68</c:v>
                </c:pt>
                <c:pt idx="17">
                  <c:v>62</c:v>
                </c:pt>
                <c:pt idx="18">
                  <c:v>383</c:v>
                </c:pt>
                <c:pt idx="19">
                  <c:v>86</c:v>
                </c:pt>
              </c:numCache>
            </c:numRef>
          </c:yVal>
          <c:smooth val="1"/>
        </c:ser>
        <c:axId val="143078144"/>
        <c:axId val="143080448"/>
      </c:scatterChart>
      <c:valAx>
        <c:axId val="143078144"/>
        <c:scaling>
          <c:orientation val="minMax"/>
          <c:max val="20"/>
          <c:min val="1"/>
        </c:scaling>
        <c:axPos val="b"/>
        <c:majorGridlines>
          <c:spPr>
            <a:ln>
              <a:solidFill>
                <a:srgbClr val="EEECE1">
                  <a:lumMod val="50000"/>
                </a:srgbClr>
              </a:solidFill>
            </a:ln>
          </c:spPr>
        </c:majorGridlines>
        <c:title>
          <c:tx>
            <c:rich>
              <a:bodyPr/>
              <a:lstStyle/>
              <a:p>
                <a:pPr>
                  <a:defRPr/>
                </a:pPr>
                <a:r>
                  <a:rPr lang="en-US"/>
                  <a:t>tepms (jour)</a:t>
                </a:r>
              </a:p>
            </c:rich>
          </c:tx>
          <c:layout>
            <c:manualLayout>
              <c:xMode val="edge"/>
              <c:yMode val="edge"/>
              <c:x val="0.7833462488748465"/>
              <c:y val="0.94773870085420531"/>
            </c:manualLayout>
          </c:layout>
        </c:title>
        <c:numFmt formatCode="General" sourceLinked="1"/>
        <c:majorTickMark val="none"/>
        <c:tickLblPos val="nextTo"/>
        <c:crossAx val="143080448"/>
        <c:crosses val="autoZero"/>
        <c:crossBetween val="midCat"/>
        <c:majorUnit val="1"/>
      </c:valAx>
      <c:valAx>
        <c:axId val="143080448"/>
        <c:scaling>
          <c:orientation val="minMax"/>
        </c:scaling>
        <c:axPos val="l"/>
        <c:majorGridlines>
          <c:spPr>
            <a:ln>
              <a:solidFill>
                <a:srgbClr val="EEECE1">
                  <a:lumMod val="50000"/>
                </a:srgbClr>
              </a:solidFill>
            </a:ln>
          </c:spPr>
        </c:majorGridlines>
        <c:title>
          <c:tx>
            <c:rich>
              <a:bodyPr/>
              <a:lstStyle/>
              <a:p>
                <a:pPr>
                  <a:defRPr/>
                </a:pPr>
                <a:r>
                  <a:rPr lang="en-US"/>
                  <a:t>pénétrabilité (1/10 mm)</a:t>
                </a:r>
              </a:p>
            </c:rich>
          </c:tx>
          <c:layout>
            <c:manualLayout>
              <c:xMode val="edge"/>
              <c:yMode val="edge"/>
              <c:x val="4.8479188998737079E-4"/>
              <c:y val="5.9743328046144933E-2"/>
            </c:manualLayout>
          </c:layout>
        </c:title>
        <c:numFmt formatCode="General" sourceLinked="1"/>
        <c:majorTickMark val="none"/>
        <c:tickLblPos val="nextTo"/>
        <c:crossAx val="143078144"/>
        <c:crosses val="autoZero"/>
        <c:crossBetween val="midCat"/>
      </c:valAx>
      <c:spPr>
        <a:ln>
          <a:solidFill>
            <a:schemeClr val="bg2">
              <a:lumMod val="50000"/>
            </a:schemeClr>
          </a:solidFill>
        </a:ln>
        <a:scene3d>
          <a:camera prst="orthographicFront"/>
          <a:lightRig rig="threePt" dir="t"/>
        </a:scene3d>
        <a:sp3d>
          <a:bevelT/>
        </a:sp3d>
      </c:spPr>
    </c:plotArea>
    <c:legend>
      <c:legendPos val="r"/>
    </c:legend>
    <c:plotVisOnly val="1"/>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fr-FR"/>
  <c:style val="3"/>
  <c:chart>
    <c:autoTitleDeleted val="1"/>
    <c:plotArea>
      <c:layout>
        <c:manualLayout>
          <c:layoutTarget val="inner"/>
          <c:xMode val="edge"/>
          <c:yMode val="edge"/>
          <c:x val="0.14394454377108432"/>
          <c:y val="5.1400554097404488E-2"/>
          <c:w val="0.70589755173449964"/>
          <c:h val="0.70005358705161858"/>
        </c:manualLayout>
      </c:layout>
      <c:scatterChart>
        <c:scatterStyle val="smoothMarker"/>
        <c:ser>
          <c:idx val="0"/>
          <c:order val="0"/>
          <c:tx>
            <c:v>P</c:v>
          </c:tx>
          <c:xVal>
            <c:numRef>
              <c:f>Feuil1!$AH$2:$AH$11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Feuil1!$AI$2:$AI$11</c:f>
              <c:numCache>
                <c:formatCode>General</c:formatCode>
                <c:ptCount val="10"/>
                <c:pt idx="0">
                  <c:v>39</c:v>
                </c:pt>
                <c:pt idx="1">
                  <c:v>42</c:v>
                </c:pt>
                <c:pt idx="2">
                  <c:v>45</c:v>
                </c:pt>
                <c:pt idx="3">
                  <c:v>43</c:v>
                </c:pt>
                <c:pt idx="4">
                  <c:v>46</c:v>
                </c:pt>
                <c:pt idx="5">
                  <c:v>38</c:v>
                </c:pt>
                <c:pt idx="6">
                  <c:v>52</c:v>
                </c:pt>
                <c:pt idx="7">
                  <c:v>46</c:v>
                </c:pt>
                <c:pt idx="8">
                  <c:v>54</c:v>
                </c:pt>
                <c:pt idx="9">
                  <c:v>51</c:v>
                </c:pt>
              </c:numCache>
            </c:numRef>
          </c:yVal>
          <c:smooth val="1"/>
        </c:ser>
        <c:axId val="146843904"/>
        <c:axId val="146850176"/>
      </c:scatterChart>
      <c:scatterChart>
        <c:scatterStyle val="smoothMarker"/>
        <c:ser>
          <c:idx val="1"/>
          <c:order val="1"/>
          <c:tx>
            <c:v>r</c:v>
          </c:tx>
          <c:xVal>
            <c:numRef>
              <c:f>Feuil1!$AH$2:$AH$11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Feuil1!$AJ$2:$AJ$11</c:f>
              <c:numCache>
                <c:formatCode>General</c:formatCode>
                <c:ptCount val="10"/>
                <c:pt idx="0">
                  <c:v>66</c:v>
                </c:pt>
                <c:pt idx="1">
                  <c:v>60</c:v>
                </c:pt>
                <c:pt idx="2">
                  <c:v>53</c:v>
                </c:pt>
                <c:pt idx="3">
                  <c:v>59</c:v>
                </c:pt>
                <c:pt idx="4">
                  <c:v>52</c:v>
                </c:pt>
                <c:pt idx="5">
                  <c:v>68</c:v>
                </c:pt>
                <c:pt idx="6">
                  <c:v>43</c:v>
                </c:pt>
                <c:pt idx="7">
                  <c:v>57</c:v>
                </c:pt>
                <c:pt idx="8">
                  <c:v>38</c:v>
                </c:pt>
                <c:pt idx="9">
                  <c:v>41</c:v>
                </c:pt>
              </c:numCache>
            </c:numRef>
          </c:yVal>
          <c:smooth val="1"/>
        </c:ser>
        <c:axId val="146857984"/>
        <c:axId val="146852096"/>
      </c:scatterChart>
      <c:valAx>
        <c:axId val="146843904"/>
        <c:scaling>
          <c:orientation val="minMax"/>
          <c:max val="10"/>
          <c:min val="1"/>
        </c:scaling>
        <c:axPos val="b"/>
        <c:title>
          <c:tx>
            <c:rich>
              <a:bodyPr/>
              <a:lstStyle/>
              <a:p>
                <a:pPr>
                  <a:defRPr/>
                </a:pPr>
                <a:r>
                  <a:rPr lang="en-US"/>
                  <a:t>temps (jour)</a:t>
                </a:r>
              </a:p>
            </c:rich>
          </c:tx>
          <c:layout>
            <c:manualLayout>
              <c:xMode val="edge"/>
              <c:yMode val="edge"/>
              <c:x val="0.75749300087489879"/>
              <c:y val="0.85553222513852434"/>
            </c:manualLayout>
          </c:layout>
        </c:title>
        <c:numFmt formatCode="General" sourceLinked="1"/>
        <c:majorTickMark val="none"/>
        <c:tickLblPos val="nextTo"/>
        <c:crossAx val="146850176"/>
        <c:crosses val="autoZero"/>
        <c:crossBetween val="midCat"/>
        <c:majorUnit val="1"/>
      </c:valAx>
      <c:valAx>
        <c:axId val="146850176"/>
        <c:scaling>
          <c:orientation val="minMax"/>
          <c:max val="70"/>
          <c:min val="30"/>
        </c:scaling>
        <c:axPos val="l"/>
        <c:majorGridlines/>
        <c:title>
          <c:tx>
            <c:rich>
              <a:bodyPr/>
              <a:lstStyle/>
              <a:p>
                <a:pPr>
                  <a:defRPr/>
                </a:pPr>
                <a:r>
                  <a:rPr lang="en-US"/>
                  <a:t>(°C)  Ramollissement</a:t>
                </a:r>
              </a:p>
              <a:p>
                <a:pPr>
                  <a:defRPr/>
                </a:pPr>
                <a:r>
                  <a:rPr lang="en-US"/>
                  <a:t>(1/10 mm) Pénétrabilité</a:t>
                </a:r>
              </a:p>
            </c:rich>
          </c:tx>
          <c:layout>
            <c:manualLayout>
              <c:xMode val="edge"/>
              <c:yMode val="edge"/>
              <c:x val="2.5000000000000001E-2"/>
              <c:y val="0.20087160979877328"/>
            </c:manualLayout>
          </c:layout>
        </c:title>
        <c:numFmt formatCode="General" sourceLinked="1"/>
        <c:majorTickMark val="none"/>
        <c:tickLblPos val="nextTo"/>
        <c:crossAx val="146843904"/>
        <c:crosses val="autoZero"/>
        <c:crossBetween val="midCat"/>
        <c:majorUnit val="5"/>
      </c:valAx>
      <c:valAx>
        <c:axId val="146852096"/>
        <c:scaling>
          <c:orientation val="minMax"/>
          <c:max val="70"/>
          <c:min val="30"/>
        </c:scaling>
        <c:axPos val="r"/>
        <c:numFmt formatCode="General" sourceLinked="1"/>
        <c:majorTickMark val="in"/>
        <c:tickLblPos val="nextTo"/>
        <c:crossAx val="146857984"/>
        <c:crosses val="max"/>
        <c:crossBetween val="midCat"/>
        <c:majorUnit val="5"/>
      </c:valAx>
      <c:valAx>
        <c:axId val="146857984"/>
        <c:scaling>
          <c:orientation val="minMax"/>
        </c:scaling>
        <c:delete val="1"/>
        <c:axPos val="b"/>
        <c:numFmt formatCode="General" sourceLinked="1"/>
        <c:tickLblPos val="nextTo"/>
        <c:crossAx val="146852096"/>
        <c:crosses val="autoZero"/>
        <c:crossBetween val="midCat"/>
      </c:valAx>
      <c:spPr>
        <a:noFill/>
        <a:ln w="25400">
          <a:noFill/>
        </a:ln>
      </c:spPr>
    </c:plotArea>
    <c:legend>
      <c:legendPos val="r"/>
    </c:legend>
    <c:plotVisOnly val="1"/>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fr-FR"/>
  <c:style val="4"/>
  <c:chart>
    <c:autoTitleDeleted val="1"/>
    <c:plotArea>
      <c:layout/>
      <c:scatterChart>
        <c:scatterStyle val="smoothMarker"/>
        <c:ser>
          <c:idx val="0"/>
          <c:order val="0"/>
          <c:tx>
            <c:v>P</c:v>
          </c:tx>
          <c:xVal>
            <c:numRef>
              <c:f>Feuil1!$AD$2:$AD$11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Feuil1!$AE$2:$AE$11</c:f>
              <c:numCache>
                <c:formatCode>General</c:formatCode>
                <c:ptCount val="10"/>
                <c:pt idx="0">
                  <c:v>41</c:v>
                </c:pt>
                <c:pt idx="1">
                  <c:v>42</c:v>
                </c:pt>
                <c:pt idx="2">
                  <c:v>45</c:v>
                </c:pt>
                <c:pt idx="3">
                  <c:v>43</c:v>
                </c:pt>
                <c:pt idx="4">
                  <c:v>46</c:v>
                </c:pt>
                <c:pt idx="5">
                  <c:v>42</c:v>
                </c:pt>
                <c:pt idx="6">
                  <c:v>49</c:v>
                </c:pt>
                <c:pt idx="7">
                  <c:v>46</c:v>
                </c:pt>
                <c:pt idx="8">
                  <c:v>50</c:v>
                </c:pt>
                <c:pt idx="9">
                  <c:v>48</c:v>
                </c:pt>
              </c:numCache>
            </c:numRef>
          </c:yVal>
          <c:smooth val="1"/>
        </c:ser>
        <c:axId val="143139968"/>
        <c:axId val="143141888"/>
      </c:scatterChart>
      <c:scatterChart>
        <c:scatterStyle val="smoothMarker"/>
        <c:ser>
          <c:idx val="1"/>
          <c:order val="1"/>
          <c:tx>
            <c:v>R</c:v>
          </c:tx>
          <c:xVal>
            <c:numRef>
              <c:f>Feuil1!$AD$2:$AD$11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Feuil1!$AF$2:$AF$11</c:f>
              <c:numCache>
                <c:formatCode>General</c:formatCode>
                <c:ptCount val="10"/>
                <c:pt idx="0">
                  <c:v>49</c:v>
                </c:pt>
                <c:pt idx="1">
                  <c:v>60</c:v>
                </c:pt>
                <c:pt idx="2">
                  <c:v>53</c:v>
                </c:pt>
                <c:pt idx="3">
                  <c:v>59</c:v>
                </c:pt>
                <c:pt idx="4">
                  <c:v>52</c:v>
                </c:pt>
                <c:pt idx="5">
                  <c:v>60</c:v>
                </c:pt>
                <c:pt idx="6">
                  <c:v>51</c:v>
                </c:pt>
                <c:pt idx="7">
                  <c:v>47</c:v>
                </c:pt>
                <c:pt idx="8">
                  <c:v>41</c:v>
                </c:pt>
                <c:pt idx="9">
                  <c:v>57</c:v>
                </c:pt>
              </c:numCache>
            </c:numRef>
          </c:yVal>
          <c:smooth val="1"/>
        </c:ser>
        <c:axId val="143145600"/>
        <c:axId val="143144064"/>
      </c:scatterChart>
      <c:valAx>
        <c:axId val="143139968"/>
        <c:scaling>
          <c:orientation val="minMax"/>
          <c:max val="10"/>
          <c:min val="1"/>
        </c:scaling>
        <c:axPos val="b"/>
        <c:title>
          <c:tx>
            <c:rich>
              <a:bodyPr/>
              <a:lstStyle/>
              <a:p>
                <a:pPr>
                  <a:defRPr/>
                </a:pPr>
                <a:r>
                  <a:rPr lang="en-US"/>
                  <a:t>temps(jour) </a:t>
                </a:r>
              </a:p>
            </c:rich>
          </c:tx>
          <c:layout>
            <c:manualLayout>
              <c:xMode val="edge"/>
              <c:yMode val="edge"/>
              <c:x val="0.77379155730535065"/>
              <c:y val="0.87405074365704283"/>
            </c:manualLayout>
          </c:layout>
        </c:title>
        <c:numFmt formatCode="General" sourceLinked="1"/>
        <c:majorTickMark val="none"/>
        <c:tickLblPos val="nextTo"/>
        <c:spPr>
          <a:ln>
            <a:solidFill>
              <a:srgbClr val="F79646">
                <a:lumMod val="75000"/>
              </a:srgbClr>
            </a:solidFill>
          </a:ln>
        </c:spPr>
        <c:crossAx val="143141888"/>
        <c:crosses val="autoZero"/>
        <c:crossBetween val="midCat"/>
        <c:majorUnit val="1"/>
      </c:valAx>
      <c:valAx>
        <c:axId val="143141888"/>
        <c:scaling>
          <c:orientation val="minMax"/>
          <c:max val="70"/>
          <c:min val="40"/>
        </c:scaling>
        <c:axPos val="l"/>
        <c:majorGridlines>
          <c:spPr>
            <a:ln>
              <a:solidFill>
                <a:srgbClr val="F79646">
                  <a:lumMod val="75000"/>
                </a:srgbClr>
              </a:solidFill>
            </a:ln>
          </c:spPr>
        </c:majorGridlines>
        <c:title>
          <c:tx>
            <c:rich>
              <a:bodyPr/>
              <a:lstStyle/>
              <a:p>
                <a:pPr>
                  <a:defRPr/>
                </a:pPr>
                <a:r>
                  <a:rPr lang="en-US"/>
                  <a:t>1/10mm P</a:t>
                </a:r>
              </a:p>
              <a:p>
                <a:pPr>
                  <a:defRPr/>
                </a:pPr>
                <a:r>
                  <a:rPr lang="en-US"/>
                  <a:t>°C R</a:t>
                </a:r>
              </a:p>
            </c:rich>
          </c:tx>
          <c:layout>
            <c:manualLayout>
              <c:xMode val="edge"/>
              <c:yMode val="edge"/>
              <c:x val="3.0555555555555582E-2"/>
              <c:y val="0.17832531350248146"/>
            </c:manualLayout>
          </c:layout>
        </c:title>
        <c:numFmt formatCode="General" sourceLinked="1"/>
        <c:majorTickMark val="none"/>
        <c:tickLblPos val="nextTo"/>
        <c:spPr>
          <a:ln>
            <a:solidFill>
              <a:srgbClr val="F79646">
                <a:lumMod val="75000"/>
              </a:srgbClr>
            </a:solidFill>
          </a:ln>
        </c:spPr>
        <c:crossAx val="143139968"/>
        <c:crosses val="autoZero"/>
        <c:crossBetween val="midCat"/>
        <c:majorUnit val="5"/>
      </c:valAx>
      <c:valAx>
        <c:axId val="143144064"/>
        <c:scaling>
          <c:orientation val="minMax"/>
          <c:max val="70"/>
          <c:min val="40"/>
        </c:scaling>
        <c:axPos val="r"/>
        <c:numFmt formatCode="General" sourceLinked="1"/>
        <c:majorTickMark val="in"/>
        <c:tickLblPos val="nextTo"/>
        <c:spPr>
          <a:ln>
            <a:solidFill>
              <a:srgbClr val="F79646">
                <a:lumMod val="75000"/>
              </a:srgbClr>
            </a:solidFill>
          </a:ln>
        </c:spPr>
        <c:crossAx val="143145600"/>
        <c:crosses val="max"/>
        <c:crossBetween val="midCat"/>
        <c:majorUnit val="5"/>
      </c:valAx>
      <c:valAx>
        <c:axId val="143145600"/>
        <c:scaling>
          <c:orientation val="minMax"/>
        </c:scaling>
        <c:delete val="1"/>
        <c:axPos val="b"/>
        <c:numFmt formatCode="General" sourceLinked="1"/>
        <c:tickLblPos val="nextTo"/>
        <c:crossAx val="143144064"/>
        <c:crosses val="autoZero"/>
        <c:crossBetween val="midCat"/>
      </c:valAx>
      <c:spPr>
        <a:ln>
          <a:solidFill>
            <a:srgbClr val="F79646">
              <a:lumMod val="75000"/>
            </a:srgbClr>
          </a:solidFill>
        </a:ln>
      </c:spPr>
    </c:plotArea>
    <c:legend>
      <c:legendPos val="r"/>
    </c:legend>
    <c:plotVisOnly val="1"/>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7.3639827770851443E-2"/>
          <c:y val="7.1267517497054053E-2"/>
          <c:w val="0.82060114816176755"/>
          <c:h val="0.78201394944080849"/>
        </c:manualLayout>
      </c:layout>
      <c:scatterChart>
        <c:scatterStyle val="smoothMarker"/>
        <c:ser>
          <c:idx val="0"/>
          <c:order val="0"/>
          <c:tx>
            <c:v>z10</c:v>
          </c:tx>
          <c:xVal>
            <c:numRef>
              <c:f>Feuil1!$A$2:$A$21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Feuil1!$C$2:$C$21</c:f>
              <c:numCache>
                <c:formatCode>General</c:formatCode>
                <c:ptCount val="20"/>
                <c:pt idx="0">
                  <c:v>40</c:v>
                </c:pt>
                <c:pt idx="1">
                  <c:v>38</c:v>
                </c:pt>
                <c:pt idx="2">
                  <c:v>36</c:v>
                </c:pt>
                <c:pt idx="3">
                  <c:v>36</c:v>
                </c:pt>
                <c:pt idx="4">
                  <c:v>37</c:v>
                </c:pt>
                <c:pt idx="5">
                  <c:v>35</c:v>
                </c:pt>
                <c:pt idx="6">
                  <c:v>35</c:v>
                </c:pt>
                <c:pt idx="7">
                  <c:v>36</c:v>
                </c:pt>
                <c:pt idx="8">
                  <c:v>36</c:v>
                </c:pt>
                <c:pt idx="9">
                  <c:v>38</c:v>
                </c:pt>
                <c:pt idx="10">
                  <c:v>40</c:v>
                </c:pt>
                <c:pt idx="11">
                  <c:v>41</c:v>
                </c:pt>
                <c:pt idx="12">
                  <c:v>35</c:v>
                </c:pt>
                <c:pt idx="13">
                  <c:v>36</c:v>
                </c:pt>
                <c:pt idx="14">
                  <c:v>37</c:v>
                </c:pt>
                <c:pt idx="15">
                  <c:v>35</c:v>
                </c:pt>
                <c:pt idx="16">
                  <c:v>43</c:v>
                </c:pt>
                <c:pt idx="17">
                  <c:v>39</c:v>
                </c:pt>
                <c:pt idx="18">
                  <c:v>31</c:v>
                </c:pt>
                <c:pt idx="19">
                  <c:v>33</c:v>
                </c:pt>
              </c:numCache>
            </c:numRef>
          </c:yVal>
          <c:smooth val="1"/>
        </c:ser>
        <c:ser>
          <c:idx val="1"/>
          <c:order val="1"/>
          <c:tx>
            <c:v>z5</c:v>
          </c:tx>
          <c:spPr>
            <a:ln>
              <a:solidFill>
                <a:schemeClr val="accent3"/>
              </a:solidFill>
            </a:ln>
          </c:spPr>
          <c:marker>
            <c:spPr>
              <a:solidFill>
                <a:schemeClr val="accent3"/>
              </a:solidFill>
              <a:ln>
                <a:solidFill>
                  <a:schemeClr val="accent3"/>
                </a:solidFill>
              </a:ln>
            </c:spPr>
          </c:marker>
          <c:xVal>
            <c:numRef>
              <c:f>Feuil1!$F$2:$F$21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Feuil1!$H$2:$H$21</c:f>
              <c:numCache>
                <c:formatCode>General</c:formatCode>
                <c:ptCount val="20"/>
                <c:pt idx="0">
                  <c:v>48</c:v>
                </c:pt>
                <c:pt idx="1">
                  <c:v>42</c:v>
                </c:pt>
                <c:pt idx="2">
                  <c:v>45</c:v>
                </c:pt>
                <c:pt idx="3">
                  <c:v>36</c:v>
                </c:pt>
                <c:pt idx="4">
                  <c:v>37</c:v>
                </c:pt>
                <c:pt idx="5">
                  <c:v>38</c:v>
                </c:pt>
                <c:pt idx="6">
                  <c:v>41</c:v>
                </c:pt>
                <c:pt idx="7">
                  <c:v>37</c:v>
                </c:pt>
                <c:pt idx="8">
                  <c:v>39</c:v>
                </c:pt>
                <c:pt idx="9">
                  <c:v>48</c:v>
                </c:pt>
                <c:pt idx="10">
                  <c:v>25</c:v>
                </c:pt>
                <c:pt idx="11">
                  <c:v>26</c:v>
                </c:pt>
                <c:pt idx="12">
                  <c:v>36</c:v>
                </c:pt>
                <c:pt idx="13">
                  <c:v>34</c:v>
                </c:pt>
                <c:pt idx="14">
                  <c:v>41</c:v>
                </c:pt>
                <c:pt idx="15">
                  <c:v>54</c:v>
                </c:pt>
                <c:pt idx="16">
                  <c:v>33</c:v>
                </c:pt>
                <c:pt idx="17">
                  <c:v>37</c:v>
                </c:pt>
                <c:pt idx="18">
                  <c:v>40</c:v>
                </c:pt>
                <c:pt idx="19">
                  <c:v>38</c:v>
                </c:pt>
              </c:numCache>
            </c:numRef>
          </c:yVal>
          <c:smooth val="1"/>
        </c:ser>
        <c:ser>
          <c:idx val="2"/>
          <c:order val="2"/>
          <c:tx>
            <c:v>z7</c:v>
          </c:tx>
          <c:spPr>
            <a:ln>
              <a:solidFill>
                <a:schemeClr val="accent2"/>
              </a:solidFill>
            </a:ln>
          </c:spPr>
          <c:marker>
            <c:spPr>
              <a:solidFill>
                <a:schemeClr val="accent2"/>
              </a:solidFill>
              <a:ln>
                <a:solidFill>
                  <a:schemeClr val="accent2"/>
                </a:solidFill>
              </a:ln>
            </c:spPr>
          </c:marker>
          <c:xVal>
            <c:numRef>
              <c:f>Feuil1!$K$2:$K$21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Feuil1!$M$2:$M$21</c:f>
              <c:numCache>
                <c:formatCode>General</c:formatCode>
                <c:ptCount val="20"/>
                <c:pt idx="0">
                  <c:v>17</c:v>
                </c:pt>
                <c:pt idx="1">
                  <c:v>52</c:v>
                </c:pt>
                <c:pt idx="2">
                  <c:v>58</c:v>
                </c:pt>
                <c:pt idx="3">
                  <c:v>36</c:v>
                </c:pt>
                <c:pt idx="4">
                  <c:v>27</c:v>
                </c:pt>
                <c:pt idx="5">
                  <c:v>28</c:v>
                </c:pt>
                <c:pt idx="6">
                  <c:v>19</c:v>
                </c:pt>
                <c:pt idx="7">
                  <c:v>30</c:v>
                </c:pt>
                <c:pt idx="8">
                  <c:v>29</c:v>
                </c:pt>
                <c:pt idx="9">
                  <c:v>40</c:v>
                </c:pt>
                <c:pt idx="10">
                  <c:v>25</c:v>
                </c:pt>
                <c:pt idx="11">
                  <c:v>19</c:v>
                </c:pt>
                <c:pt idx="12">
                  <c:v>46</c:v>
                </c:pt>
                <c:pt idx="13">
                  <c:v>44</c:v>
                </c:pt>
                <c:pt idx="14">
                  <c:v>33</c:v>
                </c:pt>
                <c:pt idx="15">
                  <c:v>61</c:v>
                </c:pt>
                <c:pt idx="16">
                  <c:v>30</c:v>
                </c:pt>
                <c:pt idx="17">
                  <c:v>27</c:v>
                </c:pt>
                <c:pt idx="18">
                  <c:v>11</c:v>
                </c:pt>
                <c:pt idx="19">
                  <c:v>28</c:v>
                </c:pt>
              </c:numCache>
            </c:numRef>
          </c:yVal>
          <c:smooth val="1"/>
        </c:ser>
        <c:axId val="146415616"/>
        <c:axId val="146417920"/>
      </c:scatterChart>
      <c:valAx>
        <c:axId val="146415616"/>
        <c:scaling>
          <c:orientation val="minMax"/>
          <c:max val="20"/>
          <c:min val="1"/>
        </c:scaling>
        <c:axPos val="b"/>
        <c:majorGridlines>
          <c:spPr>
            <a:ln>
              <a:solidFill>
                <a:srgbClr val="1F497D">
                  <a:lumMod val="60000"/>
                  <a:lumOff val="40000"/>
                </a:srgbClr>
              </a:solidFill>
            </a:ln>
          </c:spPr>
        </c:majorGridlines>
        <c:title>
          <c:tx>
            <c:rich>
              <a:bodyPr/>
              <a:lstStyle/>
              <a:p>
                <a:pPr>
                  <a:defRPr/>
                </a:pPr>
                <a:r>
                  <a:rPr lang="en-US"/>
                  <a:t>temps(jour)</a:t>
                </a:r>
              </a:p>
            </c:rich>
          </c:tx>
          <c:layout>
            <c:manualLayout>
              <c:xMode val="edge"/>
              <c:yMode val="edge"/>
              <c:x val="0.87236951490026959"/>
              <c:y val="0.9306054914625852"/>
            </c:manualLayout>
          </c:layout>
        </c:title>
        <c:numFmt formatCode="General" sourceLinked="1"/>
        <c:majorTickMark val="in"/>
        <c:tickLblPos val="nextTo"/>
        <c:spPr>
          <a:ln>
            <a:solidFill>
              <a:srgbClr val="1F497D">
                <a:lumMod val="60000"/>
                <a:lumOff val="40000"/>
              </a:srgbClr>
            </a:solidFill>
          </a:ln>
        </c:spPr>
        <c:crossAx val="146417920"/>
        <c:crosses val="autoZero"/>
        <c:crossBetween val="midCat"/>
        <c:majorUnit val="1"/>
      </c:valAx>
      <c:valAx>
        <c:axId val="146417920"/>
        <c:scaling>
          <c:orientation val="minMax"/>
        </c:scaling>
        <c:axPos val="l"/>
        <c:majorGridlines>
          <c:spPr>
            <a:ln>
              <a:solidFill>
                <a:srgbClr val="1F497D">
                  <a:lumMod val="60000"/>
                  <a:lumOff val="40000"/>
                </a:srgbClr>
              </a:solidFill>
            </a:ln>
          </c:spPr>
        </c:majorGridlines>
        <c:title>
          <c:tx>
            <c:rich>
              <a:bodyPr/>
              <a:lstStyle/>
              <a:p>
                <a:pPr>
                  <a:defRPr/>
                </a:pPr>
                <a:r>
                  <a:rPr lang="en-US"/>
                  <a:t>ramollissement (°C)</a:t>
                </a:r>
              </a:p>
            </c:rich>
          </c:tx>
          <c:layout>
            <c:manualLayout>
              <c:xMode val="edge"/>
              <c:yMode val="edge"/>
              <c:x val="3.2019085784291355E-4"/>
              <c:y val="0.13606902244598099"/>
            </c:manualLayout>
          </c:layout>
        </c:title>
        <c:numFmt formatCode="General" sourceLinked="1"/>
        <c:majorTickMark val="in"/>
        <c:tickLblPos val="nextTo"/>
        <c:spPr>
          <a:ln>
            <a:solidFill>
              <a:srgbClr val="1F497D">
                <a:lumMod val="60000"/>
                <a:lumOff val="40000"/>
              </a:srgbClr>
            </a:solidFill>
          </a:ln>
        </c:spPr>
        <c:crossAx val="146415616"/>
        <c:crosses val="autoZero"/>
        <c:crossBetween val="midCat"/>
      </c:valAx>
      <c:spPr>
        <a:noFill/>
        <a:scene3d>
          <a:camera prst="orthographicFront"/>
          <a:lightRig rig="threePt" dir="t"/>
        </a:scene3d>
        <a:sp3d>
          <a:bevelT/>
        </a:sp3d>
      </c:spPr>
    </c:plotArea>
    <c:legend>
      <c:legendPos val="r"/>
    </c:legend>
    <c:plotVisOnly val="1"/>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scatterChart>
        <c:scatterStyle val="smoothMarker"/>
        <c:ser>
          <c:idx val="0"/>
          <c:order val="0"/>
          <c:tx>
            <c:v>z10</c:v>
          </c:tx>
          <c:xVal>
            <c:numRef>
              <c:f>[Classeur1.xlsx]Feuil1!$A$2:$A$21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[Classeur1.xlsx]Feuil1!$D$2:$D$21</c:f>
              <c:numCache>
                <c:formatCode>General</c:formatCode>
                <c:ptCount val="20"/>
                <c:pt idx="0">
                  <c:v>295</c:v>
                </c:pt>
                <c:pt idx="1">
                  <c:v>296</c:v>
                </c:pt>
                <c:pt idx="2">
                  <c:v>280</c:v>
                </c:pt>
                <c:pt idx="3">
                  <c:v>278</c:v>
                </c:pt>
                <c:pt idx="4">
                  <c:v>286</c:v>
                </c:pt>
                <c:pt idx="5">
                  <c:v>288</c:v>
                </c:pt>
                <c:pt idx="6">
                  <c:v>290</c:v>
                </c:pt>
                <c:pt idx="7">
                  <c:v>296</c:v>
                </c:pt>
                <c:pt idx="8">
                  <c:v>286</c:v>
                </c:pt>
                <c:pt idx="9">
                  <c:v>282</c:v>
                </c:pt>
                <c:pt idx="10">
                  <c:v>292</c:v>
                </c:pt>
                <c:pt idx="11">
                  <c:v>290</c:v>
                </c:pt>
                <c:pt idx="12">
                  <c:v>290</c:v>
                </c:pt>
                <c:pt idx="13">
                  <c:v>288</c:v>
                </c:pt>
                <c:pt idx="14">
                  <c:v>252</c:v>
                </c:pt>
                <c:pt idx="15">
                  <c:v>281</c:v>
                </c:pt>
                <c:pt idx="16">
                  <c:v>283</c:v>
                </c:pt>
                <c:pt idx="17">
                  <c:v>285</c:v>
                </c:pt>
                <c:pt idx="18">
                  <c:v>302</c:v>
                </c:pt>
                <c:pt idx="19">
                  <c:v>296</c:v>
                </c:pt>
              </c:numCache>
            </c:numRef>
          </c:yVal>
          <c:smooth val="1"/>
        </c:ser>
        <c:ser>
          <c:idx val="1"/>
          <c:order val="1"/>
          <c:tx>
            <c:v>z7</c:v>
          </c:tx>
          <c:xVal>
            <c:numRef>
              <c:f>[Classeur1.xlsx]Feuil1!$F$2:$F$21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[Classeur1.xlsx]Feuil1!$I$2:$I$21</c:f>
              <c:numCache>
                <c:formatCode>General</c:formatCode>
                <c:ptCount val="20"/>
                <c:pt idx="0">
                  <c:v>302</c:v>
                </c:pt>
                <c:pt idx="1">
                  <c:v>324</c:v>
                </c:pt>
                <c:pt idx="2">
                  <c:v>316</c:v>
                </c:pt>
                <c:pt idx="3">
                  <c:v>313</c:v>
                </c:pt>
                <c:pt idx="4">
                  <c:v>305</c:v>
                </c:pt>
                <c:pt idx="5">
                  <c:v>316</c:v>
                </c:pt>
                <c:pt idx="6">
                  <c:v>317</c:v>
                </c:pt>
                <c:pt idx="7">
                  <c:v>319</c:v>
                </c:pt>
                <c:pt idx="8">
                  <c:v>320</c:v>
                </c:pt>
                <c:pt idx="9">
                  <c:v>312</c:v>
                </c:pt>
                <c:pt idx="10">
                  <c:v>318</c:v>
                </c:pt>
                <c:pt idx="11">
                  <c:v>313</c:v>
                </c:pt>
                <c:pt idx="12">
                  <c:v>310</c:v>
                </c:pt>
                <c:pt idx="13">
                  <c:v>318</c:v>
                </c:pt>
                <c:pt idx="14">
                  <c:v>332</c:v>
                </c:pt>
                <c:pt idx="15">
                  <c:v>322</c:v>
                </c:pt>
                <c:pt idx="16">
                  <c:v>320</c:v>
                </c:pt>
                <c:pt idx="17">
                  <c:v>322</c:v>
                </c:pt>
                <c:pt idx="18">
                  <c:v>320</c:v>
                </c:pt>
                <c:pt idx="19">
                  <c:v>356</c:v>
                </c:pt>
              </c:numCache>
            </c:numRef>
          </c:yVal>
          <c:smooth val="1"/>
        </c:ser>
        <c:ser>
          <c:idx val="2"/>
          <c:order val="2"/>
          <c:tx>
            <c:v>z5</c:v>
          </c:tx>
          <c:xVal>
            <c:numRef>
              <c:f>[Classeur1.xlsx]Feuil1!$K$2:$K$21</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[Classeur1.xlsx]Feuil1!$N$2:$N$21</c:f>
              <c:numCache>
                <c:formatCode>General</c:formatCode>
                <c:ptCount val="20"/>
                <c:pt idx="0">
                  <c:v>317</c:v>
                </c:pt>
                <c:pt idx="1">
                  <c:v>313</c:v>
                </c:pt>
                <c:pt idx="2">
                  <c:v>315</c:v>
                </c:pt>
                <c:pt idx="3">
                  <c:v>326</c:v>
                </c:pt>
                <c:pt idx="4">
                  <c:v>318</c:v>
                </c:pt>
                <c:pt idx="5">
                  <c:v>323</c:v>
                </c:pt>
                <c:pt idx="6">
                  <c:v>318</c:v>
                </c:pt>
                <c:pt idx="7">
                  <c:v>318</c:v>
                </c:pt>
                <c:pt idx="8">
                  <c:v>318</c:v>
                </c:pt>
                <c:pt idx="9">
                  <c:v>316</c:v>
                </c:pt>
                <c:pt idx="10">
                  <c:v>315</c:v>
                </c:pt>
                <c:pt idx="11">
                  <c:v>314</c:v>
                </c:pt>
                <c:pt idx="12">
                  <c:v>326</c:v>
                </c:pt>
                <c:pt idx="13">
                  <c:v>328</c:v>
                </c:pt>
                <c:pt idx="14">
                  <c:v>316</c:v>
                </c:pt>
                <c:pt idx="15">
                  <c:v>318</c:v>
                </c:pt>
                <c:pt idx="16">
                  <c:v>314</c:v>
                </c:pt>
                <c:pt idx="17">
                  <c:v>376</c:v>
                </c:pt>
                <c:pt idx="18">
                  <c:v>312</c:v>
                </c:pt>
                <c:pt idx="19">
                  <c:v>315</c:v>
                </c:pt>
              </c:numCache>
            </c:numRef>
          </c:yVal>
          <c:smooth val="1"/>
        </c:ser>
        <c:axId val="146439552"/>
        <c:axId val="146462208"/>
      </c:scatterChart>
      <c:valAx>
        <c:axId val="146439552"/>
        <c:scaling>
          <c:orientation val="minMax"/>
          <c:max val="20"/>
          <c:min val="1"/>
        </c:scaling>
        <c:axPos val="b"/>
        <c:majorGridlines>
          <c:spPr>
            <a:ln>
              <a:solidFill>
                <a:srgbClr val="8064A2"/>
              </a:solidFill>
            </a:ln>
          </c:spPr>
        </c:majorGridlines>
        <c:title>
          <c:tx>
            <c:rich>
              <a:bodyPr/>
              <a:lstStyle/>
              <a:p>
                <a:pPr>
                  <a:defRPr/>
                </a:pPr>
                <a:r>
                  <a:rPr lang="en-US"/>
                  <a:t>temps</a:t>
                </a:r>
                <a:r>
                  <a:rPr lang="en-US" baseline="0"/>
                  <a:t> (</a:t>
                </a:r>
                <a:r>
                  <a:rPr lang="en-US"/>
                  <a:t>jour)</a:t>
                </a:r>
              </a:p>
            </c:rich>
          </c:tx>
          <c:layout>
            <c:manualLayout>
              <c:xMode val="edge"/>
              <c:yMode val="edge"/>
              <c:x val="0.82486876640420004"/>
              <c:y val="0.91907295586411453"/>
            </c:manualLayout>
          </c:layout>
        </c:title>
        <c:numFmt formatCode="General" sourceLinked="1"/>
        <c:majorTickMark val="in"/>
        <c:tickLblPos val="nextTo"/>
        <c:spPr>
          <a:ln>
            <a:solidFill>
              <a:srgbClr val="8064A2"/>
            </a:solidFill>
          </a:ln>
        </c:spPr>
        <c:crossAx val="146462208"/>
        <c:crosses val="autoZero"/>
        <c:crossBetween val="midCat"/>
        <c:majorUnit val="1"/>
      </c:valAx>
      <c:valAx>
        <c:axId val="146462208"/>
        <c:scaling>
          <c:orientation val="minMax"/>
          <c:max val="400"/>
          <c:min val="250"/>
        </c:scaling>
        <c:axPos val="l"/>
        <c:majorGridlines>
          <c:spPr>
            <a:ln>
              <a:solidFill>
                <a:srgbClr val="8064A2"/>
              </a:solidFill>
            </a:ln>
          </c:spPr>
        </c:majorGridlines>
        <c:title>
          <c:tx>
            <c:rich>
              <a:bodyPr/>
              <a:lstStyle/>
              <a:p>
                <a:pPr>
                  <a:defRPr/>
                </a:pPr>
                <a:r>
                  <a:rPr lang="en-US"/>
                  <a:t>point d'éclaire  (°C)</a:t>
                </a:r>
              </a:p>
            </c:rich>
          </c:tx>
          <c:layout>
            <c:manualLayout>
              <c:xMode val="edge"/>
              <c:yMode val="edge"/>
              <c:x val="3.0555500002173892E-2"/>
              <c:y val="3.3522115432517464E-2"/>
            </c:manualLayout>
          </c:layout>
        </c:title>
        <c:numFmt formatCode="General" sourceLinked="1"/>
        <c:majorTickMark val="none"/>
        <c:tickLblPos val="nextTo"/>
        <c:crossAx val="146439552"/>
        <c:crosses val="autoZero"/>
        <c:crossBetween val="midCat"/>
        <c:majorUnit val="25"/>
      </c:valAx>
    </c:plotArea>
    <c:legend>
      <c:legendPos val="r"/>
    </c:legend>
    <c:plotVisOnly val="1"/>
  </c:chart>
  <c:spPr>
    <a:solidFill>
      <a:schemeClr val="lt1"/>
    </a:solidFill>
    <a:ln w="25400" cap="flat" cmpd="sng" algn="ctr">
      <a:solidFill>
        <a:schemeClr val="accent5"/>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style val="4"/>
  <c:chart>
    <c:autoTitleDeleted val="1"/>
    <c:plotArea>
      <c:layout/>
      <c:scatterChart>
        <c:scatterStyle val="smoothMarker"/>
        <c:ser>
          <c:idx val="0"/>
          <c:order val="0"/>
          <c:tx>
            <c:v>pénétrabilité</c:v>
          </c:tx>
          <c:xVal>
            <c:numRef>
              <c:f>Feuil1!$P$2:$P$6</c:f>
              <c:numCache>
                <c:formatCode>General</c:formatCode>
                <c:ptCount val="5"/>
                <c:pt idx="0">
                  <c:v>1</c:v>
                </c:pt>
                <c:pt idx="1">
                  <c:v>2</c:v>
                </c:pt>
                <c:pt idx="2">
                  <c:v>3</c:v>
                </c:pt>
                <c:pt idx="3">
                  <c:v>4</c:v>
                </c:pt>
                <c:pt idx="4">
                  <c:v>5</c:v>
                </c:pt>
              </c:numCache>
            </c:numRef>
          </c:xVal>
          <c:yVal>
            <c:numRef>
              <c:f>Feuil1!$Q$2:$Q$6</c:f>
              <c:numCache>
                <c:formatCode>General</c:formatCode>
                <c:ptCount val="5"/>
                <c:pt idx="0">
                  <c:v>175</c:v>
                </c:pt>
                <c:pt idx="1">
                  <c:v>190</c:v>
                </c:pt>
                <c:pt idx="2">
                  <c:v>212</c:v>
                </c:pt>
                <c:pt idx="3">
                  <c:v>265</c:v>
                </c:pt>
                <c:pt idx="4">
                  <c:v>198</c:v>
                </c:pt>
              </c:numCache>
            </c:numRef>
          </c:yVal>
          <c:smooth val="1"/>
        </c:ser>
        <c:axId val="146568320"/>
        <c:axId val="146570240"/>
      </c:scatterChart>
      <c:valAx>
        <c:axId val="146568320"/>
        <c:scaling>
          <c:orientation val="minMax"/>
          <c:max val="5"/>
          <c:min val="1"/>
        </c:scaling>
        <c:axPos val="b"/>
        <c:majorGridlines>
          <c:spPr>
            <a:ln>
              <a:solidFill>
                <a:schemeClr val="accent2"/>
              </a:solidFill>
            </a:ln>
          </c:spPr>
        </c:majorGridlines>
        <c:title>
          <c:tx>
            <c:rich>
              <a:bodyPr/>
              <a:lstStyle/>
              <a:p>
                <a:pPr>
                  <a:defRPr/>
                </a:pPr>
                <a:r>
                  <a:rPr lang="en-US"/>
                  <a:t>temps(jour)</a:t>
                </a:r>
              </a:p>
            </c:rich>
          </c:tx>
          <c:layout>
            <c:manualLayout>
              <c:xMode val="edge"/>
              <c:yMode val="edge"/>
              <c:x val="0.90799431321085278"/>
              <c:y val="0.88793963254593555"/>
            </c:manualLayout>
          </c:layout>
        </c:title>
        <c:numFmt formatCode="General" sourceLinked="1"/>
        <c:majorTickMark val="none"/>
        <c:tickLblPos val="nextTo"/>
        <c:crossAx val="146570240"/>
        <c:crosses val="autoZero"/>
        <c:crossBetween val="midCat"/>
        <c:majorUnit val="1"/>
      </c:valAx>
      <c:valAx>
        <c:axId val="146570240"/>
        <c:scaling>
          <c:orientation val="minMax"/>
          <c:max val="300"/>
          <c:min val="150"/>
        </c:scaling>
        <c:axPos val="l"/>
        <c:majorGridlines>
          <c:spPr>
            <a:ln>
              <a:solidFill>
                <a:srgbClr val="C0504D"/>
              </a:solidFill>
            </a:ln>
          </c:spPr>
        </c:majorGridlines>
        <c:title>
          <c:tx>
            <c:rich>
              <a:bodyPr/>
              <a:lstStyle/>
              <a:p>
                <a:pPr>
                  <a:defRPr/>
                </a:pPr>
                <a:r>
                  <a:rPr lang="en-US"/>
                  <a:t>pénétrabilité (1/10mm)</a:t>
                </a:r>
              </a:p>
            </c:rich>
          </c:tx>
          <c:layout>
            <c:manualLayout>
              <c:xMode val="edge"/>
              <c:yMode val="edge"/>
              <c:x val="3.6111155118021251E-2"/>
              <c:y val="4.7723461650627498E-2"/>
            </c:manualLayout>
          </c:layout>
        </c:title>
        <c:numFmt formatCode="General" sourceLinked="1"/>
        <c:majorTickMark val="none"/>
        <c:tickLblPos val="nextTo"/>
        <c:crossAx val="146568320"/>
        <c:crosses val="autoZero"/>
        <c:crossBetween val="midCat"/>
        <c:majorUnit val="30"/>
      </c:valAx>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style val="6"/>
  <c:chart>
    <c:autoTitleDeleted val="1"/>
    <c:plotArea>
      <c:layout>
        <c:manualLayout>
          <c:layoutTarget val="inner"/>
          <c:xMode val="edge"/>
          <c:yMode val="edge"/>
          <c:x val="0.14327969838015492"/>
          <c:y val="6.7943242658499464E-2"/>
          <c:w val="0.81915244928436048"/>
          <c:h val="0.67083507806857601"/>
        </c:manualLayout>
      </c:layout>
      <c:scatterChart>
        <c:scatterStyle val="smoothMarker"/>
        <c:ser>
          <c:idx val="0"/>
          <c:order val="0"/>
          <c:tx>
            <c:v>ramollissement</c:v>
          </c:tx>
          <c:xVal>
            <c:numRef>
              <c:f>Feuil1!$P$2:$P$6</c:f>
              <c:numCache>
                <c:formatCode>General</c:formatCode>
                <c:ptCount val="5"/>
                <c:pt idx="0">
                  <c:v>1</c:v>
                </c:pt>
                <c:pt idx="1">
                  <c:v>2</c:v>
                </c:pt>
                <c:pt idx="2">
                  <c:v>3</c:v>
                </c:pt>
                <c:pt idx="3">
                  <c:v>4</c:v>
                </c:pt>
                <c:pt idx="4">
                  <c:v>5</c:v>
                </c:pt>
              </c:numCache>
            </c:numRef>
          </c:xVal>
          <c:yVal>
            <c:numRef>
              <c:f>Feuil1!$R$2:$R$6</c:f>
              <c:numCache>
                <c:formatCode>General</c:formatCode>
                <c:ptCount val="5"/>
                <c:pt idx="0">
                  <c:v>39</c:v>
                </c:pt>
                <c:pt idx="1">
                  <c:v>40</c:v>
                </c:pt>
                <c:pt idx="2">
                  <c:v>38</c:v>
                </c:pt>
                <c:pt idx="3">
                  <c:v>32</c:v>
                </c:pt>
                <c:pt idx="4">
                  <c:v>37</c:v>
                </c:pt>
              </c:numCache>
            </c:numRef>
          </c:yVal>
          <c:smooth val="1"/>
        </c:ser>
        <c:axId val="146610432"/>
        <c:axId val="146616704"/>
      </c:scatterChart>
      <c:valAx>
        <c:axId val="146610432"/>
        <c:scaling>
          <c:orientation val="minMax"/>
          <c:max val="5"/>
          <c:min val="1"/>
        </c:scaling>
        <c:axPos val="b"/>
        <c:majorGridlines>
          <c:spPr>
            <a:ln>
              <a:solidFill>
                <a:srgbClr val="8064A2"/>
              </a:solidFill>
            </a:ln>
          </c:spPr>
        </c:majorGridlines>
        <c:title>
          <c:tx>
            <c:rich>
              <a:bodyPr/>
              <a:lstStyle/>
              <a:p>
                <a:pPr>
                  <a:defRPr/>
                </a:pPr>
                <a:r>
                  <a:rPr lang="en-US"/>
                  <a:t>temps (jour) </a:t>
                </a:r>
              </a:p>
            </c:rich>
          </c:tx>
          <c:layout>
            <c:manualLayout>
              <c:xMode val="edge"/>
              <c:yMode val="edge"/>
              <c:x val="0.82130562787820005"/>
              <c:y val="0.85569204511560071"/>
            </c:manualLayout>
          </c:layout>
        </c:title>
        <c:numFmt formatCode="General" sourceLinked="1"/>
        <c:majorTickMark val="none"/>
        <c:tickLblPos val="nextTo"/>
        <c:crossAx val="146616704"/>
        <c:crosses val="autoZero"/>
        <c:crossBetween val="midCat"/>
        <c:majorUnit val="1"/>
      </c:valAx>
      <c:valAx>
        <c:axId val="146616704"/>
        <c:scaling>
          <c:orientation val="minMax"/>
          <c:min val="30"/>
        </c:scaling>
        <c:axPos val="l"/>
        <c:majorGridlines>
          <c:spPr>
            <a:ln>
              <a:solidFill>
                <a:srgbClr val="8064A2"/>
              </a:solidFill>
            </a:ln>
          </c:spPr>
        </c:majorGridlines>
        <c:title>
          <c:tx>
            <c:rich>
              <a:bodyPr/>
              <a:lstStyle/>
              <a:p>
                <a:pPr>
                  <a:defRPr/>
                </a:pPr>
                <a:r>
                  <a:rPr lang="en-US"/>
                  <a:t>ramollissement(°C)</a:t>
                </a:r>
              </a:p>
            </c:rich>
          </c:tx>
          <c:layout>
            <c:manualLayout>
              <c:xMode val="edge"/>
              <c:yMode val="edge"/>
              <c:x val="2.5000000000000001E-2"/>
              <c:y val="0.11035104986876589"/>
            </c:manualLayout>
          </c:layout>
        </c:title>
        <c:numFmt formatCode="General" sourceLinked="1"/>
        <c:majorTickMark val="none"/>
        <c:tickLblPos val="nextTo"/>
        <c:crossAx val="146610432"/>
        <c:crosses val="autoZero"/>
        <c:crossBetween val="midCat"/>
        <c:majorUnit val="3"/>
      </c:valAx>
      <c:spPr>
        <a:ln>
          <a:solidFill>
            <a:schemeClr val="accent4"/>
          </a:solidFill>
        </a:ln>
      </c:spPr>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style val="8"/>
  <c:chart>
    <c:autoTitleDeleted val="1"/>
    <c:plotArea>
      <c:layout/>
      <c:scatterChart>
        <c:scatterStyle val="smoothMarker"/>
        <c:ser>
          <c:idx val="0"/>
          <c:order val="0"/>
          <c:tx>
            <c:v>point de flash</c:v>
          </c:tx>
          <c:xVal>
            <c:numRef>
              <c:f>Feuil1!$P$2:$P$6</c:f>
              <c:numCache>
                <c:formatCode>General</c:formatCode>
                <c:ptCount val="5"/>
                <c:pt idx="0">
                  <c:v>1</c:v>
                </c:pt>
                <c:pt idx="1">
                  <c:v>2</c:v>
                </c:pt>
                <c:pt idx="2">
                  <c:v>3</c:v>
                </c:pt>
                <c:pt idx="3">
                  <c:v>4</c:v>
                </c:pt>
                <c:pt idx="4">
                  <c:v>5</c:v>
                </c:pt>
              </c:numCache>
            </c:numRef>
          </c:xVal>
          <c:yVal>
            <c:numRef>
              <c:f>Feuil1!$V$2:$V$6</c:f>
              <c:numCache>
                <c:formatCode>General</c:formatCode>
                <c:ptCount val="5"/>
                <c:pt idx="0">
                  <c:v>260</c:v>
                </c:pt>
                <c:pt idx="1">
                  <c:v>280</c:v>
                </c:pt>
                <c:pt idx="2">
                  <c:v>233</c:v>
                </c:pt>
                <c:pt idx="3">
                  <c:v>187</c:v>
                </c:pt>
                <c:pt idx="4">
                  <c:v>196</c:v>
                </c:pt>
              </c:numCache>
            </c:numRef>
          </c:yVal>
          <c:smooth val="1"/>
        </c:ser>
        <c:axId val="146627968"/>
        <c:axId val="146634240"/>
      </c:scatterChart>
      <c:valAx>
        <c:axId val="146627968"/>
        <c:scaling>
          <c:orientation val="minMax"/>
          <c:max val="5"/>
          <c:min val="1"/>
        </c:scaling>
        <c:axPos val="b"/>
        <c:majorGridlines>
          <c:spPr>
            <a:ln>
              <a:solidFill>
                <a:srgbClr val="F79646"/>
              </a:solidFill>
            </a:ln>
          </c:spPr>
        </c:majorGridlines>
        <c:title>
          <c:tx>
            <c:rich>
              <a:bodyPr/>
              <a:lstStyle/>
              <a:p>
                <a:pPr>
                  <a:defRPr/>
                </a:pPr>
                <a:r>
                  <a:rPr lang="en-US"/>
                  <a:t>temps (jour)</a:t>
                </a:r>
              </a:p>
            </c:rich>
          </c:tx>
          <c:layout>
            <c:manualLayout>
              <c:xMode val="edge"/>
              <c:yMode val="edge"/>
              <c:x val="0.80741666666666656"/>
              <c:y val="0.87405074365704283"/>
            </c:manualLayout>
          </c:layout>
        </c:title>
        <c:numFmt formatCode="General" sourceLinked="1"/>
        <c:majorTickMark val="none"/>
        <c:tickLblPos val="nextTo"/>
        <c:crossAx val="146634240"/>
        <c:crosses val="autoZero"/>
        <c:crossBetween val="midCat"/>
        <c:majorUnit val="1"/>
      </c:valAx>
      <c:valAx>
        <c:axId val="146634240"/>
        <c:scaling>
          <c:orientation val="minMax"/>
          <c:max val="300"/>
          <c:min val="150"/>
        </c:scaling>
        <c:axPos val="l"/>
        <c:majorGridlines>
          <c:spPr>
            <a:ln>
              <a:solidFill>
                <a:srgbClr val="F79646"/>
              </a:solidFill>
            </a:ln>
          </c:spPr>
        </c:majorGridlines>
        <c:title>
          <c:tx>
            <c:rich>
              <a:bodyPr/>
              <a:lstStyle/>
              <a:p>
                <a:pPr>
                  <a:defRPr/>
                </a:pPr>
                <a:r>
                  <a:rPr lang="en-US"/>
                  <a:t>point de flash(°C)</a:t>
                </a:r>
              </a:p>
            </c:rich>
          </c:tx>
          <c:layout>
            <c:manualLayout>
              <c:xMode val="edge"/>
              <c:yMode val="edge"/>
              <c:x val="3.6111111111111212E-2"/>
              <c:y val="3.6276975794692412E-2"/>
            </c:manualLayout>
          </c:layout>
        </c:title>
        <c:numFmt formatCode="General" sourceLinked="1"/>
        <c:majorTickMark val="none"/>
        <c:tickLblPos val="nextTo"/>
        <c:crossAx val="146627968"/>
        <c:crosses val="autoZero"/>
        <c:crossBetween val="midCat"/>
        <c:majorUnit val="50"/>
      </c:valAx>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chart>
    <c:autoTitleDeleted val="1"/>
    <c:plotArea>
      <c:layout>
        <c:manualLayout>
          <c:layoutTarget val="inner"/>
          <c:xMode val="edge"/>
          <c:yMode val="edge"/>
          <c:x val="0.15747440944881891"/>
          <c:y val="0.19480351414406533"/>
          <c:w val="0.73915069991251092"/>
          <c:h val="0.55665062700495771"/>
        </c:manualLayout>
      </c:layout>
      <c:scatterChart>
        <c:scatterStyle val="smoothMarker"/>
        <c:ser>
          <c:idx val="0"/>
          <c:order val="0"/>
          <c:tx>
            <c:v>viscosité cénimatique</c:v>
          </c:tx>
          <c:xVal>
            <c:numRef>
              <c:f>Feuil1!$P$2:$P$6</c:f>
              <c:numCache>
                <c:formatCode>General</c:formatCode>
                <c:ptCount val="5"/>
                <c:pt idx="0">
                  <c:v>1</c:v>
                </c:pt>
                <c:pt idx="1">
                  <c:v>2</c:v>
                </c:pt>
                <c:pt idx="2">
                  <c:v>3</c:v>
                </c:pt>
                <c:pt idx="3">
                  <c:v>4</c:v>
                </c:pt>
                <c:pt idx="4">
                  <c:v>5</c:v>
                </c:pt>
              </c:numCache>
            </c:numRef>
          </c:xVal>
          <c:yVal>
            <c:numRef>
              <c:f>Feuil1!$U$2:$U$6</c:f>
              <c:numCache>
                <c:formatCode>General</c:formatCode>
                <c:ptCount val="5"/>
                <c:pt idx="0">
                  <c:v>902</c:v>
                </c:pt>
                <c:pt idx="1">
                  <c:v>894</c:v>
                </c:pt>
                <c:pt idx="2">
                  <c:v>897</c:v>
                </c:pt>
                <c:pt idx="3">
                  <c:v>887</c:v>
                </c:pt>
                <c:pt idx="4">
                  <c:v>898</c:v>
                </c:pt>
              </c:numCache>
            </c:numRef>
          </c:yVal>
          <c:smooth val="1"/>
        </c:ser>
        <c:axId val="146735872"/>
        <c:axId val="146737792"/>
      </c:scatterChart>
      <c:valAx>
        <c:axId val="146735872"/>
        <c:scaling>
          <c:orientation val="minMax"/>
          <c:max val="5"/>
          <c:min val="1"/>
        </c:scaling>
        <c:axPos val="b"/>
        <c:majorGridlines>
          <c:spPr>
            <a:ln>
              <a:solidFill>
                <a:srgbClr val="4F81BD"/>
              </a:solidFill>
            </a:ln>
          </c:spPr>
        </c:majorGridlines>
        <c:title>
          <c:tx>
            <c:rich>
              <a:bodyPr/>
              <a:lstStyle/>
              <a:p>
                <a:pPr>
                  <a:defRPr/>
                </a:pPr>
                <a:r>
                  <a:rPr lang="en-US"/>
                  <a:t>temps (jour)</a:t>
                </a:r>
              </a:p>
            </c:rich>
          </c:tx>
          <c:layout>
            <c:manualLayout>
              <c:xMode val="edge"/>
              <c:yMode val="edge"/>
              <c:x val="0.84531364829396316"/>
              <c:y val="0.88331000291630157"/>
            </c:manualLayout>
          </c:layout>
        </c:title>
        <c:numFmt formatCode="General" sourceLinked="1"/>
        <c:majorTickMark val="in"/>
        <c:tickLblPos val="nextTo"/>
        <c:crossAx val="146737792"/>
        <c:crosses val="autoZero"/>
        <c:crossBetween val="midCat"/>
        <c:majorUnit val="1"/>
      </c:valAx>
      <c:valAx>
        <c:axId val="146737792"/>
        <c:scaling>
          <c:orientation val="minMax"/>
          <c:max val="905"/>
          <c:min val="885"/>
        </c:scaling>
        <c:axPos val="l"/>
        <c:majorGridlines>
          <c:spPr>
            <a:ln>
              <a:solidFill>
                <a:schemeClr val="accent1"/>
              </a:solidFill>
            </a:ln>
          </c:spPr>
        </c:majorGridlines>
        <c:title>
          <c:tx>
            <c:rich>
              <a:bodyPr/>
              <a:lstStyle/>
              <a:p>
                <a:pPr>
                  <a:defRPr/>
                </a:pPr>
                <a:r>
                  <a:rPr lang="en-US"/>
                  <a:t>viscosité (st)</a:t>
                </a:r>
              </a:p>
            </c:rich>
          </c:tx>
          <c:layout>
            <c:manualLayout>
              <c:xMode val="edge"/>
              <c:yMode val="edge"/>
              <c:x val="2.5000000000000001E-2"/>
              <c:y val="0.15494568387285149"/>
            </c:manualLayout>
          </c:layout>
        </c:title>
        <c:numFmt formatCode="General" sourceLinked="1"/>
        <c:majorTickMark val="in"/>
        <c:tickLblPos val="nextTo"/>
        <c:crossAx val="146735872"/>
        <c:crosses val="autoZero"/>
        <c:crossBetween val="midCat"/>
        <c:majorUnit val="5"/>
      </c:valAx>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fr-FR"/>
  <c:style val="5"/>
  <c:chart>
    <c:autoTitleDeleted val="1"/>
    <c:plotArea>
      <c:layout/>
      <c:scatterChart>
        <c:scatterStyle val="smoothMarker"/>
        <c:ser>
          <c:idx val="0"/>
          <c:order val="0"/>
          <c:tx>
            <c:v>densité</c:v>
          </c:tx>
          <c:xVal>
            <c:numRef>
              <c:f>Feuil1!$P$2:$P$6</c:f>
              <c:numCache>
                <c:formatCode>General</c:formatCode>
                <c:ptCount val="5"/>
                <c:pt idx="0">
                  <c:v>1</c:v>
                </c:pt>
                <c:pt idx="1">
                  <c:v>2</c:v>
                </c:pt>
                <c:pt idx="2">
                  <c:v>3</c:v>
                </c:pt>
                <c:pt idx="3">
                  <c:v>4</c:v>
                </c:pt>
                <c:pt idx="4">
                  <c:v>5</c:v>
                </c:pt>
              </c:numCache>
            </c:numRef>
          </c:xVal>
          <c:yVal>
            <c:numRef>
              <c:f>Feuil1!$T$2:$T$6</c:f>
              <c:numCache>
                <c:formatCode>General</c:formatCode>
                <c:ptCount val="5"/>
                <c:pt idx="0">
                  <c:v>1.026</c:v>
                </c:pt>
                <c:pt idx="1">
                  <c:v>1.0229999999999841</c:v>
                </c:pt>
                <c:pt idx="2">
                  <c:v>1.028</c:v>
                </c:pt>
                <c:pt idx="3">
                  <c:v>1.0309999999999842</c:v>
                </c:pt>
                <c:pt idx="4">
                  <c:v>1.03</c:v>
                </c:pt>
              </c:numCache>
            </c:numRef>
          </c:yVal>
          <c:smooth val="1"/>
        </c:ser>
        <c:axId val="146749312"/>
        <c:axId val="146759680"/>
      </c:scatterChart>
      <c:valAx>
        <c:axId val="146749312"/>
        <c:scaling>
          <c:orientation val="minMax"/>
          <c:max val="5"/>
          <c:min val="1"/>
        </c:scaling>
        <c:axPos val="b"/>
        <c:majorGridlines>
          <c:spPr>
            <a:ln>
              <a:solidFill>
                <a:schemeClr val="accent3"/>
              </a:solidFill>
            </a:ln>
          </c:spPr>
        </c:majorGridlines>
        <c:title>
          <c:tx>
            <c:rich>
              <a:bodyPr/>
              <a:lstStyle/>
              <a:p>
                <a:pPr>
                  <a:defRPr/>
                </a:pPr>
                <a:r>
                  <a:rPr lang="en-US"/>
                  <a:t>temps(jour)</a:t>
                </a:r>
              </a:p>
            </c:rich>
          </c:tx>
          <c:layout>
            <c:manualLayout>
              <c:xMode val="edge"/>
              <c:yMode val="edge"/>
              <c:x val="0.90539698162729221"/>
              <c:y val="0.86479148439779052"/>
            </c:manualLayout>
          </c:layout>
        </c:title>
        <c:numFmt formatCode="General" sourceLinked="1"/>
        <c:majorTickMark val="none"/>
        <c:tickLblPos val="nextTo"/>
        <c:crossAx val="146759680"/>
        <c:crosses val="autoZero"/>
        <c:crossBetween val="midCat"/>
        <c:majorUnit val="1"/>
      </c:valAx>
      <c:valAx>
        <c:axId val="146759680"/>
        <c:scaling>
          <c:orientation val="minMax"/>
        </c:scaling>
        <c:axPos val="l"/>
        <c:majorGridlines>
          <c:spPr>
            <a:ln>
              <a:solidFill>
                <a:srgbClr val="9BBB59"/>
              </a:solidFill>
            </a:ln>
          </c:spPr>
        </c:majorGridlines>
        <c:title>
          <c:tx>
            <c:rich>
              <a:bodyPr/>
              <a:lstStyle/>
              <a:p>
                <a:pPr>
                  <a:defRPr/>
                </a:pPr>
                <a:r>
                  <a:rPr lang="en-US"/>
                  <a:t>densité</a:t>
                </a:r>
              </a:p>
            </c:rich>
          </c:tx>
          <c:layout>
            <c:manualLayout>
              <c:xMode val="edge"/>
              <c:yMode val="edge"/>
              <c:x val="3.0555555555555582E-2"/>
              <c:y val="5.0188830562846322E-2"/>
            </c:manualLayout>
          </c:layout>
        </c:title>
        <c:numFmt formatCode="General" sourceLinked="1"/>
        <c:majorTickMark val="none"/>
        <c:tickLblPos val="nextTo"/>
        <c:crossAx val="146749312"/>
        <c:crosses val="autoZero"/>
        <c:crossBetween val="midCat"/>
        <c:majorUnit val="2.0000000000000052E-3"/>
      </c:valAx>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style val="7"/>
  <c:chart>
    <c:autoTitleDeleted val="1"/>
    <c:plotArea>
      <c:layout/>
      <c:scatterChart>
        <c:scatterStyle val="smoothMarker"/>
        <c:ser>
          <c:idx val="0"/>
          <c:order val="0"/>
          <c:tx>
            <c:v>ductilité</c:v>
          </c:tx>
          <c:xVal>
            <c:numRef>
              <c:f>Feuil1!$P$2:$P$6</c:f>
              <c:numCache>
                <c:formatCode>General</c:formatCode>
                <c:ptCount val="5"/>
                <c:pt idx="0">
                  <c:v>1</c:v>
                </c:pt>
                <c:pt idx="1">
                  <c:v>2</c:v>
                </c:pt>
                <c:pt idx="2">
                  <c:v>3</c:v>
                </c:pt>
                <c:pt idx="3">
                  <c:v>4</c:v>
                </c:pt>
                <c:pt idx="4">
                  <c:v>5</c:v>
                </c:pt>
              </c:numCache>
            </c:numRef>
          </c:xVal>
          <c:yVal>
            <c:numRef>
              <c:f>Feuil1!$S$2:$S$6</c:f>
              <c:numCache>
                <c:formatCode>General</c:formatCode>
                <c:ptCount val="5"/>
                <c:pt idx="0">
                  <c:v>96</c:v>
                </c:pt>
                <c:pt idx="1">
                  <c:v>93</c:v>
                </c:pt>
                <c:pt idx="2">
                  <c:v>96</c:v>
                </c:pt>
                <c:pt idx="3">
                  <c:v>99</c:v>
                </c:pt>
                <c:pt idx="4">
                  <c:v>95</c:v>
                </c:pt>
              </c:numCache>
            </c:numRef>
          </c:yVal>
          <c:smooth val="1"/>
        </c:ser>
        <c:axId val="146779136"/>
        <c:axId val="146801792"/>
      </c:scatterChart>
      <c:valAx>
        <c:axId val="146779136"/>
        <c:scaling>
          <c:orientation val="minMax"/>
          <c:max val="5"/>
          <c:min val="1"/>
        </c:scaling>
        <c:axPos val="b"/>
        <c:majorGridlines>
          <c:spPr>
            <a:ln>
              <a:solidFill>
                <a:schemeClr val="accent5">
                  <a:lumMod val="40000"/>
                  <a:lumOff val="60000"/>
                </a:schemeClr>
              </a:solidFill>
            </a:ln>
          </c:spPr>
        </c:majorGridlines>
        <c:title>
          <c:tx>
            <c:rich>
              <a:bodyPr/>
              <a:lstStyle/>
              <a:p>
                <a:pPr>
                  <a:defRPr/>
                </a:pPr>
                <a:r>
                  <a:rPr lang="en-US"/>
                  <a:t>temps (jour)</a:t>
                </a:r>
              </a:p>
            </c:rich>
          </c:tx>
          <c:layout>
            <c:manualLayout>
              <c:xMode val="edge"/>
              <c:yMode val="edge"/>
              <c:x val="0.90405722185490156"/>
              <c:y val="0.87405081942858931"/>
            </c:manualLayout>
          </c:layout>
        </c:title>
        <c:numFmt formatCode="General" sourceLinked="1"/>
        <c:majorTickMark val="none"/>
        <c:tickLblPos val="nextTo"/>
        <c:crossAx val="146801792"/>
        <c:crosses val="autoZero"/>
        <c:crossBetween val="midCat"/>
        <c:majorUnit val="1"/>
      </c:valAx>
      <c:valAx>
        <c:axId val="146801792"/>
        <c:scaling>
          <c:orientation val="minMax"/>
        </c:scaling>
        <c:axPos val="l"/>
        <c:majorGridlines>
          <c:spPr>
            <a:ln>
              <a:solidFill>
                <a:schemeClr val="accent5">
                  <a:lumMod val="40000"/>
                  <a:lumOff val="60000"/>
                </a:schemeClr>
              </a:solidFill>
            </a:ln>
          </c:spPr>
        </c:majorGridlines>
        <c:title>
          <c:tx>
            <c:rich>
              <a:bodyPr/>
              <a:lstStyle/>
              <a:p>
                <a:pPr>
                  <a:defRPr/>
                </a:pPr>
                <a:r>
                  <a:rPr lang="en-US"/>
                  <a:t>ductilité (cm)</a:t>
                </a:r>
              </a:p>
            </c:rich>
          </c:tx>
          <c:layout>
            <c:manualLayout>
              <c:xMode val="edge"/>
              <c:yMode val="edge"/>
              <c:x val="3.0555555555555582E-2"/>
              <c:y val="0.1575732720909887"/>
            </c:manualLayout>
          </c:layout>
        </c:title>
        <c:numFmt formatCode="General" sourceLinked="1"/>
        <c:majorTickMark val="none"/>
        <c:tickLblPos val="nextTo"/>
        <c:crossAx val="146779136"/>
        <c:crosses val="autoZero"/>
        <c:crossBetween val="midCat"/>
        <c:majorUnit val="2"/>
      </c:valAx>
      <c:spPr>
        <a:ln>
          <a:solidFill>
            <a:schemeClr val="accent5">
              <a:lumMod val="75000"/>
            </a:schemeClr>
          </a:solidFill>
        </a:ln>
      </c:spPr>
    </c:plotArea>
    <c:plotVisOnly val="1"/>
  </c:chart>
  <c:spPr>
    <a:solidFill>
      <a:schemeClr val="lt1"/>
    </a:solidFill>
    <a:ln w="25400" cap="flat" cmpd="sng" algn="ctr">
      <a:solidFill>
        <a:schemeClr val="accent3"/>
      </a:solidFill>
      <a:prstDash val="solid"/>
    </a:ln>
    <a:effectLst/>
  </c:spPr>
  <c:txPr>
    <a:bodyPr/>
    <a:lstStyle/>
    <a:p>
      <a:pPr>
        <a:defRPr>
          <a:solidFill>
            <a:schemeClr val="dk1"/>
          </a:solidFill>
          <a:latin typeface="+mn-lt"/>
          <a:ea typeface="+mn-ea"/>
          <a:cs typeface="+mn-cs"/>
        </a:defRPr>
      </a:pPr>
      <a:endParaRPr lang="fr-FR"/>
    </a:p>
  </c:txPr>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DC161-4197-4A91-B165-EC14FC6B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24</Pages>
  <Words>3243</Words>
  <Characters>17841</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
    </vt:vector>
  </TitlesOfParts>
  <Company>AEK+KHADIDJA</Company>
  <LinksUpToDate>false</LinksUpToDate>
  <CharactersWithSpaces>21042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23</cp:revision>
  <dcterms:created xsi:type="dcterms:W3CDTF">2008-12-28T15:16:00Z</dcterms:created>
  <dcterms:modified xsi:type="dcterms:W3CDTF">2009-01-04T21:11:00Z</dcterms:modified>
</cp:coreProperties>
</file>