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F99" w:rsidRPr="00383F99" w:rsidRDefault="00383F99" w:rsidP="00383F99">
      <w:pPr>
        <w:pStyle w:val="Sansinterligne"/>
        <w:rPr>
          <w:b/>
          <w:bCs/>
          <w:sz w:val="28"/>
          <w:szCs w:val="28"/>
          <w:rtl/>
          <w:lang w:val="fr-FR" w:eastAsia="fr-FR"/>
        </w:rPr>
      </w:pPr>
    </w:p>
    <w:p w:rsidR="00383F99" w:rsidRPr="00383F99" w:rsidRDefault="00383F99" w:rsidP="00383F99">
      <w:pPr>
        <w:pStyle w:val="Sansinterligne"/>
        <w:bidi/>
        <w:jc w:val="both"/>
        <w:rPr>
          <w:b/>
          <w:bCs/>
          <w:sz w:val="28"/>
          <w:szCs w:val="28"/>
          <w:lang w:val="fr-FR" w:eastAsia="fr-FR"/>
        </w:rPr>
      </w:pPr>
      <w:r>
        <w:rPr>
          <w:rFonts w:hint="cs"/>
          <w:b/>
          <w:bCs/>
          <w:sz w:val="28"/>
          <w:szCs w:val="28"/>
          <w:rtl/>
          <w:lang w:val="fr-FR" w:eastAsia="fr-FR"/>
        </w:rPr>
        <w:t>ملخص </w:t>
      </w:r>
      <w:r>
        <w:rPr>
          <w:b/>
          <w:bCs/>
          <w:sz w:val="28"/>
          <w:szCs w:val="28"/>
          <w:lang w:val="fr-FR" w:eastAsia="fr-FR"/>
        </w:rPr>
        <w:t>:</w:t>
      </w:r>
    </w:p>
    <w:p w:rsidR="00383F99" w:rsidRPr="00383F99" w:rsidRDefault="00383F99" w:rsidP="00383F99">
      <w:pPr>
        <w:pStyle w:val="Sansinterligne"/>
        <w:bidi/>
        <w:jc w:val="both"/>
        <w:rPr>
          <w:sz w:val="28"/>
          <w:szCs w:val="28"/>
          <w:rtl/>
          <w:lang w:val="fr-FR" w:eastAsia="fr-FR"/>
        </w:rPr>
      </w:pPr>
      <w:r w:rsidRPr="00383F99">
        <w:rPr>
          <w:sz w:val="28"/>
          <w:szCs w:val="28"/>
          <w:rtl/>
          <w:lang w:val="fr-FR" w:eastAsia="fr-FR"/>
        </w:rPr>
        <w:t xml:space="preserve">يتعلق بحثنا بالدراسة النظرية لخمسة مركبات حلقية غير متجانسة تنتمي إلى عائلة </w:t>
      </w:r>
      <w:proofErr w:type="spellStart"/>
      <w:r w:rsidRPr="00383F99">
        <w:rPr>
          <w:sz w:val="28"/>
          <w:szCs w:val="28"/>
          <w:rtl/>
          <w:lang w:val="fr-FR" w:eastAsia="fr-FR"/>
        </w:rPr>
        <w:t>ثيازول</w:t>
      </w:r>
      <w:proofErr w:type="spellEnd"/>
      <w:r w:rsidRPr="00383F99">
        <w:rPr>
          <w:sz w:val="28"/>
          <w:szCs w:val="28"/>
          <w:rtl/>
          <w:lang w:val="fr-FR" w:eastAsia="fr-FR"/>
        </w:rPr>
        <w:t xml:space="preserve"> ، </w:t>
      </w:r>
      <w:proofErr w:type="spellStart"/>
      <w:r w:rsidRPr="00383F99">
        <w:rPr>
          <w:sz w:val="28"/>
          <w:szCs w:val="28"/>
          <w:rtl/>
          <w:lang w:val="fr-FR" w:eastAsia="fr-FR"/>
        </w:rPr>
        <w:t>إيميدازول</w:t>
      </w:r>
      <w:proofErr w:type="spellEnd"/>
      <w:r w:rsidRPr="00383F99">
        <w:rPr>
          <w:sz w:val="28"/>
          <w:szCs w:val="28"/>
          <w:rtl/>
          <w:lang w:val="fr-FR" w:eastAsia="fr-FR"/>
        </w:rPr>
        <w:t xml:space="preserve"> ، </w:t>
      </w:r>
      <w:proofErr w:type="spellStart"/>
      <w:r w:rsidRPr="00383F99">
        <w:rPr>
          <w:sz w:val="28"/>
          <w:szCs w:val="28"/>
          <w:rtl/>
          <w:lang w:val="fr-FR" w:eastAsia="fr-FR"/>
        </w:rPr>
        <w:t>تريازول</w:t>
      </w:r>
      <w:proofErr w:type="spellEnd"/>
      <w:r w:rsidRPr="00383F99">
        <w:rPr>
          <w:sz w:val="28"/>
          <w:szCs w:val="28"/>
          <w:rtl/>
          <w:lang w:val="fr-FR" w:eastAsia="fr-FR"/>
        </w:rPr>
        <w:t xml:space="preserve"> ، </w:t>
      </w:r>
      <w:proofErr w:type="spellStart"/>
      <w:r w:rsidRPr="00383F99">
        <w:rPr>
          <w:sz w:val="28"/>
          <w:szCs w:val="28"/>
          <w:rtl/>
          <w:lang w:val="fr-FR" w:eastAsia="fr-FR"/>
        </w:rPr>
        <w:t>أوكساديازول</w:t>
      </w:r>
      <w:proofErr w:type="spellEnd"/>
      <w:r w:rsidRPr="00383F99">
        <w:rPr>
          <w:sz w:val="28"/>
          <w:szCs w:val="28"/>
          <w:rtl/>
          <w:lang w:val="fr-FR" w:eastAsia="fr-FR"/>
        </w:rPr>
        <w:t xml:space="preserve"> </w:t>
      </w:r>
      <w:proofErr w:type="spellStart"/>
      <w:r w:rsidRPr="00383F99">
        <w:rPr>
          <w:sz w:val="28"/>
          <w:szCs w:val="28"/>
          <w:rtl/>
          <w:lang w:val="fr-FR" w:eastAsia="fr-FR"/>
        </w:rPr>
        <w:t>وثيوفين</w:t>
      </w:r>
      <w:proofErr w:type="spellEnd"/>
      <w:r w:rsidRPr="00383F99">
        <w:rPr>
          <w:sz w:val="28"/>
          <w:szCs w:val="28"/>
          <w:rtl/>
          <w:lang w:val="fr-FR" w:eastAsia="fr-FR"/>
        </w:rPr>
        <w:t>. قمنا بتحسين هذه الهياكل باستخدام نظرية الكثافة الوظيفية</w:t>
      </w:r>
      <w:r w:rsidRPr="00383F99">
        <w:rPr>
          <w:sz w:val="28"/>
          <w:szCs w:val="28"/>
          <w:lang w:val="fr-FR" w:eastAsia="fr-FR"/>
        </w:rPr>
        <w:t xml:space="preserve"> (DFT) </w:t>
      </w:r>
      <w:r w:rsidRPr="00383F99">
        <w:rPr>
          <w:sz w:val="28"/>
          <w:szCs w:val="28"/>
          <w:rtl/>
          <w:lang w:val="fr-FR" w:eastAsia="fr-FR"/>
        </w:rPr>
        <w:t>مع</w:t>
      </w:r>
      <w:r w:rsidRPr="00383F99">
        <w:rPr>
          <w:sz w:val="28"/>
          <w:szCs w:val="28"/>
          <w:lang w:val="fr-FR" w:eastAsia="fr-FR"/>
        </w:rPr>
        <w:t xml:space="preserve"> B3LYP </w:t>
      </w:r>
      <w:r w:rsidRPr="00383F99">
        <w:rPr>
          <w:sz w:val="28"/>
          <w:szCs w:val="28"/>
          <w:rtl/>
          <w:lang w:val="fr-FR" w:eastAsia="fr-FR"/>
        </w:rPr>
        <w:t>الوظيفية والأساس الحسابي6-311</w:t>
      </w:r>
      <w:r w:rsidRPr="00383F99">
        <w:rPr>
          <w:sz w:val="28"/>
          <w:szCs w:val="28"/>
          <w:lang w:val="fr-FR" w:eastAsia="fr-FR"/>
        </w:rPr>
        <w:t>G(</w:t>
      </w:r>
      <w:proofErr w:type="spellStart"/>
      <w:r w:rsidRPr="00383F99">
        <w:rPr>
          <w:sz w:val="28"/>
          <w:szCs w:val="28"/>
          <w:lang w:val="fr-FR" w:eastAsia="fr-FR"/>
        </w:rPr>
        <w:t>d,p</w:t>
      </w:r>
      <w:proofErr w:type="spellEnd"/>
      <w:r w:rsidRPr="00383F99">
        <w:rPr>
          <w:sz w:val="28"/>
          <w:szCs w:val="28"/>
          <w:lang w:val="fr-FR" w:eastAsia="fr-FR"/>
        </w:rPr>
        <w:t xml:space="preserve">) . </w:t>
      </w:r>
      <w:r w:rsidRPr="00383F99">
        <w:rPr>
          <w:sz w:val="28"/>
          <w:szCs w:val="28"/>
          <w:rtl/>
          <w:lang w:val="fr-FR" w:eastAsia="fr-FR"/>
        </w:rPr>
        <w:t>بالإضافة إلى ذلك، حددنا فجوة الطاقة ومؤشرات التفاعل العالمية للجزيئات الخمسة</w:t>
      </w:r>
      <w:r w:rsidRPr="00383F99">
        <w:rPr>
          <w:sz w:val="28"/>
          <w:szCs w:val="28"/>
          <w:lang w:val="fr-FR" w:eastAsia="fr-FR"/>
        </w:rPr>
        <w:t xml:space="preserve"> M-THIA </w:t>
      </w:r>
      <w:r w:rsidRPr="00383F99">
        <w:rPr>
          <w:sz w:val="28"/>
          <w:szCs w:val="28"/>
          <w:rtl/>
          <w:lang w:val="fr-FR" w:eastAsia="fr-FR"/>
        </w:rPr>
        <w:t>و</w:t>
      </w:r>
      <w:r w:rsidRPr="00383F99">
        <w:rPr>
          <w:sz w:val="28"/>
          <w:szCs w:val="28"/>
          <w:lang w:val="fr-FR" w:eastAsia="fr-FR"/>
        </w:rPr>
        <w:t xml:space="preserve"> M-IMI </w:t>
      </w:r>
      <w:r w:rsidRPr="00383F99">
        <w:rPr>
          <w:sz w:val="28"/>
          <w:szCs w:val="28"/>
          <w:rtl/>
          <w:lang w:val="fr-FR" w:eastAsia="fr-FR"/>
        </w:rPr>
        <w:t>و</w:t>
      </w:r>
      <w:r w:rsidRPr="00383F99">
        <w:rPr>
          <w:sz w:val="28"/>
          <w:szCs w:val="28"/>
          <w:lang w:val="fr-FR" w:eastAsia="fr-FR"/>
        </w:rPr>
        <w:t xml:space="preserve"> M-TRI </w:t>
      </w:r>
      <w:r w:rsidRPr="00383F99">
        <w:rPr>
          <w:sz w:val="28"/>
          <w:szCs w:val="28"/>
          <w:rtl/>
          <w:lang w:val="fr-FR" w:eastAsia="fr-FR"/>
        </w:rPr>
        <w:t>و</w:t>
      </w:r>
      <w:r w:rsidRPr="00383F99">
        <w:rPr>
          <w:sz w:val="28"/>
          <w:szCs w:val="28"/>
          <w:lang w:val="fr-FR" w:eastAsia="fr-FR"/>
        </w:rPr>
        <w:t xml:space="preserve"> M-OXA </w:t>
      </w:r>
      <w:r w:rsidRPr="00383F99">
        <w:rPr>
          <w:sz w:val="28"/>
          <w:szCs w:val="28"/>
          <w:rtl/>
          <w:lang w:val="fr-FR" w:eastAsia="fr-FR"/>
        </w:rPr>
        <w:t>و</w:t>
      </w:r>
      <w:r w:rsidRPr="00383F99">
        <w:rPr>
          <w:sz w:val="28"/>
          <w:szCs w:val="28"/>
          <w:lang w:val="fr-FR" w:eastAsia="fr-FR"/>
        </w:rPr>
        <w:t xml:space="preserve"> M-THIO </w:t>
      </w:r>
      <w:r w:rsidRPr="00383F99">
        <w:rPr>
          <w:sz w:val="28"/>
          <w:szCs w:val="28"/>
          <w:rtl/>
          <w:lang w:val="fr-FR" w:eastAsia="fr-FR"/>
        </w:rPr>
        <w:t>عن طريق حساب طاقات أعلى المدارات الجزيئية المشغولة</w:t>
      </w:r>
      <w:r w:rsidRPr="00383F99">
        <w:rPr>
          <w:sz w:val="28"/>
          <w:szCs w:val="28"/>
          <w:lang w:val="fr-FR" w:eastAsia="fr-FR"/>
        </w:rPr>
        <w:t xml:space="preserve"> (HOMO) </w:t>
      </w:r>
      <w:r w:rsidRPr="00383F99">
        <w:rPr>
          <w:sz w:val="28"/>
          <w:szCs w:val="28"/>
          <w:rtl/>
          <w:lang w:val="fr-FR" w:eastAsia="fr-FR"/>
        </w:rPr>
        <w:t>و طاقات المدارات الجزيئية الأقل شاغرة</w:t>
      </w:r>
      <w:r w:rsidRPr="00383F99">
        <w:rPr>
          <w:sz w:val="28"/>
          <w:szCs w:val="28"/>
          <w:lang w:val="fr-FR" w:eastAsia="fr-FR"/>
        </w:rPr>
        <w:t xml:space="preserve"> (LUMO) </w:t>
      </w:r>
      <w:r w:rsidRPr="00383F99">
        <w:rPr>
          <w:sz w:val="28"/>
          <w:szCs w:val="28"/>
          <w:rtl/>
          <w:lang w:val="fr-FR" w:eastAsia="fr-FR"/>
        </w:rPr>
        <w:t>بنفس مستوى الحساب. تشير المدارات الجزيئية الحدودية إلى تفاعل واستقرار المركبات. بعد ذلك، تم إجراء الالتحام الجزيئي لهذه الروابط الخمسة</w:t>
      </w:r>
      <w:r w:rsidRPr="00383F99">
        <w:rPr>
          <w:sz w:val="28"/>
          <w:szCs w:val="28"/>
          <w:lang w:val="fr-FR" w:eastAsia="fr-FR"/>
        </w:rPr>
        <w:t xml:space="preserve"> M-THIA </w:t>
      </w:r>
      <w:r w:rsidRPr="00383F99">
        <w:rPr>
          <w:sz w:val="28"/>
          <w:szCs w:val="28"/>
          <w:rtl/>
          <w:lang w:val="fr-FR" w:eastAsia="fr-FR"/>
        </w:rPr>
        <w:t>و</w:t>
      </w:r>
      <w:r w:rsidRPr="00383F99">
        <w:rPr>
          <w:sz w:val="28"/>
          <w:szCs w:val="28"/>
          <w:lang w:val="fr-FR" w:eastAsia="fr-FR"/>
        </w:rPr>
        <w:t xml:space="preserve"> M-IMI </w:t>
      </w:r>
      <w:r w:rsidRPr="00383F99">
        <w:rPr>
          <w:sz w:val="28"/>
          <w:szCs w:val="28"/>
          <w:rtl/>
          <w:lang w:val="fr-FR" w:eastAsia="fr-FR"/>
        </w:rPr>
        <w:t>و</w:t>
      </w:r>
      <w:r w:rsidRPr="00383F99">
        <w:rPr>
          <w:sz w:val="28"/>
          <w:szCs w:val="28"/>
          <w:lang w:val="fr-FR" w:eastAsia="fr-FR"/>
        </w:rPr>
        <w:t xml:space="preserve"> M-TRI </w:t>
      </w:r>
      <w:r w:rsidRPr="00383F99">
        <w:rPr>
          <w:sz w:val="28"/>
          <w:szCs w:val="28"/>
          <w:rtl/>
          <w:lang w:val="fr-FR" w:eastAsia="fr-FR"/>
        </w:rPr>
        <w:t>و</w:t>
      </w:r>
      <w:r w:rsidRPr="00383F99">
        <w:rPr>
          <w:sz w:val="28"/>
          <w:szCs w:val="28"/>
          <w:lang w:val="fr-FR" w:eastAsia="fr-FR"/>
        </w:rPr>
        <w:t xml:space="preserve"> M-OXA </w:t>
      </w:r>
      <w:r w:rsidRPr="00383F99">
        <w:rPr>
          <w:sz w:val="28"/>
          <w:szCs w:val="28"/>
          <w:rtl/>
          <w:lang w:val="fr-FR" w:eastAsia="fr-FR"/>
        </w:rPr>
        <w:t>و</w:t>
      </w:r>
      <w:r w:rsidRPr="00383F99">
        <w:rPr>
          <w:sz w:val="28"/>
          <w:szCs w:val="28"/>
          <w:lang w:val="fr-FR" w:eastAsia="fr-FR"/>
        </w:rPr>
        <w:t xml:space="preserve"> M-THIO </w:t>
      </w:r>
      <w:r w:rsidRPr="00383F99">
        <w:rPr>
          <w:sz w:val="28"/>
          <w:szCs w:val="28"/>
          <w:rtl/>
          <w:lang w:val="fr-FR" w:eastAsia="fr-FR"/>
        </w:rPr>
        <w:t>نحو البروتينات المستهدفة باستخدام معرفات</w:t>
      </w:r>
      <w:r w:rsidRPr="00383F99">
        <w:rPr>
          <w:sz w:val="28"/>
          <w:szCs w:val="28"/>
          <w:lang w:val="fr-FR" w:eastAsia="fr-FR"/>
        </w:rPr>
        <w:t xml:space="preserve"> PDB: 2WYA </w:t>
      </w:r>
      <w:r w:rsidRPr="00383F99">
        <w:rPr>
          <w:sz w:val="28"/>
          <w:szCs w:val="28"/>
          <w:rtl/>
          <w:lang w:val="fr-FR" w:eastAsia="fr-FR"/>
        </w:rPr>
        <w:t>و 3</w:t>
      </w:r>
      <w:r w:rsidRPr="00383F99">
        <w:rPr>
          <w:sz w:val="28"/>
          <w:szCs w:val="28"/>
          <w:lang w:val="fr-FR" w:eastAsia="fr-FR"/>
        </w:rPr>
        <w:t xml:space="preserve">KSW </w:t>
      </w:r>
      <w:r w:rsidRPr="00383F99">
        <w:rPr>
          <w:sz w:val="28"/>
          <w:szCs w:val="28"/>
          <w:rtl/>
          <w:lang w:val="fr-FR" w:eastAsia="fr-FR"/>
        </w:rPr>
        <w:t>و 3</w:t>
      </w:r>
      <w:r w:rsidRPr="00383F99">
        <w:rPr>
          <w:sz w:val="28"/>
          <w:szCs w:val="28"/>
          <w:lang w:val="fr-FR" w:eastAsia="fr-FR"/>
        </w:rPr>
        <w:t xml:space="preserve">DGE </w:t>
      </w:r>
      <w:r w:rsidRPr="00383F99">
        <w:rPr>
          <w:sz w:val="28"/>
          <w:szCs w:val="28"/>
          <w:rtl/>
          <w:lang w:val="fr-FR" w:eastAsia="fr-FR"/>
        </w:rPr>
        <w:t>و 6</w:t>
      </w:r>
      <w:r w:rsidRPr="00383F99">
        <w:rPr>
          <w:sz w:val="28"/>
          <w:szCs w:val="28"/>
          <w:lang w:val="fr-FR" w:eastAsia="fr-FR"/>
        </w:rPr>
        <w:t xml:space="preserve">POA </w:t>
      </w:r>
      <w:r w:rsidRPr="00383F99">
        <w:rPr>
          <w:sz w:val="28"/>
          <w:szCs w:val="28"/>
          <w:rtl/>
          <w:lang w:val="fr-FR" w:eastAsia="fr-FR"/>
        </w:rPr>
        <w:t>و 6</w:t>
      </w:r>
      <w:r w:rsidRPr="00383F99">
        <w:rPr>
          <w:sz w:val="28"/>
          <w:szCs w:val="28"/>
          <w:lang w:val="fr-FR" w:eastAsia="fr-FR"/>
        </w:rPr>
        <w:t>FUT</w:t>
      </w:r>
      <w:r w:rsidRPr="00383F99">
        <w:rPr>
          <w:sz w:val="28"/>
          <w:szCs w:val="28"/>
          <w:rtl/>
          <w:lang w:val="fr-FR" w:eastAsia="fr-FR"/>
        </w:rPr>
        <w:t xml:space="preserve">، على </w:t>
      </w:r>
      <w:proofErr w:type="spellStart"/>
      <w:r w:rsidRPr="00383F99">
        <w:rPr>
          <w:sz w:val="28"/>
          <w:szCs w:val="28"/>
          <w:rtl/>
          <w:lang w:val="fr-FR" w:eastAsia="fr-FR"/>
        </w:rPr>
        <w:t>التوالى</w:t>
      </w:r>
      <w:proofErr w:type="spellEnd"/>
      <w:r w:rsidRPr="00383F99">
        <w:rPr>
          <w:sz w:val="28"/>
          <w:szCs w:val="28"/>
          <w:rtl/>
          <w:lang w:val="fr-FR" w:eastAsia="fr-FR"/>
        </w:rPr>
        <w:t>. أظهرت نتائج الالتحام نشاطًا بيولوجيًا جيدًا لهذه الروابط فيما يتعلق بالبروتينات المستهدفة. لذلك يقدم هذا العمل مراجعة للمركبات الحلقية غير المتجانسة المدروسة، باستخدام طرق حسابية نظرية، ويسلط الضوء على نشاطها البيولوجي المحتمل تجاه بروتينات معينة</w:t>
      </w:r>
      <w:r w:rsidRPr="00383F99">
        <w:rPr>
          <w:sz w:val="28"/>
          <w:szCs w:val="28"/>
          <w:lang w:val="fr-FR" w:eastAsia="fr-FR"/>
        </w:rPr>
        <w:t>.</w:t>
      </w:r>
    </w:p>
    <w:p w:rsidR="002A7502" w:rsidRDefault="00383F99" w:rsidP="00383F99">
      <w:pPr>
        <w:pStyle w:val="Sansinterligne"/>
        <w:bidi/>
        <w:jc w:val="both"/>
        <w:rPr>
          <w:b/>
          <w:bCs/>
          <w:sz w:val="28"/>
          <w:szCs w:val="28"/>
          <w:lang w:val="fr-FR" w:eastAsia="fr-FR" w:bidi="ar-DZ"/>
        </w:rPr>
      </w:pPr>
      <w:r>
        <w:rPr>
          <w:rFonts w:hint="cs"/>
          <w:b/>
          <w:bCs/>
          <w:sz w:val="28"/>
          <w:szCs w:val="28"/>
          <w:rtl/>
          <w:lang w:val="fr-FR" w:eastAsia="fr-FR" w:bidi="ar-DZ"/>
        </w:rPr>
        <w:t>الكلمات المفتاحية:</w:t>
      </w:r>
    </w:p>
    <w:p w:rsidR="00383F99" w:rsidRDefault="00383F99" w:rsidP="002A7502">
      <w:pPr>
        <w:pStyle w:val="Sansinterligne"/>
        <w:bidi/>
        <w:jc w:val="both"/>
        <w:rPr>
          <w:rFonts w:hint="cs"/>
          <w:b/>
          <w:bCs/>
          <w:sz w:val="28"/>
          <w:szCs w:val="28"/>
          <w:rtl/>
          <w:lang w:val="fr-FR" w:eastAsia="fr-FR" w:bidi="ar-DZ"/>
        </w:rPr>
      </w:pPr>
      <w:bookmarkStart w:id="0" w:name="_GoBack"/>
      <w:bookmarkEnd w:id="0"/>
      <w:r>
        <w:rPr>
          <w:rFonts w:hint="cs"/>
          <w:b/>
          <w:bCs/>
          <w:sz w:val="28"/>
          <w:szCs w:val="28"/>
          <w:rtl/>
          <w:lang w:val="fr-FR" w:eastAsia="fr-FR" w:bidi="ar-DZ"/>
        </w:rPr>
        <w:t xml:space="preserve"> </w:t>
      </w:r>
      <w:r w:rsidRPr="00383F99">
        <w:rPr>
          <w:sz w:val="28"/>
          <w:szCs w:val="28"/>
          <w:rtl/>
          <w:lang w:val="fr-FR" w:eastAsia="fr-FR" w:bidi="ar-DZ"/>
        </w:rPr>
        <w:t xml:space="preserve">الحلقات غير المتجانسة، الالتحام الجزيئي، النشاط البيولوجي، عائلة </w:t>
      </w:r>
      <w:proofErr w:type="spellStart"/>
      <w:r w:rsidRPr="00383F99">
        <w:rPr>
          <w:sz w:val="28"/>
          <w:szCs w:val="28"/>
          <w:rtl/>
          <w:lang w:val="fr-FR" w:eastAsia="fr-FR" w:bidi="ar-DZ"/>
        </w:rPr>
        <w:t>الثيازول</w:t>
      </w:r>
      <w:proofErr w:type="spellEnd"/>
      <w:r w:rsidRPr="00383F99">
        <w:rPr>
          <w:sz w:val="28"/>
          <w:szCs w:val="28"/>
          <w:rtl/>
          <w:lang w:val="fr-FR" w:eastAsia="fr-FR" w:bidi="ar-DZ"/>
        </w:rPr>
        <w:t>، مؤشرات التفاعل العالمية</w:t>
      </w:r>
      <w:r>
        <w:rPr>
          <w:sz w:val="28"/>
          <w:szCs w:val="28"/>
          <w:lang w:val="fr-FR" w:eastAsia="fr-FR" w:bidi="ar-DZ"/>
        </w:rPr>
        <w:t>.</w:t>
      </w:r>
    </w:p>
    <w:p w:rsidR="00383F99" w:rsidRDefault="00383F99" w:rsidP="00383F99">
      <w:pPr>
        <w:pStyle w:val="Sansinterligne"/>
        <w:bidi/>
        <w:jc w:val="both"/>
        <w:rPr>
          <w:rFonts w:hint="cs"/>
          <w:b/>
          <w:bCs/>
          <w:sz w:val="28"/>
          <w:szCs w:val="28"/>
          <w:rtl/>
          <w:lang w:val="fr-FR" w:eastAsia="fr-FR" w:bidi="ar-DZ"/>
        </w:rPr>
      </w:pPr>
    </w:p>
    <w:p w:rsidR="00383F99" w:rsidRDefault="00383F99" w:rsidP="00383F99">
      <w:pPr>
        <w:pStyle w:val="Sansinterligne"/>
        <w:bidi/>
        <w:jc w:val="both"/>
        <w:rPr>
          <w:rFonts w:hint="cs"/>
          <w:b/>
          <w:bCs/>
          <w:sz w:val="28"/>
          <w:szCs w:val="28"/>
          <w:lang w:val="fr-FR" w:eastAsia="fr-FR" w:bidi="ar-DZ"/>
        </w:rPr>
      </w:pPr>
    </w:p>
    <w:p w:rsidR="00947E30" w:rsidRDefault="00947E30" w:rsidP="00383F99">
      <w:pPr>
        <w:pStyle w:val="Sansinterligne"/>
        <w:rPr>
          <w:b/>
          <w:bCs/>
          <w:sz w:val="28"/>
          <w:szCs w:val="28"/>
          <w:lang w:val="fr-FR" w:eastAsia="fr-FR"/>
        </w:rPr>
      </w:pPr>
      <w:r w:rsidRPr="00947E30">
        <w:rPr>
          <w:b/>
          <w:bCs/>
          <w:sz w:val="28"/>
          <w:szCs w:val="28"/>
          <w:lang w:val="fr-FR" w:eastAsia="fr-FR"/>
        </w:rPr>
        <w:t>Résumé</w:t>
      </w:r>
    </w:p>
    <w:p w:rsidR="00383F99" w:rsidRPr="00947E30" w:rsidRDefault="00383F99" w:rsidP="00383F99">
      <w:pPr>
        <w:pStyle w:val="Sansinterligne"/>
        <w:jc w:val="both"/>
        <w:rPr>
          <w:bdr w:val="none" w:sz="0" w:space="0" w:color="auto"/>
          <w:lang w:val="fr-FR" w:eastAsia="fr-FR"/>
        </w:rPr>
      </w:pPr>
    </w:p>
    <w:p w:rsidR="00383F99" w:rsidRDefault="00947E30" w:rsidP="00383F99">
      <w:pPr>
        <w:pStyle w:val="Sansinterligne"/>
        <w:jc w:val="both"/>
        <w:rPr>
          <w:sz w:val="28"/>
          <w:szCs w:val="28"/>
          <w:lang w:val="fr-FR"/>
        </w:rPr>
      </w:pPr>
      <w:r w:rsidRPr="00947E30">
        <w:rPr>
          <w:sz w:val="28"/>
          <w:szCs w:val="28"/>
          <w:lang w:val="fr-FR" w:eastAsia="fr-FR"/>
        </w:rPr>
        <w:t xml:space="preserve">Notre mémoire porte sur l'étude théorique de cinq composés hétérocycliques appartenant à la famille des thiazoles, imidazoles, </w:t>
      </w:r>
      <w:proofErr w:type="spellStart"/>
      <w:r w:rsidRPr="00947E30">
        <w:rPr>
          <w:sz w:val="28"/>
          <w:szCs w:val="28"/>
          <w:lang w:val="fr-FR" w:eastAsia="fr-FR"/>
        </w:rPr>
        <w:t>triazoles</w:t>
      </w:r>
      <w:proofErr w:type="spellEnd"/>
      <w:r w:rsidRPr="00947E30">
        <w:rPr>
          <w:sz w:val="28"/>
          <w:szCs w:val="28"/>
          <w:lang w:val="fr-FR" w:eastAsia="fr-FR"/>
        </w:rPr>
        <w:t xml:space="preserve">, </w:t>
      </w:r>
      <w:proofErr w:type="spellStart"/>
      <w:r w:rsidRPr="00947E30">
        <w:rPr>
          <w:sz w:val="28"/>
          <w:szCs w:val="28"/>
          <w:lang w:val="fr-FR" w:eastAsia="fr-FR"/>
        </w:rPr>
        <w:t>oxadiazoles</w:t>
      </w:r>
      <w:proofErr w:type="spellEnd"/>
      <w:r w:rsidRPr="00947E30">
        <w:rPr>
          <w:sz w:val="28"/>
          <w:szCs w:val="28"/>
          <w:lang w:val="fr-FR" w:eastAsia="fr-FR"/>
        </w:rPr>
        <w:t xml:space="preserve"> et thiophènes. Nous avons optimisé ces structures en utilisant la théorie fonctionnelle de la densité (DFT) avec la fonctionnelle B3LYP et la base de calcul 6-311G (d, p). De plus, nous avons déterminé le gap énergétique et les indices globaux de réactivité des cinq molécules M-THIA, M-IMI, M-TRI, M-OXA et M-THIO en calculant les énergies des orbitales moléculaires les plus hautes occupées (HOMO) et les énergies des orbitales moléculaires les plus basses vacantes (LUMO) avec le même niveau de calcul.</w:t>
      </w:r>
      <w:r w:rsidRPr="00947E30">
        <w:rPr>
          <w:sz w:val="28"/>
          <w:szCs w:val="28"/>
          <w:lang w:val="fr-FR"/>
        </w:rPr>
        <w:t xml:space="preserve"> Les orbitales moléculaires frontières indiquent la réactivité et la stabilité des composés.</w:t>
      </w:r>
      <w:r w:rsidRPr="00947E30">
        <w:rPr>
          <w:sz w:val="28"/>
          <w:szCs w:val="28"/>
          <w:lang w:val="fr-FR" w:eastAsia="fr-FR"/>
        </w:rPr>
        <w:t xml:space="preserve"> </w:t>
      </w:r>
      <w:r w:rsidRPr="00947E30">
        <w:rPr>
          <w:sz w:val="28"/>
          <w:szCs w:val="28"/>
          <w:lang w:val="fr-FR"/>
        </w:rPr>
        <w:t xml:space="preserve">Ensuite, le </w:t>
      </w:r>
      <w:proofErr w:type="spellStart"/>
      <w:r w:rsidRPr="00947E30">
        <w:rPr>
          <w:sz w:val="28"/>
          <w:szCs w:val="28"/>
          <w:lang w:val="fr-FR"/>
        </w:rPr>
        <w:t>docking</w:t>
      </w:r>
      <w:proofErr w:type="spellEnd"/>
      <w:r w:rsidRPr="00947E30">
        <w:rPr>
          <w:sz w:val="28"/>
          <w:szCs w:val="28"/>
          <w:lang w:val="fr-FR"/>
        </w:rPr>
        <w:t xml:space="preserve"> moléculaire a été effectué pour ces cinq ligands M-THIA, M-IMI, M-TRI, M-OXA et M-THIO envers les protéines cibles avec les identifiants PDB : 2WYA, 3KSW, 3DGE, 6POA et 6FUT, respectivement. Les résultats du </w:t>
      </w:r>
      <w:proofErr w:type="spellStart"/>
      <w:r w:rsidRPr="00947E30">
        <w:rPr>
          <w:sz w:val="28"/>
          <w:szCs w:val="28"/>
          <w:lang w:val="fr-FR"/>
        </w:rPr>
        <w:t>docking</w:t>
      </w:r>
      <w:proofErr w:type="spellEnd"/>
      <w:r w:rsidRPr="00947E30">
        <w:rPr>
          <w:sz w:val="28"/>
          <w:szCs w:val="28"/>
          <w:lang w:val="fr-FR"/>
        </w:rPr>
        <w:t xml:space="preserve"> ont révélé une bonne activité biologique de ces ligands vis-à-vis des protéines cibles. Ce travail fournit donc une étude des composés hétérocycliques étudiés, en utilisant des méthodes de calcul théorique, et met en évidence leur activité</w:t>
      </w:r>
      <w:r w:rsidR="00383F99">
        <w:rPr>
          <w:sz w:val="28"/>
          <w:szCs w:val="28"/>
          <w:lang w:val="fr-FR"/>
        </w:rPr>
        <w:t xml:space="preserve"> </w:t>
      </w:r>
      <w:r w:rsidR="00383F99" w:rsidRPr="00383F99">
        <w:rPr>
          <w:sz w:val="28"/>
          <w:szCs w:val="28"/>
          <w:lang w:val="fr-FR"/>
        </w:rPr>
        <w:t>biologique potentielle envers des protéines spécifiques.</w:t>
      </w:r>
    </w:p>
    <w:p w:rsidR="00383F99" w:rsidRDefault="00383F99" w:rsidP="00383F99">
      <w:pPr>
        <w:pStyle w:val="Sansinterligne"/>
        <w:jc w:val="both"/>
        <w:rPr>
          <w:sz w:val="28"/>
          <w:szCs w:val="28"/>
          <w:lang w:val="fr-FR"/>
        </w:rPr>
      </w:pPr>
    </w:p>
    <w:p w:rsidR="002A7502" w:rsidRDefault="00383F99" w:rsidP="00383F99">
      <w:pPr>
        <w:pStyle w:val="Sansinterligne"/>
        <w:bidi/>
        <w:jc w:val="right"/>
        <w:rPr>
          <w:b/>
          <w:bCs/>
          <w:sz w:val="28"/>
          <w:szCs w:val="28"/>
          <w:lang w:val="fr-FR"/>
        </w:rPr>
      </w:pPr>
      <w:r w:rsidRPr="00383F99">
        <w:rPr>
          <w:b/>
          <w:bCs/>
          <w:sz w:val="28"/>
          <w:szCs w:val="28"/>
          <w:lang w:val="fr-FR"/>
        </w:rPr>
        <w:t>Mots clés :</w:t>
      </w:r>
    </w:p>
    <w:p w:rsidR="00383F99" w:rsidRDefault="00383F99" w:rsidP="002A7502">
      <w:pPr>
        <w:pStyle w:val="Sansinterligne"/>
        <w:bidi/>
        <w:jc w:val="right"/>
        <w:rPr>
          <w:sz w:val="28"/>
          <w:szCs w:val="28"/>
          <w:lang w:val="fr-FR"/>
        </w:rPr>
      </w:pPr>
      <w:r w:rsidRPr="00383F99">
        <w:rPr>
          <w:lang w:val="fr-FR"/>
        </w:rPr>
        <w:t xml:space="preserve"> </w:t>
      </w:r>
      <w:r w:rsidR="002A7502">
        <w:rPr>
          <w:sz w:val="28"/>
          <w:szCs w:val="28"/>
          <w:lang w:val="fr-FR"/>
        </w:rPr>
        <w:t>H</w:t>
      </w:r>
      <w:r w:rsidRPr="00383F99">
        <w:rPr>
          <w:sz w:val="28"/>
          <w:szCs w:val="28"/>
          <w:lang w:val="fr-FR"/>
        </w:rPr>
        <w:t>étérocycliques</w:t>
      </w:r>
      <w:r>
        <w:rPr>
          <w:sz w:val="28"/>
          <w:szCs w:val="28"/>
          <w:lang w:val="fr-FR"/>
        </w:rPr>
        <w:t xml:space="preserve">, </w:t>
      </w:r>
      <w:r w:rsidRPr="00383F99">
        <w:rPr>
          <w:sz w:val="28"/>
          <w:szCs w:val="28"/>
          <w:lang w:val="fr-FR"/>
        </w:rPr>
        <w:t xml:space="preserve">le </w:t>
      </w:r>
      <w:proofErr w:type="spellStart"/>
      <w:r w:rsidRPr="00383F99">
        <w:rPr>
          <w:sz w:val="28"/>
          <w:szCs w:val="28"/>
          <w:lang w:val="fr-FR"/>
        </w:rPr>
        <w:t>docking</w:t>
      </w:r>
      <w:proofErr w:type="spellEnd"/>
      <w:r w:rsidRPr="00383F99">
        <w:rPr>
          <w:sz w:val="28"/>
          <w:szCs w:val="28"/>
          <w:lang w:val="fr-FR"/>
        </w:rPr>
        <w:t xml:space="preserve"> moléculaire</w:t>
      </w:r>
      <w:r>
        <w:rPr>
          <w:sz w:val="28"/>
          <w:szCs w:val="28"/>
          <w:lang w:val="fr-FR"/>
        </w:rPr>
        <w:t xml:space="preserve">, </w:t>
      </w:r>
      <w:r w:rsidRPr="00383F99">
        <w:rPr>
          <w:sz w:val="28"/>
          <w:szCs w:val="28"/>
          <w:lang w:val="fr-FR"/>
        </w:rPr>
        <w:t>activité biologique</w:t>
      </w:r>
      <w:r>
        <w:rPr>
          <w:sz w:val="28"/>
          <w:szCs w:val="28"/>
          <w:lang w:val="fr-FR"/>
        </w:rPr>
        <w:t xml:space="preserve">, </w:t>
      </w:r>
      <w:r w:rsidRPr="00383F99">
        <w:rPr>
          <w:sz w:val="28"/>
          <w:szCs w:val="28"/>
          <w:lang w:val="fr-FR"/>
        </w:rPr>
        <w:t>la famille des thiazoles</w:t>
      </w:r>
      <w:r>
        <w:rPr>
          <w:sz w:val="28"/>
          <w:szCs w:val="28"/>
          <w:lang w:val="fr-FR"/>
        </w:rPr>
        <w:t xml:space="preserve">, </w:t>
      </w:r>
      <w:r w:rsidRPr="00383F99">
        <w:rPr>
          <w:sz w:val="28"/>
          <w:szCs w:val="28"/>
          <w:lang w:val="fr-FR"/>
        </w:rPr>
        <w:t>les indices globaux</w:t>
      </w:r>
      <w:r>
        <w:rPr>
          <w:sz w:val="28"/>
          <w:szCs w:val="28"/>
          <w:lang w:val="fr-FR"/>
        </w:rPr>
        <w:t xml:space="preserve"> </w:t>
      </w:r>
      <w:r w:rsidRPr="00383F99">
        <w:rPr>
          <w:sz w:val="28"/>
          <w:szCs w:val="28"/>
          <w:lang w:val="fr-FR"/>
        </w:rPr>
        <w:t>de réactivité</w:t>
      </w:r>
      <w:r>
        <w:rPr>
          <w:sz w:val="28"/>
          <w:szCs w:val="28"/>
          <w:lang w:val="fr-FR"/>
        </w:rPr>
        <w:t>.</w:t>
      </w: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bidi/>
        <w:jc w:val="right"/>
        <w:rPr>
          <w:sz w:val="28"/>
          <w:szCs w:val="28"/>
          <w:lang w:val="fr-FR"/>
        </w:rPr>
      </w:pPr>
    </w:p>
    <w:p w:rsidR="00383F99" w:rsidRDefault="00383F99" w:rsidP="00383F99">
      <w:pPr>
        <w:pStyle w:val="Sansinterligne"/>
        <w:rPr>
          <w:b/>
          <w:bCs/>
          <w:sz w:val="28"/>
          <w:szCs w:val="28"/>
          <w:lang w:val="fr-FR"/>
        </w:rPr>
      </w:pPr>
      <w:r w:rsidRPr="00383F99">
        <w:rPr>
          <w:b/>
          <w:bCs/>
          <w:sz w:val="28"/>
          <w:szCs w:val="28"/>
          <w:lang w:val="fr-FR"/>
        </w:rPr>
        <w:t>Abstract</w:t>
      </w:r>
    </w:p>
    <w:p w:rsidR="00383F99" w:rsidRPr="00383F99" w:rsidRDefault="00383F99" w:rsidP="00383F99">
      <w:pPr>
        <w:pStyle w:val="Sansinterligne"/>
        <w:rPr>
          <w:b/>
          <w:bCs/>
          <w:sz w:val="28"/>
          <w:szCs w:val="28"/>
          <w:lang w:val="fr-FR"/>
        </w:rPr>
      </w:pPr>
    </w:p>
    <w:p w:rsidR="00383F99" w:rsidRDefault="00383F99" w:rsidP="002A7502">
      <w:pPr>
        <w:pStyle w:val="Sansinterligne"/>
        <w:jc w:val="both"/>
        <w:rPr>
          <w:sz w:val="28"/>
          <w:szCs w:val="28"/>
        </w:rPr>
      </w:pPr>
      <w:r w:rsidRPr="00383F99">
        <w:rPr>
          <w:sz w:val="28"/>
          <w:szCs w:val="28"/>
        </w:rPr>
        <w:t xml:space="preserve">Our research focuses on the theoretical study of five heterocyclic compounds </w:t>
      </w:r>
      <w:proofErr w:type="gramStart"/>
      <w:r w:rsidRPr="00383F99">
        <w:rPr>
          <w:sz w:val="28"/>
          <w:szCs w:val="28"/>
        </w:rPr>
        <w:t>belonging</w:t>
      </w:r>
      <w:proofErr w:type="gramEnd"/>
      <w:r w:rsidRPr="00383F99">
        <w:rPr>
          <w:sz w:val="28"/>
          <w:szCs w:val="28"/>
        </w:rPr>
        <w:t xml:space="preserve"> to the </w:t>
      </w:r>
      <w:proofErr w:type="spellStart"/>
      <w:r w:rsidRPr="00383F99">
        <w:rPr>
          <w:sz w:val="28"/>
          <w:szCs w:val="28"/>
        </w:rPr>
        <w:t>thiazole</w:t>
      </w:r>
      <w:proofErr w:type="spellEnd"/>
      <w:r w:rsidRPr="00383F99">
        <w:rPr>
          <w:sz w:val="28"/>
          <w:szCs w:val="28"/>
        </w:rPr>
        <w:t xml:space="preserve">, imidazole, </w:t>
      </w:r>
      <w:proofErr w:type="spellStart"/>
      <w:r w:rsidRPr="00383F99">
        <w:rPr>
          <w:sz w:val="28"/>
          <w:szCs w:val="28"/>
        </w:rPr>
        <w:t>triazole</w:t>
      </w:r>
      <w:proofErr w:type="spellEnd"/>
      <w:r w:rsidRPr="00383F99">
        <w:rPr>
          <w:sz w:val="28"/>
          <w:szCs w:val="28"/>
        </w:rPr>
        <w:t xml:space="preserve">, </w:t>
      </w:r>
      <w:proofErr w:type="spellStart"/>
      <w:r w:rsidRPr="00383F99">
        <w:rPr>
          <w:sz w:val="28"/>
          <w:szCs w:val="28"/>
        </w:rPr>
        <w:t>oxadiazole</w:t>
      </w:r>
      <w:proofErr w:type="spellEnd"/>
      <w:r w:rsidRPr="00383F99">
        <w:rPr>
          <w:sz w:val="28"/>
          <w:szCs w:val="28"/>
        </w:rPr>
        <w:t xml:space="preserve">, and </w:t>
      </w:r>
      <w:proofErr w:type="spellStart"/>
      <w:r w:rsidRPr="00383F99">
        <w:rPr>
          <w:sz w:val="28"/>
          <w:szCs w:val="28"/>
        </w:rPr>
        <w:t>thiophene</w:t>
      </w:r>
      <w:proofErr w:type="spellEnd"/>
      <w:r w:rsidRPr="00383F99">
        <w:rPr>
          <w:sz w:val="28"/>
          <w:szCs w:val="28"/>
        </w:rPr>
        <w:t xml:space="preserve"> families. We optimized these structures using density functional theory (DFT) with the B3LYP </w:t>
      </w:r>
      <w:proofErr w:type="gramStart"/>
      <w:r w:rsidRPr="00383F99">
        <w:rPr>
          <w:sz w:val="28"/>
          <w:szCs w:val="28"/>
        </w:rPr>
        <w:t>functional</w:t>
      </w:r>
      <w:proofErr w:type="gramEnd"/>
      <w:r w:rsidRPr="00383F99">
        <w:rPr>
          <w:sz w:val="28"/>
          <w:szCs w:val="28"/>
        </w:rPr>
        <w:t xml:space="preserve"> and the 6-311G (d, p) basis set. Furthermore, we determined the energy gap and global reactivity indices of the five molecules, M-THIA, M-IMI, M-TRI, M-OXA, and M-THIO, by calculating the energies of the highest occupied molecular orbitals (HOMO) and the lowest unoccupied molecular orbitals (LUMO) using the same level of calculation. The frontier molecular orbitals indicate the reactivity and stability of the compounds. Subsequently, molecular docking was performed for these five ligands, M-THIA, M-IMI, M-TRI, M-OXA, and M-THIO, towards the target proteins with the PDB IDs: 2WYA, 3KSW, 3DGE, 6POA, and 6FUT, respectively. The docking results revealed good biological activity of these ligands against the target proteins. This work provides a study of the investigated heterocyclic compounds using theoretical calculation methods and highlights their potential biological activity towards specific proteins</w:t>
      </w:r>
      <w:r>
        <w:rPr>
          <w:sz w:val="28"/>
          <w:szCs w:val="28"/>
        </w:rPr>
        <w:t>.</w:t>
      </w:r>
    </w:p>
    <w:p w:rsidR="002A7502" w:rsidRDefault="002A7502" w:rsidP="002A7502">
      <w:pPr>
        <w:pStyle w:val="Sansinterligne"/>
        <w:jc w:val="both"/>
        <w:rPr>
          <w:sz w:val="28"/>
          <w:szCs w:val="28"/>
        </w:rPr>
      </w:pPr>
    </w:p>
    <w:p w:rsidR="002A7502" w:rsidRDefault="002A7502" w:rsidP="002A7502">
      <w:pPr>
        <w:pStyle w:val="Sansinterligne"/>
        <w:jc w:val="both"/>
        <w:rPr>
          <w:b/>
          <w:bCs/>
          <w:sz w:val="28"/>
          <w:szCs w:val="28"/>
        </w:rPr>
      </w:pPr>
      <w:r w:rsidRPr="002A7502">
        <w:rPr>
          <w:b/>
          <w:bCs/>
          <w:sz w:val="28"/>
          <w:szCs w:val="28"/>
        </w:rPr>
        <w:t>Key words:</w:t>
      </w:r>
    </w:p>
    <w:p w:rsidR="002A7502" w:rsidRDefault="002A7502" w:rsidP="002A7502">
      <w:pPr>
        <w:pStyle w:val="Sansinterligne"/>
        <w:jc w:val="both"/>
        <w:rPr>
          <w:sz w:val="28"/>
          <w:szCs w:val="28"/>
        </w:rPr>
      </w:pPr>
      <w:r w:rsidRPr="002A7502">
        <w:rPr>
          <w:sz w:val="28"/>
          <w:szCs w:val="28"/>
        </w:rPr>
        <w:t xml:space="preserve"> </w:t>
      </w:r>
      <w:proofErr w:type="spellStart"/>
      <w:proofErr w:type="gramStart"/>
      <w:r w:rsidRPr="002A7502">
        <w:rPr>
          <w:sz w:val="28"/>
          <w:szCs w:val="28"/>
        </w:rPr>
        <w:t>Heterocyclic</w:t>
      </w:r>
      <w:r>
        <w:rPr>
          <w:sz w:val="28"/>
          <w:szCs w:val="28"/>
        </w:rPr>
        <w:t>s</w:t>
      </w:r>
      <w:proofErr w:type="spellEnd"/>
      <w:r>
        <w:rPr>
          <w:sz w:val="28"/>
          <w:szCs w:val="28"/>
        </w:rPr>
        <w:t xml:space="preserve"> </w:t>
      </w:r>
      <w:r w:rsidRPr="002A7502">
        <w:rPr>
          <w:sz w:val="28"/>
          <w:szCs w:val="28"/>
        </w:rPr>
        <w:t>,</w:t>
      </w:r>
      <w:proofErr w:type="gramEnd"/>
      <w:r w:rsidRPr="002A7502">
        <w:rPr>
          <w:sz w:val="28"/>
          <w:szCs w:val="28"/>
        </w:rPr>
        <w:t xml:space="preserve"> molecular docking, biological activity, </w:t>
      </w:r>
      <w:proofErr w:type="spellStart"/>
      <w:r w:rsidRPr="002A7502">
        <w:rPr>
          <w:sz w:val="28"/>
          <w:szCs w:val="28"/>
        </w:rPr>
        <w:t>thiazole</w:t>
      </w:r>
      <w:proofErr w:type="spellEnd"/>
      <w:r w:rsidRPr="002A7502">
        <w:rPr>
          <w:sz w:val="28"/>
          <w:szCs w:val="28"/>
        </w:rPr>
        <w:t xml:space="preserve"> family, global reactivity indices.</w:t>
      </w:r>
    </w:p>
    <w:p w:rsidR="00576AC6" w:rsidRPr="00383F99" w:rsidRDefault="00383F99" w:rsidP="00383F99">
      <w:pPr>
        <w:pStyle w:val="Sansinterligne"/>
        <w:bidi/>
        <w:jc w:val="right"/>
        <w:rPr>
          <w:b/>
          <w:bCs/>
          <w:sz w:val="28"/>
          <w:szCs w:val="28"/>
        </w:rPr>
      </w:pPr>
      <w:r w:rsidRPr="00383F99">
        <w:rPr>
          <w:sz w:val="28"/>
          <w:szCs w:val="28"/>
          <w:rtl/>
          <w:lang w:val="fr-FR"/>
        </w:rPr>
        <w:t>.</w:t>
      </w:r>
      <w:r w:rsidRPr="00383F99">
        <w:rPr>
          <w:rFonts w:hint="cs"/>
          <w:sz w:val="28"/>
          <w:szCs w:val="28"/>
          <w:rtl/>
          <w:lang w:val="fr-FR"/>
        </w:rPr>
        <w:t xml:space="preserve"> </w:t>
      </w:r>
    </w:p>
    <w:sectPr w:rsidR="00576AC6" w:rsidRPr="00383F99" w:rsidSect="00383028">
      <w:headerReference w:type="default" r:id="rId7"/>
      <w:footerReference w:type="default" r:id="rId8"/>
      <w:pgSz w:w="11906" w:h="16838"/>
      <w:pgMar w:top="1134" w:right="1134" w:bottom="1134" w:left="1134" w:header="709" w:footer="850" w:gutter="0"/>
      <w:pgNumType w:start="49"/>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0E4" w:rsidRDefault="004360E4" w:rsidP="00947E30">
      <w:r>
        <w:separator/>
      </w:r>
    </w:p>
  </w:endnote>
  <w:endnote w:type="continuationSeparator" w:id="0">
    <w:p w:rsidR="004360E4" w:rsidRDefault="004360E4" w:rsidP="00947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C8A" w:rsidRDefault="004360E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0E4" w:rsidRDefault="004360E4" w:rsidP="00947E30">
      <w:r>
        <w:separator/>
      </w:r>
    </w:p>
  </w:footnote>
  <w:footnote w:type="continuationSeparator" w:id="0">
    <w:p w:rsidR="004360E4" w:rsidRDefault="004360E4" w:rsidP="00947E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C8A" w:rsidRPr="002C3C25" w:rsidRDefault="004360E4">
    <w:pPr>
      <w:pStyle w:val="En-tte"/>
      <w:rPr>
        <w:lang w:val="fr-F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E30"/>
    <w:rsid w:val="002A7502"/>
    <w:rsid w:val="00383F99"/>
    <w:rsid w:val="004360E4"/>
    <w:rsid w:val="00576AC6"/>
    <w:rsid w:val="00947E30"/>
    <w:rsid w:val="00F225B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7E30"/>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47E30"/>
    <w:pPr>
      <w:tabs>
        <w:tab w:val="center" w:pos="4536"/>
        <w:tab w:val="right" w:pos="9072"/>
      </w:tabs>
    </w:pPr>
  </w:style>
  <w:style w:type="character" w:customStyle="1" w:styleId="En-tteCar">
    <w:name w:val="En-tête Car"/>
    <w:basedOn w:val="Policepardfaut"/>
    <w:link w:val="En-tte"/>
    <w:uiPriority w:val="99"/>
    <w:rsid w:val="00947E30"/>
    <w:rPr>
      <w:rFonts w:ascii="Times New Roman" w:eastAsia="Arial Unicode MS" w:hAnsi="Times New Roman" w:cs="Times New Roman"/>
      <w:sz w:val="24"/>
      <w:szCs w:val="24"/>
      <w:bdr w:val="nil"/>
      <w:lang w:val="en-US"/>
    </w:rPr>
  </w:style>
  <w:style w:type="paragraph" w:styleId="Pieddepage">
    <w:name w:val="footer"/>
    <w:basedOn w:val="Normal"/>
    <w:link w:val="PieddepageCar"/>
    <w:uiPriority w:val="99"/>
    <w:unhideWhenUsed/>
    <w:rsid w:val="00947E30"/>
    <w:pPr>
      <w:tabs>
        <w:tab w:val="center" w:pos="4536"/>
        <w:tab w:val="right" w:pos="9072"/>
      </w:tabs>
    </w:pPr>
  </w:style>
  <w:style w:type="character" w:customStyle="1" w:styleId="PieddepageCar">
    <w:name w:val="Pied de page Car"/>
    <w:basedOn w:val="Policepardfaut"/>
    <w:link w:val="Pieddepage"/>
    <w:uiPriority w:val="99"/>
    <w:rsid w:val="00947E30"/>
    <w:rPr>
      <w:rFonts w:ascii="Times New Roman" w:eastAsia="Arial Unicode MS" w:hAnsi="Times New Roman" w:cs="Times New Roman"/>
      <w:sz w:val="24"/>
      <w:szCs w:val="24"/>
      <w:bdr w:val="nil"/>
      <w:lang w:val="en-US"/>
    </w:rPr>
  </w:style>
  <w:style w:type="paragraph" w:styleId="Sansinterligne">
    <w:name w:val="No Spacing"/>
    <w:uiPriority w:val="1"/>
    <w:qFormat/>
    <w:rsid w:val="00947E30"/>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7E30"/>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47E30"/>
    <w:pPr>
      <w:tabs>
        <w:tab w:val="center" w:pos="4536"/>
        <w:tab w:val="right" w:pos="9072"/>
      </w:tabs>
    </w:pPr>
  </w:style>
  <w:style w:type="character" w:customStyle="1" w:styleId="En-tteCar">
    <w:name w:val="En-tête Car"/>
    <w:basedOn w:val="Policepardfaut"/>
    <w:link w:val="En-tte"/>
    <w:uiPriority w:val="99"/>
    <w:rsid w:val="00947E30"/>
    <w:rPr>
      <w:rFonts w:ascii="Times New Roman" w:eastAsia="Arial Unicode MS" w:hAnsi="Times New Roman" w:cs="Times New Roman"/>
      <w:sz w:val="24"/>
      <w:szCs w:val="24"/>
      <w:bdr w:val="nil"/>
      <w:lang w:val="en-US"/>
    </w:rPr>
  </w:style>
  <w:style w:type="paragraph" w:styleId="Pieddepage">
    <w:name w:val="footer"/>
    <w:basedOn w:val="Normal"/>
    <w:link w:val="PieddepageCar"/>
    <w:uiPriority w:val="99"/>
    <w:unhideWhenUsed/>
    <w:rsid w:val="00947E30"/>
    <w:pPr>
      <w:tabs>
        <w:tab w:val="center" w:pos="4536"/>
        <w:tab w:val="right" w:pos="9072"/>
      </w:tabs>
    </w:pPr>
  </w:style>
  <w:style w:type="character" w:customStyle="1" w:styleId="PieddepageCar">
    <w:name w:val="Pied de page Car"/>
    <w:basedOn w:val="Policepardfaut"/>
    <w:link w:val="Pieddepage"/>
    <w:uiPriority w:val="99"/>
    <w:rsid w:val="00947E30"/>
    <w:rPr>
      <w:rFonts w:ascii="Times New Roman" w:eastAsia="Arial Unicode MS" w:hAnsi="Times New Roman" w:cs="Times New Roman"/>
      <w:sz w:val="24"/>
      <w:szCs w:val="24"/>
      <w:bdr w:val="nil"/>
      <w:lang w:val="en-US"/>
    </w:rPr>
  </w:style>
  <w:style w:type="paragraph" w:styleId="Sansinterligne">
    <w:name w:val="No Spacing"/>
    <w:uiPriority w:val="1"/>
    <w:qFormat/>
    <w:rsid w:val="00947E30"/>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408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589</Words>
  <Characters>3243</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2</cp:revision>
  <dcterms:created xsi:type="dcterms:W3CDTF">2023-09-24T11:10:00Z</dcterms:created>
  <dcterms:modified xsi:type="dcterms:W3CDTF">2023-09-24T11:10:00Z</dcterms:modified>
</cp:coreProperties>
</file>