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1EB6" w:rsidRPr="00A61EB6" w:rsidRDefault="00A61EB6" w:rsidP="00A61EB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rFonts w:asciiTheme="majorBidi" w:hAnsiTheme="majorBidi" w:cstheme="majorBidi"/>
          <w:b/>
          <w:bCs/>
          <w:color w:val="000000" w:themeColor="text1"/>
          <w:sz w:val="24"/>
          <w:szCs w:val="24"/>
          <w:lang w:eastAsia="fr-FR" w:bidi="ar-DZ"/>
        </w:rPr>
      </w:pPr>
      <w:r w:rsidRPr="00A61EB6">
        <w:rPr>
          <w:rFonts w:asciiTheme="majorBidi" w:hAnsiTheme="majorBidi" w:cstheme="majorBidi" w:hint="cs"/>
          <w:b/>
          <w:bCs/>
          <w:color w:val="000000" w:themeColor="text1"/>
          <w:sz w:val="24"/>
          <w:szCs w:val="24"/>
          <w:rtl/>
          <w:lang w:val="en-US" w:eastAsia="fr-FR" w:bidi="ar-DZ"/>
        </w:rPr>
        <w:t>ملخص </w:t>
      </w:r>
    </w:p>
    <w:p w:rsidR="00A61EB6" w:rsidRPr="00A61EB6" w:rsidRDefault="00A61EB6" w:rsidP="00A61EB6">
      <w:pPr>
        <w:pStyle w:val="HTMLPreformatted"/>
        <w:shd w:val="clear" w:color="auto" w:fill="F8F9FA"/>
        <w:bidi/>
        <w:jc w:val="both"/>
        <w:rPr>
          <w:rStyle w:val="y2iqfc"/>
          <w:rFonts w:asciiTheme="majorBidi" w:hAnsiTheme="majorBidi" w:cstheme="majorBidi"/>
          <w:color w:val="000000" w:themeColor="text1"/>
          <w:sz w:val="24"/>
          <w:szCs w:val="24"/>
          <w:rtl/>
          <w:lang w:bidi="ar"/>
        </w:rPr>
      </w:pPr>
      <w:r w:rsidRPr="00A61EB6">
        <w:rPr>
          <w:rStyle w:val="y2iqfc"/>
          <w:rFonts w:asciiTheme="majorBidi" w:hAnsiTheme="majorBidi" w:cstheme="majorBidi"/>
          <w:color w:val="000000" w:themeColor="text1"/>
          <w:sz w:val="24"/>
          <w:szCs w:val="24"/>
          <w:rtl/>
          <w:lang w:bidi="ar"/>
        </w:rPr>
        <w:t>من أجل إعداد أطروحة الوضع المهني لدينا ، تم تخصيص موضوع لنا ، وهو دراسة تأثير تقليل المحتوى المائي لغاز البترول المسال على معلمات التشغيل لقسم تجفيف الحمل.</w:t>
      </w:r>
    </w:p>
    <w:p w:rsidR="00A61EB6" w:rsidRPr="00A61EB6" w:rsidRDefault="00A61EB6" w:rsidP="00A61EB6">
      <w:pPr>
        <w:pStyle w:val="HTMLPreformatted"/>
        <w:shd w:val="clear" w:color="auto" w:fill="F8F9FA"/>
        <w:bidi/>
        <w:jc w:val="both"/>
        <w:rPr>
          <w:rStyle w:val="y2iqfc"/>
          <w:rFonts w:asciiTheme="majorBidi" w:hAnsiTheme="majorBidi" w:cstheme="majorBidi"/>
          <w:color w:val="000000" w:themeColor="text1"/>
          <w:sz w:val="24"/>
          <w:szCs w:val="24"/>
          <w:rtl/>
          <w:lang w:bidi="ar"/>
        </w:rPr>
      </w:pPr>
      <w:r w:rsidRPr="00A61EB6">
        <w:rPr>
          <w:rStyle w:val="y2iqfc"/>
          <w:rFonts w:asciiTheme="majorBidi" w:hAnsiTheme="majorBidi" w:cstheme="majorBidi"/>
          <w:color w:val="000000" w:themeColor="text1"/>
          <w:sz w:val="24"/>
          <w:szCs w:val="24"/>
          <w:rtl/>
          <w:lang w:bidi="ar"/>
        </w:rPr>
        <w:t>لتحسين وحدة التجفيف بقوة ، أجرينا حسابًا لمقادير الحرارة المختلفة لقسم الجفاف بأكمله ، بعد دراسة توازن كتلة عمود الامتصاص ، بدءًا من تقديم بيانات المشكلة بالإضافة إلى المنهجية المستخدمة في إجراء حساباتنا.</w:t>
      </w:r>
    </w:p>
    <w:p w:rsidR="00A61EB6" w:rsidRPr="00A61EB6" w:rsidRDefault="00A61EB6" w:rsidP="00A61EB6">
      <w:pPr>
        <w:pStyle w:val="HTMLPreformatted"/>
        <w:shd w:val="clear" w:color="auto" w:fill="F8F9FA"/>
        <w:bidi/>
        <w:jc w:val="both"/>
        <w:rPr>
          <w:rStyle w:val="y2iqfc"/>
          <w:rFonts w:asciiTheme="majorBidi" w:hAnsiTheme="majorBidi" w:cstheme="majorBidi"/>
          <w:color w:val="000000" w:themeColor="text1"/>
          <w:sz w:val="24"/>
          <w:szCs w:val="24"/>
          <w:rtl/>
          <w:lang w:bidi="ar"/>
        </w:rPr>
      </w:pPr>
      <w:r w:rsidRPr="00A61EB6">
        <w:rPr>
          <w:rStyle w:val="y2iqfc"/>
          <w:rFonts w:asciiTheme="majorBidi" w:hAnsiTheme="majorBidi" w:cstheme="majorBidi"/>
          <w:color w:val="000000" w:themeColor="text1"/>
          <w:sz w:val="24"/>
          <w:szCs w:val="24"/>
          <w:rtl/>
          <w:lang w:bidi="ar"/>
        </w:rPr>
        <w:t>كما تم إجراء أعمال التحقق للتأكد من صحة طريقة الحساب.</w:t>
      </w:r>
    </w:p>
    <w:p w:rsidR="00A61EB6" w:rsidRPr="00A61EB6" w:rsidRDefault="00A61EB6" w:rsidP="00A61EB6">
      <w:pPr>
        <w:pStyle w:val="HTMLPreformatted"/>
        <w:shd w:val="clear" w:color="auto" w:fill="F8F9FA"/>
        <w:bidi/>
        <w:jc w:val="both"/>
        <w:rPr>
          <w:rStyle w:val="y2iqfc"/>
          <w:rFonts w:asciiTheme="majorBidi" w:hAnsiTheme="majorBidi" w:cstheme="majorBidi"/>
          <w:color w:val="000000" w:themeColor="text1"/>
          <w:sz w:val="24"/>
          <w:szCs w:val="24"/>
          <w:rtl/>
          <w:lang w:bidi="ar"/>
        </w:rPr>
      </w:pPr>
      <w:r w:rsidRPr="00A61EB6">
        <w:rPr>
          <w:rStyle w:val="y2iqfc"/>
          <w:rFonts w:asciiTheme="majorBidi" w:hAnsiTheme="majorBidi" w:cstheme="majorBidi"/>
          <w:color w:val="000000" w:themeColor="text1"/>
          <w:sz w:val="24"/>
          <w:szCs w:val="24"/>
          <w:rtl/>
          <w:lang w:bidi="ar"/>
        </w:rPr>
        <w:t xml:space="preserve"> في نهاية دراستنا ، اقتراح لبرنامج حساب لتحديد معلمات التشغيل المثلى لمجفف الحمل للتعامل مع المشكلة.</w:t>
      </w:r>
    </w:p>
    <w:p w:rsidR="00A61EB6" w:rsidRPr="00A61EB6" w:rsidRDefault="00A61EB6" w:rsidP="00A61EB6">
      <w:pPr>
        <w:pStyle w:val="HTMLPreformatted"/>
        <w:shd w:val="clear" w:color="auto" w:fill="F8F9FA"/>
        <w:bidi/>
        <w:jc w:val="both"/>
        <w:rPr>
          <w:rFonts w:asciiTheme="majorBidi" w:hAnsiTheme="majorBidi" w:cstheme="majorBidi"/>
          <w:color w:val="000000" w:themeColor="text1"/>
          <w:sz w:val="24"/>
          <w:szCs w:val="24"/>
        </w:rPr>
      </w:pPr>
      <w:r w:rsidRPr="00A61EB6">
        <w:rPr>
          <w:rStyle w:val="y2iqfc"/>
          <w:rFonts w:asciiTheme="majorBidi" w:hAnsiTheme="majorBidi" w:cstheme="majorBidi"/>
          <w:color w:val="000000" w:themeColor="text1"/>
          <w:sz w:val="24"/>
          <w:szCs w:val="24"/>
          <w:rtl/>
          <w:lang w:bidi="ar"/>
        </w:rPr>
        <w:t>الكلمات المفتاحية: مجفف ، عمود امتصاص ، ماء ، غاز البترول المسال.</w:t>
      </w:r>
    </w:p>
    <w:p w:rsidR="00A61EB6" w:rsidRPr="00A61EB6" w:rsidRDefault="00A61EB6" w:rsidP="00A61EB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ajorBidi" w:hAnsiTheme="majorBidi" w:cstheme="majorBidi"/>
          <w:color w:val="000000" w:themeColor="text1"/>
          <w:sz w:val="20"/>
          <w:szCs w:val="20"/>
          <w:lang w:val="en-US" w:eastAsia="fr-FR"/>
        </w:rPr>
      </w:pPr>
      <w:r w:rsidRPr="00A61EB6">
        <w:rPr>
          <w:rFonts w:asciiTheme="majorBidi" w:hAnsiTheme="majorBidi" w:cstheme="majorBidi"/>
          <w:color w:val="000000" w:themeColor="text1"/>
          <w:sz w:val="20"/>
          <w:szCs w:val="20"/>
          <w:lang w:val="en-US" w:eastAsia="fr-FR"/>
        </w:rPr>
        <w:t>.</w:t>
      </w:r>
    </w:p>
    <w:p w:rsidR="00A61EB6" w:rsidRPr="00A61EB6" w:rsidRDefault="00A61EB6" w:rsidP="00A61EB6">
      <w:pPr>
        <w:jc w:val="both"/>
        <w:rPr>
          <w:rFonts w:asciiTheme="majorBidi" w:hAnsiTheme="majorBidi" w:cstheme="majorBidi"/>
          <w:color w:val="000000" w:themeColor="text1"/>
          <w:sz w:val="20"/>
          <w:szCs w:val="20"/>
          <w:lang w:val="en-US"/>
        </w:rPr>
      </w:pPr>
    </w:p>
    <w:p w:rsidR="00A61EB6" w:rsidRPr="00A61EB6" w:rsidRDefault="00A61EB6" w:rsidP="00A61EB6">
      <w:pPr>
        <w:jc w:val="both"/>
        <w:rPr>
          <w:rFonts w:asciiTheme="majorBidi" w:hAnsiTheme="majorBidi" w:cstheme="majorBidi"/>
          <w:b/>
          <w:bCs/>
          <w:color w:val="000000" w:themeColor="text1"/>
          <w:sz w:val="24"/>
          <w:szCs w:val="24"/>
          <w:lang w:val="en-US"/>
        </w:rPr>
      </w:pPr>
      <w:proofErr w:type="gramStart"/>
      <w:r w:rsidRPr="00A61EB6">
        <w:rPr>
          <w:rFonts w:asciiTheme="majorBidi" w:hAnsiTheme="majorBidi" w:cstheme="majorBidi"/>
          <w:b/>
          <w:bCs/>
          <w:color w:val="000000" w:themeColor="text1"/>
          <w:sz w:val="24"/>
          <w:szCs w:val="24"/>
          <w:lang w:val="en-US"/>
        </w:rPr>
        <w:t>Abstract :</w:t>
      </w:r>
      <w:proofErr w:type="gramEnd"/>
    </w:p>
    <w:p w:rsidR="00A61EB6" w:rsidRPr="00A61EB6" w:rsidRDefault="00A61EB6" w:rsidP="00A61EB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ajorBidi" w:hAnsiTheme="majorBidi" w:cstheme="majorBidi"/>
          <w:color w:val="000000" w:themeColor="text1"/>
          <w:sz w:val="24"/>
          <w:szCs w:val="24"/>
          <w:lang w:val="en" w:eastAsia="fr-FR"/>
        </w:rPr>
      </w:pPr>
      <w:r w:rsidRPr="00A61EB6">
        <w:rPr>
          <w:rFonts w:asciiTheme="majorBidi" w:hAnsiTheme="majorBidi" w:cstheme="majorBidi"/>
          <w:color w:val="000000" w:themeColor="text1"/>
          <w:sz w:val="24"/>
          <w:szCs w:val="24"/>
          <w:lang w:val="en" w:eastAsia="fr-FR"/>
        </w:rPr>
        <w:t>In order to prepare our professional situation thesis, a theme was assigned to us, which is the study of the impact of the reduction in the water content of LPG on the operating parameters of the load dehydration section.</w:t>
      </w:r>
    </w:p>
    <w:p w:rsidR="00A61EB6" w:rsidRPr="00A61EB6" w:rsidRDefault="00A61EB6" w:rsidP="00A61EB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ajorBidi" w:hAnsiTheme="majorBidi" w:cstheme="majorBidi"/>
          <w:color w:val="000000" w:themeColor="text1"/>
          <w:sz w:val="24"/>
          <w:szCs w:val="24"/>
          <w:lang w:val="en" w:eastAsia="fr-FR"/>
        </w:rPr>
      </w:pPr>
      <w:r w:rsidRPr="00A61EB6">
        <w:rPr>
          <w:rFonts w:asciiTheme="majorBidi" w:hAnsiTheme="majorBidi" w:cstheme="majorBidi"/>
          <w:color w:val="000000" w:themeColor="text1"/>
          <w:sz w:val="24"/>
          <w:szCs w:val="24"/>
          <w:lang w:val="en" w:eastAsia="fr-FR"/>
        </w:rPr>
        <w:t>To energetically optimize the dehydration unit, we performed a calculation of the different amounts of heat of the entire dehydration section, after a study of the mass balance of the adsorption column, starting by presenting the data of the problem as well as the methodology used to carry out our calculations.</w:t>
      </w:r>
    </w:p>
    <w:p w:rsidR="00A61EB6" w:rsidRPr="00A61EB6" w:rsidRDefault="00A61EB6" w:rsidP="00A61EB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ajorBidi" w:hAnsiTheme="majorBidi" w:cstheme="majorBidi"/>
          <w:color w:val="000000" w:themeColor="text1"/>
          <w:sz w:val="24"/>
          <w:szCs w:val="24"/>
          <w:lang w:val="en" w:eastAsia="fr-FR"/>
        </w:rPr>
      </w:pPr>
      <w:r w:rsidRPr="00A61EB6">
        <w:rPr>
          <w:rFonts w:asciiTheme="majorBidi" w:hAnsiTheme="majorBidi" w:cstheme="majorBidi"/>
          <w:color w:val="000000" w:themeColor="text1"/>
          <w:sz w:val="24"/>
          <w:szCs w:val="24"/>
          <w:lang w:val="en" w:eastAsia="fr-FR"/>
        </w:rPr>
        <w:t>Verification work was also carried out to ensure the validity of the calculation method.</w:t>
      </w:r>
    </w:p>
    <w:p w:rsidR="00A61EB6" w:rsidRPr="00A61EB6" w:rsidRDefault="00A61EB6" w:rsidP="00A61EB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ajorBidi" w:hAnsiTheme="majorBidi" w:cstheme="majorBidi"/>
          <w:color w:val="000000" w:themeColor="text1"/>
          <w:sz w:val="24"/>
          <w:szCs w:val="24"/>
          <w:lang w:val="en" w:eastAsia="fr-FR"/>
        </w:rPr>
      </w:pPr>
      <w:r w:rsidRPr="00A61EB6">
        <w:rPr>
          <w:rFonts w:asciiTheme="majorBidi" w:hAnsiTheme="majorBidi" w:cstheme="majorBidi"/>
          <w:color w:val="000000" w:themeColor="text1"/>
          <w:sz w:val="24"/>
          <w:szCs w:val="24"/>
          <w:lang w:val="en" w:eastAsia="fr-FR"/>
        </w:rPr>
        <w:t xml:space="preserve"> At the end of our study, a proposal of a calculation program for the determination of the optimum parameters of operation of load dehydrator to face the problem.</w:t>
      </w:r>
    </w:p>
    <w:p w:rsidR="00A61EB6" w:rsidRPr="00A61EB6" w:rsidRDefault="00A61EB6" w:rsidP="00A61EB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ajorBidi" w:hAnsiTheme="majorBidi" w:cstheme="majorBidi"/>
          <w:color w:val="000000" w:themeColor="text1"/>
          <w:sz w:val="24"/>
          <w:szCs w:val="24"/>
          <w:lang w:val="en" w:eastAsia="fr-FR"/>
        </w:rPr>
      </w:pPr>
      <w:r w:rsidRPr="00A61EB6">
        <w:rPr>
          <w:rFonts w:asciiTheme="majorBidi" w:hAnsiTheme="majorBidi" w:cstheme="majorBidi"/>
          <w:color w:val="000000" w:themeColor="text1"/>
          <w:sz w:val="24"/>
          <w:szCs w:val="24"/>
          <w:lang w:val="en" w:eastAsia="fr-FR"/>
        </w:rPr>
        <w:t>Keywords: dehydrator, adsorption column, water, GPL.</w:t>
      </w:r>
    </w:p>
    <w:p w:rsidR="00A61EB6" w:rsidRPr="00A61EB6" w:rsidRDefault="00A61EB6" w:rsidP="00A61EB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ajorBidi" w:hAnsiTheme="majorBidi" w:cstheme="majorBidi"/>
          <w:color w:val="000000" w:themeColor="text1"/>
          <w:sz w:val="24"/>
          <w:szCs w:val="24"/>
          <w:lang w:val="en" w:eastAsia="fr-FR"/>
        </w:rPr>
      </w:pPr>
    </w:p>
    <w:p w:rsidR="00A61EB6" w:rsidRPr="00A61EB6" w:rsidRDefault="00A61EB6" w:rsidP="00A61EB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ajorBidi" w:hAnsiTheme="majorBidi" w:cstheme="majorBidi"/>
          <w:color w:val="000000" w:themeColor="text1"/>
          <w:sz w:val="24"/>
          <w:szCs w:val="24"/>
          <w:lang w:val="en" w:eastAsia="fr-FR"/>
        </w:rPr>
      </w:pPr>
    </w:p>
    <w:p w:rsidR="00A61EB6" w:rsidRPr="00A61EB6" w:rsidRDefault="00A61EB6" w:rsidP="00A61EB6">
      <w:pPr>
        <w:jc w:val="both"/>
        <w:rPr>
          <w:rFonts w:asciiTheme="majorBidi" w:hAnsiTheme="majorBidi" w:cstheme="majorBidi"/>
          <w:b/>
          <w:bCs/>
          <w:color w:val="000000" w:themeColor="text1"/>
          <w:sz w:val="24"/>
          <w:szCs w:val="24"/>
        </w:rPr>
      </w:pPr>
      <w:r w:rsidRPr="00A61EB6">
        <w:rPr>
          <w:rFonts w:asciiTheme="majorBidi" w:hAnsiTheme="majorBidi" w:cstheme="majorBidi"/>
          <w:b/>
          <w:bCs/>
          <w:color w:val="000000" w:themeColor="text1"/>
          <w:sz w:val="24"/>
          <w:szCs w:val="24"/>
        </w:rPr>
        <w:t>Résumer :</w:t>
      </w:r>
    </w:p>
    <w:p w:rsidR="00A61EB6" w:rsidRPr="00A61EB6" w:rsidRDefault="00A61EB6" w:rsidP="00A61EB6">
      <w:pPr>
        <w:jc w:val="both"/>
        <w:rPr>
          <w:rFonts w:asciiTheme="majorBidi" w:hAnsiTheme="majorBidi" w:cstheme="majorBidi"/>
          <w:color w:val="000000" w:themeColor="text1"/>
          <w:sz w:val="24"/>
          <w:szCs w:val="24"/>
        </w:rPr>
      </w:pPr>
      <w:r w:rsidRPr="00A61EB6">
        <w:rPr>
          <w:rFonts w:asciiTheme="majorBidi" w:hAnsiTheme="majorBidi" w:cstheme="majorBidi"/>
          <w:color w:val="000000" w:themeColor="text1"/>
          <w:sz w:val="24"/>
          <w:szCs w:val="24"/>
        </w:rPr>
        <w:t xml:space="preserve">Afin de préparer notre mémoire de mise en situation professionnelle, un thème nous a été attribué, qui est l’étude de l’impact de la diminution de la teneur en eau du GPL sur les paramètres de fonctionnement de la section de déshydratation de charge. </w:t>
      </w:r>
    </w:p>
    <w:p w:rsidR="00A61EB6" w:rsidRPr="00A61EB6" w:rsidRDefault="00A61EB6" w:rsidP="00A61EB6">
      <w:pPr>
        <w:jc w:val="both"/>
        <w:rPr>
          <w:rFonts w:asciiTheme="majorBidi" w:hAnsiTheme="majorBidi" w:cstheme="majorBidi"/>
          <w:color w:val="000000" w:themeColor="text1"/>
          <w:sz w:val="24"/>
          <w:szCs w:val="24"/>
        </w:rPr>
      </w:pPr>
      <w:r w:rsidRPr="00A61EB6">
        <w:rPr>
          <w:rFonts w:asciiTheme="majorBidi" w:hAnsiTheme="majorBidi" w:cstheme="majorBidi"/>
          <w:color w:val="000000" w:themeColor="text1"/>
          <w:sz w:val="24"/>
          <w:szCs w:val="24"/>
        </w:rPr>
        <w:t xml:space="preserve">Pour optimiser énergétiquement l’unité de déshydratation, nous avons effectué un calcul des différentes quantités de chaleur de toute la section de déshydratation, après une étude du bilan massique de la colonne d’adsorption, en commençant par présenter les données du problème ainsi que la méthodologie poursuivie pour mener à bien nos calculs. </w:t>
      </w:r>
    </w:p>
    <w:p w:rsidR="00A61EB6" w:rsidRPr="00A61EB6" w:rsidRDefault="00A61EB6" w:rsidP="00A61EB6">
      <w:pPr>
        <w:jc w:val="both"/>
        <w:rPr>
          <w:rFonts w:asciiTheme="majorBidi" w:hAnsiTheme="majorBidi" w:cstheme="majorBidi"/>
          <w:color w:val="000000" w:themeColor="text1"/>
          <w:sz w:val="24"/>
          <w:szCs w:val="24"/>
        </w:rPr>
      </w:pPr>
      <w:r w:rsidRPr="00A61EB6">
        <w:rPr>
          <w:rFonts w:asciiTheme="majorBidi" w:hAnsiTheme="majorBidi" w:cstheme="majorBidi"/>
          <w:color w:val="000000" w:themeColor="text1"/>
          <w:sz w:val="24"/>
          <w:szCs w:val="24"/>
        </w:rPr>
        <w:t>Un travail de vérification a été, aussi, effectué pour s’assurer de la validité de la méthode de calcul.</w:t>
      </w:r>
    </w:p>
    <w:p w:rsidR="00A61EB6" w:rsidRPr="00A61EB6" w:rsidRDefault="00A61EB6" w:rsidP="00A61EB6">
      <w:pPr>
        <w:jc w:val="both"/>
        <w:rPr>
          <w:rFonts w:asciiTheme="majorBidi" w:hAnsiTheme="majorBidi" w:cstheme="majorBidi"/>
          <w:color w:val="000000" w:themeColor="text1"/>
          <w:sz w:val="24"/>
          <w:szCs w:val="24"/>
        </w:rPr>
      </w:pPr>
      <w:r w:rsidRPr="00A61EB6">
        <w:rPr>
          <w:rFonts w:asciiTheme="majorBidi" w:hAnsiTheme="majorBidi" w:cstheme="majorBidi"/>
          <w:color w:val="000000" w:themeColor="text1"/>
          <w:sz w:val="24"/>
          <w:szCs w:val="24"/>
        </w:rPr>
        <w:t xml:space="preserve"> A la fin de notre étude, une proposition d’un programme de calcul pour la détermination des paramètres optimums de fonctionnement de déshydrateur de charge pour faire face au problème. </w:t>
      </w:r>
    </w:p>
    <w:p w:rsidR="00A61EB6" w:rsidRPr="00A61EB6" w:rsidRDefault="00A61EB6" w:rsidP="00A61EB6">
      <w:pPr>
        <w:jc w:val="both"/>
        <w:rPr>
          <w:rFonts w:asciiTheme="majorBidi" w:hAnsiTheme="majorBidi" w:cstheme="majorBidi"/>
          <w:color w:val="000000" w:themeColor="text1"/>
          <w:sz w:val="24"/>
          <w:szCs w:val="24"/>
        </w:rPr>
      </w:pPr>
      <w:r w:rsidRPr="00A61EB6">
        <w:rPr>
          <w:rFonts w:asciiTheme="majorBidi" w:hAnsiTheme="majorBidi" w:cstheme="majorBidi"/>
          <w:color w:val="000000" w:themeColor="text1"/>
          <w:sz w:val="24"/>
          <w:szCs w:val="24"/>
        </w:rPr>
        <w:t>Mots clés : déshydrateur, colonne d’adsorption, eau, GPL.</w:t>
      </w:r>
    </w:p>
    <w:p w:rsidR="003C3CC4" w:rsidRDefault="003C3CC4" w:rsidP="00A61EB6">
      <w:pPr>
        <w:rPr>
          <w:sz w:val="24"/>
          <w:szCs w:val="24"/>
        </w:rPr>
      </w:pPr>
    </w:p>
    <w:p w:rsidR="0069477E" w:rsidRDefault="0069477E" w:rsidP="00A61EB6">
      <w:pPr>
        <w:rPr>
          <w:sz w:val="24"/>
          <w:szCs w:val="24"/>
        </w:rPr>
      </w:pPr>
    </w:p>
    <w:p w:rsidR="0069477E" w:rsidRDefault="0069477E" w:rsidP="00A61EB6">
      <w:pPr>
        <w:rPr>
          <w:sz w:val="24"/>
          <w:szCs w:val="24"/>
        </w:rPr>
      </w:pPr>
    </w:p>
    <w:p w:rsidR="0069477E" w:rsidRDefault="0069477E" w:rsidP="00A61EB6">
      <w:pPr>
        <w:rPr>
          <w:sz w:val="24"/>
          <w:szCs w:val="24"/>
        </w:rPr>
      </w:pPr>
    </w:p>
    <w:p w:rsidR="0069477E" w:rsidRDefault="0069477E" w:rsidP="00A61EB6">
      <w:pPr>
        <w:rPr>
          <w:sz w:val="24"/>
          <w:szCs w:val="24"/>
        </w:rPr>
      </w:pPr>
    </w:p>
    <w:p w:rsidR="0069477E" w:rsidRDefault="0069477E" w:rsidP="00A61EB6">
      <w:pPr>
        <w:rPr>
          <w:sz w:val="24"/>
          <w:szCs w:val="24"/>
        </w:rPr>
      </w:pPr>
    </w:p>
    <w:p w:rsidR="0069477E" w:rsidRDefault="0069477E" w:rsidP="00A61EB6">
      <w:pPr>
        <w:rPr>
          <w:sz w:val="24"/>
          <w:szCs w:val="24"/>
        </w:rPr>
      </w:pPr>
    </w:p>
    <w:p w:rsidR="0069477E" w:rsidRDefault="0069477E" w:rsidP="00A61EB6">
      <w:pPr>
        <w:rPr>
          <w:sz w:val="24"/>
          <w:szCs w:val="24"/>
        </w:rPr>
      </w:pPr>
    </w:p>
    <w:p w:rsidR="0069477E" w:rsidRDefault="0069477E" w:rsidP="00A61EB6">
      <w:pPr>
        <w:rPr>
          <w:sz w:val="24"/>
          <w:szCs w:val="24"/>
        </w:rPr>
      </w:pPr>
    </w:p>
    <w:p w:rsidR="0069477E" w:rsidRDefault="0069477E" w:rsidP="00A61EB6">
      <w:pPr>
        <w:rPr>
          <w:sz w:val="24"/>
          <w:szCs w:val="24"/>
        </w:rPr>
      </w:pPr>
    </w:p>
    <w:p w:rsidR="0069477E" w:rsidRDefault="0069477E" w:rsidP="00A61EB6">
      <w:pPr>
        <w:rPr>
          <w:sz w:val="24"/>
          <w:szCs w:val="24"/>
        </w:rPr>
      </w:pPr>
    </w:p>
    <w:p w:rsidR="0069477E" w:rsidRDefault="0069477E" w:rsidP="00A61EB6">
      <w:pPr>
        <w:rPr>
          <w:sz w:val="24"/>
          <w:szCs w:val="24"/>
        </w:rPr>
      </w:pPr>
    </w:p>
    <w:p w:rsidR="0069477E" w:rsidRDefault="0069477E" w:rsidP="00A61EB6">
      <w:pPr>
        <w:rPr>
          <w:sz w:val="24"/>
          <w:szCs w:val="24"/>
        </w:rPr>
      </w:pPr>
    </w:p>
    <w:p w:rsidR="0069477E" w:rsidRDefault="0069477E" w:rsidP="0069477E">
      <w:pPr>
        <w:spacing w:before="56"/>
        <w:ind w:left="1275" w:right="1333"/>
        <w:jc w:val="center"/>
        <w:rPr>
          <w:b/>
          <w:sz w:val="40"/>
        </w:rPr>
      </w:pPr>
      <w:r>
        <w:rPr>
          <w:b/>
          <w:sz w:val="40"/>
        </w:rPr>
        <w:lastRenderedPageBreak/>
        <w:t>ABREVIATIONS</w:t>
      </w:r>
    </w:p>
    <w:tbl>
      <w:tblPr>
        <w:tblW w:w="9160" w:type="dxa"/>
        <w:tblInd w:w="913" w:type="dxa"/>
        <w:tblLayout w:type="fixed"/>
        <w:tblCellMar>
          <w:left w:w="0" w:type="dxa"/>
          <w:right w:w="0" w:type="dxa"/>
        </w:tblCellMar>
        <w:tblLook w:val="01E0" w:firstRow="1" w:lastRow="1" w:firstColumn="1" w:lastColumn="1" w:noHBand="0" w:noVBand="0"/>
      </w:tblPr>
      <w:tblGrid>
        <w:gridCol w:w="863"/>
        <w:gridCol w:w="7"/>
        <w:gridCol w:w="8290"/>
      </w:tblGrid>
      <w:tr w:rsidR="0069477E" w:rsidTr="0069477E">
        <w:trPr>
          <w:trHeight w:val="399"/>
        </w:trPr>
        <w:tc>
          <w:tcPr>
            <w:tcW w:w="863" w:type="dxa"/>
          </w:tcPr>
          <w:p w:rsidR="0069477E" w:rsidRDefault="0069477E" w:rsidP="0069477E">
            <w:pPr>
              <w:pStyle w:val="TableParagraph"/>
              <w:spacing w:line="266" w:lineRule="exact"/>
              <w:ind w:left="50"/>
              <w:jc w:val="left"/>
              <w:rPr>
                <w:b/>
                <w:sz w:val="24"/>
              </w:rPr>
            </w:pPr>
            <w:r>
              <w:rPr>
                <w:b/>
                <w:sz w:val="24"/>
              </w:rPr>
              <w:t>BOG</w:t>
            </w:r>
          </w:p>
        </w:tc>
        <w:tc>
          <w:tcPr>
            <w:tcW w:w="8297" w:type="dxa"/>
            <w:gridSpan w:val="2"/>
          </w:tcPr>
          <w:p w:rsidR="0069477E" w:rsidRDefault="0069477E" w:rsidP="0069477E">
            <w:pPr>
              <w:pStyle w:val="TableParagraph"/>
              <w:spacing w:line="266" w:lineRule="exact"/>
              <w:ind w:right="85"/>
              <w:jc w:val="right"/>
              <w:rPr>
                <w:sz w:val="24"/>
              </w:rPr>
            </w:pPr>
            <w:proofErr w:type="spellStart"/>
            <w:r>
              <w:rPr>
                <w:sz w:val="24"/>
              </w:rPr>
              <w:t>Boil</w:t>
            </w:r>
            <w:proofErr w:type="spellEnd"/>
            <w:r>
              <w:rPr>
                <w:spacing w:val="-2"/>
                <w:sz w:val="24"/>
              </w:rPr>
              <w:t xml:space="preserve"> </w:t>
            </w:r>
            <w:r>
              <w:rPr>
                <w:sz w:val="24"/>
              </w:rPr>
              <w:t>of gaz le</w:t>
            </w:r>
            <w:r>
              <w:rPr>
                <w:spacing w:val="-1"/>
                <w:sz w:val="24"/>
              </w:rPr>
              <w:t xml:space="preserve"> </w:t>
            </w:r>
            <w:r>
              <w:rPr>
                <w:sz w:val="24"/>
              </w:rPr>
              <w:t>nom</w:t>
            </w:r>
            <w:r>
              <w:rPr>
                <w:spacing w:val="-1"/>
                <w:sz w:val="24"/>
              </w:rPr>
              <w:t xml:space="preserve"> </w:t>
            </w:r>
            <w:r>
              <w:rPr>
                <w:sz w:val="24"/>
              </w:rPr>
              <w:t>de</w:t>
            </w:r>
            <w:r>
              <w:rPr>
                <w:spacing w:val="-2"/>
                <w:sz w:val="24"/>
              </w:rPr>
              <w:t xml:space="preserve"> </w:t>
            </w:r>
            <w:r>
              <w:rPr>
                <w:sz w:val="24"/>
              </w:rPr>
              <w:t>station</w:t>
            </w:r>
            <w:r>
              <w:rPr>
                <w:spacing w:val="-1"/>
                <w:sz w:val="24"/>
              </w:rPr>
              <w:t xml:space="preserve"> </w:t>
            </w:r>
            <w:r>
              <w:rPr>
                <w:sz w:val="24"/>
              </w:rPr>
              <w:t>de</w:t>
            </w:r>
            <w:r>
              <w:rPr>
                <w:spacing w:val="-1"/>
                <w:sz w:val="24"/>
              </w:rPr>
              <w:t xml:space="preserve"> </w:t>
            </w:r>
            <w:r>
              <w:rPr>
                <w:sz w:val="24"/>
              </w:rPr>
              <w:t>récupération</w:t>
            </w:r>
            <w:r>
              <w:rPr>
                <w:spacing w:val="-2"/>
                <w:sz w:val="24"/>
              </w:rPr>
              <w:t xml:space="preserve"> </w:t>
            </w:r>
            <w:r>
              <w:rPr>
                <w:sz w:val="24"/>
              </w:rPr>
              <w:t>et</w:t>
            </w:r>
            <w:r>
              <w:rPr>
                <w:spacing w:val="-1"/>
                <w:sz w:val="24"/>
              </w:rPr>
              <w:t xml:space="preserve"> </w:t>
            </w:r>
            <w:r>
              <w:rPr>
                <w:sz w:val="24"/>
              </w:rPr>
              <w:t>liquéfaction</w:t>
            </w:r>
            <w:r>
              <w:rPr>
                <w:spacing w:val="-1"/>
                <w:sz w:val="24"/>
              </w:rPr>
              <w:t xml:space="preserve"> </w:t>
            </w:r>
            <w:r>
              <w:rPr>
                <w:sz w:val="24"/>
              </w:rPr>
              <w:t>des</w:t>
            </w:r>
            <w:r>
              <w:rPr>
                <w:spacing w:val="-1"/>
                <w:sz w:val="24"/>
              </w:rPr>
              <w:t xml:space="preserve"> </w:t>
            </w:r>
            <w:r>
              <w:rPr>
                <w:sz w:val="24"/>
              </w:rPr>
              <w:t>gaz évaporées</w:t>
            </w:r>
            <w:r>
              <w:rPr>
                <w:spacing w:val="-1"/>
                <w:sz w:val="24"/>
              </w:rPr>
              <w:t xml:space="preserve"> </w:t>
            </w:r>
            <w:r>
              <w:rPr>
                <w:sz w:val="24"/>
              </w:rPr>
              <w:t>au</w:t>
            </w:r>
          </w:p>
        </w:tc>
      </w:tr>
      <w:tr w:rsidR="0069477E" w:rsidTr="0069477E">
        <w:trPr>
          <w:trHeight w:val="533"/>
        </w:trPr>
        <w:tc>
          <w:tcPr>
            <w:tcW w:w="863" w:type="dxa"/>
          </w:tcPr>
          <w:p w:rsidR="0069477E" w:rsidRDefault="0069477E" w:rsidP="0069477E">
            <w:pPr>
              <w:pStyle w:val="TableParagraph"/>
              <w:jc w:val="left"/>
              <w:rPr>
                <w:sz w:val="24"/>
              </w:rPr>
            </w:pPr>
          </w:p>
        </w:tc>
        <w:tc>
          <w:tcPr>
            <w:tcW w:w="8297" w:type="dxa"/>
            <w:gridSpan w:val="2"/>
          </w:tcPr>
          <w:p w:rsidR="0069477E" w:rsidRDefault="0069477E" w:rsidP="0069477E">
            <w:pPr>
              <w:pStyle w:val="TableParagraph"/>
              <w:spacing w:before="123"/>
              <w:ind w:left="386"/>
              <w:jc w:val="left"/>
              <w:rPr>
                <w:sz w:val="24"/>
              </w:rPr>
            </w:pPr>
            <w:r>
              <w:rPr>
                <w:sz w:val="24"/>
              </w:rPr>
              <w:t>Niveau</w:t>
            </w:r>
            <w:r>
              <w:rPr>
                <w:spacing w:val="-1"/>
                <w:sz w:val="24"/>
              </w:rPr>
              <w:t xml:space="preserve"> </w:t>
            </w:r>
            <w:r>
              <w:rPr>
                <w:sz w:val="24"/>
              </w:rPr>
              <w:t>de complexe</w:t>
            </w:r>
            <w:r>
              <w:rPr>
                <w:spacing w:val="-2"/>
                <w:sz w:val="24"/>
              </w:rPr>
              <w:t xml:space="preserve"> </w:t>
            </w:r>
            <w:r>
              <w:rPr>
                <w:sz w:val="24"/>
              </w:rPr>
              <w:t>GP1/Z.</w:t>
            </w:r>
          </w:p>
        </w:tc>
      </w:tr>
      <w:tr w:rsidR="0069477E" w:rsidTr="0069477E">
        <w:trPr>
          <w:trHeight w:val="593"/>
        </w:trPr>
        <w:tc>
          <w:tcPr>
            <w:tcW w:w="863" w:type="dxa"/>
          </w:tcPr>
          <w:p w:rsidR="0069477E" w:rsidRDefault="0069477E" w:rsidP="0069477E">
            <w:pPr>
              <w:pStyle w:val="TableParagraph"/>
              <w:spacing w:before="124"/>
              <w:ind w:left="50"/>
              <w:jc w:val="left"/>
              <w:rPr>
                <w:b/>
                <w:sz w:val="24"/>
              </w:rPr>
            </w:pPr>
            <w:r>
              <w:rPr>
                <w:b/>
                <w:sz w:val="24"/>
              </w:rPr>
              <w:t>BTU</w:t>
            </w:r>
          </w:p>
        </w:tc>
        <w:tc>
          <w:tcPr>
            <w:tcW w:w="8297" w:type="dxa"/>
            <w:gridSpan w:val="2"/>
          </w:tcPr>
          <w:p w:rsidR="0069477E" w:rsidRDefault="0069477E" w:rsidP="0069477E">
            <w:pPr>
              <w:pStyle w:val="TableParagraph"/>
              <w:spacing w:before="124"/>
              <w:ind w:right="48"/>
              <w:jc w:val="right"/>
              <w:rPr>
                <w:sz w:val="24"/>
              </w:rPr>
            </w:pPr>
            <w:r>
              <w:rPr>
                <w:sz w:val="24"/>
              </w:rPr>
              <w:t>British</w:t>
            </w:r>
            <w:r>
              <w:rPr>
                <w:spacing w:val="-2"/>
                <w:sz w:val="24"/>
              </w:rPr>
              <w:t xml:space="preserve"> </w:t>
            </w:r>
            <w:r>
              <w:rPr>
                <w:sz w:val="24"/>
              </w:rPr>
              <w:t>thermal</w:t>
            </w:r>
            <w:r>
              <w:rPr>
                <w:spacing w:val="-1"/>
                <w:sz w:val="24"/>
              </w:rPr>
              <w:t xml:space="preserve"> </w:t>
            </w:r>
            <w:r>
              <w:rPr>
                <w:sz w:val="24"/>
              </w:rPr>
              <w:t>unit</w:t>
            </w:r>
            <w:r>
              <w:rPr>
                <w:spacing w:val="-1"/>
                <w:sz w:val="24"/>
              </w:rPr>
              <w:t xml:space="preserve"> </w:t>
            </w:r>
            <w:r>
              <w:rPr>
                <w:sz w:val="24"/>
              </w:rPr>
              <w:t>l’unité</w:t>
            </w:r>
            <w:r>
              <w:rPr>
                <w:spacing w:val="-2"/>
                <w:sz w:val="24"/>
              </w:rPr>
              <w:t xml:space="preserve"> </w:t>
            </w:r>
            <w:r>
              <w:rPr>
                <w:sz w:val="24"/>
              </w:rPr>
              <w:t>de</w:t>
            </w:r>
            <w:r>
              <w:rPr>
                <w:spacing w:val="-3"/>
                <w:sz w:val="24"/>
              </w:rPr>
              <w:t xml:space="preserve"> </w:t>
            </w:r>
            <w:r>
              <w:rPr>
                <w:sz w:val="24"/>
              </w:rPr>
              <w:t>chaleur</w:t>
            </w:r>
            <w:r>
              <w:rPr>
                <w:spacing w:val="-1"/>
                <w:sz w:val="24"/>
              </w:rPr>
              <w:t xml:space="preserve"> </w:t>
            </w:r>
            <w:r>
              <w:rPr>
                <w:sz w:val="24"/>
              </w:rPr>
              <w:t>thermique</w:t>
            </w:r>
            <w:r>
              <w:rPr>
                <w:spacing w:val="-2"/>
                <w:sz w:val="24"/>
              </w:rPr>
              <w:t xml:space="preserve"> </w:t>
            </w:r>
            <w:r>
              <w:rPr>
                <w:sz w:val="24"/>
              </w:rPr>
              <w:t>dans</w:t>
            </w:r>
            <w:r>
              <w:rPr>
                <w:spacing w:val="-1"/>
                <w:sz w:val="24"/>
              </w:rPr>
              <w:t xml:space="preserve"> </w:t>
            </w:r>
            <w:r>
              <w:rPr>
                <w:sz w:val="24"/>
              </w:rPr>
              <w:t>le</w:t>
            </w:r>
            <w:r>
              <w:rPr>
                <w:spacing w:val="-2"/>
                <w:sz w:val="24"/>
              </w:rPr>
              <w:t xml:space="preserve"> </w:t>
            </w:r>
            <w:r>
              <w:rPr>
                <w:sz w:val="24"/>
              </w:rPr>
              <w:t>système</w:t>
            </w:r>
            <w:r>
              <w:rPr>
                <w:spacing w:val="-2"/>
                <w:sz w:val="24"/>
              </w:rPr>
              <w:t xml:space="preserve"> </w:t>
            </w:r>
            <w:r>
              <w:rPr>
                <w:sz w:val="24"/>
              </w:rPr>
              <w:t>d’unités</w:t>
            </w:r>
            <w:r>
              <w:rPr>
                <w:spacing w:val="-2"/>
                <w:sz w:val="24"/>
              </w:rPr>
              <w:t xml:space="preserve"> </w:t>
            </w:r>
            <w:r>
              <w:rPr>
                <w:sz w:val="24"/>
              </w:rPr>
              <w:t>anglais.</w:t>
            </w:r>
          </w:p>
        </w:tc>
      </w:tr>
      <w:tr w:rsidR="0069477E" w:rsidTr="0069477E">
        <w:trPr>
          <w:trHeight w:val="654"/>
        </w:trPr>
        <w:tc>
          <w:tcPr>
            <w:tcW w:w="863" w:type="dxa"/>
          </w:tcPr>
          <w:p w:rsidR="0069477E" w:rsidRDefault="0069477E" w:rsidP="0069477E">
            <w:pPr>
              <w:pStyle w:val="TableParagraph"/>
              <w:spacing w:before="183"/>
              <w:ind w:left="50"/>
              <w:jc w:val="left"/>
              <w:rPr>
                <w:b/>
                <w:sz w:val="24"/>
              </w:rPr>
            </w:pPr>
            <w:r>
              <w:rPr>
                <w:b/>
                <w:sz w:val="24"/>
              </w:rPr>
              <w:t>Lb</w:t>
            </w:r>
          </w:p>
        </w:tc>
        <w:tc>
          <w:tcPr>
            <w:tcW w:w="8297" w:type="dxa"/>
            <w:gridSpan w:val="2"/>
          </w:tcPr>
          <w:p w:rsidR="0069477E" w:rsidRDefault="0069477E" w:rsidP="0069477E">
            <w:pPr>
              <w:pStyle w:val="TableParagraph"/>
              <w:spacing w:before="183"/>
              <w:ind w:left="382"/>
              <w:jc w:val="left"/>
              <w:rPr>
                <w:sz w:val="24"/>
              </w:rPr>
            </w:pPr>
            <w:r>
              <w:rPr>
                <w:sz w:val="24"/>
              </w:rPr>
              <w:t>Livre</w:t>
            </w:r>
            <w:r>
              <w:rPr>
                <w:spacing w:val="-4"/>
                <w:sz w:val="24"/>
              </w:rPr>
              <w:t xml:space="preserve"> </w:t>
            </w:r>
            <w:r>
              <w:rPr>
                <w:sz w:val="24"/>
              </w:rPr>
              <w:t>l’unité de</w:t>
            </w:r>
            <w:r>
              <w:rPr>
                <w:spacing w:val="-2"/>
                <w:sz w:val="24"/>
              </w:rPr>
              <w:t xml:space="preserve"> </w:t>
            </w:r>
            <w:r>
              <w:rPr>
                <w:sz w:val="24"/>
              </w:rPr>
              <w:t>poids</w:t>
            </w:r>
            <w:r>
              <w:rPr>
                <w:spacing w:val="-2"/>
                <w:sz w:val="24"/>
              </w:rPr>
              <w:t xml:space="preserve"> </w:t>
            </w:r>
            <w:r>
              <w:rPr>
                <w:sz w:val="24"/>
              </w:rPr>
              <w:t>dans</w:t>
            </w:r>
            <w:r>
              <w:rPr>
                <w:spacing w:val="-1"/>
                <w:sz w:val="24"/>
              </w:rPr>
              <w:t xml:space="preserve"> </w:t>
            </w:r>
            <w:r>
              <w:rPr>
                <w:sz w:val="24"/>
              </w:rPr>
              <w:t>le</w:t>
            </w:r>
            <w:r>
              <w:rPr>
                <w:spacing w:val="-2"/>
                <w:sz w:val="24"/>
              </w:rPr>
              <w:t xml:space="preserve"> </w:t>
            </w:r>
            <w:r>
              <w:rPr>
                <w:sz w:val="24"/>
              </w:rPr>
              <w:t>système d’unités</w:t>
            </w:r>
            <w:r>
              <w:rPr>
                <w:spacing w:val="-3"/>
                <w:sz w:val="24"/>
              </w:rPr>
              <w:t xml:space="preserve"> </w:t>
            </w:r>
            <w:r>
              <w:rPr>
                <w:sz w:val="24"/>
              </w:rPr>
              <w:t>anglais.</w:t>
            </w:r>
          </w:p>
        </w:tc>
      </w:tr>
      <w:tr w:rsidR="0069477E" w:rsidTr="0069477E">
        <w:trPr>
          <w:trHeight w:val="654"/>
        </w:trPr>
        <w:tc>
          <w:tcPr>
            <w:tcW w:w="863" w:type="dxa"/>
          </w:tcPr>
          <w:p w:rsidR="0069477E" w:rsidRDefault="0069477E" w:rsidP="0069477E">
            <w:pPr>
              <w:pStyle w:val="TableParagraph"/>
              <w:spacing w:before="185"/>
              <w:ind w:left="50"/>
              <w:jc w:val="left"/>
              <w:rPr>
                <w:b/>
                <w:sz w:val="24"/>
              </w:rPr>
            </w:pPr>
            <w:proofErr w:type="spellStart"/>
            <w:r>
              <w:rPr>
                <w:b/>
                <w:sz w:val="24"/>
              </w:rPr>
              <w:t>Ft</w:t>
            </w:r>
            <w:proofErr w:type="spellEnd"/>
          </w:p>
        </w:tc>
        <w:tc>
          <w:tcPr>
            <w:tcW w:w="8297" w:type="dxa"/>
            <w:gridSpan w:val="2"/>
          </w:tcPr>
          <w:p w:rsidR="0069477E" w:rsidRDefault="0069477E" w:rsidP="0069477E">
            <w:pPr>
              <w:pStyle w:val="TableParagraph"/>
              <w:spacing w:before="185"/>
              <w:ind w:left="372"/>
              <w:jc w:val="left"/>
              <w:rPr>
                <w:sz w:val="24"/>
              </w:rPr>
            </w:pPr>
            <w:r>
              <w:rPr>
                <w:sz w:val="24"/>
              </w:rPr>
              <w:t>Foot</w:t>
            </w:r>
            <w:r>
              <w:rPr>
                <w:spacing w:val="-2"/>
                <w:sz w:val="24"/>
              </w:rPr>
              <w:t xml:space="preserve"> </w:t>
            </w:r>
            <w:r>
              <w:rPr>
                <w:sz w:val="24"/>
              </w:rPr>
              <w:t>l’unité de</w:t>
            </w:r>
            <w:r>
              <w:rPr>
                <w:spacing w:val="-2"/>
                <w:sz w:val="24"/>
              </w:rPr>
              <w:t xml:space="preserve"> </w:t>
            </w:r>
            <w:r>
              <w:rPr>
                <w:sz w:val="24"/>
              </w:rPr>
              <w:t>longueur</w:t>
            </w:r>
            <w:r>
              <w:rPr>
                <w:spacing w:val="-2"/>
                <w:sz w:val="24"/>
              </w:rPr>
              <w:t xml:space="preserve"> </w:t>
            </w:r>
            <w:r>
              <w:rPr>
                <w:sz w:val="24"/>
              </w:rPr>
              <w:t>dans</w:t>
            </w:r>
            <w:r>
              <w:rPr>
                <w:spacing w:val="-1"/>
                <w:sz w:val="24"/>
              </w:rPr>
              <w:t xml:space="preserve"> </w:t>
            </w:r>
            <w:r>
              <w:rPr>
                <w:sz w:val="24"/>
              </w:rPr>
              <w:t>le</w:t>
            </w:r>
            <w:r>
              <w:rPr>
                <w:spacing w:val="-2"/>
                <w:sz w:val="24"/>
              </w:rPr>
              <w:t xml:space="preserve"> </w:t>
            </w:r>
            <w:r>
              <w:rPr>
                <w:sz w:val="24"/>
              </w:rPr>
              <w:t>système</w:t>
            </w:r>
            <w:r>
              <w:rPr>
                <w:spacing w:val="-2"/>
                <w:sz w:val="24"/>
              </w:rPr>
              <w:t xml:space="preserve"> </w:t>
            </w:r>
            <w:r>
              <w:rPr>
                <w:sz w:val="24"/>
              </w:rPr>
              <w:t>d’unités</w:t>
            </w:r>
            <w:r>
              <w:rPr>
                <w:spacing w:val="-2"/>
                <w:sz w:val="24"/>
              </w:rPr>
              <w:t xml:space="preserve"> </w:t>
            </w:r>
            <w:r>
              <w:rPr>
                <w:sz w:val="24"/>
              </w:rPr>
              <w:t>anglais.</w:t>
            </w:r>
          </w:p>
        </w:tc>
      </w:tr>
      <w:tr w:rsidR="0069477E" w:rsidTr="0069477E">
        <w:trPr>
          <w:trHeight w:val="654"/>
        </w:trPr>
        <w:tc>
          <w:tcPr>
            <w:tcW w:w="863" w:type="dxa"/>
          </w:tcPr>
          <w:p w:rsidR="0069477E" w:rsidRDefault="0069477E" w:rsidP="0069477E">
            <w:pPr>
              <w:pStyle w:val="TableParagraph"/>
              <w:spacing w:before="183"/>
              <w:ind w:left="50"/>
              <w:jc w:val="left"/>
              <w:rPr>
                <w:b/>
                <w:sz w:val="24"/>
              </w:rPr>
            </w:pPr>
            <w:r>
              <w:rPr>
                <w:b/>
                <w:sz w:val="24"/>
              </w:rPr>
              <w:t>Yin</w:t>
            </w:r>
          </w:p>
        </w:tc>
        <w:tc>
          <w:tcPr>
            <w:tcW w:w="8297" w:type="dxa"/>
            <w:gridSpan w:val="2"/>
          </w:tcPr>
          <w:p w:rsidR="0069477E" w:rsidRDefault="0069477E" w:rsidP="0069477E">
            <w:pPr>
              <w:pStyle w:val="TableParagraph"/>
              <w:spacing w:before="183"/>
              <w:ind w:left="343"/>
              <w:jc w:val="left"/>
              <w:rPr>
                <w:sz w:val="24"/>
              </w:rPr>
            </w:pPr>
            <w:r>
              <w:rPr>
                <w:sz w:val="24"/>
              </w:rPr>
              <w:t>La</w:t>
            </w:r>
            <w:r>
              <w:rPr>
                <w:spacing w:val="-3"/>
                <w:sz w:val="24"/>
              </w:rPr>
              <w:t xml:space="preserve"> </w:t>
            </w:r>
            <w:r>
              <w:rPr>
                <w:sz w:val="24"/>
              </w:rPr>
              <w:t>teneur</w:t>
            </w:r>
            <w:r>
              <w:rPr>
                <w:spacing w:val="-2"/>
                <w:sz w:val="24"/>
              </w:rPr>
              <w:t xml:space="preserve"> </w:t>
            </w:r>
            <w:r>
              <w:rPr>
                <w:sz w:val="24"/>
              </w:rPr>
              <w:t>en</w:t>
            </w:r>
            <w:r>
              <w:rPr>
                <w:spacing w:val="1"/>
                <w:sz w:val="24"/>
              </w:rPr>
              <w:t xml:space="preserve"> </w:t>
            </w:r>
            <w:r>
              <w:rPr>
                <w:sz w:val="24"/>
              </w:rPr>
              <w:t>eau</w:t>
            </w:r>
            <w:r>
              <w:rPr>
                <w:spacing w:val="-2"/>
                <w:sz w:val="24"/>
              </w:rPr>
              <w:t xml:space="preserve"> </w:t>
            </w:r>
            <w:r>
              <w:rPr>
                <w:sz w:val="24"/>
              </w:rPr>
              <w:t>dans</w:t>
            </w:r>
            <w:r>
              <w:rPr>
                <w:spacing w:val="-1"/>
                <w:sz w:val="24"/>
              </w:rPr>
              <w:t xml:space="preserve"> </w:t>
            </w:r>
            <w:r>
              <w:rPr>
                <w:sz w:val="24"/>
              </w:rPr>
              <w:t>la</w:t>
            </w:r>
            <w:r>
              <w:rPr>
                <w:spacing w:val="-1"/>
                <w:sz w:val="24"/>
              </w:rPr>
              <w:t xml:space="preserve"> </w:t>
            </w:r>
            <w:r>
              <w:rPr>
                <w:sz w:val="24"/>
              </w:rPr>
              <w:t>charge</w:t>
            </w:r>
            <w:r>
              <w:rPr>
                <w:spacing w:val="-3"/>
                <w:sz w:val="24"/>
              </w:rPr>
              <w:t xml:space="preserve"> </w:t>
            </w:r>
            <w:r>
              <w:rPr>
                <w:sz w:val="24"/>
              </w:rPr>
              <w:t>GPL.</w:t>
            </w:r>
          </w:p>
        </w:tc>
      </w:tr>
      <w:tr w:rsidR="0069477E" w:rsidTr="0069477E">
        <w:trPr>
          <w:trHeight w:val="653"/>
        </w:trPr>
        <w:tc>
          <w:tcPr>
            <w:tcW w:w="863" w:type="dxa"/>
          </w:tcPr>
          <w:p w:rsidR="0069477E" w:rsidRDefault="0069477E" w:rsidP="0069477E">
            <w:pPr>
              <w:pStyle w:val="TableParagraph"/>
              <w:spacing w:before="184"/>
              <w:ind w:left="50"/>
              <w:jc w:val="left"/>
              <w:rPr>
                <w:b/>
                <w:sz w:val="24"/>
              </w:rPr>
            </w:pPr>
            <w:r>
              <w:rPr>
                <w:b/>
                <w:sz w:val="24"/>
              </w:rPr>
              <w:t>PSI</w:t>
            </w:r>
          </w:p>
        </w:tc>
        <w:tc>
          <w:tcPr>
            <w:tcW w:w="8297" w:type="dxa"/>
            <w:gridSpan w:val="2"/>
          </w:tcPr>
          <w:p w:rsidR="0069477E" w:rsidRDefault="0069477E" w:rsidP="0069477E">
            <w:pPr>
              <w:pStyle w:val="TableParagraph"/>
              <w:spacing w:before="184"/>
              <w:ind w:left="338"/>
              <w:jc w:val="left"/>
              <w:rPr>
                <w:sz w:val="24"/>
              </w:rPr>
            </w:pPr>
            <w:proofErr w:type="spellStart"/>
            <w:r>
              <w:rPr>
                <w:sz w:val="24"/>
              </w:rPr>
              <w:t>Psia</w:t>
            </w:r>
            <w:proofErr w:type="spellEnd"/>
            <w:r>
              <w:rPr>
                <w:spacing w:val="-1"/>
                <w:sz w:val="24"/>
              </w:rPr>
              <w:t xml:space="preserve"> </w:t>
            </w:r>
            <w:r>
              <w:rPr>
                <w:sz w:val="24"/>
              </w:rPr>
              <w:t>unité</w:t>
            </w:r>
            <w:r>
              <w:rPr>
                <w:spacing w:val="-1"/>
                <w:sz w:val="24"/>
              </w:rPr>
              <w:t xml:space="preserve"> </w:t>
            </w:r>
            <w:r>
              <w:rPr>
                <w:sz w:val="24"/>
              </w:rPr>
              <w:t>de pression.</w:t>
            </w:r>
          </w:p>
        </w:tc>
      </w:tr>
      <w:tr w:rsidR="0069477E" w:rsidTr="0069477E">
        <w:trPr>
          <w:trHeight w:val="653"/>
        </w:trPr>
        <w:tc>
          <w:tcPr>
            <w:tcW w:w="863" w:type="dxa"/>
          </w:tcPr>
          <w:p w:rsidR="0069477E" w:rsidRDefault="0069477E" w:rsidP="0069477E">
            <w:pPr>
              <w:pStyle w:val="TableParagraph"/>
              <w:spacing w:before="183"/>
              <w:ind w:left="50"/>
              <w:jc w:val="left"/>
              <w:rPr>
                <w:b/>
                <w:sz w:val="24"/>
              </w:rPr>
            </w:pPr>
            <w:r>
              <w:rPr>
                <w:b/>
                <w:sz w:val="24"/>
              </w:rPr>
              <w:t>Nm3</w:t>
            </w:r>
          </w:p>
        </w:tc>
        <w:tc>
          <w:tcPr>
            <w:tcW w:w="8297" w:type="dxa"/>
            <w:gridSpan w:val="2"/>
          </w:tcPr>
          <w:p w:rsidR="0069477E" w:rsidRDefault="0069477E" w:rsidP="0069477E">
            <w:pPr>
              <w:pStyle w:val="TableParagraph"/>
              <w:spacing w:before="183"/>
              <w:ind w:left="338"/>
              <w:jc w:val="left"/>
              <w:rPr>
                <w:sz w:val="24"/>
              </w:rPr>
            </w:pPr>
            <w:r>
              <w:rPr>
                <w:sz w:val="24"/>
              </w:rPr>
              <w:t>Normal</w:t>
            </w:r>
            <w:r>
              <w:rPr>
                <w:spacing w:val="-1"/>
                <w:sz w:val="24"/>
              </w:rPr>
              <w:t xml:space="preserve"> </w:t>
            </w:r>
            <w:r>
              <w:rPr>
                <w:sz w:val="24"/>
              </w:rPr>
              <w:t>m3.</w:t>
            </w:r>
          </w:p>
        </w:tc>
      </w:tr>
      <w:tr w:rsidR="0069477E" w:rsidTr="0069477E">
        <w:trPr>
          <w:trHeight w:val="460"/>
        </w:trPr>
        <w:tc>
          <w:tcPr>
            <w:tcW w:w="863" w:type="dxa"/>
          </w:tcPr>
          <w:p w:rsidR="0069477E" w:rsidRDefault="0069477E" w:rsidP="0069477E">
            <w:pPr>
              <w:pStyle w:val="TableParagraph"/>
              <w:spacing w:before="184" w:line="256" w:lineRule="exact"/>
              <w:ind w:left="50"/>
              <w:jc w:val="left"/>
              <w:rPr>
                <w:b/>
                <w:sz w:val="24"/>
              </w:rPr>
            </w:pPr>
            <w:r>
              <w:rPr>
                <w:b/>
                <w:sz w:val="24"/>
              </w:rPr>
              <w:t>Cm3</w:t>
            </w:r>
          </w:p>
        </w:tc>
        <w:tc>
          <w:tcPr>
            <w:tcW w:w="8297" w:type="dxa"/>
            <w:gridSpan w:val="2"/>
          </w:tcPr>
          <w:p w:rsidR="0069477E" w:rsidRDefault="0069477E" w:rsidP="0069477E">
            <w:pPr>
              <w:pStyle w:val="TableParagraph"/>
              <w:spacing w:before="184" w:line="256" w:lineRule="exact"/>
              <w:ind w:left="278"/>
              <w:jc w:val="left"/>
              <w:rPr>
                <w:sz w:val="24"/>
              </w:rPr>
            </w:pPr>
            <w:r>
              <w:rPr>
                <w:sz w:val="24"/>
              </w:rPr>
              <w:t>Contra</w:t>
            </w:r>
            <w:r>
              <w:rPr>
                <w:spacing w:val="-2"/>
                <w:sz w:val="24"/>
              </w:rPr>
              <w:t xml:space="preserve"> </w:t>
            </w:r>
            <w:r>
              <w:rPr>
                <w:sz w:val="24"/>
              </w:rPr>
              <w:t>m3.</w:t>
            </w:r>
          </w:p>
          <w:p w:rsidR="0069477E" w:rsidRDefault="0069477E" w:rsidP="0069477E">
            <w:pPr>
              <w:pStyle w:val="TableParagraph"/>
              <w:spacing w:before="184" w:line="256" w:lineRule="exact"/>
              <w:ind w:left="278"/>
              <w:jc w:val="left"/>
              <w:rPr>
                <w:sz w:val="24"/>
              </w:rPr>
            </w:pPr>
          </w:p>
        </w:tc>
      </w:tr>
      <w:tr w:rsidR="0069477E" w:rsidTr="0069477E">
        <w:tblPrEx>
          <w:tblCellMar>
            <w:left w:w="70" w:type="dxa"/>
            <w:right w:w="70" w:type="dxa"/>
          </w:tblCellMar>
          <w:tblLook w:val="0000" w:firstRow="0" w:lastRow="0" w:firstColumn="0" w:lastColumn="0" w:noHBand="0" w:noVBand="0"/>
        </w:tblPrEx>
        <w:trPr>
          <w:trHeight w:val="360"/>
        </w:trPr>
        <w:tc>
          <w:tcPr>
            <w:tcW w:w="870" w:type="dxa"/>
            <w:gridSpan w:val="2"/>
          </w:tcPr>
          <w:p w:rsidR="0069477E" w:rsidRPr="0069477E" w:rsidRDefault="0069477E" w:rsidP="0069477E">
            <w:pPr>
              <w:rPr>
                <w:b/>
                <w:bCs/>
                <w:sz w:val="36"/>
                <w:szCs w:val="36"/>
              </w:rPr>
            </w:pPr>
            <w:r w:rsidRPr="0069477E">
              <w:rPr>
                <w:b/>
                <w:bCs/>
                <w:sz w:val="24"/>
                <w:szCs w:val="24"/>
              </w:rPr>
              <w:t>ZMT</w:t>
            </w:r>
          </w:p>
        </w:tc>
        <w:tc>
          <w:tcPr>
            <w:tcW w:w="8290" w:type="dxa"/>
          </w:tcPr>
          <w:p w:rsidR="0069477E" w:rsidRPr="0069477E" w:rsidRDefault="0069477E" w:rsidP="0069477E">
            <w:pPr>
              <w:rPr>
                <w:sz w:val="24"/>
                <w:szCs w:val="24"/>
              </w:rPr>
            </w:pPr>
            <w:r>
              <w:rPr>
                <w:sz w:val="24"/>
                <w:szCs w:val="24"/>
              </w:rPr>
              <w:t>Zone de transferts de masse</w:t>
            </w:r>
          </w:p>
        </w:tc>
      </w:tr>
    </w:tbl>
    <w:p w:rsidR="0069477E" w:rsidRPr="0069477E" w:rsidRDefault="0069477E" w:rsidP="0069477E">
      <w:pPr>
        <w:rPr>
          <w:sz w:val="36"/>
          <w:szCs w:val="36"/>
        </w:rPr>
      </w:pPr>
      <w:bookmarkStart w:id="0" w:name="_GoBack"/>
      <w:bookmarkEnd w:id="0"/>
    </w:p>
    <w:sectPr w:rsidR="0069477E" w:rsidRPr="0069477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1EB6"/>
    <w:rsid w:val="002B2974"/>
    <w:rsid w:val="003C3CC4"/>
    <w:rsid w:val="0069477E"/>
    <w:rsid w:val="00A61EB6"/>
    <w:rsid w:val="00DE359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A61EB6"/>
    <w:pPr>
      <w:widowControl w:val="0"/>
      <w:autoSpaceDE w:val="0"/>
      <w:autoSpaceDN w:val="0"/>
      <w:spacing w:after="0" w:line="240" w:lineRule="auto"/>
    </w:pPr>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A61EB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eastAsia="fr-FR"/>
    </w:rPr>
  </w:style>
  <w:style w:type="character" w:customStyle="1" w:styleId="HTMLPreformattedChar">
    <w:name w:val="HTML Preformatted Char"/>
    <w:basedOn w:val="DefaultParagraphFont"/>
    <w:link w:val="HTMLPreformatted"/>
    <w:uiPriority w:val="99"/>
    <w:semiHidden/>
    <w:rsid w:val="00A61EB6"/>
    <w:rPr>
      <w:rFonts w:ascii="Courier New" w:eastAsia="Times New Roman" w:hAnsi="Courier New" w:cs="Courier New"/>
      <w:sz w:val="20"/>
      <w:szCs w:val="20"/>
      <w:lang w:eastAsia="fr-FR"/>
    </w:rPr>
  </w:style>
  <w:style w:type="character" w:customStyle="1" w:styleId="y2iqfc">
    <w:name w:val="y2iqfc"/>
    <w:basedOn w:val="DefaultParagraphFont"/>
    <w:rsid w:val="00A61EB6"/>
  </w:style>
  <w:style w:type="paragraph" w:customStyle="1" w:styleId="TableParagraph">
    <w:name w:val="Table Paragraph"/>
    <w:basedOn w:val="Normal"/>
    <w:uiPriority w:val="1"/>
    <w:qFormat/>
    <w:rsid w:val="0069477E"/>
    <w:pPr>
      <w:jc w:val="cente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A61EB6"/>
    <w:pPr>
      <w:widowControl w:val="0"/>
      <w:autoSpaceDE w:val="0"/>
      <w:autoSpaceDN w:val="0"/>
      <w:spacing w:after="0" w:line="240" w:lineRule="auto"/>
    </w:pPr>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A61EB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eastAsia="fr-FR"/>
    </w:rPr>
  </w:style>
  <w:style w:type="character" w:customStyle="1" w:styleId="HTMLPreformattedChar">
    <w:name w:val="HTML Preformatted Char"/>
    <w:basedOn w:val="DefaultParagraphFont"/>
    <w:link w:val="HTMLPreformatted"/>
    <w:uiPriority w:val="99"/>
    <w:semiHidden/>
    <w:rsid w:val="00A61EB6"/>
    <w:rPr>
      <w:rFonts w:ascii="Courier New" w:eastAsia="Times New Roman" w:hAnsi="Courier New" w:cs="Courier New"/>
      <w:sz w:val="20"/>
      <w:szCs w:val="20"/>
      <w:lang w:eastAsia="fr-FR"/>
    </w:rPr>
  </w:style>
  <w:style w:type="character" w:customStyle="1" w:styleId="y2iqfc">
    <w:name w:val="y2iqfc"/>
    <w:basedOn w:val="DefaultParagraphFont"/>
    <w:rsid w:val="00A61EB6"/>
  </w:style>
  <w:style w:type="paragraph" w:customStyle="1" w:styleId="TableParagraph">
    <w:name w:val="Table Paragraph"/>
    <w:basedOn w:val="Normal"/>
    <w:uiPriority w:val="1"/>
    <w:qFormat/>
    <w:rsid w:val="0069477E"/>
    <w:pPr>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445</Words>
  <Characters>2451</Characters>
  <Application>Microsoft Office Word</Application>
  <DocSecurity>0</DocSecurity>
  <Lines>20</Lines>
  <Paragraphs>5</Paragraphs>
  <ScaleCrop>false</ScaleCrop>
  <Company/>
  <LinksUpToDate>false</LinksUpToDate>
  <CharactersWithSpaces>2891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sidou</dc:creator>
  <cp:lastModifiedBy>sidou</cp:lastModifiedBy>
  <cp:revision>2</cp:revision>
  <dcterms:created xsi:type="dcterms:W3CDTF">2023-07-11T22:05:00Z</dcterms:created>
  <dcterms:modified xsi:type="dcterms:W3CDTF">2023-07-11T22:13:00Z</dcterms:modified>
</cp:coreProperties>
</file>