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316A" w:rsidRPr="003508D1" w:rsidRDefault="0021316A" w:rsidP="0021316A">
      <w:pPr>
        <w:spacing w:line="360" w:lineRule="auto"/>
        <w:jc w:val="center"/>
        <w:rPr>
          <w:b/>
          <w:bCs/>
          <w:sz w:val="28"/>
          <w:szCs w:val="32"/>
          <w:lang w:bidi="ar-DZ"/>
        </w:rPr>
      </w:pPr>
      <w:r w:rsidRPr="003508D1">
        <w:rPr>
          <w:b/>
          <w:bCs/>
          <w:sz w:val="28"/>
          <w:szCs w:val="32"/>
          <w:lang w:bidi="ar-DZ"/>
        </w:rPr>
        <w:t xml:space="preserve">Simulation des propriétés </w:t>
      </w:r>
      <w:proofErr w:type="spellStart"/>
      <w:r w:rsidRPr="003508D1">
        <w:rPr>
          <w:b/>
          <w:bCs/>
          <w:sz w:val="28"/>
          <w:szCs w:val="32"/>
          <w:lang w:bidi="ar-DZ"/>
        </w:rPr>
        <w:t>opto</w:t>
      </w:r>
      <w:proofErr w:type="spellEnd"/>
      <w:r w:rsidRPr="003508D1">
        <w:rPr>
          <w:b/>
          <w:bCs/>
          <w:sz w:val="28"/>
          <w:szCs w:val="32"/>
          <w:lang w:bidi="ar-DZ"/>
        </w:rPr>
        <w:t xml:space="preserve"> électrique des panneaux photovoltaïque tandem à base de cellules en pérovskite </w:t>
      </w:r>
    </w:p>
    <w:p w:rsidR="0021316A" w:rsidRPr="00F02B54" w:rsidRDefault="0021316A" w:rsidP="0021316A">
      <w:pPr>
        <w:pStyle w:val="Titre1"/>
        <w:spacing w:before="120" w:beforeAutospacing="0" w:after="120" w:afterAutospacing="0"/>
        <w:rPr>
          <w:sz w:val="22"/>
          <w:szCs w:val="22"/>
        </w:rPr>
      </w:pPr>
      <w:bookmarkStart w:id="0" w:name="_Toc145542249"/>
      <w:r w:rsidRPr="00F02B54">
        <w:rPr>
          <w:sz w:val="22"/>
          <w:szCs w:val="22"/>
        </w:rPr>
        <w:t>Résumé</w:t>
      </w:r>
      <w:bookmarkEnd w:id="0"/>
    </w:p>
    <w:p w:rsidR="0021316A" w:rsidRPr="00DC34A6" w:rsidRDefault="0021316A" w:rsidP="0021316A">
      <w:pPr>
        <w:spacing w:line="360" w:lineRule="auto"/>
        <w:ind w:firstLine="567"/>
        <w:jc w:val="both"/>
        <w:rPr>
          <w:rFonts w:cstheme="majorBidi"/>
          <w:szCs w:val="24"/>
        </w:rPr>
      </w:pPr>
      <w:r w:rsidRPr="00E84176">
        <w:rPr>
          <w:rFonts w:cstheme="majorBidi"/>
        </w:rPr>
        <w:t>Ce projet de fin d'études se concentre sur les cellules solaires à base de pérovskites hybrides. Les pérovskites montrent un grand potentiel en tant qu'alternative efficace et économique dans la conversion photovoltaïque. Des recherches approfondies et des simulations ont montré que ces cellules peuvent atteindre des rendements élevés sans hystérésis, ce qui est prometteur pour leur intégration commerciale. L'étude a examiné en détail la structure, les mécanismes de conversion d'énergie et les performances de ces cellules. Malgré leurs avantages, les pérovskites présentent des défis de stabilité et de reproductibilité. Des avancées telles que l'ingénierie d'interfaces et l'optimisation des couches de transport de charges ont montré des résultats prometteurs pour améliorer leurs performances. Le projet a exploré divers paramètres physiques et a modélisé les cellules à l'aide de SILVACO et MATLAB Simulink. Des défis subsistent pour la commercialisation à grande échelle, notamment la stabilité à long terme et la réduction des coûts. Les perspectives incluent des variations de paramètres et une meilleure compréhension du phénomène d'hystérésis. En fin de compte, ce projet contribue à l'avancement des cellules solaires à pérovskites hybrides, ouvrant la voie à une source d'énergie propre et efficace pour répondre aux besoins énergétiques mondiaux croissants</w:t>
      </w:r>
      <w:r>
        <w:rPr>
          <w:rFonts w:cstheme="majorBidi"/>
        </w:rPr>
        <w:t>.</w:t>
      </w:r>
      <w:r w:rsidRPr="00337E06">
        <w:rPr>
          <w:rStyle w:val="Titre1Car"/>
          <w:rFonts w:eastAsiaTheme="majorEastAsia"/>
          <w:szCs w:val="24"/>
        </w:rPr>
        <w:t xml:space="preserve"> </w:t>
      </w:r>
      <w:r>
        <w:rPr>
          <w:rStyle w:val="fontstyle21"/>
          <w:szCs w:val="24"/>
        </w:rPr>
        <w:t xml:space="preserve">La </w:t>
      </w:r>
      <w:r w:rsidRPr="00DC34A6">
        <w:rPr>
          <w:rStyle w:val="fontstyle21"/>
          <w:rFonts w:cstheme="majorBidi"/>
          <w:szCs w:val="24"/>
        </w:rPr>
        <w:t>cellule</w:t>
      </w:r>
      <w:r>
        <w:rPr>
          <w:rStyle w:val="fontstyle21"/>
          <w:szCs w:val="24"/>
        </w:rPr>
        <w:t xml:space="preserve"> solaire </w:t>
      </w:r>
      <w:r w:rsidRPr="00DC34A6">
        <w:rPr>
          <w:rStyle w:val="fontstyle21"/>
          <w:rFonts w:cstheme="majorBidi"/>
          <w:szCs w:val="24"/>
        </w:rPr>
        <w:t xml:space="preserve"> structurée</w:t>
      </w:r>
      <w:r>
        <w:rPr>
          <w:rStyle w:val="fontstyle21"/>
          <w:szCs w:val="24"/>
        </w:rPr>
        <w:t xml:space="preserve"> qui a fait l'objet d'études :</w:t>
      </w:r>
      <w:r w:rsidRPr="00DC34A6">
        <w:rPr>
          <w:rStyle w:val="fontstyle21"/>
          <w:rFonts w:cstheme="majorBidi"/>
          <w:szCs w:val="24"/>
        </w:rPr>
        <w:t xml:space="preserve">  </w:t>
      </w:r>
      <w:r w:rsidRPr="00DC34A6">
        <w:rPr>
          <w:rFonts w:cstheme="majorBidi"/>
          <w:color w:val="000000"/>
          <w:szCs w:val="24"/>
        </w:rPr>
        <w:t xml:space="preserve">Verre / Oxyde d’indium et d’étain (ITO) / Couche de transport d'électrons (couche N) / Couche active (la Pérovskite) / Couche de transport de trous (couche P) / Electrode métallique: </w:t>
      </w:r>
      <w:r w:rsidRPr="00DC34A6">
        <w:rPr>
          <w:rStyle w:val="fontstyle21"/>
          <w:rFonts w:cstheme="majorBidi"/>
          <w:szCs w:val="24"/>
        </w:rPr>
        <w:t>Glass/ITO/TiO</w:t>
      </w:r>
      <w:r w:rsidRPr="00DC34A6">
        <w:rPr>
          <w:rStyle w:val="fontstyle21"/>
          <w:rFonts w:cstheme="majorBidi"/>
          <w:szCs w:val="24"/>
          <w:vertAlign w:val="subscript"/>
        </w:rPr>
        <w:t>2</w:t>
      </w:r>
      <w:r w:rsidRPr="00DC34A6">
        <w:rPr>
          <w:rStyle w:val="fontstyle21"/>
          <w:rFonts w:cstheme="majorBidi"/>
          <w:szCs w:val="24"/>
        </w:rPr>
        <w:t>/</w:t>
      </w:r>
      <w:proofErr w:type="spellStart"/>
      <w:r w:rsidRPr="00DC34A6">
        <w:rPr>
          <w:rStyle w:val="fontstyle21"/>
          <w:rFonts w:cstheme="majorBidi"/>
          <w:szCs w:val="24"/>
        </w:rPr>
        <w:t>Perovskite</w:t>
      </w:r>
      <w:proofErr w:type="spellEnd"/>
      <w:r w:rsidRPr="00DC34A6">
        <w:rPr>
          <w:rStyle w:val="fontstyle21"/>
          <w:rFonts w:cstheme="majorBidi"/>
          <w:szCs w:val="24"/>
        </w:rPr>
        <w:t>/</w:t>
      </w:r>
      <w:proofErr w:type="spellStart"/>
      <w:r w:rsidRPr="00DC34A6">
        <w:rPr>
          <w:rStyle w:val="fontstyle21"/>
          <w:rFonts w:cstheme="majorBidi"/>
          <w:szCs w:val="24"/>
        </w:rPr>
        <w:t>Spiro-OMeTAd</w:t>
      </w:r>
      <w:proofErr w:type="spellEnd"/>
      <w:r w:rsidRPr="00DC34A6">
        <w:rPr>
          <w:rStyle w:val="fontstyle21"/>
          <w:rFonts w:cstheme="majorBidi"/>
          <w:szCs w:val="24"/>
        </w:rPr>
        <w:t>/Au</w:t>
      </w:r>
      <w:r>
        <w:rPr>
          <w:rStyle w:val="fontstyle21"/>
          <w:szCs w:val="24"/>
        </w:rPr>
        <w:t xml:space="preserve">,  </w:t>
      </w:r>
      <w:r w:rsidRPr="00DC34A6">
        <w:rPr>
          <w:rFonts w:cstheme="majorBidi"/>
          <w:szCs w:val="24"/>
        </w:rPr>
        <w:t xml:space="preserve">présente un rendement de conversion énergétique de 19.12 %, un facteur de remplissage de </w:t>
      </w:r>
      <w:r w:rsidRPr="00DC34A6">
        <w:rPr>
          <w:rFonts w:cstheme="majorBidi"/>
          <w:color w:val="000000"/>
          <w:szCs w:val="24"/>
        </w:rPr>
        <w:t>80.53</w:t>
      </w:r>
      <w:r w:rsidRPr="00DC34A6">
        <w:rPr>
          <w:rFonts w:cstheme="majorBidi"/>
          <w:szCs w:val="24"/>
        </w:rPr>
        <w:t xml:space="preserve"> %, une tension de circuit ouvert de </w:t>
      </w:r>
      <w:r w:rsidRPr="00DC34A6">
        <w:rPr>
          <w:rFonts w:cstheme="majorBidi"/>
          <w:color w:val="000000"/>
          <w:szCs w:val="24"/>
        </w:rPr>
        <w:t>1.14</w:t>
      </w:r>
      <w:r w:rsidRPr="00DC34A6">
        <w:rPr>
          <w:rFonts w:cstheme="majorBidi"/>
          <w:szCs w:val="24"/>
        </w:rPr>
        <w:t xml:space="preserve">V et une densité de courant en court-circuit de </w:t>
      </w:r>
      <w:r w:rsidRPr="00DC34A6">
        <w:rPr>
          <w:rFonts w:cstheme="majorBidi"/>
          <w:color w:val="000000"/>
          <w:szCs w:val="24"/>
        </w:rPr>
        <w:t>20.88</w:t>
      </w:r>
      <w:r w:rsidRPr="00DC34A6">
        <w:rPr>
          <w:rFonts w:cstheme="majorBidi"/>
          <w:szCs w:val="24"/>
        </w:rPr>
        <w:t xml:space="preserve">mA/cm² et une épaisseur de </w:t>
      </w:r>
      <w:r w:rsidRPr="00DC34A6">
        <w:rPr>
          <w:rFonts w:eastAsia="Times New Roman" w:cstheme="majorBidi"/>
          <w:color w:val="000000"/>
          <w:szCs w:val="24"/>
          <w:lang w:eastAsia="ko-KR"/>
        </w:rPr>
        <w:t>0.25 µm</w:t>
      </w:r>
      <w:r w:rsidRPr="00DC34A6">
        <w:rPr>
          <w:rFonts w:cstheme="majorBidi"/>
          <w:szCs w:val="24"/>
        </w:rPr>
        <w:t xml:space="preserve"> pour la pérovskite</w:t>
      </w:r>
      <w:r w:rsidRPr="00DC34A6">
        <w:rPr>
          <w:rFonts w:cstheme="majorBidi"/>
          <w:color w:val="000000"/>
          <w:szCs w:val="24"/>
        </w:rPr>
        <w:t xml:space="preserve"> CH3NH3PbI3</w:t>
      </w:r>
      <w:r>
        <w:rPr>
          <w:rFonts w:cstheme="majorBidi"/>
          <w:color w:val="000000"/>
          <w:szCs w:val="24"/>
        </w:rPr>
        <w:t xml:space="preserve"> </w:t>
      </w:r>
      <w:r w:rsidRPr="00DC34A6">
        <w:rPr>
          <w:rFonts w:cstheme="majorBidi"/>
          <w:szCs w:val="24"/>
        </w:rPr>
        <w:t xml:space="preserve"> et </w:t>
      </w:r>
      <w:r w:rsidRPr="00DC34A6">
        <w:rPr>
          <w:rFonts w:eastAsia="Times New Roman" w:cstheme="majorBidi"/>
          <w:color w:val="000000"/>
          <w:szCs w:val="24"/>
          <w:lang w:eastAsia="ko-KR"/>
        </w:rPr>
        <w:t>0.02 µm</w:t>
      </w:r>
      <w:r w:rsidRPr="00DC34A6">
        <w:rPr>
          <w:rFonts w:eastAsia="Times New Roman" w:cstheme="majorBidi"/>
          <w:color w:val="000000"/>
          <w:szCs w:val="24"/>
        </w:rPr>
        <w:t xml:space="preserve"> pour TiO</w:t>
      </w:r>
      <w:r w:rsidRPr="00DC34A6">
        <w:rPr>
          <w:rFonts w:eastAsia="Times New Roman" w:cstheme="majorBidi"/>
          <w:color w:val="000000"/>
          <w:szCs w:val="24"/>
          <w:vertAlign w:val="subscript"/>
        </w:rPr>
        <w:t>2</w:t>
      </w:r>
    </w:p>
    <w:p w:rsidR="0021316A" w:rsidRDefault="0021316A" w:rsidP="0021316A">
      <w:pPr>
        <w:spacing w:line="360" w:lineRule="auto"/>
        <w:jc w:val="both"/>
        <w:rPr>
          <w:rFonts w:cstheme="majorBidi"/>
          <w:sz w:val="22"/>
        </w:rPr>
      </w:pPr>
      <w:r w:rsidRPr="002B2155">
        <w:rPr>
          <w:rFonts w:cstheme="majorBidi"/>
          <w:b/>
          <w:bCs/>
          <w:sz w:val="22"/>
        </w:rPr>
        <w:t xml:space="preserve">Mots clés : </w:t>
      </w:r>
      <w:r w:rsidRPr="003508D1">
        <w:rPr>
          <w:rFonts w:cstheme="majorBidi"/>
          <w:sz w:val="22"/>
        </w:rPr>
        <w:t>cellules solaires -pérovskite -</w:t>
      </w:r>
      <w:proofErr w:type="spellStart"/>
      <w:r w:rsidRPr="003508D1">
        <w:rPr>
          <w:rFonts w:cstheme="majorBidi"/>
          <w:sz w:val="22"/>
        </w:rPr>
        <w:t>Tcad</w:t>
      </w:r>
      <w:proofErr w:type="spellEnd"/>
      <w:r w:rsidRPr="003508D1">
        <w:rPr>
          <w:rFonts w:cstheme="majorBidi"/>
          <w:sz w:val="22"/>
        </w:rPr>
        <w:t xml:space="preserve"> </w:t>
      </w:r>
      <w:proofErr w:type="spellStart"/>
      <w:r w:rsidRPr="003508D1">
        <w:rPr>
          <w:rFonts w:cstheme="majorBidi"/>
          <w:sz w:val="22"/>
        </w:rPr>
        <w:t>Silvaco-Matlab</w:t>
      </w:r>
      <w:proofErr w:type="spellEnd"/>
      <w:r w:rsidRPr="003508D1">
        <w:rPr>
          <w:rFonts w:cstheme="majorBidi"/>
          <w:sz w:val="22"/>
        </w:rPr>
        <w:t xml:space="preserve"> Simulink</w:t>
      </w:r>
    </w:p>
    <w:p w:rsidR="0021316A" w:rsidRDefault="0021316A" w:rsidP="0021316A">
      <w:pPr>
        <w:spacing w:line="360" w:lineRule="auto"/>
        <w:jc w:val="both"/>
        <w:rPr>
          <w:rFonts w:cstheme="majorBidi"/>
          <w:sz w:val="22"/>
        </w:rPr>
      </w:pPr>
    </w:p>
    <w:p w:rsidR="0021316A" w:rsidRDefault="0021316A" w:rsidP="0021316A">
      <w:pPr>
        <w:spacing w:line="360" w:lineRule="auto"/>
        <w:jc w:val="both"/>
        <w:rPr>
          <w:rFonts w:cstheme="majorBidi"/>
          <w:sz w:val="22"/>
        </w:rPr>
      </w:pPr>
    </w:p>
    <w:p w:rsidR="0021316A" w:rsidRDefault="0021316A" w:rsidP="0021316A">
      <w:pPr>
        <w:spacing w:line="360" w:lineRule="auto"/>
        <w:jc w:val="both"/>
        <w:rPr>
          <w:rFonts w:cstheme="majorBidi"/>
          <w:sz w:val="22"/>
        </w:rPr>
      </w:pPr>
    </w:p>
    <w:p w:rsidR="0021316A" w:rsidRDefault="0021316A" w:rsidP="0021316A">
      <w:pPr>
        <w:spacing w:line="360" w:lineRule="auto"/>
        <w:jc w:val="both"/>
        <w:rPr>
          <w:rFonts w:cstheme="majorBidi"/>
          <w:sz w:val="22"/>
        </w:rPr>
      </w:pPr>
    </w:p>
    <w:p w:rsidR="0021316A" w:rsidRDefault="0021316A" w:rsidP="0021316A">
      <w:pPr>
        <w:spacing w:line="360" w:lineRule="auto"/>
        <w:jc w:val="both"/>
        <w:rPr>
          <w:rFonts w:cstheme="majorBidi"/>
          <w:sz w:val="22"/>
        </w:rPr>
      </w:pPr>
    </w:p>
    <w:p w:rsidR="0021316A" w:rsidRDefault="0021316A" w:rsidP="0021316A">
      <w:pPr>
        <w:spacing w:line="360" w:lineRule="auto"/>
        <w:jc w:val="both"/>
        <w:rPr>
          <w:rFonts w:cstheme="majorBidi"/>
          <w:sz w:val="22"/>
        </w:rPr>
      </w:pPr>
    </w:p>
    <w:p w:rsidR="0021316A" w:rsidRPr="003508D1" w:rsidRDefault="0021316A" w:rsidP="0021316A">
      <w:pPr>
        <w:spacing w:line="360" w:lineRule="auto"/>
        <w:jc w:val="both"/>
        <w:rPr>
          <w:rFonts w:cstheme="majorBidi"/>
          <w:sz w:val="22"/>
        </w:rPr>
      </w:pPr>
    </w:p>
    <w:p w:rsidR="0021316A" w:rsidRPr="003508D1" w:rsidRDefault="0021316A" w:rsidP="0021316A">
      <w:pPr>
        <w:spacing w:line="360" w:lineRule="auto"/>
        <w:jc w:val="both"/>
        <w:rPr>
          <w:rFonts w:cstheme="majorBidi"/>
          <w:b/>
          <w:bCs/>
          <w:sz w:val="16"/>
          <w:szCs w:val="16"/>
        </w:rPr>
      </w:pPr>
    </w:p>
    <w:p w:rsidR="0021316A" w:rsidRPr="0021316A" w:rsidRDefault="0021316A" w:rsidP="0021316A">
      <w:pPr>
        <w:jc w:val="center"/>
        <w:rPr>
          <w:rFonts w:cstheme="majorBidi"/>
          <w:b/>
          <w:bCs/>
          <w:szCs w:val="24"/>
          <w:lang w:val="en-US"/>
        </w:rPr>
      </w:pPr>
      <w:r w:rsidRPr="0021316A">
        <w:rPr>
          <w:rFonts w:cstheme="majorBidi"/>
          <w:b/>
          <w:bCs/>
          <w:sz w:val="28"/>
          <w:szCs w:val="24"/>
          <w:lang w:val="en-US"/>
        </w:rPr>
        <w:lastRenderedPageBreak/>
        <w:t xml:space="preserve">Simulation of the optoelectronic properties of tandem photovoltaic panels based on </w:t>
      </w:r>
      <w:proofErr w:type="spellStart"/>
      <w:r w:rsidRPr="0021316A">
        <w:rPr>
          <w:rFonts w:cstheme="majorBidi"/>
          <w:b/>
          <w:bCs/>
          <w:sz w:val="28"/>
          <w:szCs w:val="24"/>
          <w:lang w:val="en-US"/>
        </w:rPr>
        <w:t>perovskite</w:t>
      </w:r>
      <w:proofErr w:type="spellEnd"/>
      <w:r w:rsidRPr="0021316A">
        <w:rPr>
          <w:rFonts w:cstheme="majorBidi"/>
          <w:b/>
          <w:bCs/>
          <w:sz w:val="28"/>
          <w:szCs w:val="24"/>
          <w:lang w:val="en-US"/>
        </w:rPr>
        <w:t xml:space="preserve"> cells</w:t>
      </w:r>
    </w:p>
    <w:p w:rsidR="0021316A" w:rsidRPr="00F02B54" w:rsidRDefault="0021316A" w:rsidP="0021316A">
      <w:pPr>
        <w:pStyle w:val="Titre1"/>
        <w:spacing w:before="0" w:beforeAutospacing="0" w:after="120" w:afterAutospacing="0" w:line="276" w:lineRule="auto"/>
        <w:rPr>
          <w:sz w:val="22"/>
          <w:szCs w:val="22"/>
          <w:lang w:val="en-US"/>
        </w:rPr>
      </w:pPr>
      <w:bookmarkStart w:id="1" w:name="_Toc145542250"/>
      <w:r w:rsidRPr="00F02B54">
        <w:rPr>
          <w:sz w:val="22"/>
          <w:szCs w:val="22"/>
          <w:lang w:val="en-US"/>
        </w:rPr>
        <w:t>Abstract</w:t>
      </w:r>
      <w:bookmarkEnd w:id="1"/>
      <w:r w:rsidRPr="00F02B54">
        <w:rPr>
          <w:sz w:val="22"/>
          <w:szCs w:val="22"/>
          <w:lang w:val="en-US"/>
        </w:rPr>
        <w:t> </w:t>
      </w:r>
    </w:p>
    <w:p w:rsidR="0021316A" w:rsidRPr="00AC56F5" w:rsidRDefault="0021316A" w:rsidP="0021316A">
      <w:pPr>
        <w:spacing w:line="360" w:lineRule="auto"/>
        <w:ind w:firstLine="567"/>
        <w:jc w:val="both"/>
        <w:rPr>
          <w:sz w:val="22"/>
          <w:lang w:val="en-US"/>
        </w:rPr>
      </w:pPr>
      <w:r w:rsidRPr="00E84176">
        <w:rPr>
          <w:rFonts w:cstheme="majorBidi"/>
          <w:szCs w:val="24"/>
          <w:lang w:val="en-US"/>
        </w:rPr>
        <w:t xml:space="preserve">This senior project focuses on hybrid </w:t>
      </w:r>
      <w:proofErr w:type="spellStart"/>
      <w:r w:rsidRPr="00E84176">
        <w:rPr>
          <w:rFonts w:cstheme="majorBidi"/>
          <w:szCs w:val="24"/>
          <w:lang w:val="en-US"/>
        </w:rPr>
        <w:t>perovskite</w:t>
      </w:r>
      <w:proofErr w:type="spellEnd"/>
      <w:r w:rsidRPr="00E84176">
        <w:rPr>
          <w:rFonts w:cstheme="majorBidi"/>
          <w:szCs w:val="24"/>
          <w:lang w:val="en-US"/>
        </w:rPr>
        <w:t xml:space="preserve"> solar cells. </w:t>
      </w:r>
      <w:proofErr w:type="spellStart"/>
      <w:r w:rsidRPr="00E84176">
        <w:rPr>
          <w:rFonts w:cstheme="majorBidi"/>
          <w:szCs w:val="24"/>
          <w:lang w:val="en-US"/>
        </w:rPr>
        <w:t>Perovskites</w:t>
      </w:r>
      <w:proofErr w:type="spellEnd"/>
      <w:r w:rsidRPr="00E84176">
        <w:rPr>
          <w:rFonts w:cstheme="majorBidi"/>
          <w:szCs w:val="24"/>
          <w:lang w:val="en-US"/>
        </w:rPr>
        <w:t xml:space="preserve"> exhibit significant potential as an effective and economical alternative in photovoltaic conversion. In-depth research and simulations have demonstrated that these cells can achieve high efficiencies without hysteresis, offering promise for their commercial integration. The study meticulously examined the structure, energy conversion mechanisms, and performance of these cells. Despite their advantages, </w:t>
      </w:r>
      <w:proofErr w:type="spellStart"/>
      <w:r w:rsidRPr="00E84176">
        <w:rPr>
          <w:rFonts w:cstheme="majorBidi"/>
          <w:szCs w:val="24"/>
          <w:lang w:val="en-US"/>
        </w:rPr>
        <w:t>perovskites</w:t>
      </w:r>
      <w:proofErr w:type="spellEnd"/>
      <w:r w:rsidRPr="00E84176">
        <w:rPr>
          <w:rFonts w:cstheme="majorBidi"/>
          <w:szCs w:val="24"/>
          <w:lang w:val="en-US"/>
        </w:rPr>
        <w:t xml:space="preserve"> present stability and reproducibility challenges. Advances such as interface engineering and charge transport layer optimization have yielded promising outcomes in enhancing their performance. The project delved into various physical parameters and modeled the cells using SILVACO and MATLAB Simulink. Substantial challenges remain for large-scale commercialization, notably long-term stability and cost reduction. Future perspectives encompass parameter variations and a deeper understanding of the hysteresis phenomenon. Ultimately, this project contributes to the progression of hybrid </w:t>
      </w:r>
      <w:proofErr w:type="spellStart"/>
      <w:r w:rsidRPr="00E84176">
        <w:rPr>
          <w:rFonts w:cstheme="majorBidi"/>
          <w:szCs w:val="24"/>
          <w:lang w:val="en-US"/>
        </w:rPr>
        <w:t>perovskite</w:t>
      </w:r>
      <w:proofErr w:type="spellEnd"/>
      <w:r w:rsidRPr="00E84176">
        <w:rPr>
          <w:rFonts w:cstheme="majorBidi"/>
          <w:szCs w:val="24"/>
          <w:lang w:val="en-US"/>
        </w:rPr>
        <w:t xml:space="preserve"> solar cells, paving the way for a clean and efficient energy source to meet the escalating global energy demands</w:t>
      </w:r>
      <w:r w:rsidRPr="00161A12">
        <w:rPr>
          <w:rFonts w:cstheme="majorBidi"/>
          <w:szCs w:val="24"/>
          <w:lang w:val="en-US"/>
        </w:rPr>
        <w:t>.</w:t>
      </w:r>
      <w:r w:rsidRPr="00161A12">
        <w:rPr>
          <w:rFonts w:cstheme="majorBidi"/>
          <w:lang w:val="en-US"/>
        </w:rPr>
        <w:t xml:space="preserve"> The structured solar cell that has been the subject of studies consists of the following layers: Glass / Indium Tin Oxide (ITO) / Electron Transport Layer (N-type layer) / Active Layer (</w:t>
      </w:r>
      <w:proofErr w:type="spellStart"/>
      <w:r w:rsidRPr="00161A12">
        <w:rPr>
          <w:rFonts w:cstheme="majorBidi"/>
          <w:lang w:val="en-US"/>
        </w:rPr>
        <w:t>Perovskite</w:t>
      </w:r>
      <w:proofErr w:type="spellEnd"/>
      <w:r w:rsidRPr="00161A12">
        <w:rPr>
          <w:rFonts w:cstheme="majorBidi"/>
          <w:lang w:val="en-US"/>
        </w:rPr>
        <w:t>) / Hole Transport Layer (P-type layer) / Metal Electrode: Glass/ITO/TiO2/</w:t>
      </w:r>
      <w:proofErr w:type="spellStart"/>
      <w:r w:rsidRPr="00161A12">
        <w:rPr>
          <w:rFonts w:cstheme="majorBidi"/>
          <w:lang w:val="en-US"/>
        </w:rPr>
        <w:t>Perovskite</w:t>
      </w:r>
      <w:proofErr w:type="spellEnd"/>
      <w:r w:rsidRPr="00161A12">
        <w:rPr>
          <w:rFonts w:cstheme="majorBidi"/>
          <w:lang w:val="en-US"/>
        </w:rPr>
        <w:t>/Spiro-</w:t>
      </w:r>
      <w:proofErr w:type="spellStart"/>
      <w:r w:rsidRPr="00161A12">
        <w:rPr>
          <w:rFonts w:cstheme="majorBidi"/>
          <w:lang w:val="en-US"/>
        </w:rPr>
        <w:t>OMeTAd</w:t>
      </w:r>
      <w:proofErr w:type="spellEnd"/>
      <w:r w:rsidRPr="00161A12">
        <w:rPr>
          <w:rFonts w:cstheme="majorBidi"/>
          <w:lang w:val="en-US"/>
        </w:rPr>
        <w:t xml:space="preserve">/Au. This solar cell exhibits an energy conversion efficiency of 19.12%, a fill factor of 80.53%, an open-circuit voltage of 1.14V, a short-circuit current density of 20.88mA/cm², and a thickness of 0.25 µm for the CH3NH3PbI3 </w:t>
      </w:r>
      <w:proofErr w:type="spellStart"/>
      <w:r w:rsidRPr="00161A12">
        <w:rPr>
          <w:rFonts w:cstheme="majorBidi"/>
          <w:lang w:val="en-US"/>
        </w:rPr>
        <w:t>perovskite</w:t>
      </w:r>
      <w:proofErr w:type="spellEnd"/>
      <w:r w:rsidRPr="00161A12">
        <w:rPr>
          <w:rFonts w:cstheme="majorBidi"/>
          <w:lang w:val="en-US"/>
        </w:rPr>
        <w:t xml:space="preserve"> layer and 0.02 µm for the TiO2 layer</w:t>
      </w:r>
      <w:r w:rsidRPr="00161A12">
        <w:rPr>
          <w:rFonts w:ascii="Segoe UI" w:hAnsi="Segoe UI" w:cs="Segoe UI"/>
          <w:color w:val="374151"/>
          <w:shd w:val="clear" w:color="auto" w:fill="F7F7F8"/>
          <w:lang w:val="en-US"/>
        </w:rPr>
        <w:t>.</w:t>
      </w:r>
    </w:p>
    <w:p w:rsidR="0021316A" w:rsidRDefault="0021316A" w:rsidP="0021316A">
      <w:pPr>
        <w:spacing w:line="360" w:lineRule="auto"/>
        <w:jc w:val="both"/>
        <w:rPr>
          <w:sz w:val="22"/>
          <w:lang w:val="en-US"/>
        </w:rPr>
      </w:pPr>
      <w:r w:rsidRPr="002B2155">
        <w:rPr>
          <w:b/>
          <w:bCs/>
          <w:sz w:val="22"/>
          <w:lang w:val="en-US"/>
        </w:rPr>
        <w:t xml:space="preserve">Key words: </w:t>
      </w:r>
      <w:r w:rsidRPr="003508D1">
        <w:rPr>
          <w:rFonts w:cstheme="majorBidi"/>
          <w:sz w:val="22"/>
          <w:lang w:val="en-US"/>
        </w:rPr>
        <w:t>solar cell -</w:t>
      </w:r>
      <w:proofErr w:type="spellStart"/>
      <w:r w:rsidRPr="003508D1">
        <w:rPr>
          <w:rFonts w:cstheme="majorBidi"/>
          <w:sz w:val="22"/>
          <w:lang w:val="en-US"/>
        </w:rPr>
        <w:t>p</w:t>
      </w:r>
      <w:r>
        <w:rPr>
          <w:rFonts w:cstheme="majorBidi"/>
          <w:sz w:val="22"/>
          <w:lang w:val="en-US"/>
        </w:rPr>
        <w:t>e</w:t>
      </w:r>
      <w:r w:rsidRPr="003508D1">
        <w:rPr>
          <w:rFonts w:cstheme="majorBidi"/>
          <w:sz w:val="22"/>
          <w:lang w:val="en-US"/>
        </w:rPr>
        <w:t>rovskite</w:t>
      </w:r>
      <w:proofErr w:type="spellEnd"/>
      <w:r w:rsidRPr="003508D1">
        <w:rPr>
          <w:rFonts w:cstheme="majorBidi"/>
          <w:sz w:val="22"/>
          <w:lang w:val="en-US"/>
        </w:rPr>
        <w:t xml:space="preserve"> -</w:t>
      </w:r>
      <w:proofErr w:type="spellStart"/>
      <w:r w:rsidRPr="003508D1">
        <w:rPr>
          <w:rFonts w:cstheme="majorBidi"/>
          <w:sz w:val="22"/>
          <w:lang w:val="en-US"/>
        </w:rPr>
        <w:t>Tcad</w:t>
      </w:r>
      <w:proofErr w:type="spellEnd"/>
      <w:r w:rsidRPr="003508D1">
        <w:rPr>
          <w:rFonts w:cstheme="majorBidi"/>
          <w:sz w:val="22"/>
          <w:lang w:val="en-US"/>
        </w:rPr>
        <w:t xml:space="preserve"> </w:t>
      </w:r>
      <w:proofErr w:type="spellStart"/>
      <w:r w:rsidRPr="003508D1">
        <w:rPr>
          <w:rFonts w:cstheme="majorBidi"/>
          <w:sz w:val="22"/>
          <w:lang w:val="en-US"/>
        </w:rPr>
        <w:t>Silvaco-Matlab</w:t>
      </w:r>
      <w:proofErr w:type="spellEnd"/>
      <w:r w:rsidRPr="003508D1">
        <w:rPr>
          <w:rFonts w:cstheme="majorBidi"/>
          <w:sz w:val="22"/>
          <w:lang w:val="en-US"/>
        </w:rPr>
        <w:t xml:space="preserve"> Simulink</w:t>
      </w:r>
      <w:r w:rsidRPr="003508D1">
        <w:rPr>
          <w:sz w:val="22"/>
          <w:lang w:val="en-US"/>
        </w:rPr>
        <w:t>.</w:t>
      </w: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Default="0021316A" w:rsidP="0021316A">
      <w:pPr>
        <w:spacing w:line="360" w:lineRule="auto"/>
        <w:jc w:val="both"/>
        <w:rPr>
          <w:sz w:val="22"/>
          <w:lang w:val="en-US"/>
        </w:rPr>
      </w:pPr>
    </w:p>
    <w:p w:rsidR="0021316A" w:rsidRPr="003508D1" w:rsidRDefault="0021316A" w:rsidP="0021316A">
      <w:pPr>
        <w:spacing w:line="360" w:lineRule="auto"/>
        <w:jc w:val="both"/>
        <w:rPr>
          <w:sz w:val="22"/>
          <w:lang w:val="en-US"/>
        </w:rPr>
      </w:pPr>
    </w:p>
    <w:p w:rsidR="0021316A" w:rsidRDefault="0021316A" w:rsidP="0021316A">
      <w:pPr>
        <w:spacing w:line="360" w:lineRule="auto"/>
        <w:ind w:firstLine="567"/>
        <w:jc w:val="both"/>
        <w:rPr>
          <w:sz w:val="22"/>
          <w:lang w:val="en-US"/>
        </w:rPr>
      </w:pPr>
      <w:bookmarkStart w:id="2" w:name="_GoBack"/>
      <w:bookmarkEnd w:id="2"/>
    </w:p>
    <w:p w:rsidR="0021316A" w:rsidRPr="0021316A" w:rsidRDefault="0021316A" w:rsidP="0021316A">
      <w:pPr>
        <w:bidi/>
        <w:spacing w:line="360" w:lineRule="auto"/>
        <w:ind w:firstLine="567"/>
        <w:jc w:val="center"/>
        <w:rPr>
          <w:rFonts w:ascii="Simplified Arabic" w:hAnsi="Simplified Arabic" w:cs="Simplified Arabic"/>
          <w:sz w:val="28"/>
          <w:szCs w:val="28"/>
          <w:rtl/>
          <w:lang w:val="en-US"/>
        </w:rPr>
      </w:pPr>
      <w:r w:rsidRPr="0021316A">
        <w:rPr>
          <w:rFonts w:ascii="Simplified Arabic" w:hAnsi="Simplified Arabic" w:cs="Simplified Arabic"/>
          <w:b/>
          <w:bCs/>
          <w:sz w:val="28"/>
          <w:szCs w:val="28"/>
          <w:rtl/>
        </w:rPr>
        <w:lastRenderedPageBreak/>
        <w:t xml:space="preserve">محاكاة الخصائص الكهروضوئية لوحدات الخلايا الشمسية التناظرية المعتمدة على خلايا </w:t>
      </w:r>
      <w:proofErr w:type="spellStart"/>
      <w:r w:rsidRPr="0021316A">
        <w:rPr>
          <w:rFonts w:ascii="Simplified Arabic" w:hAnsi="Simplified Arabic" w:cs="Simplified Arabic"/>
          <w:b/>
          <w:bCs/>
          <w:sz w:val="28"/>
          <w:szCs w:val="28"/>
          <w:rtl/>
        </w:rPr>
        <w:t>البيروفسكيت</w:t>
      </w:r>
      <w:proofErr w:type="spellEnd"/>
    </w:p>
    <w:p w:rsidR="0021316A" w:rsidRPr="00770C0D" w:rsidRDefault="0021316A" w:rsidP="0021316A">
      <w:pPr>
        <w:bidi/>
        <w:spacing w:line="360" w:lineRule="auto"/>
        <w:rPr>
          <w:rFonts w:ascii="Simplified Arabic" w:hAnsi="Simplified Arabic" w:cs="Simplified Arabic"/>
          <w:b/>
          <w:bCs/>
          <w:sz w:val="28"/>
          <w:szCs w:val="28"/>
          <w:rtl/>
          <w:lang w:val="en-US" w:bidi="ar-DZ"/>
        </w:rPr>
      </w:pPr>
      <w:r w:rsidRPr="00770C0D">
        <w:rPr>
          <w:rFonts w:ascii="Simplified Arabic" w:hAnsi="Simplified Arabic" w:cs="Simplified Arabic"/>
          <w:b/>
          <w:bCs/>
          <w:sz w:val="28"/>
          <w:szCs w:val="28"/>
          <w:rtl/>
          <w:lang w:val="en-US" w:bidi="ar-DZ"/>
        </w:rPr>
        <w:t>ملخص</w:t>
      </w:r>
      <w:r w:rsidRPr="00770C0D">
        <w:rPr>
          <w:rFonts w:ascii="Simplified Arabic" w:hAnsi="Simplified Arabic" w:cs="Simplified Arabic" w:hint="cs"/>
          <w:b/>
          <w:bCs/>
          <w:sz w:val="28"/>
          <w:szCs w:val="28"/>
          <w:rtl/>
          <w:lang w:val="en-US" w:bidi="ar-DZ"/>
        </w:rPr>
        <w:t>:</w:t>
      </w:r>
    </w:p>
    <w:p w:rsidR="0021316A" w:rsidRPr="003508D1" w:rsidRDefault="0021316A" w:rsidP="0021316A">
      <w:pPr>
        <w:bidi/>
        <w:spacing w:line="360" w:lineRule="auto"/>
        <w:ind w:firstLine="565"/>
        <w:jc w:val="both"/>
        <w:rPr>
          <w:rFonts w:ascii="Simplified Arabic" w:hAnsi="Simplified Arabic" w:cs="Simplified Arabic"/>
          <w:szCs w:val="24"/>
          <w:rtl/>
          <w:lang w:val="en-US"/>
        </w:rPr>
      </w:pPr>
      <w:r w:rsidRPr="003508D1">
        <w:rPr>
          <w:rFonts w:ascii="Simplified Arabic" w:hAnsi="Simplified Arabic" w:cs="Simplified Arabic"/>
          <w:szCs w:val="24"/>
          <w:rtl/>
        </w:rPr>
        <w:t xml:space="preserve">هذا المشروع الختامي يركز على خلايا الطاقة الشمسية </w:t>
      </w:r>
      <w:proofErr w:type="spellStart"/>
      <w:r w:rsidRPr="003508D1">
        <w:rPr>
          <w:rFonts w:ascii="Simplified Arabic" w:hAnsi="Simplified Arabic" w:cs="Simplified Arabic"/>
          <w:szCs w:val="24"/>
          <w:rtl/>
        </w:rPr>
        <w:t>البيروفسكايتية</w:t>
      </w:r>
      <w:proofErr w:type="spellEnd"/>
      <w:r w:rsidRPr="003508D1">
        <w:rPr>
          <w:rFonts w:ascii="Simplified Arabic" w:hAnsi="Simplified Arabic" w:cs="Simplified Arabic"/>
          <w:szCs w:val="24"/>
          <w:rtl/>
        </w:rPr>
        <w:t xml:space="preserve"> الهجينة. </w:t>
      </w:r>
      <w:proofErr w:type="spellStart"/>
      <w:r w:rsidRPr="003508D1">
        <w:rPr>
          <w:rFonts w:ascii="Simplified Arabic" w:hAnsi="Simplified Arabic" w:cs="Simplified Arabic"/>
          <w:szCs w:val="24"/>
          <w:rtl/>
        </w:rPr>
        <w:t>البيروفسكايت</w:t>
      </w:r>
      <w:proofErr w:type="spellEnd"/>
      <w:r w:rsidRPr="003508D1">
        <w:rPr>
          <w:rFonts w:ascii="Simplified Arabic" w:hAnsi="Simplified Arabic" w:cs="Simplified Arabic"/>
          <w:szCs w:val="24"/>
          <w:rtl/>
        </w:rPr>
        <w:t xml:space="preserve"> تظهر إمكانيات كبيرة كبديل فعّال واقتصادي في تحويل الطاقة الشمسية. </w:t>
      </w:r>
      <w:proofErr w:type="gramStart"/>
      <w:r w:rsidRPr="003508D1">
        <w:rPr>
          <w:rFonts w:ascii="Simplified Arabic" w:hAnsi="Simplified Arabic" w:cs="Simplified Arabic"/>
          <w:szCs w:val="24"/>
          <w:rtl/>
        </w:rPr>
        <w:t>أظهرت</w:t>
      </w:r>
      <w:proofErr w:type="gramEnd"/>
      <w:r w:rsidRPr="003508D1">
        <w:rPr>
          <w:rFonts w:ascii="Simplified Arabic" w:hAnsi="Simplified Arabic" w:cs="Simplified Arabic"/>
          <w:szCs w:val="24"/>
          <w:rtl/>
        </w:rPr>
        <w:t xml:space="preserve"> الأبحاث العميقة والمحاكاة أن هذه الخلايا يمكن أن تحقق كفاءات عالية بدون وجود اهتزازات، مما يعرض الوعد لدمجها تجارياً. تفحص </w:t>
      </w:r>
      <w:proofErr w:type="gramStart"/>
      <w:r w:rsidRPr="003508D1">
        <w:rPr>
          <w:rFonts w:ascii="Simplified Arabic" w:hAnsi="Simplified Arabic" w:cs="Simplified Arabic"/>
          <w:szCs w:val="24"/>
          <w:rtl/>
        </w:rPr>
        <w:t>الدراسة</w:t>
      </w:r>
      <w:proofErr w:type="gramEnd"/>
      <w:r w:rsidRPr="003508D1">
        <w:rPr>
          <w:rFonts w:ascii="Simplified Arabic" w:hAnsi="Simplified Arabic" w:cs="Simplified Arabic"/>
          <w:szCs w:val="24"/>
          <w:rtl/>
        </w:rPr>
        <w:t xml:space="preserve"> بدقة البنية وآليات تحويل الطاقة وأداء هذه الخلايا. على الرغم من مزاياها، تواجه </w:t>
      </w:r>
      <w:proofErr w:type="spellStart"/>
      <w:r w:rsidRPr="003508D1">
        <w:rPr>
          <w:rFonts w:ascii="Simplified Arabic" w:hAnsi="Simplified Arabic" w:cs="Simplified Arabic"/>
          <w:szCs w:val="24"/>
          <w:rtl/>
        </w:rPr>
        <w:t>البيروفسكايت</w:t>
      </w:r>
      <w:proofErr w:type="spellEnd"/>
      <w:r w:rsidRPr="003508D1">
        <w:rPr>
          <w:rFonts w:ascii="Simplified Arabic" w:hAnsi="Simplified Arabic" w:cs="Simplified Arabic"/>
          <w:szCs w:val="24"/>
          <w:rtl/>
        </w:rPr>
        <w:t xml:space="preserve"> تحديات في الاستقرار والتكرار. التقدمات مثل هندسة الواجهات وتحسين طبقات نقل الشحنات أثرت في نتائج مشجعة لتعزيز أدائها. استغرق المشروع في تنويع المعلمات الفيزيائية المختلفة </w:t>
      </w:r>
      <w:proofErr w:type="spellStart"/>
      <w:r w:rsidRPr="003508D1">
        <w:rPr>
          <w:rFonts w:ascii="Simplified Arabic" w:hAnsi="Simplified Arabic" w:cs="Simplified Arabic"/>
          <w:szCs w:val="24"/>
          <w:rtl/>
        </w:rPr>
        <w:t>ونمذجة</w:t>
      </w:r>
      <w:proofErr w:type="spellEnd"/>
      <w:r w:rsidRPr="003508D1">
        <w:rPr>
          <w:rFonts w:ascii="Simplified Arabic" w:hAnsi="Simplified Arabic" w:cs="Simplified Arabic"/>
          <w:szCs w:val="24"/>
          <w:rtl/>
        </w:rPr>
        <w:t xml:space="preserve"> الخلايا باستخدام</w:t>
      </w:r>
      <w:r w:rsidRPr="003508D1">
        <w:rPr>
          <w:rFonts w:ascii="Simplified Arabic" w:hAnsi="Simplified Arabic" w:cs="Simplified Arabic"/>
          <w:szCs w:val="24"/>
        </w:rPr>
        <w:t xml:space="preserve"> SILVACO </w:t>
      </w:r>
      <w:r w:rsidRPr="003508D1">
        <w:rPr>
          <w:rFonts w:ascii="Simplified Arabic" w:hAnsi="Simplified Arabic" w:cs="Simplified Arabic"/>
          <w:szCs w:val="24"/>
          <w:rtl/>
        </w:rPr>
        <w:t>و</w:t>
      </w:r>
      <w:r w:rsidRPr="003508D1">
        <w:rPr>
          <w:rFonts w:ascii="Simplified Arabic" w:hAnsi="Simplified Arabic" w:cs="Simplified Arabic"/>
          <w:szCs w:val="24"/>
        </w:rPr>
        <w:t xml:space="preserve"> MATLAB Simulink </w:t>
      </w:r>
      <w:r w:rsidRPr="003508D1">
        <w:rPr>
          <w:rFonts w:ascii="Simplified Arabic" w:hAnsi="Simplified Arabic" w:cs="Simplified Arabic"/>
          <w:szCs w:val="24"/>
          <w:rtl/>
        </w:rPr>
        <w:t xml:space="preserve">تبقى تحديات كبيرة للتسويق على نطاق واسع، وبخاصة فيما يتعلق بالاستقرار على المدى الطويل وتخفيض التكاليف. تشمل الآفاق المستقبلية تنويع المعلمات وفهم أعمق لظاهرة الاهتزاز. في النهاية، يسهم هذا المشروع في تقدم الخلايا الشمسية </w:t>
      </w:r>
      <w:proofErr w:type="spellStart"/>
      <w:r w:rsidRPr="003508D1">
        <w:rPr>
          <w:rFonts w:ascii="Simplified Arabic" w:hAnsi="Simplified Arabic" w:cs="Simplified Arabic"/>
          <w:szCs w:val="24"/>
          <w:rtl/>
        </w:rPr>
        <w:t>البيروفسكايتية</w:t>
      </w:r>
      <w:proofErr w:type="spellEnd"/>
      <w:r w:rsidRPr="003508D1">
        <w:rPr>
          <w:rFonts w:ascii="Simplified Arabic" w:hAnsi="Simplified Arabic" w:cs="Simplified Arabic"/>
          <w:szCs w:val="24"/>
          <w:rtl/>
        </w:rPr>
        <w:t xml:space="preserve"> الهجينة، ويمهد الطريق لمصدر نظيف وفعّال للطاقة لتلبية الاحتياجات المتزايدة للطاقة على الصعيدين العالمي</w:t>
      </w:r>
      <w:r w:rsidRPr="003508D1">
        <w:rPr>
          <w:rFonts w:ascii="Simplified Arabic" w:hAnsi="Simplified Arabic" w:cs="Simplified Arabic"/>
          <w:szCs w:val="24"/>
        </w:rPr>
        <w:t xml:space="preserve"> </w:t>
      </w:r>
      <w:r>
        <w:rPr>
          <w:rFonts w:ascii="Simplified Arabic" w:hAnsi="Simplified Arabic" w:cs="Simplified Arabic" w:hint="cs"/>
          <w:szCs w:val="24"/>
          <w:rtl/>
        </w:rPr>
        <w:t xml:space="preserve"> </w:t>
      </w:r>
      <w:r w:rsidRPr="003508D1">
        <w:rPr>
          <w:rFonts w:ascii="Simplified Arabic" w:hAnsi="Simplified Arabic" w:cs="Simplified Arabic"/>
          <w:szCs w:val="24"/>
          <w:rtl/>
        </w:rPr>
        <w:t xml:space="preserve">الخلية الشمسية </w:t>
      </w:r>
      <w:proofErr w:type="spellStart"/>
      <w:r w:rsidRPr="003508D1">
        <w:rPr>
          <w:rFonts w:ascii="Simplified Arabic" w:hAnsi="Simplified Arabic" w:cs="Simplified Arabic"/>
          <w:szCs w:val="24"/>
          <w:rtl/>
        </w:rPr>
        <w:t>المهيكلة</w:t>
      </w:r>
      <w:proofErr w:type="spellEnd"/>
      <w:r w:rsidRPr="003508D1">
        <w:rPr>
          <w:rFonts w:ascii="Simplified Arabic" w:hAnsi="Simplified Arabic" w:cs="Simplified Arabic"/>
          <w:szCs w:val="24"/>
          <w:rtl/>
        </w:rPr>
        <w:t xml:space="preserve"> التي تمت دراستها: زجاج / أكسيد </w:t>
      </w:r>
      <w:proofErr w:type="spellStart"/>
      <w:r w:rsidRPr="003508D1">
        <w:rPr>
          <w:rFonts w:ascii="Simplified Arabic" w:hAnsi="Simplified Arabic" w:cs="Simplified Arabic"/>
          <w:szCs w:val="24"/>
          <w:rtl/>
        </w:rPr>
        <w:t>الإنديوم</w:t>
      </w:r>
      <w:proofErr w:type="spellEnd"/>
      <w:r w:rsidRPr="003508D1">
        <w:rPr>
          <w:rFonts w:ascii="Simplified Arabic" w:hAnsi="Simplified Arabic" w:cs="Simplified Arabic"/>
          <w:szCs w:val="24"/>
          <w:rtl/>
        </w:rPr>
        <w:t xml:space="preserve"> والقصدير</w:t>
      </w:r>
      <w:r w:rsidRPr="003508D1">
        <w:rPr>
          <w:rFonts w:ascii="Simplified Arabic" w:hAnsi="Simplified Arabic" w:cs="Simplified Arabic"/>
          <w:szCs w:val="24"/>
        </w:rPr>
        <w:t xml:space="preserve"> (ITO) / </w:t>
      </w:r>
      <w:r w:rsidRPr="003508D1">
        <w:rPr>
          <w:rFonts w:ascii="Simplified Arabic" w:hAnsi="Simplified Arabic" w:cs="Simplified Arabic"/>
          <w:szCs w:val="24"/>
          <w:rtl/>
        </w:rPr>
        <w:t>طبقة نقل الإلكترونات (الطبقة النوعية) / الطبقة النشطة (</w:t>
      </w:r>
      <w:proofErr w:type="spellStart"/>
      <w:r w:rsidRPr="003508D1">
        <w:rPr>
          <w:rFonts w:ascii="Simplified Arabic" w:hAnsi="Simplified Arabic" w:cs="Simplified Arabic"/>
          <w:szCs w:val="24"/>
          <w:rtl/>
        </w:rPr>
        <w:t>البيروفسكيت</w:t>
      </w:r>
      <w:proofErr w:type="spellEnd"/>
      <w:r w:rsidRPr="003508D1">
        <w:rPr>
          <w:rFonts w:ascii="Simplified Arabic" w:hAnsi="Simplified Arabic" w:cs="Simplified Arabic"/>
          <w:szCs w:val="24"/>
          <w:rtl/>
        </w:rPr>
        <w:t>) / طبقة نقل الفجوات (الطبقة النوعية) / الكهربائي المعدني: زجاج</w:t>
      </w:r>
      <w:r w:rsidRPr="003508D1">
        <w:rPr>
          <w:rFonts w:ascii="Simplified Arabic" w:hAnsi="Simplified Arabic" w:cs="Simplified Arabic"/>
          <w:szCs w:val="24"/>
        </w:rPr>
        <w:t xml:space="preserve"> / ITO / TiO2 / </w:t>
      </w:r>
      <w:proofErr w:type="spellStart"/>
      <w:r w:rsidRPr="003508D1">
        <w:rPr>
          <w:rFonts w:ascii="Simplified Arabic" w:hAnsi="Simplified Arabic" w:cs="Simplified Arabic"/>
          <w:szCs w:val="24"/>
          <w:rtl/>
        </w:rPr>
        <w:t>بيروفسكيت</w:t>
      </w:r>
      <w:proofErr w:type="spellEnd"/>
      <w:r w:rsidRPr="003508D1">
        <w:rPr>
          <w:rFonts w:ascii="Simplified Arabic" w:hAnsi="Simplified Arabic" w:cs="Simplified Arabic"/>
          <w:szCs w:val="24"/>
        </w:rPr>
        <w:t xml:space="preserve"> / </w:t>
      </w:r>
      <w:proofErr w:type="spellStart"/>
      <w:r w:rsidRPr="003508D1">
        <w:rPr>
          <w:rFonts w:ascii="Simplified Arabic" w:hAnsi="Simplified Arabic" w:cs="Simplified Arabic"/>
          <w:szCs w:val="24"/>
        </w:rPr>
        <w:t>Spiro-OMeTAd</w:t>
      </w:r>
      <w:proofErr w:type="spellEnd"/>
      <w:r>
        <w:rPr>
          <w:rFonts w:ascii="Simplified Arabic" w:hAnsi="Simplified Arabic" w:cs="Simplified Arabic" w:hint="cs"/>
          <w:szCs w:val="24"/>
          <w:rtl/>
          <w:lang w:bidi="ar-DZ"/>
        </w:rPr>
        <w:t xml:space="preserve">/ </w:t>
      </w:r>
      <w:r w:rsidRPr="003508D1">
        <w:rPr>
          <w:rFonts w:ascii="Simplified Arabic" w:hAnsi="Simplified Arabic" w:cs="Simplified Arabic"/>
          <w:szCs w:val="24"/>
          <w:rtl/>
        </w:rPr>
        <w:t xml:space="preserve">ذهب. </w:t>
      </w:r>
      <w:proofErr w:type="gramStart"/>
      <w:r w:rsidRPr="003508D1">
        <w:rPr>
          <w:rFonts w:ascii="Simplified Arabic" w:hAnsi="Simplified Arabic" w:cs="Simplified Arabic"/>
          <w:szCs w:val="24"/>
          <w:rtl/>
        </w:rPr>
        <w:t>تعرض</w:t>
      </w:r>
      <w:proofErr w:type="gramEnd"/>
      <w:r w:rsidRPr="003508D1">
        <w:rPr>
          <w:rFonts w:ascii="Simplified Arabic" w:hAnsi="Simplified Arabic" w:cs="Simplified Arabic"/>
          <w:szCs w:val="24"/>
          <w:rtl/>
        </w:rPr>
        <w:t xml:space="preserve"> هذه الخلية الشمسية كفاءة تحويل الطاقة بنسبة 19.12٪</w:t>
      </w:r>
      <w:proofErr w:type="gramStart"/>
      <w:r w:rsidRPr="003508D1">
        <w:rPr>
          <w:rFonts w:ascii="Simplified Arabic" w:hAnsi="Simplified Arabic" w:cs="Simplified Arabic"/>
          <w:szCs w:val="24"/>
          <w:rtl/>
        </w:rPr>
        <w:t xml:space="preserve">، </w:t>
      </w:r>
      <w:proofErr w:type="gramEnd"/>
      <w:r w:rsidRPr="003508D1">
        <w:rPr>
          <w:rFonts w:ascii="Simplified Arabic" w:hAnsi="Simplified Arabic" w:cs="Simplified Arabic"/>
          <w:szCs w:val="24"/>
          <w:rtl/>
        </w:rPr>
        <w:t xml:space="preserve">وعامل ملء بنسبة 80.53٪ ، وجهد دائرة مفتوحة بقيمة 1.14 </w:t>
      </w:r>
      <w:proofErr w:type="gramStart"/>
      <w:r w:rsidRPr="003508D1">
        <w:rPr>
          <w:rFonts w:ascii="Simplified Arabic" w:hAnsi="Simplified Arabic" w:cs="Simplified Arabic"/>
          <w:szCs w:val="24"/>
          <w:rtl/>
        </w:rPr>
        <w:t>فولت ،</w:t>
      </w:r>
      <w:proofErr w:type="gramEnd"/>
      <w:r w:rsidRPr="003508D1">
        <w:rPr>
          <w:rFonts w:ascii="Simplified Arabic" w:hAnsi="Simplified Arabic" w:cs="Simplified Arabic"/>
          <w:szCs w:val="24"/>
          <w:rtl/>
        </w:rPr>
        <w:t xml:space="preserve"> وكثافة تيار في دائرة قصر الدائرة بقيمة 20.88 مللي </w:t>
      </w:r>
      <w:proofErr w:type="gramStart"/>
      <w:r w:rsidRPr="003508D1">
        <w:rPr>
          <w:rFonts w:ascii="Simplified Arabic" w:hAnsi="Simplified Arabic" w:cs="Simplified Arabic"/>
          <w:szCs w:val="24"/>
          <w:rtl/>
        </w:rPr>
        <w:t>أمبير</w:t>
      </w:r>
      <w:proofErr w:type="gramEnd"/>
      <w:r w:rsidRPr="003508D1">
        <w:rPr>
          <w:rFonts w:ascii="Simplified Arabic" w:hAnsi="Simplified Arabic" w:cs="Simplified Arabic"/>
          <w:szCs w:val="24"/>
          <w:rtl/>
        </w:rPr>
        <w:t xml:space="preserve"> / سم²، وسمك يبلغ 0.25 </w:t>
      </w:r>
      <w:proofErr w:type="spellStart"/>
      <w:r w:rsidRPr="003508D1">
        <w:rPr>
          <w:rFonts w:ascii="Simplified Arabic" w:hAnsi="Simplified Arabic" w:cs="Simplified Arabic"/>
          <w:szCs w:val="24"/>
          <w:rtl/>
        </w:rPr>
        <w:t>ميكرومتر</w:t>
      </w:r>
      <w:proofErr w:type="spellEnd"/>
      <w:r w:rsidRPr="003508D1">
        <w:rPr>
          <w:rFonts w:ascii="Simplified Arabic" w:hAnsi="Simplified Arabic" w:cs="Simplified Arabic"/>
          <w:szCs w:val="24"/>
          <w:rtl/>
        </w:rPr>
        <w:t xml:space="preserve"> لطبقة </w:t>
      </w:r>
      <w:proofErr w:type="spellStart"/>
      <w:r w:rsidRPr="003508D1">
        <w:rPr>
          <w:rFonts w:ascii="Simplified Arabic" w:hAnsi="Simplified Arabic" w:cs="Simplified Arabic"/>
          <w:szCs w:val="24"/>
          <w:rtl/>
        </w:rPr>
        <w:t>البيروفسكيت</w:t>
      </w:r>
      <w:proofErr w:type="spellEnd"/>
      <w:r w:rsidRPr="003508D1">
        <w:rPr>
          <w:rFonts w:ascii="Simplified Arabic" w:hAnsi="Simplified Arabic" w:cs="Simplified Arabic"/>
          <w:szCs w:val="24"/>
        </w:rPr>
        <w:t xml:space="preserve"> CH3NH3PbI3 </w:t>
      </w:r>
      <w:r w:rsidRPr="003508D1">
        <w:rPr>
          <w:rFonts w:ascii="Simplified Arabic" w:hAnsi="Simplified Arabic" w:cs="Simplified Arabic"/>
          <w:szCs w:val="24"/>
          <w:rtl/>
        </w:rPr>
        <w:t xml:space="preserve">و 0.02 </w:t>
      </w:r>
      <w:proofErr w:type="spellStart"/>
      <w:r w:rsidRPr="003508D1">
        <w:rPr>
          <w:rFonts w:ascii="Simplified Arabic" w:hAnsi="Simplified Arabic" w:cs="Simplified Arabic"/>
          <w:szCs w:val="24"/>
          <w:rtl/>
        </w:rPr>
        <w:t>ميكرومتر</w:t>
      </w:r>
      <w:proofErr w:type="spellEnd"/>
      <w:r w:rsidRPr="003508D1">
        <w:rPr>
          <w:rFonts w:ascii="Simplified Arabic" w:hAnsi="Simplified Arabic" w:cs="Simplified Arabic"/>
          <w:szCs w:val="24"/>
          <w:rtl/>
        </w:rPr>
        <w:t xml:space="preserve"> لطبقة</w:t>
      </w:r>
      <w:r w:rsidRPr="003508D1">
        <w:rPr>
          <w:rFonts w:ascii="Simplified Arabic" w:hAnsi="Simplified Arabic" w:cs="Simplified Arabic"/>
          <w:szCs w:val="24"/>
        </w:rPr>
        <w:t xml:space="preserve"> TiO</w:t>
      </w:r>
      <w:r w:rsidRPr="003508D1">
        <w:rPr>
          <w:rFonts w:ascii="Simplified Arabic" w:hAnsi="Simplified Arabic" w:cs="Simplified Arabic"/>
          <w:szCs w:val="24"/>
          <w:vertAlign w:val="subscript"/>
        </w:rPr>
        <w:t>2</w:t>
      </w:r>
      <w:r>
        <w:rPr>
          <w:rFonts w:ascii="Simplified Arabic" w:hAnsi="Simplified Arabic" w:cs="Simplified Arabic"/>
          <w:szCs w:val="24"/>
          <w:vertAlign w:val="subscript"/>
        </w:rPr>
        <w:t xml:space="preserve"> </w:t>
      </w:r>
      <w:r>
        <w:rPr>
          <w:rFonts w:ascii="Simplified Arabic" w:hAnsi="Simplified Arabic" w:cs="Simplified Arabic" w:hint="cs"/>
          <w:szCs w:val="24"/>
          <w:rtl/>
          <w:lang w:bidi="ar-DZ"/>
        </w:rPr>
        <w:t>.</w:t>
      </w:r>
      <w:r w:rsidRPr="003508D1">
        <w:rPr>
          <w:rFonts w:ascii="Simplified Arabic" w:hAnsi="Simplified Arabic" w:cs="Simplified Arabic"/>
          <w:szCs w:val="24"/>
        </w:rPr>
        <w:t xml:space="preserve"> </w:t>
      </w:r>
    </w:p>
    <w:p w:rsidR="0021316A" w:rsidRPr="0013454C" w:rsidRDefault="0021316A" w:rsidP="0021316A">
      <w:pPr>
        <w:bidi/>
        <w:spacing w:line="360" w:lineRule="auto"/>
        <w:ind w:hanging="2"/>
        <w:jc w:val="both"/>
        <w:rPr>
          <w:rFonts w:cstheme="majorBidi"/>
          <w:szCs w:val="24"/>
          <w:lang w:bidi="ar-DZ"/>
        </w:rPr>
      </w:pPr>
      <w:r w:rsidRPr="00770C0D">
        <w:rPr>
          <w:rFonts w:ascii="Simplified Arabic" w:hAnsi="Simplified Arabic" w:cs="Simplified Arabic" w:hint="cs"/>
          <w:b/>
          <w:bCs/>
          <w:sz w:val="28"/>
          <w:szCs w:val="28"/>
          <w:rtl/>
          <w:lang w:val="en-US"/>
        </w:rPr>
        <w:t>الكلمات المفتاحية</w:t>
      </w:r>
      <w:r>
        <w:rPr>
          <w:rFonts w:ascii="Simplified Arabic" w:hAnsi="Simplified Arabic" w:cs="Simplified Arabic" w:hint="cs"/>
          <w:b/>
          <w:bCs/>
          <w:sz w:val="28"/>
          <w:szCs w:val="28"/>
          <w:rtl/>
          <w:lang w:bidi="ar-DZ"/>
        </w:rPr>
        <w:t xml:space="preserve">: </w:t>
      </w:r>
      <w:proofErr w:type="spellStart"/>
      <w:r w:rsidRPr="0013454C">
        <w:rPr>
          <w:rFonts w:cstheme="majorBidi"/>
          <w:szCs w:val="24"/>
          <w:lang w:bidi="ar-DZ"/>
        </w:rPr>
        <w:t>Tcad</w:t>
      </w:r>
      <w:proofErr w:type="spellEnd"/>
      <w:r w:rsidRPr="0013454C">
        <w:rPr>
          <w:rFonts w:cstheme="majorBidi"/>
          <w:szCs w:val="24"/>
          <w:lang w:bidi="ar-DZ"/>
        </w:rPr>
        <w:t xml:space="preserve"> </w:t>
      </w:r>
      <w:proofErr w:type="spellStart"/>
      <w:r w:rsidRPr="0013454C">
        <w:rPr>
          <w:rFonts w:cstheme="majorBidi"/>
          <w:szCs w:val="24"/>
          <w:lang w:bidi="ar-DZ"/>
        </w:rPr>
        <w:t>Silvaco-Matlab</w:t>
      </w:r>
      <w:proofErr w:type="spellEnd"/>
      <w:r w:rsidRPr="0013454C">
        <w:rPr>
          <w:rFonts w:cstheme="majorBidi"/>
          <w:szCs w:val="24"/>
          <w:lang w:bidi="ar-DZ"/>
        </w:rPr>
        <w:t xml:space="preserve"> Simulink</w:t>
      </w:r>
      <w:r>
        <w:rPr>
          <w:rFonts w:cstheme="majorBidi" w:hint="cs"/>
          <w:szCs w:val="24"/>
          <w:rtl/>
          <w:lang w:bidi="ar-DZ"/>
        </w:rPr>
        <w:t xml:space="preserve"> - </w:t>
      </w:r>
      <w:r w:rsidRPr="003508D1">
        <w:rPr>
          <w:rFonts w:cstheme="majorBidi"/>
          <w:szCs w:val="24"/>
          <w:rtl/>
        </w:rPr>
        <w:t>خلايا الطاقة الشمسية</w:t>
      </w:r>
      <w:r w:rsidRPr="003508D1">
        <w:rPr>
          <w:rFonts w:cstheme="majorBidi"/>
          <w:b/>
          <w:bCs/>
          <w:szCs w:val="24"/>
          <w:rtl/>
          <w:lang w:val="en-US"/>
        </w:rPr>
        <w:t>.</w:t>
      </w:r>
    </w:p>
    <w:p w:rsidR="00650DEE" w:rsidRPr="0021316A" w:rsidRDefault="00650DEE" w:rsidP="0021316A">
      <w:pPr>
        <w:bidi/>
        <w:spacing w:line="360" w:lineRule="auto"/>
        <w:jc w:val="both"/>
        <w:rPr>
          <w:sz w:val="22"/>
          <w:lang w:val="en-US"/>
        </w:rPr>
      </w:pPr>
    </w:p>
    <w:sectPr w:rsidR="00650DEE" w:rsidRPr="002131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MT">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16A"/>
    <w:rsid w:val="0021316A"/>
    <w:rsid w:val="00650DE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16A"/>
    <w:pPr>
      <w:spacing w:after="0" w:line="259" w:lineRule="auto"/>
    </w:pPr>
    <w:rPr>
      <w:rFonts w:asciiTheme="majorBidi" w:hAnsiTheme="majorBidi"/>
      <w:sz w:val="24"/>
    </w:rPr>
  </w:style>
  <w:style w:type="paragraph" w:styleId="Titre1">
    <w:name w:val="heading 1"/>
    <w:basedOn w:val="Normal"/>
    <w:link w:val="Titre1Car"/>
    <w:uiPriority w:val="9"/>
    <w:qFormat/>
    <w:rsid w:val="0021316A"/>
    <w:pPr>
      <w:spacing w:before="820" w:beforeAutospacing="1" w:after="820" w:afterAutospacing="1" w:line="240" w:lineRule="auto"/>
      <w:outlineLvl w:val="0"/>
    </w:pPr>
    <w:rPr>
      <w:rFonts w:ascii="Times New Roman" w:eastAsia="Times New Roman" w:hAnsi="Times New Roman" w:cs="Times New Roman"/>
      <w:b/>
      <w:bCs/>
      <w:kern w:val="36"/>
      <w:sz w:val="2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1316A"/>
    <w:rPr>
      <w:rFonts w:ascii="Times New Roman" w:eastAsia="Times New Roman" w:hAnsi="Times New Roman" w:cs="Times New Roman"/>
      <w:b/>
      <w:bCs/>
      <w:kern w:val="36"/>
      <w:sz w:val="28"/>
      <w:szCs w:val="48"/>
      <w:lang w:eastAsia="fr-FR"/>
    </w:rPr>
  </w:style>
  <w:style w:type="character" w:customStyle="1" w:styleId="fontstyle21">
    <w:name w:val="fontstyle21"/>
    <w:basedOn w:val="Policepardfaut"/>
    <w:rsid w:val="0021316A"/>
    <w:rPr>
      <w:rFonts w:ascii="ArialMT" w:hAnsi="ArialMT" w:hint="default"/>
      <w:b w:val="0"/>
      <w:bCs w:val="0"/>
      <w:i w:val="0"/>
      <w:iCs w:val="0"/>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16A"/>
    <w:pPr>
      <w:spacing w:after="0" w:line="259" w:lineRule="auto"/>
    </w:pPr>
    <w:rPr>
      <w:rFonts w:asciiTheme="majorBidi" w:hAnsiTheme="majorBidi"/>
      <w:sz w:val="24"/>
    </w:rPr>
  </w:style>
  <w:style w:type="paragraph" w:styleId="Titre1">
    <w:name w:val="heading 1"/>
    <w:basedOn w:val="Normal"/>
    <w:link w:val="Titre1Car"/>
    <w:uiPriority w:val="9"/>
    <w:qFormat/>
    <w:rsid w:val="0021316A"/>
    <w:pPr>
      <w:spacing w:before="820" w:beforeAutospacing="1" w:after="820" w:afterAutospacing="1" w:line="240" w:lineRule="auto"/>
      <w:outlineLvl w:val="0"/>
    </w:pPr>
    <w:rPr>
      <w:rFonts w:ascii="Times New Roman" w:eastAsia="Times New Roman" w:hAnsi="Times New Roman" w:cs="Times New Roman"/>
      <w:b/>
      <w:bCs/>
      <w:kern w:val="36"/>
      <w:sz w:val="2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1316A"/>
    <w:rPr>
      <w:rFonts w:ascii="Times New Roman" w:eastAsia="Times New Roman" w:hAnsi="Times New Roman" w:cs="Times New Roman"/>
      <w:b/>
      <w:bCs/>
      <w:kern w:val="36"/>
      <w:sz w:val="28"/>
      <w:szCs w:val="48"/>
      <w:lang w:eastAsia="fr-FR"/>
    </w:rPr>
  </w:style>
  <w:style w:type="character" w:customStyle="1" w:styleId="fontstyle21">
    <w:name w:val="fontstyle21"/>
    <w:basedOn w:val="Policepardfaut"/>
    <w:rsid w:val="0021316A"/>
    <w:rPr>
      <w:rFonts w:ascii="ArialMT" w:hAnsi="ArialMT"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881</Words>
  <Characters>4851</Characters>
  <Application>Microsoft Office Word</Application>
  <DocSecurity>0</DocSecurity>
  <Lines>40</Lines>
  <Paragraphs>11</Paragraphs>
  <ScaleCrop>false</ScaleCrop>
  <Company/>
  <LinksUpToDate>false</LinksUpToDate>
  <CharactersWithSpaces>5721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1</cp:revision>
  <dcterms:created xsi:type="dcterms:W3CDTF">2023-09-24T11:16:00Z</dcterms:created>
  <dcterms:modified xsi:type="dcterms:W3CDTF">2023-09-24T11:17:00Z</dcterms:modified>
</cp:coreProperties>
</file>