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5991" w:rsidRDefault="008A5991" w:rsidP="008A5991">
      <w:pPr>
        <w:autoSpaceDE w:val="0"/>
        <w:autoSpaceDN w:val="0"/>
        <w:adjustRightInd w:val="0"/>
        <w:ind w:firstLine="0"/>
        <w:jc w:val="both"/>
        <w:rPr>
          <w:lang w:val="fr-FR"/>
        </w:rPr>
      </w:pPr>
      <w:r>
        <w:rPr>
          <w:rFonts w:asciiTheme="majorBidi" w:hAnsiTheme="majorBidi" w:cstheme="majorBidi"/>
          <w:b/>
          <w:bCs/>
          <w:sz w:val="28"/>
          <w:szCs w:val="28"/>
          <w:lang w:val="fr-FR"/>
        </w:rPr>
        <w:t xml:space="preserve">Résumé : </w:t>
      </w:r>
      <w:r>
        <w:rPr>
          <w:lang w:val="fr-FR"/>
        </w:rPr>
        <w:t xml:space="preserve">La méthode des ondes planes augmentées linéarisées à potentiel total (FP-LAPW) basée sur la théorie fonctionnelle de la densité (DFT) est utilisée pour étudier les propriétés structurales, électroniques et magnétiques du composé BaO. Ce composé a été calculé dans différentes phases cristallines: NaCl (B1), CsCl (B2), ZB (B3), NiAs (B81) et WZ (B4) en utilisant l'approximation du gradient généralisé (GGA-PBE) et l’approximation de Becke-Johnson modifiée (mBJ-GGA-PBE) pour l'énergie et le potentiel d'échange-corrélation. Les paramètres de maille, les modules de compressibilités, leurs dérivées premières par rapport à la pression et les paramètres internes ont été calculé. La structure de bande électronique et la densité d'états montrent qu'il se produit un caractère demi-métallique et magnétique, qui peut être attribué à la présence des orbitales de type </w:t>
      </w:r>
      <w:r>
        <w:rPr>
          <w:i/>
          <w:iCs/>
          <w:lang w:val="fr-FR"/>
        </w:rPr>
        <w:t xml:space="preserve">p </w:t>
      </w:r>
      <w:r>
        <w:rPr>
          <w:lang w:val="fr-FR"/>
        </w:rPr>
        <w:t xml:space="preserve">polarisée en spin dans le composé BaO. Le composé binaire BaO présente un caractère demi-métallique, avec un moment magnétique entier de 1 </w:t>
      </w:r>
      <w:r>
        <w:rPr>
          <w:i/>
          <w:iCs/>
        </w:rPr>
        <w:t>μ</w:t>
      </w:r>
      <w:r>
        <w:rPr>
          <w:lang w:val="fr-FR"/>
        </w:rPr>
        <w:t>B par unité de formule et des gaps demi-métallique.</w:t>
      </w:r>
    </w:p>
    <w:p w:rsidR="008A5991" w:rsidRDefault="008A5991" w:rsidP="008A5991">
      <w:pPr>
        <w:autoSpaceDE w:val="0"/>
        <w:autoSpaceDN w:val="0"/>
        <w:adjustRightInd w:val="0"/>
        <w:jc w:val="both"/>
        <w:rPr>
          <w:lang w:val="fr-FR"/>
        </w:rPr>
      </w:pPr>
    </w:p>
    <w:p w:rsidR="008A5991" w:rsidRDefault="008A5991" w:rsidP="008A5991">
      <w:pPr>
        <w:autoSpaceDE w:val="0"/>
        <w:autoSpaceDN w:val="0"/>
        <w:adjustRightInd w:val="0"/>
        <w:spacing w:line="276" w:lineRule="auto"/>
        <w:rPr>
          <w:rFonts w:asciiTheme="majorBidi" w:hAnsiTheme="majorBidi" w:cstheme="majorBidi"/>
          <w:color w:val="202124"/>
          <w:lang w:val="fr-FR"/>
        </w:rPr>
      </w:pPr>
    </w:p>
    <w:p w:rsidR="008A5991" w:rsidRDefault="008A5991" w:rsidP="008A5991">
      <w:pPr>
        <w:autoSpaceDE w:val="0"/>
        <w:autoSpaceDN w:val="0"/>
        <w:adjustRightInd w:val="0"/>
        <w:spacing w:line="276" w:lineRule="auto"/>
        <w:rPr>
          <w:lang w:val="fr-FR"/>
        </w:rPr>
      </w:pPr>
      <w:r>
        <w:rPr>
          <w:b/>
          <w:bCs/>
          <w:sz w:val="28"/>
          <w:szCs w:val="28"/>
          <w:lang w:val="fr-FR"/>
        </w:rPr>
        <w:t>Mots Clés :</w:t>
      </w:r>
      <w:r>
        <w:rPr>
          <w:lang w:val="fr-FR"/>
        </w:rPr>
        <w:t xml:space="preserve"> Demi-metal, propriétés magnétiques, GGA-PBE, DFT, ferromagnétique.</w:t>
      </w:r>
    </w:p>
    <w:p w:rsidR="008A5991" w:rsidRDefault="008A5991" w:rsidP="008A5991">
      <w:pPr>
        <w:autoSpaceDE w:val="0"/>
        <w:autoSpaceDN w:val="0"/>
        <w:adjustRightInd w:val="0"/>
        <w:spacing w:line="276" w:lineRule="auto"/>
        <w:rPr>
          <w:lang w:val="fr-FR"/>
        </w:rPr>
      </w:pPr>
    </w:p>
    <w:p w:rsidR="008A5991" w:rsidRDefault="008A5991" w:rsidP="008A5991">
      <w:pPr>
        <w:autoSpaceDE w:val="0"/>
        <w:autoSpaceDN w:val="0"/>
        <w:adjustRightInd w:val="0"/>
        <w:jc w:val="both"/>
      </w:pPr>
      <w:r>
        <w:rPr>
          <w:b/>
          <w:bCs/>
          <w:sz w:val="28"/>
          <w:szCs w:val="28"/>
        </w:rPr>
        <w:t>Abstract:</w:t>
      </w:r>
      <w:r>
        <w:rPr>
          <w:b/>
          <w:bCs/>
        </w:rPr>
        <w:t xml:space="preserve"> </w:t>
      </w:r>
      <w:r>
        <w:t xml:space="preserve">First-principles full-potential linearized augmented plane-wave method (FP-LAPW) based on density functional theory (DFT) </w:t>
      </w:r>
      <w:proofErr w:type="gramStart"/>
      <w:r>
        <w:t>is</w:t>
      </w:r>
      <w:proofErr w:type="gramEnd"/>
      <w:r>
        <w:t xml:space="preserve"> used to investigate the structural, electronic and magnetic properties of BaO binary compound. This compound in different crystalline phases: NaCl (B1), CsCl (B2), ZB (B3), NiAs (B81) and WZ (B4) is</w:t>
      </w:r>
      <w:r>
        <w:rPr>
          <w:i/>
          <w:iCs/>
        </w:rPr>
        <w:t xml:space="preserve"> </w:t>
      </w:r>
      <w:r>
        <w:t xml:space="preserve"> calculated within the generalized gradient approximation (GGA-PBE) and the modified Becke-Johnson approach (mBJ-GGA-PBE) for the exchange-correlation energy and potential. We have calculated the lattice parameters, bulk moduli, their first-pressure derivatives and internal parameters. The electronic band structure and density of states show that half-metallic and magnetic character arises, which can be attributed to the presence of spin polarized </w:t>
      </w:r>
      <w:r>
        <w:rPr>
          <w:i/>
          <w:iCs/>
        </w:rPr>
        <w:t xml:space="preserve">p </w:t>
      </w:r>
      <w:r>
        <w:t xml:space="preserve">orbitals in the BaO. The BaO binary compound show half metallic character with an integer magnetic moment of 1 </w:t>
      </w:r>
      <w:r>
        <w:rPr>
          <w:i/>
          <w:iCs/>
        </w:rPr>
        <w:t>μ</w:t>
      </w:r>
      <w:r>
        <w:t>B per formula unit and half-metallic gaps.</w:t>
      </w:r>
    </w:p>
    <w:p w:rsidR="008A5991" w:rsidRDefault="008A5991" w:rsidP="008A5991">
      <w:pPr>
        <w:autoSpaceDE w:val="0"/>
        <w:autoSpaceDN w:val="0"/>
        <w:adjustRightInd w:val="0"/>
        <w:jc w:val="both"/>
      </w:pPr>
    </w:p>
    <w:p w:rsidR="008A5991" w:rsidRDefault="008A5991" w:rsidP="008A5991">
      <w:pPr>
        <w:pStyle w:val="Sansinterligne"/>
        <w:spacing w:line="276" w:lineRule="auto"/>
        <w:jc w:val="both"/>
        <w:rPr>
          <w:rFonts w:ascii="Cambria" w:hAnsi="Cambria" w:cs="Cambria"/>
        </w:rPr>
      </w:pPr>
      <w:r>
        <w:rPr>
          <w:rFonts w:asciiTheme="majorBidi" w:hAnsiTheme="majorBidi" w:cstheme="majorBidi"/>
          <w:b/>
          <w:bCs/>
          <w:sz w:val="28"/>
          <w:szCs w:val="28"/>
        </w:rPr>
        <w:t>Keys Words:</w:t>
      </w:r>
      <w:r>
        <w:rPr>
          <w:rFonts w:asciiTheme="majorBidi" w:hAnsiTheme="majorBidi" w:cstheme="majorBidi"/>
          <w:b/>
          <w:bCs/>
        </w:rPr>
        <w:t xml:space="preserve"> </w:t>
      </w:r>
      <w:r>
        <w:rPr>
          <w:rFonts w:asciiTheme="majorBidi" w:hAnsiTheme="majorBidi" w:cstheme="majorBidi"/>
        </w:rPr>
        <w:t>Half-metallicity</w:t>
      </w:r>
      <w:r>
        <w:rPr>
          <w:rFonts w:asciiTheme="majorBidi" w:hAnsiTheme="majorBidi" w:cstheme="majorBidi"/>
          <w:b/>
          <w:bCs/>
        </w:rPr>
        <w:t xml:space="preserve">, </w:t>
      </w:r>
      <w:r>
        <w:rPr>
          <w:rFonts w:asciiTheme="majorBidi" w:hAnsiTheme="majorBidi" w:cstheme="majorBidi"/>
        </w:rPr>
        <w:t>magnetic properties, GGA-PBE, DFT, ferromagnet.</w:t>
      </w:r>
    </w:p>
    <w:p w:rsidR="008A5991" w:rsidRDefault="008A5991" w:rsidP="008A5991">
      <w:pPr>
        <w:autoSpaceDE w:val="0"/>
        <w:autoSpaceDN w:val="0"/>
        <w:adjustRightInd w:val="0"/>
        <w:rPr>
          <w:rFonts w:ascii="Cambria" w:hAnsi="Cambria" w:cs="Cambria"/>
        </w:rPr>
      </w:pPr>
    </w:p>
    <w:p w:rsidR="008A5991" w:rsidRDefault="008A5991" w:rsidP="008A5991">
      <w:pPr>
        <w:pStyle w:val="Textemmoire"/>
        <w:ind w:firstLine="0"/>
        <w:rPr>
          <w:rFonts w:ascii="Rockwell Extra Bold" w:hAnsi="Rockwell Extra Bold" w:cs="Aharoni"/>
          <w:bCs/>
          <w:lang w:val="en-US"/>
        </w:rPr>
      </w:pPr>
    </w:p>
    <w:p w:rsidR="008A5991" w:rsidRDefault="008A5991" w:rsidP="008A5991">
      <w:pPr>
        <w:pStyle w:val="PrformatHTML"/>
        <w:shd w:val="clear" w:color="auto" w:fill="F8F9FA"/>
        <w:bidi/>
        <w:jc w:val="both"/>
        <w:rPr>
          <w:rFonts w:ascii="Times New Roman" w:hAnsi="Times New Roman" w:cs="Times New Roman"/>
          <w:color w:val="202124"/>
          <w:sz w:val="24"/>
          <w:szCs w:val="24"/>
        </w:rPr>
      </w:pPr>
      <w:r>
        <w:rPr>
          <w:rFonts w:asciiTheme="majorHAnsi" w:hAnsiTheme="majorHAnsi" w:cstheme="majorBidi"/>
          <w:b/>
          <w:bCs/>
          <w:sz w:val="28"/>
          <w:szCs w:val="28"/>
          <w:rtl/>
          <w:lang w:bidi="ar-DZ"/>
        </w:rPr>
        <w:t>ملخص :</w:t>
      </w:r>
      <w:r>
        <w:rPr>
          <w:rFonts w:asciiTheme="majorHAnsi" w:hAnsiTheme="majorHAnsi" w:cstheme="majorBidi"/>
          <w:sz w:val="24"/>
          <w:szCs w:val="24"/>
          <w:rtl/>
          <w:lang w:bidi="ar-DZ"/>
        </w:rPr>
        <w:t xml:space="preserve"> </w:t>
      </w:r>
      <w:r>
        <w:rPr>
          <w:rFonts w:ascii="Times New Roman" w:hAnsi="Times New Roman" w:cs="Times New Roman"/>
          <w:color w:val="202124"/>
          <w:sz w:val="24"/>
          <w:szCs w:val="24"/>
          <w:rtl/>
        </w:rPr>
        <w:t xml:space="preserve">تستخدم المبادئ الأولى وذلك باستخدام طريقة الموجات المستوية المعدلة الخطية لجهد تام (FP-LAPW) المبنية على نظرية الكثافة الوظيفية (DFT) WIEN2K) نائية RaBi, يتم حساب مركب </w:t>
      </w:r>
      <w:r>
        <w:rPr>
          <w:rFonts w:ascii="Times New Roman" w:hAnsi="Times New Roman" w:cs="Times New Roman"/>
          <w:color w:val="202124"/>
          <w:sz w:val="24"/>
          <w:szCs w:val="24"/>
        </w:rPr>
        <w:t>BaO</w:t>
      </w:r>
      <w:r>
        <w:rPr>
          <w:rFonts w:ascii="Times New Roman" w:hAnsi="Times New Roman" w:cs="Times New Roman"/>
          <w:color w:val="202124"/>
          <w:sz w:val="24"/>
          <w:szCs w:val="24"/>
          <w:rtl/>
        </w:rPr>
        <w:t xml:space="preserve"> في مراحل بلورية مختلفة :NaCl (B1), CsCl (B2), ZB (B3), NiAs (B81), WZ ن خلال حساب ثابت الشبكة و معاملات الانضغاطية ومشتقاتها وحساب الحجم لكل تركيب الذي تتكون عنده كل بلورة. ومن ثم استخدمنا أسلوب نهج باك جونسون المعدل (mBJ-GGA-PBE) لحساب مستويات الطاقة وتحديد فجوة الطاقة. </w:t>
      </w:r>
      <w:proofErr w:type="gramStart"/>
      <w:r>
        <w:rPr>
          <w:rFonts w:ascii="Times New Roman" w:hAnsi="Times New Roman" w:cs="Times New Roman"/>
          <w:color w:val="202124"/>
          <w:sz w:val="24"/>
          <w:szCs w:val="24"/>
          <w:rtl/>
        </w:rPr>
        <w:t>مما</w:t>
      </w:r>
      <w:proofErr w:type="gramEnd"/>
      <w:r>
        <w:rPr>
          <w:rFonts w:ascii="Times New Roman" w:hAnsi="Times New Roman" w:cs="Times New Roman"/>
          <w:color w:val="202124"/>
          <w:sz w:val="24"/>
          <w:szCs w:val="24"/>
          <w:rtl/>
        </w:rPr>
        <w:t xml:space="preserve"> يمكن أن يعزى ذلك إلى وجود مدارين مستقطبين للدوران في النتروجين. </w:t>
      </w:r>
      <w:proofErr w:type="gramStart"/>
      <w:r>
        <w:rPr>
          <w:rFonts w:ascii="Times New Roman" w:hAnsi="Times New Roman" w:cs="Times New Roman"/>
          <w:color w:val="202124"/>
          <w:sz w:val="24"/>
          <w:szCs w:val="24"/>
          <w:rtl/>
        </w:rPr>
        <w:t>يظهِر</w:t>
      </w:r>
      <w:proofErr w:type="gramEnd"/>
      <w:r>
        <w:rPr>
          <w:rFonts w:ascii="Times New Roman" w:hAnsi="Times New Roman" w:cs="Times New Roman"/>
          <w:color w:val="202124"/>
          <w:sz w:val="24"/>
          <w:szCs w:val="24"/>
          <w:rtl/>
        </w:rPr>
        <w:t xml:space="preserve"> المركب الثنائي </w:t>
      </w:r>
      <w:r>
        <w:rPr>
          <w:rFonts w:ascii="Times New Roman" w:hAnsi="Times New Roman" w:cs="Times New Roman"/>
          <w:color w:val="202124"/>
          <w:sz w:val="24"/>
          <w:szCs w:val="24"/>
        </w:rPr>
        <w:t>BaO</w:t>
      </w:r>
      <w:r>
        <w:rPr>
          <w:rFonts w:ascii="Times New Roman" w:hAnsi="Times New Roman" w:cs="Times New Roman"/>
          <w:color w:val="202124"/>
          <w:sz w:val="24"/>
          <w:szCs w:val="24"/>
          <w:rtl/>
        </w:rPr>
        <w:t xml:space="preserve"> </w:t>
      </w:r>
      <w:r>
        <w:rPr>
          <w:rStyle w:val="y2iqfc"/>
          <w:rFonts w:ascii="Times New Roman" w:hAnsi="Times New Roman" w:cs="Times New Roman"/>
          <w:color w:val="202124"/>
          <w:sz w:val="24"/>
          <w:szCs w:val="24"/>
          <w:rtl/>
        </w:rPr>
        <w:t>طابع شبه معدني بلحظة مغناطيسية صحيحة قدرها (</w:t>
      </w:r>
      <w:r>
        <w:rPr>
          <w:rFonts w:ascii="Times New Roman" w:hAnsi="Times New Roman" w:cs="Times New Roman"/>
          <w:sz w:val="24"/>
          <w:szCs w:val="24"/>
        </w:rPr>
        <w:t xml:space="preserve">1 </w:t>
      </w:r>
      <w:r>
        <w:rPr>
          <w:rFonts w:ascii="Times New Roman" w:hAnsi="Times New Roman" w:cs="Times New Roman"/>
          <w:i/>
          <w:iCs/>
          <w:sz w:val="24"/>
          <w:szCs w:val="24"/>
        </w:rPr>
        <w:t>μ</w:t>
      </w:r>
      <w:r>
        <w:rPr>
          <w:rFonts w:ascii="Times New Roman" w:hAnsi="Times New Roman" w:cs="Times New Roman"/>
          <w:sz w:val="24"/>
          <w:szCs w:val="24"/>
        </w:rPr>
        <w:t>B</w:t>
      </w:r>
      <w:r>
        <w:rPr>
          <w:rStyle w:val="y2iqfc"/>
          <w:rFonts w:ascii="Times New Roman" w:hAnsi="Times New Roman" w:cs="Times New Roman"/>
          <w:color w:val="202124"/>
          <w:sz w:val="24"/>
          <w:szCs w:val="24"/>
          <w:rtl/>
        </w:rPr>
        <w:t>) لكل وحدة صيغة وفجوة طاقة نصف معدنية.</w:t>
      </w:r>
    </w:p>
    <w:p w:rsidR="008A5991" w:rsidRDefault="008A5991" w:rsidP="008A5991">
      <w:pPr>
        <w:pStyle w:val="Sansinterligne"/>
        <w:bidi/>
        <w:spacing w:line="276" w:lineRule="auto"/>
        <w:jc w:val="both"/>
        <w:rPr>
          <w:rFonts w:asciiTheme="majorHAnsi" w:hAnsiTheme="majorHAnsi" w:cstheme="majorBidi"/>
          <w:sz w:val="24"/>
          <w:szCs w:val="24"/>
          <w:lang w:bidi="ar-DZ"/>
        </w:rPr>
      </w:pPr>
    </w:p>
    <w:p w:rsidR="008A5991" w:rsidRDefault="008A5991" w:rsidP="008A5991">
      <w:pPr>
        <w:pStyle w:val="Sansinterligne"/>
        <w:bidi/>
        <w:spacing w:line="276" w:lineRule="auto"/>
        <w:jc w:val="both"/>
        <w:rPr>
          <w:rFonts w:asciiTheme="majorHAnsi" w:hAnsiTheme="majorHAnsi" w:cstheme="majorBidi"/>
          <w:sz w:val="24"/>
          <w:szCs w:val="24"/>
          <w:rtl/>
          <w:lang w:bidi="ar-DZ"/>
        </w:rPr>
      </w:pPr>
    </w:p>
    <w:p w:rsidR="008A5991" w:rsidRDefault="008A5991" w:rsidP="008A5991">
      <w:pPr>
        <w:pStyle w:val="Sansinterligne"/>
        <w:bidi/>
        <w:spacing w:line="276" w:lineRule="auto"/>
        <w:jc w:val="both"/>
        <w:rPr>
          <w:rFonts w:asciiTheme="majorHAnsi" w:hAnsiTheme="majorHAnsi" w:cstheme="majorBidi"/>
          <w:sz w:val="24"/>
          <w:szCs w:val="24"/>
          <w:lang w:bidi="ar-DZ"/>
        </w:rPr>
      </w:pPr>
      <w:r>
        <w:rPr>
          <w:rFonts w:asciiTheme="majorHAnsi" w:hAnsiTheme="majorHAnsi" w:cstheme="majorBidi"/>
          <w:b/>
          <w:bCs/>
          <w:sz w:val="28"/>
          <w:szCs w:val="28"/>
          <w:rtl/>
          <w:lang w:bidi="ar-DZ"/>
        </w:rPr>
        <w:t>الكلمات المفتاحية</w:t>
      </w:r>
      <w:r>
        <w:rPr>
          <w:rFonts w:asciiTheme="majorHAnsi" w:hAnsiTheme="majorHAnsi" w:cstheme="majorBidi"/>
          <w:sz w:val="28"/>
          <w:szCs w:val="28"/>
          <w:rtl/>
          <w:lang w:bidi="ar-DZ"/>
        </w:rPr>
        <w:t xml:space="preserve"> :</w:t>
      </w:r>
      <w:r>
        <w:rPr>
          <w:rFonts w:asciiTheme="majorHAnsi" w:hAnsiTheme="majorHAnsi" w:cstheme="majorBidi"/>
          <w:sz w:val="24"/>
          <w:szCs w:val="24"/>
          <w:rtl/>
          <w:lang w:bidi="ar-DZ"/>
        </w:rPr>
        <w:t xml:space="preserve"> نصف معدني – الخصائص المغناطيسية - </w:t>
      </w:r>
      <w:r>
        <w:rPr>
          <w:rFonts w:asciiTheme="majorHAnsi" w:hAnsiTheme="majorHAnsi" w:cstheme="majorBidi"/>
          <w:sz w:val="24"/>
          <w:szCs w:val="24"/>
          <w:lang w:bidi="ar-DZ"/>
        </w:rPr>
        <w:t xml:space="preserve">DFT </w:t>
      </w:r>
      <w:r>
        <w:rPr>
          <w:rFonts w:asciiTheme="majorHAnsi" w:hAnsiTheme="majorHAnsi" w:cstheme="majorBidi"/>
          <w:sz w:val="24"/>
          <w:szCs w:val="24"/>
          <w:rtl/>
          <w:lang w:bidi="ar-DZ"/>
        </w:rPr>
        <w:t xml:space="preserve">- </w:t>
      </w:r>
      <w:r>
        <w:rPr>
          <w:rFonts w:asciiTheme="majorHAnsi" w:hAnsiTheme="majorHAnsi" w:cstheme="majorBidi"/>
          <w:sz w:val="24"/>
          <w:szCs w:val="24"/>
          <w:lang w:bidi="ar-DZ"/>
        </w:rPr>
        <w:t>PBE-GGA</w:t>
      </w:r>
      <w:r>
        <w:rPr>
          <w:rFonts w:asciiTheme="majorHAnsi" w:hAnsiTheme="majorHAnsi" w:cstheme="majorBidi"/>
          <w:sz w:val="24"/>
          <w:szCs w:val="24"/>
          <w:rtl/>
          <w:lang w:bidi="ar-DZ"/>
        </w:rPr>
        <w:t>- فرو مغناطيسي</w:t>
      </w:r>
      <w:r>
        <w:rPr>
          <w:rFonts w:asciiTheme="majorHAnsi" w:hAnsiTheme="majorHAnsi" w:cstheme="majorBidi"/>
          <w:sz w:val="24"/>
          <w:szCs w:val="24"/>
          <w:lang w:bidi="ar-DZ"/>
        </w:rPr>
        <w:t xml:space="preserve"> </w:t>
      </w:r>
    </w:p>
    <w:p w:rsidR="008A5991" w:rsidRDefault="008A5991" w:rsidP="008A5991">
      <w:pPr>
        <w:spacing w:line="276" w:lineRule="auto"/>
        <w:ind w:firstLine="0"/>
        <w:rPr>
          <w:rFonts w:asciiTheme="majorHAnsi" w:hAnsiTheme="majorHAnsi" w:cstheme="majorBidi"/>
          <w:sz w:val="24"/>
          <w:szCs w:val="24"/>
          <w:lang w:bidi="ar-DZ"/>
        </w:rPr>
        <w:sectPr w:rsidR="008A5991">
          <w:pgSz w:w="11906" w:h="16838"/>
          <w:pgMar w:top="1417" w:right="1417" w:bottom="1417" w:left="1417" w:header="142" w:footer="794" w:gutter="284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pgNumType w:fmt="lowerRoman"/>
          <w:cols w:space="720"/>
        </w:sectPr>
      </w:pPr>
    </w:p>
    <w:p w:rsidR="00AE2E75" w:rsidRDefault="00AE2E75"/>
    <w:sectPr w:rsidR="00AE2E75" w:rsidSect="00AE2E7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Rockwell Extra Bold">
    <w:altName w:val="Lucida Fax"/>
    <w:panose1 w:val="02060903040505020403"/>
    <w:charset w:val="00"/>
    <w:family w:val="roman"/>
    <w:pitch w:val="variable"/>
    <w:sig w:usb0="00000003" w:usb1="00000000" w:usb2="00000000" w:usb3="00000000" w:csb0="00000001" w:csb1="00000000"/>
  </w:font>
  <w:font w:name="Aharoni">
    <w:panose1 w:val="02010803020104030203"/>
    <w:charset w:val="00"/>
    <w:family w:val="auto"/>
    <w:pitch w:val="variable"/>
    <w:sig w:usb0="00000803" w:usb1="00000000" w:usb2="00000000" w:usb3="00000000" w:csb0="0000002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73A25"/>
    <w:rsid w:val="00517EB2"/>
    <w:rsid w:val="008A5991"/>
    <w:rsid w:val="00973A25"/>
    <w:rsid w:val="00AE2E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A5991"/>
    <w:pPr>
      <w:spacing w:after="0" w:line="240" w:lineRule="auto"/>
      <w:ind w:firstLine="360"/>
    </w:pPr>
    <w:rPr>
      <w:rFonts w:eastAsiaTheme="minorEastAsia"/>
      <w:lang w:val="en-US" w:bidi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rformatHTML">
    <w:name w:val="HTML Preformatted"/>
    <w:basedOn w:val="Normal"/>
    <w:link w:val="PrformatHTMLCar"/>
    <w:uiPriority w:val="99"/>
    <w:semiHidden/>
    <w:unhideWhenUsed/>
    <w:rsid w:val="008A599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ind w:firstLine="0"/>
    </w:pPr>
    <w:rPr>
      <w:rFonts w:ascii="Courier New" w:eastAsia="Times New Roman" w:hAnsi="Courier New" w:cs="Courier New"/>
      <w:sz w:val="20"/>
      <w:szCs w:val="20"/>
      <w:lang w:bidi="ar-SA"/>
    </w:rPr>
  </w:style>
  <w:style w:type="character" w:customStyle="1" w:styleId="PrformatHTMLCar">
    <w:name w:val="Préformaté HTML Car"/>
    <w:basedOn w:val="Policepardfaut"/>
    <w:link w:val="PrformatHTML"/>
    <w:uiPriority w:val="99"/>
    <w:semiHidden/>
    <w:rsid w:val="008A5991"/>
    <w:rPr>
      <w:rFonts w:ascii="Courier New" w:eastAsia="Times New Roman" w:hAnsi="Courier New" w:cs="Courier New"/>
      <w:sz w:val="20"/>
      <w:szCs w:val="20"/>
      <w:lang w:val="en-US"/>
    </w:rPr>
  </w:style>
  <w:style w:type="character" w:customStyle="1" w:styleId="SansinterligneCar">
    <w:name w:val="Sans interligne Car"/>
    <w:basedOn w:val="Policepardfaut"/>
    <w:link w:val="Sansinterligne"/>
    <w:uiPriority w:val="1"/>
    <w:locked/>
    <w:rsid w:val="008A5991"/>
    <w:rPr>
      <w:rFonts w:ascii="Times New Roman" w:eastAsiaTheme="minorEastAsia" w:hAnsi="Times New Roman" w:cs="Times New Roman"/>
      <w:lang w:val="en-US" w:bidi="en-US"/>
    </w:rPr>
  </w:style>
  <w:style w:type="paragraph" w:styleId="Sansinterligne">
    <w:name w:val="No Spacing"/>
    <w:basedOn w:val="Normal"/>
    <w:link w:val="SansinterligneCar"/>
    <w:uiPriority w:val="1"/>
    <w:qFormat/>
    <w:rsid w:val="008A5991"/>
    <w:pPr>
      <w:ind w:firstLine="0"/>
    </w:pPr>
    <w:rPr>
      <w:rFonts w:ascii="Times New Roman" w:hAnsi="Times New Roman" w:cs="Times New Roman"/>
    </w:rPr>
  </w:style>
  <w:style w:type="paragraph" w:customStyle="1" w:styleId="Textemmoire">
    <w:name w:val="Texte mémoire"/>
    <w:rsid w:val="008A5991"/>
    <w:pPr>
      <w:spacing w:after="120" w:line="360" w:lineRule="auto"/>
      <w:ind w:firstLine="709"/>
      <w:jc w:val="both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y2iqfc">
    <w:name w:val="y2iqfc"/>
    <w:basedOn w:val="Policepardfaut"/>
    <w:rsid w:val="008A599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4126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444</Words>
  <Characters>2448</Characters>
  <Application>Microsoft Office Word</Application>
  <DocSecurity>0</DocSecurity>
  <Lines>20</Lines>
  <Paragraphs>5</Paragraphs>
  <ScaleCrop>false</ScaleCrop>
  <Company/>
  <LinksUpToDate>false</LinksUpToDate>
  <CharactersWithSpaces>2887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</dc:creator>
  <cp:lastModifiedBy>H</cp:lastModifiedBy>
  <cp:revision>2</cp:revision>
  <dcterms:created xsi:type="dcterms:W3CDTF">2023-03-05T12:36:00Z</dcterms:created>
  <dcterms:modified xsi:type="dcterms:W3CDTF">2023-06-25T11:20:00Z</dcterms:modified>
</cp:coreProperties>
</file>