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4CA" w:rsidRPr="00E05C56" w:rsidRDefault="00D4499E" w:rsidP="00E05C56">
      <w:pPr>
        <w:spacing w:after="0" w:line="360" w:lineRule="auto"/>
        <w:ind w:firstLine="426"/>
        <w:jc w:val="center"/>
        <w:rPr>
          <w:rFonts w:asciiTheme="majorBidi" w:hAnsiTheme="majorBidi" w:cstheme="majorBidi"/>
          <w:b/>
          <w:bCs/>
          <w:sz w:val="24"/>
          <w:szCs w:val="24"/>
        </w:rPr>
      </w:pPr>
      <w:r w:rsidRPr="00E05C56">
        <w:rPr>
          <w:rFonts w:asciiTheme="majorBidi" w:hAnsiTheme="majorBidi" w:cstheme="majorBidi"/>
          <w:b/>
          <w:bCs/>
          <w:sz w:val="32"/>
          <w:szCs w:val="32"/>
        </w:rPr>
        <w:t>Conclusion</w:t>
      </w:r>
    </w:p>
    <w:p w:rsidR="00D4499E" w:rsidRPr="00E05C56" w:rsidRDefault="00D4499E" w:rsidP="00E05C56">
      <w:pPr>
        <w:spacing w:after="0" w:line="360" w:lineRule="auto"/>
        <w:ind w:firstLine="426"/>
        <w:jc w:val="both"/>
        <w:rPr>
          <w:rFonts w:asciiTheme="majorBidi" w:hAnsiTheme="majorBidi" w:cstheme="majorBidi"/>
          <w:sz w:val="24"/>
          <w:szCs w:val="24"/>
        </w:rPr>
      </w:pPr>
    </w:p>
    <w:p w:rsidR="00D4499E" w:rsidRPr="00E05C56" w:rsidRDefault="00D4499E" w:rsidP="00E05C56">
      <w:pPr>
        <w:spacing w:after="0" w:line="360" w:lineRule="auto"/>
        <w:ind w:firstLine="426"/>
        <w:jc w:val="both"/>
        <w:rPr>
          <w:rFonts w:asciiTheme="majorBidi" w:hAnsiTheme="majorBidi" w:cstheme="majorBidi"/>
          <w:sz w:val="24"/>
          <w:szCs w:val="24"/>
        </w:rPr>
      </w:pPr>
      <w:r w:rsidRPr="00E05C56">
        <w:rPr>
          <w:rFonts w:asciiTheme="majorBidi" w:hAnsiTheme="majorBidi" w:cstheme="majorBidi"/>
          <w:sz w:val="24"/>
          <w:szCs w:val="24"/>
        </w:rPr>
        <w:t>La présente étude a permis d’apporter une mises en évidence de la croissance et la survie des souches bénéfiques (</w:t>
      </w:r>
      <w:r w:rsidRPr="00E05C56">
        <w:rPr>
          <w:rFonts w:asciiTheme="majorBidi" w:hAnsiTheme="majorBidi" w:cstheme="majorBidi"/>
          <w:i/>
          <w:iCs/>
          <w:sz w:val="24"/>
          <w:szCs w:val="24"/>
        </w:rPr>
        <w:t>Bifidobacterium</w:t>
      </w:r>
      <w:r w:rsidRPr="00E05C56">
        <w:rPr>
          <w:rFonts w:asciiTheme="majorBidi" w:hAnsiTheme="majorBidi" w:cstheme="majorBidi"/>
          <w:sz w:val="24"/>
          <w:szCs w:val="24"/>
        </w:rPr>
        <w:t xml:space="preserve"> </w:t>
      </w:r>
      <w:r w:rsidRPr="00E05C56">
        <w:rPr>
          <w:rFonts w:asciiTheme="majorBidi" w:hAnsiTheme="majorBidi" w:cstheme="majorBidi"/>
          <w:i/>
          <w:iCs/>
          <w:sz w:val="24"/>
          <w:szCs w:val="24"/>
        </w:rPr>
        <w:t>longum</w:t>
      </w:r>
      <w:r w:rsidRPr="00E05C56">
        <w:rPr>
          <w:rFonts w:asciiTheme="majorBidi" w:hAnsiTheme="majorBidi" w:cstheme="majorBidi"/>
          <w:sz w:val="24"/>
          <w:szCs w:val="24"/>
        </w:rPr>
        <w:t xml:space="preserve"> BLR, </w:t>
      </w:r>
      <w:r w:rsidRPr="00E05C56">
        <w:rPr>
          <w:rFonts w:asciiTheme="majorBidi" w:hAnsiTheme="majorBidi" w:cstheme="majorBidi"/>
          <w:i/>
          <w:iCs/>
          <w:sz w:val="24"/>
          <w:szCs w:val="24"/>
        </w:rPr>
        <w:t>Lactobacillus rhamnosus</w:t>
      </w:r>
      <w:r w:rsidRPr="00E05C56">
        <w:rPr>
          <w:rFonts w:asciiTheme="majorBidi" w:hAnsiTheme="majorBidi" w:cstheme="majorBidi"/>
          <w:sz w:val="24"/>
          <w:szCs w:val="24"/>
        </w:rPr>
        <w:t xml:space="preserve"> LbRE-LSAS, </w:t>
      </w:r>
      <w:r w:rsidRPr="00E05C56">
        <w:rPr>
          <w:rFonts w:asciiTheme="majorBidi" w:hAnsiTheme="majorBidi" w:cstheme="majorBidi"/>
          <w:i/>
          <w:iCs/>
          <w:sz w:val="24"/>
          <w:szCs w:val="24"/>
        </w:rPr>
        <w:t>Bifidobacterium</w:t>
      </w:r>
      <w:r w:rsidRPr="00E05C56">
        <w:rPr>
          <w:rFonts w:asciiTheme="majorBidi" w:hAnsiTheme="majorBidi" w:cstheme="majorBidi"/>
          <w:sz w:val="24"/>
          <w:szCs w:val="24"/>
        </w:rPr>
        <w:t xml:space="preserve"> </w:t>
      </w:r>
      <w:r w:rsidRPr="00E05C56">
        <w:rPr>
          <w:rFonts w:asciiTheme="majorBidi" w:hAnsiTheme="majorBidi" w:cstheme="majorBidi"/>
          <w:i/>
          <w:iCs/>
          <w:sz w:val="24"/>
          <w:szCs w:val="24"/>
        </w:rPr>
        <w:t>animalis</w:t>
      </w:r>
      <w:r w:rsidRPr="00E05C56">
        <w:rPr>
          <w:rFonts w:asciiTheme="majorBidi" w:hAnsiTheme="majorBidi" w:cstheme="majorBidi"/>
          <w:sz w:val="24"/>
          <w:szCs w:val="24"/>
        </w:rPr>
        <w:t xml:space="preserve"> ssp </w:t>
      </w:r>
      <w:r w:rsidRPr="00E05C56">
        <w:rPr>
          <w:rFonts w:asciiTheme="majorBidi" w:hAnsiTheme="majorBidi" w:cstheme="majorBidi"/>
          <w:i/>
          <w:iCs/>
          <w:sz w:val="24"/>
          <w:szCs w:val="24"/>
        </w:rPr>
        <w:t>lactis</w:t>
      </w:r>
      <w:r w:rsidRPr="00E05C56">
        <w:rPr>
          <w:rFonts w:asciiTheme="majorBidi" w:hAnsiTheme="majorBidi" w:cstheme="majorBidi"/>
          <w:sz w:val="24"/>
          <w:szCs w:val="24"/>
        </w:rPr>
        <w:t xml:space="preserve"> Bb12, </w:t>
      </w:r>
      <w:r w:rsidRPr="00E05C56">
        <w:rPr>
          <w:rFonts w:asciiTheme="majorBidi" w:hAnsiTheme="majorBidi" w:cstheme="majorBidi"/>
          <w:i/>
          <w:iCs/>
          <w:sz w:val="24"/>
          <w:szCs w:val="24"/>
        </w:rPr>
        <w:t>Lactobacillus</w:t>
      </w:r>
      <w:r w:rsidRPr="00E05C56">
        <w:rPr>
          <w:rFonts w:asciiTheme="majorBidi" w:hAnsiTheme="majorBidi" w:cstheme="majorBidi"/>
          <w:sz w:val="24"/>
          <w:szCs w:val="24"/>
        </w:rPr>
        <w:t xml:space="preserve"> </w:t>
      </w:r>
      <w:r w:rsidRPr="00E05C56">
        <w:rPr>
          <w:rFonts w:asciiTheme="majorBidi" w:hAnsiTheme="majorBidi" w:cstheme="majorBidi"/>
          <w:i/>
          <w:iCs/>
          <w:sz w:val="24"/>
          <w:szCs w:val="24"/>
        </w:rPr>
        <w:t>acidophilus</w:t>
      </w:r>
      <w:r w:rsidRPr="00E05C56">
        <w:rPr>
          <w:rFonts w:asciiTheme="majorBidi" w:hAnsiTheme="majorBidi" w:cstheme="majorBidi"/>
          <w:sz w:val="24"/>
          <w:szCs w:val="24"/>
        </w:rPr>
        <w:t xml:space="preserve"> Lba CECT4529 et </w:t>
      </w:r>
      <w:r w:rsidRPr="00E05C56">
        <w:rPr>
          <w:rFonts w:asciiTheme="majorBidi" w:hAnsiTheme="majorBidi" w:cstheme="majorBidi"/>
          <w:i/>
          <w:iCs/>
          <w:sz w:val="24"/>
          <w:szCs w:val="24"/>
        </w:rPr>
        <w:t>Lactobacillus</w:t>
      </w:r>
      <w:r w:rsidRPr="00E05C56">
        <w:rPr>
          <w:rFonts w:asciiTheme="majorBidi" w:hAnsiTheme="majorBidi" w:cstheme="majorBidi"/>
          <w:sz w:val="24"/>
          <w:szCs w:val="24"/>
        </w:rPr>
        <w:t xml:space="preserve"> </w:t>
      </w:r>
      <w:r w:rsidRPr="00E05C56">
        <w:rPr>
          <w:rFonts w:asciiTheme="majorBidi" w:hAnsiTheme="majorBidi" w:cstheme="majorBidi"/>
          <w:i/>
          <w:iCs/>
          <w:sz w:val="24"/>
          <w:szCs w:val="24"/>
        </w:rPr>
        <w:t>plantarum</w:t>
      </w:r>
      <w:r w:rsidRPr="00E05C56">
        <w:rPr>
          <w:rFonts w:asciiTheme="majorBidi" w:hAnsiTheme="majorBidi" w:cstheme="majorBidi"/>
          <w:sz w:val="24"/>
          <w:szCs w:val="24"/>
        </w:rPr>
        <w:t xml:space="preserve"> Lbp CECT748) en présence des différents ingrédients protéiques comme le lactosérum doux, le Promilk 852A2, le Promilk C502 et l’hydrolysat de caséine.</w:t>
      </w:r>
    </w:p>
    <w:p w:rsidR="00D4499E" w:rsidRPr="00E05C56" w:rsidRDefault="00D4499E" w:rsidP="00E05C56">
      <w:pPr>
        <w:spacing w:after="0" w:line="360" w:lineRule="auto"/>
        <w:ind w:firstLine="426"/>
        <w:jc w:val="both"/>
        <w:rPr>
          <w:rFonts w:asciiTheme="majorBidi" w:hAnsiTheme="majorBidi" w:cstheme="majorBidi"/>
          <w:sz w:val="24"/>
          <w:szCs w:val="24"/>
        </w:rPr>
      </w:pP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La biomasse produite par les cinq souches bénéfiques BLR, LbRE-LSAS, Bb12, Lba CECT4529 et Lbp CECT748 en présence de lactosérum doux est significativement (P&lt;0.05) améliorée par rapport au témoin (8.47 à 13.89%) et varie de 10.08 à 10.62 log UFC/ml avec des vitesses spécifiques maximales de croissance et des temps de coagulation respectifs variables de 1.81 à 2.16 h</w:t>
      </w:r>
      <w:r w:rsidRPr="00E05C56">
        <w:rPr>
          <w:rFonts w:asciiTheme="majorBidi" w:hAnsiTheme="majorBidi" w:cstheme="majorBidi"/>
          <w:sz w:val="24"/>
          <w:szCs w:val="24"/>
          <w:vertAlign w:val="superscript"/>
        </w:rPr>
        <w:t>-1</w:t>
      </w:r>
      <w:r w:rsidRPr="00E05C56">
        <w:rPr>
          <w:rFonts w:asciiTheme="majorBidi" w:hAnsiTheme="majorBidi" w:cstheme="majorBidi"/>
          <w:sz w:val="24"/>
          <w:szCs w:val="24"/>
        </w:rPr>
        <w:t xml:space="preserve"> et de 0.31 à 0.37 h, avec un temps de fermentation significativement (P&lt;0.05) réduit de 1h34 à 2h24 min par rapport au témoin (66.58 à 74.52%).</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 xml:space="preserve">Le lactosérum doux stimule à la fois la croissance des souches bénéfiques et celle de la bactérie lactique </w:t>
      </w:r>
      <w:r w:rsidRPr="00E05C56">
        <w:rPr>
          <w:rFonts w:asciiTheme="majorBidi" w:hAnsiTheme="majorBidi" w:cstheme="majorBidi"/>
          <w:i/>
          <w:iCs/>
          <w:sz w:val="24"/>
          <w:szCs w:val="24"/>
        </w:rPr>
        <w:t>Streptococcus</w:t>
      </w:r>
      <w:r w:rsidRPr="00E05C56">
        <w:rPr>
          <w:rFonts w:asciiTheme="majorBidi" w:hAnsiTheme="majorBidi" w:cstheme="majorBidi"/>
          <w:sz w:val="24"/>
          <w:szCs w:val="24"/>
        </w:rPr>
        <w:t xml:space="preserve"> </w:t>
      </w:r>
      <w:r w:rsidRPr="00E05C56">
        <w:rPr>
          <w:rFonts w:asciiTheme="majorBidi" w:hAnsiTheme="majorBidi" w:cstheme="majorBidi"/>
          <w:i/>
          <w:iCs/>
          <w:sz w:val="24"/>
          <w:szCs w:val="24"/>
        </w:rPr>
        <w:t>thermophilus</w:t>
      </w:r>
      <w:r w:rsidRPr="00E05C56">
        <w:rPr>
          <w:rFonts w:asciiTheme="majorBidi" w:hAnsiTheme="majorBidi" w:cstheme="majorBidi"/>
          <w:sz w:val="24"/>
          <w:szCs w:val="24"/>
        </w:rPr>
        <w:t xml:space="preserve">, et nous avont remarqué des taux d’amélioration de la quantité de biomasse supérieurs à ceux observés avec les autres ingrédients protéiques laitiers. </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 xml:space="preserve"> </w:t>
      </w:r>
    </w:p>
    <w:p w:rsidR="00D4499E"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L’utilisation de l’ingrédients le Promilk C502 dans le lait fermenté, améliore significativement (P&lt;0.05) la croissance des souches bénéfiques BLR, LbRE-LSAS, Bb12, Lba CECT4529 et Lbp CECT748 qui accumulent une biomasse de l’ordre de 10.28, 10.18, 10.05, 10.4 et 9.72 log UFC/ml soit une amélioration variable de 3.98 à 16.15% (0.39 à 1.43 log) par rapport au témoin. Cette biomasse est générée par des vitesses spécifiques maximales de croissance comprises entre 1.08 à 1.77 h</w:t>
      </w:r>
      <w:r w:rsidRPr="00E05C56">
        <w:rPr>
          <w:rFonts w:asciiTheme="majorBidi" w:hAnsiTheme="majorBidi" w:cstheme="majorBidi"/>
          <w:sz w:val="24"/>
          <w:szCs w:val="24"/>
          <w:vertAlign w:val="superscript"/>
        </w:rPr>
        <w:t>-1</w:t>
      </w:r>
      <w:r w:rsidRPr="00E05C56">
        <w:rPr>
          <w:rFonts w:asciiTheme="majorBidi" w:hAnsiTheme="majorBidi" w:cstheme="majorBidi"/>
          <w:sz w:val="24"/>
          <w:szCs w:val="24"/>
        </w:rPr>
        <w:t xml:space="preserve"> et un temps de génération variable de 0.38 à 0.63 h.</w:t>
      </w:r>
    </w:p>
    <w:p w:rsidR="00E05C56" w:rsidRPr="00E05C56" w:rsidRDefault="00E05C56" w:rsidP="00E05C56">
      <w:pPr>
        <w:spacing w:after="0" w:line="360" w:lineRule="auto"/>
        <w:ind w:firstLine="426"/>
        <w:contextualSpacing/>
        <w:jc w:val="both"/>
        <w:rPr>
          <w:rFonts w:asciiTheme="majorBidi" w:hAnsiTheme="majorBidi" w:cstheme="majorBidi"/>
          <w:sz w:val="24"/>
          <w:szCs w:val="24"/>
        </w:rPr>
      </w:pP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 xml:space="preserve">La souche Lba CECT4529 a montré la meilleure croissance symbiotique (10.62 log UFC/ml) avec </w:t>
      </w:r>
      <w:r w:rsidRPr="00E05C56">
        <w:rPr>
          <w:rFonts w:asciiTheme="majorBidi" w:hAnsiTheme="majorBidi" w:cstheme="majorBidi"/>
          <w:i/>
          <w:iCs/>
          <w:sz w:val="24"/>
          <w:szCs w:val="24"/>
        </w:rPr>
        <w:t>Streptococcus</w:t>
      </w:r>
      <w:r w:rsidRPr="00E05C56">
        <w:rPr>
          <w:rFonts w:asciiTheme="majorBidi" w:hAnsiTheme="majorBidi" w:cstheme="majorBidi"/>
          <w:sz w:val="24"/>
          <w:szCs w:val="24"/>
        </w:rPr>
        <w:t xml:space="preserve"> </w:t>
      </w:r>
      <w:r w:rsidRPr="00E05C56">
        <w:rPr>
          <w:rFonts w:asciiTheme="majorBidi" w:hAnsiTheme="majorBidi" w:cstheme="majorBidi"/>
          <w:i/>
          <w:iCs/>
          <w:sz w:val="24"/>
          <w:szCs w:val="24"/>
        </w:rPr>
        <w:t>thermophilus</w:t>
      </w:r>
      <w:r w:rsidRPr="00E05C56">
        <w:rPr>
          <w:rFonts w:asciiTheme="majorBidi" w:hAnsiTheme="majorBidi" w:cstheme="majorBidi"/>
          <w:sz w:val="24"/>
          <w:szCs w:val="24"/>
        </w:rPr>
        <w:t xml:space="preserve"> accumulant des quantités de biomasse importantes (P&lt;0.05) par rapport aux autres souches bénéfiques étudiées.</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lastRenderedPageBreak/>
        <w:t xml:space="preserve">Les vitesses spécifiques maximales d’acidification des cultures mixtes entre une souche bénéfique et </w:t>
      </w:r>
      <w:r w:rsidRPr="00E05C56">
        <w:rPr>
          <w:rFonts w:asciiTheme="majorBidi" w:hAnsiTheme="majorBidi" w:cstheme="majorBidi"/>
          <w:i/>
          <w:iCs/>
          <w:sz w:val="24"/>
          <w:szCs w:val="24"/>
        </w:rPr>
        <w:t>Streptococcus</w:t>
      </w:r>
      <w:r w:rsidRPr="00E05C56">
        <w:rPr>
          <w:rFonts w:asciiTheme="majorBidi" w:hAnsiTheme="majorBidi" w:cstheme="majorBidi"/>
          <w:sz w:val="24"/>
          <w:szCs w:val="24"/>
        </w:rPr>
        <w:t xml:space="preserve"> </w:t>
      </w:r>
      <w:r w:rsidRPr="00E05C56">
        <w:rPr>
          <w:rFonts w:asciiTheme="majorBidi" w:hAnsiTheme="majorBidi" w:cstheme="majorBidi"/>
          <w:i/>
          <w:iCs/>
          <w:sz w:val="24"/>
          <w:szCs w:val="24"/>
        </w:rPr>
        <w:t>thermophilus</w:t>
      </w:r>
      <w:r w:rsidRPr="00E05C56">
        <w:rPr>
          <w:rFonts w:asciiTheme="majorBidi" w:hAnsiTheme="majorBidi" w:cstheme="majorBidi"/>
          <w:sz w:val="24"/>
          <w:szCs w:val="24"/>
        </w:rPr>
        <w:t xml:space="preserve"> en présence de Promilk 852A2 et Promilk C502 sont comprises respectivement entre 0.28 et 0.36</w:t>
      </w:r>
      <w:r w:rsidR="00934EF8">
        <w:rPr>
          <w:rFonts w:asciiTheme="majorBidi" w:hAnsiTheme="majorBidi" w:cstheme="majorBidi"/>
          <w:sz w:val="24"/>
          <w:szCs w:val="24"/>
        </w:rPr>
        <w:t xml:space="preserve"> </w:t>
      </w:r>
      <w:r w:rsidRPr="00E05C56">
        <w:rPr>
          <w:rFonts w:asciiTheme="majorBidi" w:hAnsiTheme="majorBidi" w:cstheme="majorBidi"/>
          <w:sz w:val="24"/>
          <w:szCs w:val="24"/>
        </w:rPr>
        <w:t>h</w:t>
      </w:r>
      <w:r w:rsidRPr="00E05C56">
        <w:rPr>
          <w:rFonts w:asciiTheme="majorBidi" w:hAnsiTheme="majorBidi" w:cstheme="majorBidi"/>
          <w:sz w:val="24"/>
          <w:szCs w:val="24"/>
          <w:vertAlign w:val="superscript"/>
        </w:rPr>
        <w:t>-1</w:t>
      </w:r>
      <w:r w:rsidRPr="00E05C56">
        <w:rPr>
          <w:rFonts w:asciiTheme="majorBidi" w:hAnsiTheme="majorBidi" w:cstheme="majorBidi"/>
          <w:sz w:val="24"/>
          <w:szCs w:val="24"/>
        </w:rPr>
        <w:t xml:space="preserve"> et entre 0.3 et 0.41 h</w:t>
      </w:r>
      <w:r w:rsidRPr="00E05C56">
        <w:rPr>
          <w:rFonts w:asciiTheme="majorBidi" w:hAnsiTheme="majorBidi" w:cstheme="majorBidi"/>
          <w:sz w:val="24"/>
          <w:szCs w:val="24"/>
          <w:vertAlign w:val="superscript"/>
        </w:rPr>
        <w:t>-1</w:t>
      </w:r>
      <w:r w:rsidRPr="00E05C56">
        <w:rPr>
          <w:rFonts w:asciiTheme="majorBidi" w:hAnsiTheme="majorBidi" w:cstheme="majorBidi"/>
          <w:sz w:val="24"/>
          <w:szCs w:val="24"/>
        </w:rPr>
        <w:t xml:space="preserve">, avec une amélioration de 21.73 à 28.57% et de 30.43 à 46.42% par rapport au témoin dans le même ordre. </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i/>
          <w:iCs/>
          <w:sz w:val="24"/>
          <w:szCs w:val="24"/>
        </w:rPr>
        <w:t>Lactobacillus bulgaricus</w:t>
      </w:r>
      <w:r w:rsidRPr="00E05C56">
        <w:rPr>
          <w:rFonts w:asciiTheme="majorBidi" w:hAnsiTheme="majorBidi" w:cstheme="majorBidi"/>
          <w:sz w:val="24"/>
          <w:szCs w:val="24"/>
        </w:rPr>
        <w:t xml:space="preserve"> montre une croissance en fin de fermentation légèrement moindre par rapport à celle de </w:t>
      </w:r>
      <w:r w:rsidRPr="00E05C56">
        <w:rPr>
          <w:rFonts w:asciiTheme="majorBidi" w:hAnsiTheme="majorBidi" w:cstheme="majorBidi"/>
          <w:i/>
          <w:iCs/>
          <w:sz w:val="24"/>
          <w:szCs w:val="24"/>
        </w:rPr>
        <w:t>Streptococcus</w:t>
      </w:r>
      <w:r w:rsidRPr="00E05C56">
        <w:rPr>
          <w:rFonts w:asciiTheme="majorBidi" w:hAnsiTheme="majorBidi" w:cstheme="majorBidi"/>
          <w:sz w:val="24"/>
          <w:szCs w:val="24"/>
        </w:rPr>
        <w:t xml:space="preserve"> </w:t>
      </w:r>
      <w:r w:rsidRPr="00E05C56">
        <w:rPr>
          <w:rFonts w:asciiTheme="majorBidi" w:hAnsiTheme="majorBidi" w:cstheme="majorBidi"/>
          <w:i/>
          <w:iCs/>
          <w:sz w:val="24"/>
          <w:szCs w:val="24"/>
        </w:rPr>
        <w:t>thermophilus</w:t>
      </w:r>
      <w:r w:rsidRPr="00E05C56">
        <w:rPr>
          <w:rFonts w:asciiTheme="majorBidi" w:hAnsiTheme="majorBidi" w:cstheme="majorBidi"/>
          <w:sz w:val="24"/>
          <w:szCs w:val="24"/>
        </w:rPr>
        <w:t xml:space="preserve"> et quelque soit la souche bénéfique associée, cette bactéries affiche une biomasse comprise entre 7.84 à 8.24 log UFC/ml qui correspond à une vitesse spécifique de croissance et un temps de génération de 0.45 à 0.69 h</w:t>
      </w:r>
      <w:r w:rsidRPr="00E05C56">
        <w:rPr>
          <w:rFonts w:asciiTheme="majorBidi" w:hAnsiTheme="majorBidi" w:cstheme="majorBidi"/>
          <w:sz w:val="24"/>
          <w:szCs w:val="24"/>
          <w:vertAlign w:val="superscript"/>
        </w:rPr>
        <w:t>-1</w:t>
      </w:r>
      <w:r w:rsidRPr="00E05C56">
        <w:rPr>
          <w:rFonts w:asciiTheme="majorBidi" w:hAnsiTheme="majorBidi" w:cstheme="majorBidi"/>
          <w:sz w:val="24"/>
          <w:szCs w:val="24"/>
        </w:rPr>
        <w:t xml:space="preserve"> et 1 à 1.51 h respectivement.</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 xml:space="preserve">La présence de Lactosérum doux dans le lait fermenté par les cultures starters influence significativement (P&lt;0.05) la biomasse bénéfique qui se trouve améliorée de 0.5 à 0.94 unités logarithmiques par rapport au témoin (en absence de lactosérum doux). Cette amélioration apparait aussi au niveau des vitesses spécifiques maximales </w:t>
      </w:r>
      <w:r w:rsidR="00934EF8">
        <w:rPr>
          <w:rFonts w:asciiTheme="majorBidi" w:hAnsiTheme="majorBidi" w:cstheme="majorBidi"/>
          <w:sz w:val="24"/>
          <w:szCs w:val="24"/>
        </w:rPr>
        <w:t xml:space="preserve">de croissance </w:t>
      </w:r>
      <w:r w:rsidRPr="00E05C56">
        <w:rPr>
          <w:rFonts w:asciiTheme="majorBidi" w:hAnsiTheme="majorBidi" w:cstheme="majorBidi"/>
          <w:sz w:val="24"/>
          <w:szCs w:val="24"/>
        </w:rPr>
        <w:t>(de 0.55 à  0.88 h</w:t>
      </w:r>
      <w:r w:rsidRPr="00E05C56">
        <w:rPr>
          <w:rFonts w:asciiTheme="majorBidi" w:hAnsiTheme="majorBidi" w:cstheme="majorBidi"/>
          <w:sz w:val="24"/>
          <w:szCs w:val="24"/>
          <w:vertAlign w:val="superscript"/>
        </w:rPr>
        <w:t>-1</w:t>
      </w:r>
      <w:r w:rsidRPr="00E05C56">
        <w:rPr>
          <w:rFonts w:asciiTheme="majorBidi" w:hAnsiTheme="majorBidi" w:cstheme="majorBidi"/>
          <w:sz w:val="24"/>
          <w:szCs w:val="24"/>
        </w:rPr>
        <w:t>) et des temps de génération (de 0.78 à 1.24 h).</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 xml:space="preserve">Promilk C502 stimule plus efficacement la croissance de </w:t>
      </w:r>
      <w:r w:rsidRPr="00E05C56">
        <w:rPr>
          <w:rFonts w:asciiTheme="majorBidi" w:hAnsiTheme="majorBidi" w:cstheme="majorBidi"/>
          <w:i/>
          <w:iCs/>
          <w:sz w:val="24"/>
          <w:szCs w:val="24"/>
        </w:rPr>
        <w:t>Streptococcus thermophilus</w:t>
      </w:r>
      <w:r w:rsidRPr="00E05C56">
        <w:rPr>
          <w:rFonts w:asciiTheme="majorBidi" w:hAnsiTheme="majorBidi" w:cstheme="majorBidi"/>
          <w:sz w:val="24"/>
          <w:szCs w:val="24"/>
        </w:rPr>
        <w:t xml:space="preserve"> (1.04 à 17.15% d’augmentation de la biomasse par rapport au témoin selon la souche bénéfique) par rapport à celle de </w:t>
      </w:r>
      <w:r w:rsidRPr="00E05C56">
        <w:rPr>
          <w:rFonts w:asciiTheme="majorBidi" w:hAnsiTheme="majorBidi" w:cstheme="majorBidi"/>
          <w:i/>
          <w:iCs/>
          <w:sz w:val="24"/>
          <w:szCs w:val="24"/>
        </w:rPr>
        <w:t xml:space="preserve">Lactobacillus </w:t>
      </w:r>
      <w:r w:rsidR="00934EF8" w:rsidRPr="00E05C56">
        <w:rPr>
          <w:rFonts w:asciiTheme="majorBidi" w:hAnsiTheme="majorBidi" w:cstheme="majorBidi"/>
          <w:i/>
          <w:iCs/>
          <w:sz w:val="24"/>
          <w:szCs w:val="24"/>
        </w:rPr>
        <w:t>delbrueckii</w:t>
      </w:r>
      <w:r w:rsidRPr="00E05C56">
        <w:rPr>
          <w:rFonts w:asciiTheme="majorBidi" w:hAnsiTheme="majorBidi" w:cstheme="majorBidi"/>
          <w:sz w:val="24"/>
          <w:szCs w:val="24"/>
        </w:rPr>
        <w:t xml:space="preserve"> ssp </w:t>
      </w:r>
      <w:r w:rsidRPr="00E05C56">
        <w:rPr>
          <w:rFonts w:asciiTheme="majorBidi" w:hAnsiTheme="majorBidi" w:cstheme="majorBidi"/>
          <w:i/>
          <w:iCs/>
          <w:sz w:val="24"/>
          <w:szCs w:val="24"/>
        </w:rPr>
        <w:t>bulgaricus</w:t>
      </w:r>
      <w:r w:rsidRPr="00E05C56">
        <w:rPr>
          <w:rFonts w:asciiTheme="majorBidi" w:hAnsiTheme="majorBidi" w:cstheme="majorBidi"/>
          <w:sz w:val="24"/>
          <w:szCs w:val="24"/>
        </w:rPr>
        <w:t xml:space="preserve"> (7.39 à 10.29% seulement).</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La présence de 0.53% (P/V) de lactosérum doux, la viabilité des souches bénéfiques BLR, LbRE-LSAS, Bb12, Lba CECT4529 et Lbp CECT748 en fin d’entreposage, est comprise entre 72.06 à 89.13% , ce qui représente une amélioration de 13.14 à 41.05% (0.89 à 2.5 logUFC/ml) par rapport au témoin.</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p>
    <w:p w:rsidR="00D4499E"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En présence de Promilk 852A2, les pertes en biomasse des souches bénéfiques enregistrées au 7</w:t>
      </w:r>
      <w:r w:rsidRPr="00E05C56">
        <w:rPr>
          <w:rFonts w:asciiTheme="majorBidi" w:hAnsiTheme="majorBidi" w:cstheme="majorBidi"/>
          <w:sz w:val="24"/>
          <w:szCs w:val="24"/>
          <w:vertAlign w:val="superscript"/>
        </w:rPr>
        <w:t>ème</w:t>
      </w:r>
      <w:r w:rsidRPr="00E05C56">
        <w:rPr>
          <w:rFonts w:asciiTheme="majorBidi" w:hAnsiTheme="majorBidi" w:cstheme="majorBidi"/>
          <w:sz w:val="24"/>
          <w:szCs w:val="24"/>
        </w:rPr>
        <w:t xml:space="preserve"> jour d’entreposage sont comprises entre 9.01 et 15.5% ; alors qu’à la fin de la période d’entreposage, elles se situent entre 22.27 et 29.79% et se trouvent donc réduite de 1.7 à 17.24% par rapport au témoin. </w:t>
      </w:r>
    </w:p>
    <w:p w:rsidR="00E05C56" w:rsidRDefault="00E05C56" w:rsidP="00E05C56">
      <w:pPr>
        <w:spacing w:after="0" w:line="360" w:lineRule="auto"/>
        <w:ind w:firstLine="426"/>
        <w:contextualSpacing/>
        <w:jc w:val="both"/>
        <w:rPr>
          <w:rFonts w:asciiTheme="majorBidi" w:hAnsiTheme="majorBidi" w:cstheme="majorBidi"/>
          <w:sz w:val="24"/>
          <w:szCs w:val="24"/>
        </w:rPr>
      </w:pPr>
    </w:p>
    <w:p w:rsidR="00E05C56" w:rsidRPr="00E05C56" w:rsidRDefault="00E05C56"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Selon nos résultats, la post-fermentation du lait fermenté en culture mixte avec les deux ferments lactiques et une souche bénéfique plus importante (P&lt;0.05) que la culture</w:t>
      </w:r>
    </w:p>
    <w:p w:rsidR="00D4499E" w:rsidRPr="00E05C56" w:rsidRDefault="00D4499E" w:rsidP="00E05C56">
      <w:pPr>
        <w:spacing w:after="0" w:line="360" w:lineRule="auto"/>
        <w:contextualSpacing/>
        <w:jc w:val="both"/>
        <w:rPr>
          <w:rFonts w:asciiTheme="majorBidi" w:hAnsiTheme="majorBidi" w:cstheme="majorBidi"/>
          <w:sz w:val="24"/>
          <w:szCs w:val="24"/>
        </w:rPr>
      </w:pPr>
      <w:r w:rsidRPr="00E05C56">
        <w:rPr>
          <w:rFonts w:asciiTheme="majorBidi" w:hAnsiTheme="majorBidi" w:cstheme="majorBidi"/>
          <w:sz w:val="24"/>
          <w:szCs w:val="24"/>
        </w:rPr>
        <w:lastRenderedPageBreak/>
        <w:t xml:space="preserve">avec </w:t>
      </w:r>
      <w:r w:rsidRPr="00E05C56">
        <w:rPr>
          <w:rFonts w:asciiTheme="majorBidi" w:hAnsiTheme="majorBidi" w:cstheme="majorBidi"/>
          <w:i/>
          <w:iCs/>
          <w:sz w:val="24"/>
          <w:szCs w:val="24"/>
        </w:rPr>
        <w:t>Streptococcus</w:t>
      </w:r>
      <w:r w:rsidRPr="00E05C56">
        <w:rPr>
          <w:rFonts w:asciiTheme="majorBidi" w:hAnsiTheme="majorBidi" w:cstheme="majorBidi"/>
          <w:sz w:val="24"/>
          <w:szCs w:val="24"/>
        </w:rPr>
        <w:t xml:space="preserve"> </w:t>
      </w:r>
      <w:r w:rsidRPr="00E05C56">
        <w:rPr>
          <w:rFonts w:asciiTheme="majorBidi" w:hAnsiTheme="majorBidi" w:cstheme="majorBidi"/>
          <w:i/>
          <w:iCs/>
          <w:sz w:val="24"/>
          <w:szCs w:val="24"/>
        </w:rPr>
        <w:t>thermophilus</w:t>
      </w:r>
      <w:r w:rsidRPr="00E05C56">
        <w:rPr>
          <w:rFonts w:asciiTheme="majorBidi" w:hAnsiTheme="majorBidi" w:cstheme="majorBidi"/>
          <w:sz w:val="24"/>
          <w:szCs w:val="24"/>
        </w:rPr>
        <w:t xml:space="preserve"> et une bénéfique.</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p>
    <w:p w:rsidR="00D4499E"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Les pertes en quantités de biomasse des souches bénéfiques étaient plus élevées en fin d’entreposage réfrigéré dans les laits fermentés en présence Promilk 852A2 comparativement à ceux contenant les autres ingrédients protéiques. Ces pertes sont respectivement de l’ordre de 25.11, 27.16, 26.71, 26.16 et 28.28% pour BLR, LbRE-LSAS, Bb12, Lba CECT4529 et Lbp CECT748 ; ce qui représente une diminution de 2.33 à 2.66 unités logarithmiques.</w:t>
      </w:r>
    </w:p>
    <w:p w:rsidR="00E05C56" w:rsidRPr="00E05C56" w:rsidRDefault="00E05C56" w:rsidP="00E05C56">
      <w:pPr>
        <w:spacing w:after="0" w:line="360" w:lineRule="auto"/>
        <w:ind w:firstLine="426"/>
        <w:contextualSpacing/>
        <w:jc w:val="both"/>
        <w:rPr>
          <w:rFonts w:asciiTheme="majorBidi" w:hAnsiTheme="majorBidi" w:cstheme="majorBidi"/>
          <w:sz w:val="24"/>
          <w:szCs w:val="24"/>
        </w:rPr>
      </w:pP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Les souches BLR, Bb12 et Lbp CECT748, respectivement, produisent une quantité d’EPS (en absence ou en présence d’ingrédients protéiques laitiers) comprise entre 146.58 à 254.91 mg/l, 165.25 à 264.45 mg/l et 134.86 à 228.83 mg/l. Et dans le même ordre, un taux d’amélioration de 6.27 à 73.9%, 12.98 à 60.03% et 5.76 à 69.67% par rapport au témoin.</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L’intérêt accru des dernières années pour les bactéries lactiques ou bénéfiques productrices d’exopolysaccharides est due principalement à leur capacité à améliorer la texture et à augmenter la viscosité des produits fermentés de type yaourts.</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Les souches bénéfiques LbRE-LSAS et Lba CECT4529, respectivement, avaient une meilleure viscosité en présence de lactosérum doux (116.96 et 111.81 mPa.s) et Promilk C502 (140.15 et 124.43 mPas), et dans le même ordre avec une augmentation de 77.73 et 100.92 mPa.s et 67.66 et 80.28 m.Pa.s.</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 xml:space="preserve">Nos résultats, montre que la présence de </w:t>
      </w:r>
      <w:r w:rsidRPr="00E05C56">
        <w:rPr>
          <w:rFonts w:asciiTheme="majorBidi" w:hAnsiTheme="majorBidi" w:cstheme="majorBidi"/>
          <w:i/>
          <w:iCs/>
          <w:sz w:val="24"/>
          <w:szCs w:val="24"/>
        </w:rPr>
        <w:t>Lb</w:t>
      </w:r>
      <w:r w:rsidRPr="00E05C56">
        <w:rPr>
          <w:rFonts w:asciiTheme="majorBidi" w:hAnsiTheme="majorBidi" w:cstheme="majorBidi"/>
          <w:sz w:val="24"/>
          <w:szCs w:val="24"/>
        </w:rPr>
        <w:t xml:space="preserve">. </w:t>
      </w:r>
      <w:r w:rsidRPr="00E05C56">
        <w:rPr>
          <w:rFonts w:asciiTheme="majorBidi" w:hAnsiTheme="majorBidi" w:cstheme="majorBidi"/>
          <w:i/>
          <w:iCs/>
          <w:sz w:val="24"/>
          <w:szCs w:val="24"/>
        </w:rPr>
        <w:t>bulgaricus</w:t>
      </w:r>
      <w:r w:rsidRPr="00E05C56">
        <w:rPr>
          <w:rFonts w:asciiTheme="majorBidi" w:hAnsiTheme="majorBidi" w:cstheme="majorBidi"/>
          <w:sz w:val="24"/>
          <w:szCs w:val="24"/>
        </w:rPr>
        <w:t xml:space="preserve"> avec les souches bénéfiques diminue le taux de la viscosité.</w:t>
      </w: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p>
    <w:p w:rsidR="00D4499E" w:rsidRPr="00E05C56" w:rsidRDefault="00D4499E" w:rsidP="00E05C56">
      <w:pPr>
        <w:spacing w:after="0" w:line="360" w:lineRule="auto"/>
        <w:ind w:firstLine="426"/>
        <w:contextualSpacing/>
        <w:jc w:val="both"/>
        <w:rPr>
          <w:rFonts w:asciiTheme="majorBidi" w:hAnsiTheme="majorBidi" w:cstheme="majorBidi"/>
          <w:sz w:val="24"/>
          <w:szCs w:val="24"/>
        </w:rPr>
      </w:pPr>
      <w:r w:rsidRPr="00E05C56">
        <w:rPr>
          <w:rFonts w:asciiTheme="majorBidi" w:hAnsiTheme="majorBidi" w:cstheme="majorBidi"/>
          <w:sz w:val="24"/>
          <w:szCs w:val="24"/>
        </w:rPr>
        <w:t>D’après les résultats des différents types de cultures, nous pouvons conclure que la culture mixte entre Streptococcus thermophilus ou le mélange des deux bactéries lactiques et une souche bénéfique additionnée de 0.53% (P/V) de lactosérum doux ou Promilk C502 semble la plus intéressante et constitue, par conséquent, la meilleure approche en vue d’élaborer un yaourt qui contient des probiotiques.</w:t>
      </w:r>
    </w:p>
    <w:p w:rsidR="00D4499E" w:rsidRPr="00E05C56" w:rsidRDefault="00D4499E" w:rsidP="00E05C56">
      <w:pPr>
        <w:spacing w:after="0" w:line="360" w:lineRule="auto"/>
        <w:ind w:firstLine="426"/>
        <w:jc w:val="both"/>
        <w:rPr>
          <w:rFonts w:asciiTheme="majorBidi" w:hAnsiTheme="majorBidi" w:cstheme="majorBidi"/>
          <w:sz w:val="24"/>
          <w:szCs w:val="24"/>
        </w:rPr>
      </w:pPr>
    </w:p>
    <w:sectPr w:rsidR="00D4499E" w:rsidRPr="00E05C56" w:rsidSect="00E44308">
      <w:headerReference w:type="default" r:id="rId7"/>
      <w:footerReference w:type="default" r:id="rId8"/>
      <w:pgSz w:w="11906" w:h="16838" w:code="9"/>
      <w:pgMar w:top="1418" w:right="851" w:bottom="851" w:left="2268" w:header="709" w:footer="709" w:gutter="0"/>
      <w:pgNumType w:start="1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499E" w:rsidRDefault="00D4499E" w:rsidP="00D4499E">
      <w:pPr>
        <w:spacing w:after="0" w:line="240" w:lineRule="auto"/>
      </w:pPr>
      <w:r>
        <w:separator/>
      </w:r>
    </w:p>
  </w:endnote>
  <w:endnote w:type="continuationSeparator" w:id="1">
    <w:p w:rsidR="00D4499E" w:rsidRDefault="00D4499E" w:rsidP="00D449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513B" w:rsidRDefault="004608DF" w:rsidP="00E44829">
    <w:pPr>
      <w:spacing w:after="0" w:line="480" w:lineRule="auto"/>
      <w:jc w:val="right"/>
      <w:rPr>
        <w:rFonts w:asciiTheme="majorBidi" w:hAnsiTheme="majorBidi" w:cstheme="majorBidi"/>
        <w:i/>
        <w:iCs/>
        <w:sz w:val="24"/>
        <w:szCs w:val="24"/>
      </w:rPr>
    </w:pPr>
    <w:r w:rsidRPr="004608DF">
      <w:rPr>
        <w:i/>
        <w:iCs/>
        <w:noProof/>
        <w:sz w:val="20"/>
        <w:szCs w:val="20"/>
        <w:lang w:eastAsia="fr-FR"/>
      </w:rPr>
      <w:pict>
        <v:line id="_x0000_s2049" style="position:absolute;left:0;text-align:left;z-index:251658240" from="-3.15pt,25.2pt" to="440.85pt,25.2pt"/>
      </w:pict>
    </w:r>
  </w:p>
  <w:p w:rsidR="00E44829" w:rsidRDefault="00D4499E" w:rsidP="0012513B">
    <w:pPr>
      <w:spacing w:after="0" w:line="480" w:lineRule="auto"/>
      <w:jc w:val="right"/>
    </w:pPr>
    <w:r>
      <w:rPr>
        <w:rFonts w:asciiTheme="majorBidi" w:hAnsiTheme="majorBidi" w:cstheme="majorBidi"/>
        <w:i/>
        <w:iCs/>
        <w:sz w:val="24"/>
        <w:szCs w:val="24"/>
      </w:rPr>
      <w:t>Conclusion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499E" w:rsidRDefault="00D4499E" w:rsidP="00D4499E">
      <w:pPr>
        <w:spacing w:after="0" w:line="240" w:lineRule="auto"/>
      </w:pPr>
      <w:r>
        <w:separator/>
      </w:r>
    </w:p>
  </w:footnote>
  <w:footnote w:type="continuationSeparator" w:id="1">
    <w:p w:rsidR="00D4499E" w:rsidRDefault="00D4499E" w:rsidP="00D449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308" w:rsidRDefault="00D4499E" w:rsidP="00E44308">
    <w:pPr>
      <w:pStyle w:val="En-tte"/>
    </w:pPr>
    <w:r w:rsidRPr="0012513B">
      <w:rPr>
        <w:rFonts w:asciiTheme="majorBidi" w:hAnsiTheme="majorBidi" w:cstheme="majorBidi"/>
        <w:i/>
        <w:sz w:val="16"/>
        <w:szCs w:val="16"/>
        <w:u w:val="single"/>
      </w:rPr>
      <w:t>Y.Boufadi (2009). Ingrédients protéiques, cultures starters, probiotiques et EPS dans le lait fermenté. Mag. HSAG. Univ. Mosta</w:t>
    </w:r>
    <w:r>
      <w:rPr>
        <w:rFonts w:ascii="Book Antiqua" w:hAnsi="Book Antiqua"/>
        <w:i/>
        <w:sz w:val="16"/>
        <w:szCs w:val="16"/>
      </w:rPr>
      <w:t xml:space="preserve">     </w:t>
    </w:r>
    <w:sdt>
      <w:sdtPr>
        <w:id w:val="7686966"/>
        <w:docPartObj>
          <w:docPartGallery w:val="Page Numbers (Top of Page)"/>
        </w:docPartObj>
      </w:sdtPr>
      <w:sdtContent>
        <w:r w:rsidR="004608DF" w:rsidRPr="00E44308">
          <w:rPr>
            <w:rFonts w:ascii="Comic Sans MS" w:hAnsi="Comic Sans MS"/>
            <w:sz w:val="24"/>
            <w:szCs w:val="24"/>
          </w:rPr>
          <w:fldChar w:fldCharType="begin"/>
        </w:r>
        <w:r w:rsidR="00E44308" w:rsidRPr="00E44308">
          <w:rPr>
            <w:rFonts w:ascii="Comic Sans MS" w:hAnsi="Comic Sans MS"/>
            <w:sz w:val="24"/>
            <w:szCs w:val="24"/>
          </w:rPr>
          <w:instrText xml:space="preserve"> PAGE   \* MERGEFORMAT </w:instrText>
        </w:r>
        <w:r w:rsidR="004608DF" w:rsidRPr="00E44308">
          <w:rPr>
            <w:rFonts w:ascii="Comic Sans MS" w:hAnsi="Comic Sans MS"/>
            <w:sz w:val="24"/>
            <w:szCs w:val="24"/>
          </w:rPr>
          <w:fldChar w:fldCharType="separate"/>
        </w:r>
        <w:r w:rsidR="00665E60">
          <w:rPr>
            <w:rFonts w:ascii="Comic Sans MS" w:hAnsi="Comic Sans MS"/>
            <w:noProof/>
            <w:sz w:val="24"/>
            <w:szCs w:val="24"/>
          </w:rPr>
          <w:t>113</w:t>
        </w:r>
        <w:r w:rsidR="004608DF" w:rsidRPr="00E44308">
          <w:rPr>
            <w:rFonts w:ascii="Comic Sans MS" w:hAnsi="Comic Sans MS"/>
            <w:sz w:val="24"/>
            <w:szCs w:val="24"/>
          </w:rPr>
          <w:fldChar w:fldCharType="end"/>
        </w:r>
      </w:sdtContent>
    </w:sdt>
  </w:p>
  <w:p w:rsidR="00E44829" w:rsidRDefault="00665E60" w:rsidP="00E4430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E03982"/>
    <w:multiLevelType w:val="hybridMultilevel"/>
    <w:tmpl w:val="9AE2446A"/>
    <w:lvl w:ilvl="0" w:tplc="24BCA4AA">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rsids>
    <w:rsidRoot w:val="00D4499E"/>
    <w:rsid w:val="0009338A"/>
    <w:rsid w:val="000A14CA"/>
    <w:rsid w:val="000A1593"/>
    <w:rsid w:val="00171B22"/>
    <w:rsid w:val="00182F8B"/>
    <w:rsid w:val="003544E1"/>
    <w:rsid w:val="004608DF"/>
    <w:rsid w:val="00497470"/>
    <w:rsid w:val="006527E1"/>
    <w:rsid w:val="00665E60"/>
    <w:rsid w:val="006F0AAD"/>
    <w:rsid w:val="007933E5"/>
    <w:rsid w:val="00857962"/>
    <w:rsid w:val="00934EF8"/>
    <w:rsid w:val="009F40D6"/>
    <w:rsid w:val="00C05EFA"/>
    <w:rsid w:val="00C54789"/>
    <w:rsid w:val="00C673B3"/>
    <w:rsid w:val="00D01B3B"/>
    <w:rsid w:val="00D4499E"/>
    <w:rsid w:val="00D9112B"/>
    <w:rsid w:val="00E05C56"/>
    <w:rsid w:val="00E443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99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4499E"/>
    <w:pPr>
      <w:ind w:left="720"/>
      <w:contextualSpacing/>
    </w:pPr>
  </w:style>
  <w:style w:type="paragraph" w:styleId="En-tte">
    <w:name w:val="header"/>
    <w:basedOn w:val="Normal"/>
    <w:link w:val="En-tteCar"/>
    <w:uiPriority w:val="99"/>
    <w:unhideWhenUsed/>
    <w:rsid w:val="00D4499E"/>
    <w:pPr>
      <w:tabs>
        <w:tab w:val="center" w:pos="4536"/>
        <w:tab w:val="right" w:pos="9072"/>
      </w:tabs>
      <w:spacing w:after="0" w:line="240" w:lineRule="auto"/>
    </w:pPr>
  </w:style>
  <w:style w:type="character" w:customStyle="1" w:styleId="En-tteCar">
    <w:name w:val="En-tête Car"/>
    <w:basedOn w:val="Policepardfaut"/>
    <w:link w:val="En-tte"/>
    <w:uiPriority w:val="99"/>
    <w:rsid w:val="00D4499E"/>
  </w:style>
  <w:style w:type="paragraph" w:styleId="Pieddepage">
    <w:name w:val="footer"/>
    <w:basedOn w:val="Normal"/>
    <w:link w:val="PieddepageCar"/>
    <w:uiPriority w:val="99"/>
    <w:semiHidden/>
    <w:unhideWhenUsed/>
    <w:rsid w:val="00D4499E"/>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D4499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940</Words>
  <Characters>5174</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XPSP2</Company>
  <LinksUpToDate>false</LinksUpToDate>
  <CharactersWithSpaces>6102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4</cp:revision>
  <cp:lastPrinted>2009-05-28T05:16:00Z</cp:lastPrinted>
  <dcterms:created xsi:type="dcterms:W3CDTF">2009-05-26T14:30:00Z</dcterms:created>
  <dcterms:modified xsi:type="dcterms:W3CDTF">2009-05-28T05:17:00Z</dcterms:modified>
</cp:coreProperties>
</file>