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D2342" w:rsidRDefault="009A2D92" w:rsidP="006D2342">
      <w:pPr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D2342">
        <w:rPr>
          <w:rFonts w:asciiTheme="majorBidi" w:hAnsiTheme="majorBidi" w:cstheme="majorBidi"/>
          <w:b/>
          <w:bCs/>
          <w:sz w:val="32"/>
          <w:szCs w:val="32"/>
        </w:rPr>
        <w:t>Résumé</w:t>
      </w:r>
    </w:p>
    <w:p w:rsidR="009A2D92" w:rsidRDefault="009A2D92" w:rsidP="006D2342">
      <w:pPr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Cette étude est une exploration des effets comparés de divers ingrédients protéiques laitiers (lactosérum doux, Promilk 852A1, Promilk C502 et hydrolysat de caséines CH2) et de cultures starters (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Streptococcus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thermophilus</w:t>
      </w:r>
      <w:r>
        <w:rPr>
          <w:rFonts w:asciiTheme="majorBidi" w:hAnsiTheme="majorBidi" w:cstheme="majorBidi"/>
          <w:sz w:val="24"/>
          <w:szCs w:val="24"/>
        </w:rPr>
        <w:t xml:space="preserve"> ST B01 et le mélange de ferments lactiques comportant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Streptococcus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thermophilus</w:t>
      </w:r>
      <w:r>
        <w:rPr>
          <w:rFonts w:asciiTheme="majorBidi" w:hAnsiTheme="majorBidi" w:cstheme="majorBidi"/>
          <w:sz w:val="24"/>
          <w:szCs w:val="24"/>
        </w:rPr>
        <w:t xml:space="preserve"> et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Lactobacillus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delbrueckii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ssp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bulgaricus</w:t>
      </w:r>
      <w:r>
        <w:rPr>
          <w:rFonts w:asciiTheme="majorBidi" w:hAnsiTheme="majorBidi" w:cstheme="majorBidi"/>
          <w:sz w:val="24"/>
          <w:szCs w:val="24"/>
        </w:rPr>
        <w:t xml:space="preserve"> de référence YF-L812) sur les paramètres de croissance et de synthèse d’acides organiques, les propriétés rhéologiques d’un lait à 25% (P/V) de matière grasse à 10% (P/V) et fermenté en présence de différentes souches bénéfiques (du genre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Bifidobacterium</w:t>
      </w:r>
      <w:r>
        <w:rPr>
          <w:rFonts w:asciiTheme="majorBidi" w:hAnsiTheme="majorBidi" w:cstheme="majorBidi"/>
          <w:sz w:val="24"/>
          <w:szCs w:val="24"/>
        </w:rPr>
        <w:t>:    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longum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= BLR,  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animalis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ssp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lactis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= Bb12, du genre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Lactobacillus</w:t>
      </w:r>
      <w:r>
        <w:rPr>
          <w:rFonts w:asciiTheme="majorBidi" w:hAnsiTheme="majorBidi" w:cstheme="majorBidi"/>
          <w:sz w:val="24"/>
          <w:szCs w:val="24"/>
        </w:rPr>
        <w:t xml:space="preserve"> : 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plantarum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= </w:t>
      </w:r>
      <w:proofErr w:type="spellStart"/>
      <w:r>
        <w:rPr>
          <w:rFonts w:asciiTheme="majorBidi" w:hAnsiTheme="majorBidi" w:cstheme="majorBidi"/>
          <w:sz w:val="24"/>
          <w:szCs w:val="24"/>
        </w:rPr>
        <w:t>Lbp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CECT748, 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acidophilus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= </w:t>
      </w:r>
      <w:proofErr w:type="spellStart"/>
      <w:r>
        <w:rPr>
          <w:rFonts w:asciiTheme="majorBidi" w:hAnsiTheme="majorBidi" w:cstheme="majorBidi"/>
          <w:sz w:val="24"/>
          <w:szCs w:val="24"/>
        </w:rPr>
        <w:t>Lba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CECT4529, </w:t>
      </w:r>
      <w:proofErr w:type="spellStart"/>
      <w:r w:rsidRPr="006D2342">
        <w:rPr>
          <w:rFonts w:asciiTheme="majorBidi" w:hAnsiTheme="majorBidi" w:cstheme="majorBidi"/>
          <w:i/>
          <w:iCs/>
          <w:sz w:val="24"/>
          <w:szCs w:val="24"/>
        </w:rPr>
        <w:t>rhamnosus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= </w:t>
      </w:r>
      <w:proofErr w:type="spellStart"/>
      <w:r>
        <w:rPr>
          <w:rFonts w:asciiTheme="majorBidi" w:hAnsiTheme="majorBidi" w:cstheme="majorBidi"/>
          <w:sz w:val="24"/>
          <w:szCs w:val="24"/>
        </w:rPr>
        <w:t>LbRE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-LSAS). </w:t>
      </w:r>
      <w:r w:rsidR="00675744">
        <w:rPr>
          <w:rFonts w:asciiTheme="majorBidi" w:hAnsiTheme="majorBidi" w:cstheme="majorBidi"/>
          <w:sz w:val="24"/>
          <w:szCs w:val="24"/>
        </w:rPr>
        <w:t>La post-acidification du lait fermenté ainsi que la survie post-fermentaire des différentes souches ont été évaluées.</w:t>
      </w:r>
    </w:p>
    <w:p w:rsidR="006D2342" w:rsidRDefault="006D2342" w:rsidP="006D2342">
      <w:pPr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75744" w:rsidRDefault="00675744" w:rsidP="006D2342">
      <w:pPr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Les résultats obtenus montrent que le temps de coagulation du lait (celui qui permet d’atteindre un pH voisin de 5) est réduit lorsqu’il y a association d’</w:t>
      </w:r>
      <w:r w:rsidR="006D2342">
        <w:rPr>
          <w:rFonts w:asciiTheme="majorBidi" w:hAnsiTheme="majorBidi" w:cstheme="majorBidi"/>
          <w:sz w:val="24"/>
          <w:szCs w:val="24"/>
        </w:rPr>
        <w:t>une souche</w:t>
      </w:r>
      <w:r>
        <w:rPr>
          <w:rFonts w:asciiTheme="majorBidi" w:hAnsiTheme="majorBidi" w:cstheme="majorBidi"/>
          <w:sz w:val="24"/>
          <w:szCs w:val="24"/>
        </w:rPr>
        <w:t xml:space="preserve"> bénéfique avec les deux ferments lactiques à la fois. Le taux d’amélioration de la croissance des souches bénéfiques par les différents ingrédients protéiques laitiers utilisés au taux de 0.53% (P/V) varie de 1.53 à 16.5% selon la souche considérée et c’est le lactosérum doux qui s’est avéré le plus efficace dans l’accumulation de biomasse (un maximum de 10.62 </w:t>
      </w:r>
      <w:proofErr w:type="spellStart"/>
      <w:r>
        <w:rPr>
          <w:rFonts w:asciiTheme="majorBidi" w:hAnsiTheme="majorBidi" w:cstheme="majorBidi"/>
          <w:sz w:val="24"/>
          <w:szCs w:val="24"/>
        </w:rPr>
        <w:t>logUFC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/ml pour la souche </w:t>
      </w:r>
      <w:proofErr w:type="spellStart"/>
      <w:r>
        <w:rPr>
          <w:rFonts w:asciiTheme="majorBidi" w:hAnsiTheme="majorBidi" w:cstheme="majorBidi"/>
          <w:sz w:val="24"/>
          <w:szCs w:val="24"/>
        </w:rPr>
        <w:t>Lba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CECT4529).</w:t>
      </w:r>
    </w:p>
    <w:p w:rsidR="006D2342" w:rsidRDefault="006D2342" w:rsidP="006D2342">
      <w:pPr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</w:p>
    <w:p w:rsidR="00675744" w:rsidRDefault="00675744" w:rsidP="006D2342">
      <w:pPr>
        <w:spacing w:after="0" w:line="360" w:lineRule="auto"/>
        <w:ind w:firstLine="426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L’étude de la survie des souches bénéfiques au cours des 28 jours d’entreposage à 4°C a montré que les meilleurs taux de survie ont été enregistrés en présence de lactosérum doux et de Promilk C502 et varient de 72 à 89%. Les mesures de viscosité du lait fermenté indiquent que ce sont les cultures de souches bénéfiques qui associent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Streptococcus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6D2342">
        <w:rPr>
          <w:rFonts w:asciiTheme="majorBidi" w:hAnsiTheme="majorBidi" w:cstheme="majorBidi"/>
          <w:i/>
          <w:iCs/>
          <w:sz w:val="24"/>
          <w:szCs w:val="24"/>
        </w:rPr>
        <w:t>thermophilus</w:t>
      </w:r>
      <w:r>
        <w:rPr>
          <w:rFonts w:asciiTheme="majorBidi" w:hAnsiTheme="majorBidi" w:cstheme="majorBidi"/>
          <w:sz w:val="24"/>
          <w:szCs w:val="24"/>
        </w:rPr>
        <w:t xml:space="preserve"> qui permettent d’atteindre les plus fortes viscosités (142 </w:t>
      </w:r>
      <w:proofErr w:type="spellStart"/>
      <w:r>
        <w:rPr>
          <w:rFonts w:asciiTheme="majorBidi" w:hAnsiTheme="majorBidi" w:cstheme="majorBidi"/>
          <w:sz w:val="24"/>
          <w:szCs w:val="24"/>
        </w:rPr>
        <w:t>mPa.s</w:t>
      </w:r>
      <w:proofErr w:type="spellEnd"/>
      <w:r>
        <w:rPr>
          <w:rFonts w:asciiTheme="majorBidi" w:hAnsiTheme="majorBidi" w:cstheme="majorBidi"/>
          <w:sz w:val="24"/>
          <w:szCs w:val="24"/>
        </w:rPr>
        <w:t>) après deux semaines d’entreposage réfrigéré. L’évaluation de la texture du lait fermenté par le dosage des</w:t>
      </w:r>
      <w:r w:rsidR="006D234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exopolysaccharides a montré que la culture </w:t>
      </w:r>
      <w:r w:rsidR="006D2342">
        <w:rPr>
          <w:rFonts w:asciiTheme="majorBidi" w:hAnsiTheme="majorBidi" w:cstheme="majorBidi"/>
          <w:sz w:val="24"/>
          <w:szCs w:val="24"/>
        </w:rPr>
        <w:t>associant une souche bénéfique à Streptococcus thermophilus en présence de lactosérum doux était celle qui affichait la teneur la plus élevée en exopolysaccharides (679 mg/l ; soit plus de 80% de plus que le témoin).</w:t>
      </w:r>
    </w:p>
    <w:p w:rsidR="006D2342" w:rsidRDefault="006D2342" w:rsidP="006D2342">
      <w:pPr>
        <w:spacing w:after="0" w:line="360" w:lineRule="auto"/>
        <w:ind w:left="1701" w:hanging="1275"/>
        <w:jc w:val="both"/>
        <w:rPr>
          <w:rFonts w:asciiTheme="majorBidi" w:hAnsiTheme="majorBidi" w:cstheme="majorBidi"/>
          <w:sz w:val="24"/>
          <w:szCs w:val="24"/>
        </w:rPr>
      </w:pPr>
      <w:r w:rsidRPr="006D2342">
        <w:rPr>
          <w:rFonts w:asciiTheme="majorBidi" w:hAnsiTheme="majorBidi" w:cstheme="majorBidi"/>
          <w:b/>
          <w:bCs/>
          <w:sz w:val="24"/>
          <w:szCs w:val="24"/>
          <w:u w:val="single"/>
        </w:rPr>
        <w:t>Mots clés</w:t>
      </w:r>
      <w:r>
        <w:rPr>
          <w:rFonts w:asciiTheme="majorBidi" w:hAnsiTheme="majorBidi" w:cstheme="majorBidi"/>
          <w:sz w:val="24"/>
          <w:szCs w:val="24"/>
        </w:rPr>
        <w:t> : Souches bénéfiques- Bifidobacterium- Lactobacillus- Cultures starters- Ingrédients protéiques laitiers.</w:t>
      </w:r>
    </w:p>
    <w:p w:rsidR="006D2342" w:rsidRPr="009A2D92" w:rsidRDefault="006D2342" w:rsidP="006D234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6D2342" w:rsidRPr="009A2D92" w:rsidSect="009A2D92">
      <w:headerReference w:type="default" r:id="rId6"/>
      <w:footerReference w:type="default" r:id="rId7"/>
      <w:pgSz w:w="11906" w:h="16838" w:code="9"/>
      <w:pgMar w:top="1418" w:right="851" w:bottom="851" w:left="226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342" w:rsidRDefault="006D2342" w:rsidP="006D2342">
      <w:pPr>
        <w:spacing w:after="0" w:line="240" w:lineRule="auto"/>
      </w:pPr>
      <w:r>
        <w:separator/>
      </w:r>
    </w:p>
  </w:endnote>
  <w:endnote w:type="continuationSeparator" w:id="1">
    <w:p w:rsidR="006D2342" w:rsidRDefault="006D2342" w:rsidP="006D2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342" w:rsidRPr="006D2342" w:rsidRDefault="006D2342" w:rsidP="006D2342">
    <w:pPr>
      <w:pStyle w:val="Pieddepage"/>
      <w:jc w:val="right"/>
      <w:rPr>
        <w:rFonts w:asciiTheme="majorBidi" w:hAnsiTheme="majorBidi" w:cstheme="majorBidi"/>
        <w:i/>
        <w:iCs/>
        <w:sz w:val="24"/>
        <w:szCs w:val="24"/>
      </w:rPr>
    </w:pPr>
    <w:r>
      <w:rPr>
        <w:rFonts w:asciiTheme="majorBidi" w:hAnsiTheme="majorBidi" w:cstheme="majorBidi"/>
        <w:i/>
        <w:iCs/>
        <w:noProof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8.4pt;margin-top:-1.4pt;width:456pt;height:0;flip:x;z-index:251658240" o:connectortype="straight"/>
      </w:pict>
    </w:r>
    <w:r w:rsidRPr="006D2342">
      <w:rPr>
        <w:rFonts w:asciiTheme="majorBidi" w:hAnsiTheme="majorBidi" w:cstheme="majorBidi"/>
        <w:i/>
        <w:iCs/>
        <w:sz w:val="24"/>
        <w:szCs w:val="24"/>
      </w:rPr>
      <w:t>Résumé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342" w:rsidRDefault="006D2342" w:rsidP="006D2342">
      <w:pPr>
        <w:spacing w:after="0" w:line="240" w:lineRule="auto"/>
      </w:pPr>
      <w:r>
        <w:separator/>
      </w:r>
    </w:p>
  </w:footnote>
  <w:footnote w:type="continuationSeparator" w:id="1">
    <w:p w:rsidR="006D2342" w:rsidRDefault="006D2342" w:rsidP="006D2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342" w:rsidRDefault="006D2342" w:rsidP="006D2342">
    <w:pPr>
      <w:pStyle w:val="En-tte"/>
    </w:pP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Y.Boufadi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(2009). Ingrédients protéiques, cultures starters, probiotiques et EPS dans le lait fermenté.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Mag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HSAG.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Univ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. </w:t>
    </w:r>
    <w:proofErr w:type="spellStart"/>
    <w:r w:rsidRPr="0012513B">
      <w:rPr>
        <w:rFonts w:asciiTheme="majorBidi" w:hAnsiTheme="majorBidi" w:cstheme="majorBidi"/>
        <w:i/>
        <w:sz w:val="16"/>
        <w:szCs w:val="16"/>
        <w:u w:val="single"/>
      </w:rPr>
      <w:t>Mosta</w:t>
    </w:r>
    <w:proofErr w:type="spellEnd"/>
    <w:r w:rsidRPr="0012513B">
      <w:rPr>
        <w:rFonts w:asciiTheme="majorBidi" w:hAnsiTheme="majorBidi" w:cstheme="majorBidi"/>
        <w:i/>
        <w:sz w:val="16"/>
        <w:szCs w:val="16"/>
        <w:u w:val="single"/>
      </w:rPr>
      <w:t xml:space="preserve"> </w:t>
    </w:r>
    <w:r w:rsidRPr="0012513B">
      <w:rPr>
        <w:rFonts w:asciiTheme="majorBidi" w:hAnsiTheme="majorBidi" w:cstheme="majorBidi"/>
        <w:i/>
        <w:sz w:val="16"/>
        <w:szCs w:val="16"/>
      </w:rPr>
      <w:t xml:space="preserve"> </w:t>
    </w:r>
    <w:r>
      <w:rPr>
        <w:rFonts w:ascii="Book Antiqua" w:hAnsi="Book Antiqua"/>
        <w:i/>
        <w:sz w:val="16"/>
        <w:szCs w:val="16"/>
      </w:rPr>
      <w:t xml:space="preserve">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A2D92"/>
    <w:rsid w:val="00675744"/>
    <w:rsid w:val="006D2342"/>
    <w:rsid w:val="009A2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D23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D2342"/>
  </w:style>
  <w:style w:type="paragraph" w:styleId="Pieddepage">
    <w:name w:val="footer"/>
    <w:basedOn w:val="Normal"/>
    <w:link w:val="PieddepageCar"/>
    <w:uiPriority w:val="99"/>
    <w:semiHidden/>
    <w:unhideWhenUsed/>
    <w:rsid w:val="006D234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D23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2009-05-27T16:04:00Z</dcterms:created>
  <dcterms:modified xsi:type="dcterms:W3CDTF">2009-05-27T16:32:00Z</dcterms:modified>
</cp:coreProperties>
</file>