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2962" w:rsidRPr="00286719" w:rsidRDefault="004823BE" w:rsidP="00286719">
      <w:pPr>
        <w:spacing w:before="90"/>
        <w:ind w:left="1416" w:right="-567"/>
        <w:jc w:val="right"/>
        <w:rPr>
          <w:rFonts w:ascii="Segoe UI Semibold" w:hAnsi="Segoe UI Semibold" w:cs="Segoe UI Semibold"/>
          <w:sz w:val="24"/>
          <w:szCs w:val="24"/>
          <w:u w:val="single"/>
        </w:rPr>
      </w:pPr>
      <w:r w:rsidRPr="00286719">
        <w:rPr>
          <w:rFonts w:ascii="Segoe UI Semibold" w:hAnsi="Segoe UI Semibold" w:cs="Segoe UI Semibold"/>
          <w:sz w:val="24"/>
          <w:szCs w:val="24"/>
          <w:u w:val="single"/>
          <w:rtl/>
        </w:rPr>
        <w:t>ملخص</w:t>
      </w:r>
    </w:p>
    <w:p w:rsidR="005E2962" w:rsidRDefault="004823BE" w:rsidP="00286719">
      <w:pPr>
        <w:tabs>
          <w:tab w:val="right" w:pos="0"/>
        </w:tabs>
        <w:bidi/>
        <w:spacing w:before="90" w:line="360" w:lineRule="auto"/>
        <w:ind w:left="-567" w:right="-284"/>
        <w:jc w:val="both"/>
        <w:rPr>
          <w:rFonts w:ascii="Segoe UI Semibold" w:hAnsi="Segoe UI Semibold" w:cs="Segoe UI Semibold"/>
          <w:sz w:val="24"/>
          <w:szCs w:val="24"/>
          <w:rtl/>
        </w:rPr>
      </w:pPr>
      <w:r w:rsidRPr="008E6456">
        <w:rPr>
          <w:rFonts w:ascii="Segoe UI Semibold" w:hAnsi="Segoe UI Semibold" w:cs="Segoe UI Semibold"/>
          <w:sz w:val="24"/>
          <w:szCs w:val="24"/>
          <w:rtl/>
        </w:rPr>
        <w:t xml:space="preserve">هذا العمل يدرس إمكانية </w:t>
      </w:r>
      <w:r w:rsidR="0090664F" w:rsidRPr="008E6456">
        <w:rPr>
          <w:rFonts w:ascii="Segoe UI Semibold" w:hAnsi="Segoe UI Semibold" w:cs="Segoe UI Semibold"/>
          <w:sz w:val="24"/>
          <w:szCs w:val="24"/>
          <w:rtl/>
        </w:rPr>
        <w:t xml:space="preserve">الدمصاص اثنين من الملوثات من طبائع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مختلفة: ايبوبروفين 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/>
        </w:rPr>
        <w:t>(</w:t>
      </w:r>
      <w:r w:rsidR="007236D1" w:rsidRPr="008E6456">
        <w:rPr>
          <w:rFonts w:ascii="Segoe UI Semibold" w:hAnsi="Segoe UI Semibold" w:cs="Segoe UI Semibold"/>
          <w:sz w:val="24"/>
          <w:szCs w:val="24"/>
          <w:lang w:val="fr-FR"/>
        </w:rPr>
        <w:t>IBP)</w:t>
      </w:r>
      <w:r w:rsidR="00F77633" w:rsidRPr="008E6456">
        <w:rPr>
          <w:rFonts w:ascii="Segoe UI Semibold" w:hAnsi="Segoe UI Semibold" w:cs="Segoe UI Semibold"/>
          <w:sz w:val="24"/>
          <w:szCs w:val="24"/>
          <w:rtl/>
        </w:rPr>
        <w:t xml:space="preserve">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>وميركابتوبنزولثيازول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/>
        </w:rPr>
        <w:t>(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/>
        </w:rPr>
        <w:t>MBT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/>
        </w:rPr>
        <w:t>)</w:t>
      </w:r>
      <w:r w:rsidR="00F77633" w:rsidRPr="008E6456">
        <w:rPr>
          <w:rFonts w:ascii="Segoe UI Semibold" w:hAnsi="Segoe UI Semibold" w:cs="Segoe UI Semibold"/>
          <w:sz w:val="24"/>
          <w:szCs w:val="24"/>
          <w:rtl/>
        </w:rPr>
        <w:t xml:space="preserve">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بالطين الخام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>والمعدل</w:t>
      </w:r>
      <w:r w:rsidR="008E6456" w:rsidRPr="008E6456">
        <w:rPr>
          <w:rFonts w:ascii="Segoe UI Semibold" w:hAnsi="Segoe UI Semibold" w:cs="Segoe UI Semibold"/>
          <w:sz w:val="24"/>
          <w:szCs w:val="24"/>
        </w:rPr>
        <w:t>.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>وأظهرت النتائج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 ان الرقم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 xml:space="preserve">الهيدروجيني </w:t>
      </w:r>
      <w:r w:rsidR="00286719" w:rsidRPr="008E6456">
        <w:rPr>
          <w:rFonts w:ascii="Segoe UI Semibold" w:hAnsi="Segoe UI Semibold" w:cs="Segoe UI Semibold"/>
          <w:sz w:val="24"/>
          <w:szCs w:val="24"/>
        </w:rPr>
        <w:t>5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و </w:t>
      </w:r>
      <w:r w:rsidR="00F77633" w:rsidRPr="008E6456">
        <w:rPr>
          <w:rFonts w:ascii="Segoe UI Semibold" w:hAnsi="Segoe UI Semibold" w:cs="Segoe UI Semibold"/>
          <w:sz w:val="24"/>
          <w:szCs w:val="24"/>
        </w:rPr>
        <w:t>9,5</w:t>
      </w:r>
      <w:r w:rsidR="00F77633" w:rsidRPr="008E6456">
        <w:rPr>
          <w:rFonts w:ascii="Segoe UI Semibold" w:hAnsi="Segoe UI Semibold" w:cs="Segoe UI Semibold"/>
          <w:sz w:val="24"/>
          <w:szCs w:val="24"/>
          <w:rtl/>
          <w:lang w:bidi="ar-DZ"/>
        </w:rPr>
        <w:t xml:space="preserve">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هو الأفضل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 xml:space="preserve">لادمصاص </w:t>
      </w:r>
      <w:r w:rsidR="00286719" w:rsidRPr="008E6456">
        <w:rPr>
          <w:rFonts w:ascii="Segoe UI Semibold" w:hAnsi="Segoe UI Semibold" w:cs="Segoe UI Semibold"/>
          <w:sz w:val="24"/>
          <w:szCs w:val="24"/>
          <w:lang w:val="fr-FR"/>
        </w:rPr>
        <w:t>IBP</w:t>
      </w:r>
      <w:r w:rsidR="00F77633" w:rsidRPr="008E6456">
        <w:rPr>
          <w:rFonts w:ascii="Segoe UI Semibold" w:hAnsi="Segoe UI Semibold" w:cs="Segoe UI Semibold"/>
          <w:sz w:val="24"/>
          <w:szCs w:val="24"/>
          <w:rtl/>
          <w:lang w:val="fr-FR" w:bidi="ar-DZ"/>
        </w:rPr>
        <w:t>و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 w:bidi="ar-DZ"/>
        </w:rPr>
        <w:t xml:space="preserve">MBT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>على التوالي</w:t>
      </w:r>
      <w:r w:rsidR="008E6456" w:rsidRPr="008E6456">
        <w:rPr>
          <w:rFonts w:ascii="Segoe UI Semibold" w:hAnsi="Segoe UI Semibold" w:cs="Segoe UI Semibold"/>
          <w:sz w:val="24"/>
          <w:szCs w:val="24"/>
        </w:rPr>
        <w:t>.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 يتم الوصول الى توازن الادمصاص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 xml:space="preserve">بعد </w:t>
      </w:r>
      <w:r w:rsidR="00286719" w:rsidRPr="008E6456">
        <w:rPr>
          <w:rFonts w:ascii="Segoe UI Semibold" w:hAnsi="Segoe UI Semibold" w:cs="Segoe UI Semibold"/>
          <w:sz w:val="24"/>
          <w:szCs w:val="24"/>
        </w:rPr>
        <w:t>240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>دقيقة من الاتصال</w:t>
      </w:r>
      <w:r w:rsidR="008E6456" w:rsidRPr="008E6456">
        <w:rPr>
          <w:rFonts w:ascii="Segoe UI Semibold" w:hAnsi="Segoe UI Semibold" w:cs="Segoe UI Semibold"/>
          <w:sz w:val="24"/>
          <w:szCs w:val="24"/>
          <w:rtl/>
        </w:rPr>
        <w:t>،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 مع تطبيق موديل الدرجة الثانية الزائفة مع مساهمة الانتشار داخل الجسيمات</w:t>
      </w:r>
      <w:r w:rsidR="008E6456" w:rsidRPr="008E6456">
        <w:rPr>
          <w:rFonts w:ascii="Segoe UI Semibold" w:hAnsi="Segoe UI Semibold" w:cs="Segoe UI Semibold"/>
          <w:sz w:val="24"/>
          <w:szCs w:val="24"/>
          <w:lang w:val="fr-FR"/>
        </w:rPr>
        <w:t>.</w:t>
      </w:r>
      <w:r w:rsidR="008E6456" w:rsidRPr="008E6456">
        <w:rPr>
          <w:rFonts w:ascii="Segoe UI Semibold" w:hAnsi="Segoe UI Semibold" w:cs="Segoe UI Semibold"/>
          <w:sz w:val="24"/>
          <w:szCs w:val="24"/>
          <w:rtl/>
        </w:rPr>
        <w:t> 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يتم وصف متساوي الحرارة التوازن بواسطة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 xml:space="preserve">موديل </w:t>
      </w:r>
      <w:r w:rsidR="00286719" w:rsidRPr="008E6456">
        <w:rPr>
          <w:rFonts w:ascii="Segoe UI Semibold" w:hAnsi="Segoe UI Semibold" w:cs="Segoe UI Semibold"/>
          <w:sz w:val="24"/>
          <w:szCs w:val="24"/>
        </w:rPr>
        <w:t>Temkin</w:t>
      </w:r>
      <w:r w:rsidR="00F77633" w:rsidRPr="008E6456">
        <w:rPr>
          <w:rFonts w:ascii="Segoe UI Semibold" w:hAnsi="Segoe UI Semibold" w:cs="Segoe UI Semibold"/>
          <w:sz w:val="24"/>
          <w:szCs w:val="24"/>
          <w:rtl/>
          <w:lang w:bidi="ar-DZ"/>
        </w:rPr>
        <w:t>و</w:t>
      </w:r>
      <w:r w:rsidR="008E6456" w:rsidRPr="008E6456">
        <w:rPr>
          <w:rFonts w:ascii="Segoe UI Semibold" w:hAnsi="Segoe UI Semibold" w:cs="Segoe UI Semibold"/>
          <w:sz w:val="24"/>
          <w:szCs w:val="24"/>
          <w:lang w:bidi="ar-DZ"/>
        </w:rPr>
        <w:t>.</w:t>
      </w:r>
      <w:r w:rsidR="00F77633" w:rsidRPr="008E6456">
        <w:rPr>
          <w:rFonts w:ascii="Segoe UI Semibold" w:hAnsi="Segoe UI Semibold" w:cs="Segoe UI Semibold"/>
          <w:sz w:val="24"/>
          <w:szCs w:val="24"/>
          <w:lang w:bidi="ar-DZ"/>
        </w:rPr>
        <w:t xml:space="preserve"> </w:t>
      </w:r>
      <w:r w:rsidR="00F77633" w:rsidRPr="008E6456">
        <w:rPr>
          <w:rFonts w:ascii="Segoe UI Semibold" w:hAnsi="Segoe UI Semibold" w:cs="Segoe UI Semibold"/>
          <w:sz w:val="24"/>
          <w:szCs w:val="24"/>
          <w:lang w:val="fr-FR" w:bidi="ar-DZ"/>
        </w:rPr>
        <w:t xml:space="preserve">Frendlich </w:t>
      </w:r>
      <w:r w:rsidR="00FE006E" w:rsidRPr="008E6456">
        <w:rPr>
          <w:rFonts w:ascii="Segoe UI Semibold" w:hAnsi="Segoe UI Semibold" w:cs="Segoe UI Semibold"/>
          <w:sz w:val="24"/>
          <w:szCs w:val="24"/>
          <w:rtl/>
        </w:rPr>
        <w:t xml:space="preserve">تظهر الكميات الديناميكية الحرارية ان قيم الطاقة </w:t>
      </w:r>
      <w:r w:rsidR="007236D1" w:rsidRPr="008E6456">
        <w:rPr>
          <w:rFonts w:ascii="Segoe UI Semibold" w:hAnsi="Segoe UI Semibold" w:cs="Segoe UI Semibold"/>
          <w:sz w:val="24"/>
          <w:szCs w:val="24"/>
          <w:rtl/>
        </w:rPr>
        <w:t>الحرة لكلتا المادتين سالبة</w:t>
      </w:r>
      <w:r w:rsidR="008E6456" w:rsidRPr="008E6456">
        <w:rPr>
          <w:rFonts w:ascii="Segoe UI Semibold" w:hAnsi="Segoe UI Semibold" w:cs="Segoe UI Semibold"/>
          <w:sz w:val="24"/>
          <w:szCs w:val="24"/>
          <w:rtl/>
          <w:lang w:bidi="ar-DZ"/>
        </w:rPr>
        <w:t>،</w:t>
      </w:r>
      <w:r w:rsidR="007236D1" w:rsidRPr="008E6456">
        <w:rPr>
          <w:rFonts w:ascii="Segoe UI Semibold" w:hAnsi="Segoe UI Semibold" w:cs="Segoe UI Semibold"/>
          <w:sz w:val="24"/>
          <w:szCs w:val="24"/>
          <w:rtl/>
        </w:rPr>
        <w:t xml:space="preserve"> مما يعني ان العملية </w:t>
      </w:r>
      <w:r w:rsidR="00286719" w:rsidRPr="008E6456">
        <w:rPr>
          <w:rFonts w:ascii="Segoe UI Semibold" w:hAnsi="Segoe UI Semibold" w:cs="Segoe UI Semibold" w:hint="cs"/>
          <w:sz w:val="24"/>
          <w:szCs w:val="24"/>
          <w:rtl/>
        </w:rPr>
        <w:t>تلقائية.</w:t>
      </w:r>
      <w:r w:rsidR="007236D1" w:rsidRPr="008E6456">
        <w:rPr>
          <w:rFonts w:ascii="Segoe UI Semibold" w:hAnsi="Segoe UI Semibold" w:cs="Segoe UI Semibold"/>
          <w:sz w:val="24"/>
          <w:szCs w:val="24"/>
          <w:rtl/>
        </w:rPr>
        <w:t xml:space="preserve"> تتبت هذه النتائج الى انه يمكن استخدام هذه المواد لإزالة الملوثات من مياه</w:t>
      </w:r>
      <w:r w:rsidR="008E6456" w:rsidRPr="008E6456">
        <w:rPr>
          <w:rFonts w:ascii="Segoe UI Semibold" w:hAnsi="Segoe UI Semibold" w:cs="Segoe UI Semibold"/>
          <w:sz w:val="24"/>
          <w:szCs w:val="24"/>
        </w:rPr>
        <w:t xml:space="preserve"> </w:t>
      </w:r>
      <w:r w:rsidR="008E6456" w:rsidRPr="008E6456">
        <w:rPr>
          <w:rFonts w:ascii="Segoe UI Semibold" w:hAnsi="Segoe UI Semibold" w:cs="Segoe UI Semibold"/>
          <w:sz w:val="24"/>
          <w:szCs w:val="24"/>
          <w:rtl/>
        </w:rPr>
        <w:t>الصرف.</w:t>
      </w:r>
      <w:r w:rsidR="008E6456" w:rsidRPr="008E6456">
        <w:rPr>
          <w:rFonts w:ascii="Segoe UI Semibold" w:hAnsi="Segoe UI Semibold" w:cs="Segoe UI Semibold"/>
          <w:sz w:val="24"/>
          <w:szCs w:val="24"/>
        </w:rPr>
        <w:t xml:space="preserve"> </w:t>
      </w:r>
    </w:p>
    <w:p w:rsidR="005E2962" w:rsidRPr="000566F6" w:rsidRDefault="00286719" w:rsidP="000566F6">
      <w:pPr>
        <w:tabs>
          <w:tab w:val="right" w:pos="0"/>
        </w:tabs>
        <w:bidi/>
        <w:spacing w:before="90" w:line="360" w:lineRule="auto"/>
        <w:ind w:left="-567" w:right="-284"/>
        <w:jc w:val="both"/>
        <w:rPr>
          <w:rFonts w:ascii="Segoe UI Semibold" w:hAnsi="Segoe UI Semibold" w:cs="Segoe UI Semibold"/>
          <w:sz w:val="24"/>
          <w:szCs w:val="24"/>
          <w:lang w:val="fr-FR" w:bidi="ar-DZ"/>
        </w:rPr>
      </w:pPr>
      <w:r w:rsidRPr="00286719">
        <w:rPr>
          <w:rFonts w:ascii="Segoe UI Semibold" w:hAnsi="Segoe UI Semibold" w:cs="Segoe UI Semibold" w:hint="cs"/>
          <w:sz w:val="24"/>
          <w:szCs w:val="24"/>
          <w:rtl/>
        </w:rPr>
        <w:t>كلمات السر</w:t>
      </w:r>
      <w:r w:rsidRPr="00286719">
        <w:rPr>
          <w:rFonts w:ascii="Segoe UI Semibold" w:hAnsi="Segoe UI Semibold" w:cs="Segoe UI Semibold"/>
          <w:sz w:val="24"/>
          <w:szCs w:val="24"/>
        </w:rPr>
        <w:t xml:space="preserve">: </w:t>
      </w:r>
      <w:r w:rsidRPr="00286719">
        <w:rPr>
          <w:rFonts w:ascii="Segoe UI Semibold" w:hAnsi="Segoe UI Semibold" w:cs="Segoe UI Semibold"/>
          <w:sz w:val="24"/>
          <w:szCs w:val="24"/>
          <w:rtl/>
        </w:rPr>
        <w:t>طين</w:t>
      </w:r>
      <w:r>
        <w:rPr>
          <w:rFonts w:ascii="Segoe UI Semibold" w:hAnsi="Segoe UI Semibold" w:cs="Segoe UI Semibold" w:hint="cs"/>
          <w:sz w:val="24"/>
          <w:szCs w:val="24"/>
          <w:rtl/>
        </w:rPr>
        <w:t xml:space="preserve">، الادمصاص، </w:t>
      </w:r>
      <w:r>
        <w:rPr>
          <w:rFonts w:ascii="Segoe UI Semibold" w:hAnsi="Segoe UI Semibold" w:cs="Segoe UI Semibold"/>
          <w:sz w:val="24"/>
          <w:szCs w:val="24"/>
          <w:lang w:val="fr-FR"/>
        </w:rPr>
        <w:t>MBT</w:t>
      </w:r>
      <w:r>
        <w:rPr>
          <w:rFonts w:ascii="Segoe UI Semibold" w:hAnsi="Segoe UI Semibold" w:cs="Segoe UI Semibold" w:hint="cs"/>
          <w:sz w:val="24"/>
          <w:szCs w:val="24"/>
          <w:rtl/>
          <w:lang w:val="fr-FR" w:bidi="ar-DZ"/>
        </w:rPr>
        <w:t>،</w:t>
      </w:r>
      <w:r>
        <w:rPr>
          <w:rFonts w:ascii="Segoe UI Semibold" w:hAnsi="Segoe UI Semibold" w:cs="Segoe UI Semibold"/>
          <w:sz w:val="24"/>
          <w:szCs w:val="24"/>
          <w:lang w:val="fr-FR" w:bidi="ar-DZ"/>
        </w:rPr>
        <w:t xml:space="preserve"> IBP</w:t>
      </w:r>
      <w:r w:rsidR="000566F6">
        <w:rPr>
          <w:rFonts w:ascii="Segoe UI Semibold" w:hAnsi="Segoe UI Semibold" w:cs="Segoe UI Semibold"/>
          <w:sz w:val="24"/>
          <w:szCs w:val="24"/>
          <w:lang w:val="fr-FR" w:bidi="ar-DZ"/>
        </w:rPr>
        <w:t> </w:t>
      </w:r>
      <w:bookmarkStart w:id="0" w:name="_GoBack"/>
      <w:bookmarkEnd w:id="0"/>
    </w:p>
    <w:p w:rsidR="005E2962" w:rsidRDefault="005E2962" w:rsidP="005E2962">
      <w:pPr>
        <w:spacing w:before="90"/>
        <w:ind w:right="-284"/>
        <w:jc w:val="both"/>
        <w:rPr>
          <w:b/>
          <w:sz w:val="24"/>
        </w:rPr>
      </w:pPr>
      <w:r>
        <w:rPr>
          <w:b/>
          <w:sz w:val="24"/>
          <w:u w:val="thick"/>
        </w:rPr>
        <w:t>Résumé</w:t>
      </w:r>
    </w:p>
    <w:p w:rsidR="005E2962" w:rsidRDefault="005E2962" w:rsidP="005E2962">
      <w:pPr>
        <w:pStyle w:val="Corpsdetexte"/>
        <w:spacing w:before="180" w:line="364" w:lineRule="auto"/>
        <w:ind w:right="-284"/>
        <w:jc w:val="both"/>
      </w:pP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d’adsorption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polluants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natures</w:t>
      </w:r>
      <w:r>
        <w:rPr>
          <w:spacing w:val="1"/>
        </w:rPr>
        <w:t xml:space="preserve"> </w:t>
      </w:r>
      <w:r>
        <w:t>différente :</w:t>
      </w:r>
      <w:r>
        <w:rPr>
          <w:spacing w:val="1"/>
        </w:rPr>
        <w:t xml:space="preserve"> </w:t>
      </w:r>
      <w:r>
        <w:t>ibuprofène</w:t>
      </w:r>
      <w:r>
        <w:rPr>
          <w:spacing w:val="-11"/>
        </w:rPr>
        <w:t xml:space="preserve"> </w:t>
      </w:r>
      <w:r>
        <w:t>(IBP)</w:t>
      </w:r>
      <w:r>
        <w:rPr>
          <w:spacing w:val="-10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mercaptobenzolthiazole</w:t>
      </w:r>
      <w:r>
        <w:rPr>
          <w:spacing w:val="44"/>
        </w:rPr>
        <w:t xml:space="preserve"> </w:t>
      </w:r>
      <w:r>
        <w:t>(MBT)</w:t>
      </w:r>
      <w:r>
        <w:rPr>
          <w:spacing w:val="-11"/>
        </w:rPr>
        <w:t xml:space="preserve"> </w:t>
      </w:r>
      <w:r>
        <w:t>par</w:t>
      </w:r>
      <w:r>
        <w:rPr>
          <w:spacing w:val="-9"/>
        </w:rPr>
        <w:t xml:space="preserve"> </w:t>
      </w:r>
      <w:r>
        <w:t>l’argile</w:t>
      </w:r>
      <w:r>
        <w:rPr>
          <w:spacing w:val="-9"/>
        </w:rPr>
        <w:t xml:space="preserve"> </w:t>
      </w:r>
      <w:r>
        <w:t>brute</w:t>
      </w:r>
      <w:r>
        <w:rPr>
          <w:spacing w:val="-11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modifiée.</w:t>
      </w:r>
      <w:r>
        <w:rPr>
          <w:spacing w:val="-7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résultats</w:t>
      </w:r>
      <w:r>
        <w:rPr>
          <w:spacing w:val="-57"/>
        </w:rPr>
        <w:t xml:space="preserve"> </w:t>
      </w:r>
      <w:r>
        <w:t>montrent qu’un pH de 5 et 9,5 est meilleur l’adsorption du IBP et MBT, respectivement.</w:t>
      </w:r>
      <w:r>
        <w:rPr>
          <w:spacing w:val="1"/>
        </w:rPr>
        <w:t xml:space="preserve"> </w:t>
      </w:r>
      <w:r>
        <w:t>L’équilibre</w:t>
      </w:r>
      <w:r>
        <w:rPr>
          <w:spacing w:val="-4"/>
        </w:rPr>
        <w:t xml:space="preserve"> </w:t>
      </w:r>
      <w:r>
        <w:t>d’adsorption est</w:t>
      </w:r>
      <w:r>
        <w:rPr>
          <w:spacing w:val="-2"/>
        </w:rPr>
        <w:t xml:space="preserve"> </w:t>
      </w:r>
      <w:r>
        <w:t>atteint</w:t>
      </w:r>
      <w:r>
        <w:rPr>
          <w:spacing w:val="-2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240</w:t>
      </w:r>
      <w:r>
        <w:rPr>
          <w:spacing w:val="-2"/>
        </w:rPr>
        <w:t xml:space="preserve"> </w:t>
      </w:r>
      <w:r>
        <w:t>minutes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contact,</w:t>
      </w:r>
      <w:r>
        <w:rPr>
          <w:spacing w:val="-1"/>
        </w:rPr>
        <w:t xml:space="preserve"> </w:t>
      </w:r>
      <w:r>
        <w:t>avec</w:t>
      </w:r>
      <w:r>
        <w:rPr>
          <w:spacing w:val="-3"/>
        </w:rPr>
        <w:t xml:space="preserve"> </w:t>
      </w:r>
      <w:r>
        <w:t>l’application</w:t>
      </w:r>
      <w:r>
        <w:rPr>
          <w:spacing w:val="-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modèle</w:t>
      </w:r>
      <w:r>
        <w:rPr>
          <w:spacing w:val="-58"/>
        </w:rPr>
        <w:t xml:space="preserve"> </w:t>
      </w:r>
      <w:r>
        <w:t>de pseudo seconde ordre avec la contribution de la diffusion intra particulaire. Les isothermes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l’équilibre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décrites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Temkin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Freundlich.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grandeurs</w:t>
      </w:r>
      <w:r>
        <w:rPr>
          <w:spacing w:val="1"/>
        </w:rPr>
        <w:t xml:space="preserve"> </w:t>
      </w:r>
      <w:r>
        <w:t>thermodynamiques montrent que les valeurs de l’énergie libre sont négatives pour les deux</w:t>
      </w:r>
      <w:r>
        <w:rPr>
          <w:spacing w:val="1"/>
        </w:rPr>
        <w:t xml:space="preserve"> </w:t>
      </w:r>
      <w:r>
        <w:t>matériaux</w:t>
      </w:r>
      <w:r>
        <w:rPr>
          <w:spacing w:val="1"/>
        </w:rPr>
        <w:t xml:space="preserve"> </w:t>
      </w:r>
      <w:r>
        <w:t>ceci impliquent que le processus est spontané. Ces résultats indiquent que les</w:t>
      </w:r>
      <w:r>
        <w:rPr>
          <w:spacing w:val="1"/>
        </w:rPr>
        <w:t xml:space="preserve"> </w:t>
      </w:r>
      <w:r>
        <w:t>matériaux</w:t>
      </w:r>
      <w:r>
        <w:rPr>
          <w:spacing w:val="1"/>
        </w:rPr>
        <w:t xml:space="preserve"> </w:t>
      </w:r>
      <w:r>
        <w:t>peuvent êtes</w:t>
      </w:r>
      <w:r>
        <w:rPr>
          <w:spacing w:val="-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l’élimination des</w:t>
      </w:r>
      <w:r>
        <w:rPr>
          <w:spacing w:val="1"/>
        </w:rPr>
        <w:t xml:space="preserve"> </w:t>
      </w:r>
      <w:r>
        <w:t>polluants</w:t>
      </w:r>
      <w:r>
        <w:rPr>
          <w:spacing w:val="-1"/>
        </w:rPr>
        <w:t xml:space="preserve"> </w:t>
      </w:r>
      <w:r>
        <w:t>à partir</w:t>
      </w:r>
      <w:r>
        <w:rPr>
          <w:spacing w:val="-1"/>
        </w:rPr>
        <w:t xml:space="preserve"> </w:t>
      </w:r>
      <w:r>
        <w:t>des eaux</w:t>
      </w:r>
      <w:r>
        <w:rPr>
          <w:spacing w:val="2"/>
        </w:rPr>
        <w:t xml:space="preserve"> </w:t>
      </w:r>
      <w:r>
        <w:t>usées.</w:t>
      </w:r>
    </w:p>
    <w:p w:rsidR="005E2962" w:rsidRDefault="005E2962" w:rsidP="005E2962">
      <w:pPr>
        <w:pStyle w:val="Corpsdetexte"/>
        <w:spacing w:before="178"/>
        <w:ind w:right="-284"/>
        <w:jc w:val="both"/>
      </w:pPr>
      <w:r>
        <w:rPr>
          <w:b/>
        </w:rPr>
        <w:t>Mots</w:t>
      </w:r>
      <w:r>
        <w:rPr>
          <w:b/>
          <w:spacing w:val="-2"/>
        </w:rPr>
        <w:t xml:space="preserve"> </w:t>
      </w:r>
      <w:r>
        <w:rPr>
          <w:b/>
        </w:rPr>
        <w:t>Clés</w:t>
      </w:r>
      <w:r>
        <w:rPr>
          <w:b/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Argile</w:t>
      </w:r>
      <w:r>
        <w:rPr>
          <w:spacing w:val="-1"/>
        </w:rPr>
        <w:t xml:space="preserve"> </w:t>
      </w:r>
      <w:r>
        <w:t>;</w:t>
      </w:r>
      <w:r>
        <w:rPr>
          <w:spacing w:val="-2"/>
        </w:rPr>
        <w:t xml:space="preserve"> </w:t>
      </w:r>
      <w:r>
        <w:t>Adsorption</w:t>
      </w:r>
      <w:r>
        <w:rPr>
          <w:spacing w:val="-1"/>
        </w:rPr>
        <w:t xml:space="preserve"> </w:t>
      </w:r>
      <w:r>
        <w:t>;</w:t>
      </w:r>
      <w:r>
        <w:rPr>
          <w:spacing w:val="-2"/>
        </w:rPr>
        <w:t xml:space="preserve"> </w:t>
      </w:r>
      <w:r>
        <w:t>MBT,</w:t>
      </w:r>
      <w:r>
        <w:rPr>
          <w:spacing w:val="1"/>
        </w:rPr>
        <w:t xml:space="preserve"> </w:t>
      </w:r>
      <w:r>
        <w:t>IBP, Isotherme.</w:t>
      </w:r>
    </w:p>
    <w:p w:rsidR="005E2962" w:rsidRDefault="005E2962" w:rsidP="005E2962">
      <w:pPr>
        <w:pStyle w:val="Corpsdetexte"/>
        <w:spacing w:before="10"/>
        <w:ind w:right="-284"/>
        <w:jc w:val="both"/>
      </w:pPr>
    </w:p>
    <w:p w:rsidR="005E2962" w:rsidRDefault="005E2962" w:rsidP="005E2962">
      <w:pPr>
        <w:ind w:right="-284"/>
        <w:jc w:val="both"/>
        <w:rPr>
          <w:b/>
          <w:sz w:val="24"/>
        </w:rPr>
      </w:pPr>
      <w:r>
        <w:rPr>
          <w:b/>
          <w:sz w:val="24"/>
          <w:u w:val="thick"/>
        </w:rPr>
        <w:t>Abstract</w:t>
      </w:r>
    </w:p>
    <w:p w:rsidR="005E2962" w:rsidRDefault="005E2962" w:rsidP="005E2962">
      <w:pPr>
        <w:pStyle w:val="Corpsdetexte"/>
        <w:spacing w:before="7"/>
        <w:ind w:right="-284"/>
        <w:jc w:val="both"/>
        <w:rPr>
          <w:b/>
          <w:sz w:val="20"/>
        </w:rPr>
      </w:pPr>
    </w:p>
    <w:p w:rsidR="005E2962" w:rsidRDefault="005E2962" w:rsidP="005E2962">
      <w:pPr>
        <w:pStyle w:val="Corpsdetexte"/>
        <w:spacing w:before="1" w:line="360" w:lineRule="auto"/>
        <w:ind w:right="-284"/>
        <w:jc w:val="both"/>
      </w:pPr>
      <w:r>
        <w:t>This work examines the adsorption potential of two pollutants of different natures: ibuprofen</w:t>
      </w:r>
      <w:r>
        <w:rPr>
          <w:spacing w:val="1"/>
        </w:rPr>
        <w:t xml:space="preserve"> </w:t>
      </w:r>
      <w:r>
        <w:t>(IBP) and mercaptobenzolthiazole (MBT) by raw and modified clay. The results show that a</w:t>
      </w:r>
      <w:r>
        <w:rPr>
          <w:spacing w:val="1"/>
        </w:rPr>
        <w:t xml:space="preserve"> </w:t>
      </w:r>
      <w:r>
        <w:t>pH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5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9.5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best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adsorption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IBP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MBT,</w:t>
      </w:r>
      <w:r>
        <w:rPr>
          <w:spacing w:val="-14"/>
        </w:rPr>
        <w:t xml:space="preserve"> </w:t>
      </w:r>
      <w:r>
        <w:t>respectively.</w:t>
      </w:r>
      <w:r>
        <w:rPr>
          <w:spacing w:val="-13"/>
        </w:rPr>
        <w:t xml:space="preserve"> </w:t>
      </w:r>
      <w:r>
        <w:t>Adsorption</w:t>
      </w:r>
      <w:r>
        <w:rPr>
          <w:spacing w:val="-13"/>
        </w:rPr>
        <w:t xml:space="preserve"> </w:t>
      </w:r>
      <w:r>
        <w:t>equilibrium</w:t>
      </w:r>
      <w:r>
        <w:rPr>
          <w:spacing w:val="-58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reached after</w:t>
      </w:r>
      <w:r>
        <w:rPr>
          <w:spacing w:val="-5"/>
        </w:rPr>
        <w:t xml:space="preserve"> </w:t>
      </w:r>
      <w:r>
        <w:t>240</w:t>
      </w:r>
      <w:r>
        <w:rPr>
          <w:spacing w:val="-3"/>
        </w:rPr>
        <w:t xml:space="preserve"> </w:t>
      </w:r>
      <w:r>
        <w:t>minutes</w:t>
      </w:r>
      <w:r>
        <w:rPr>
          <w:spacing w:val="-4"/>
        </w:rPr>
        <w:t xml:space="preserve"> </w:t>
      </w:r>
      <w:r>
        <w:t>of contact,</w:t>
      </w:r>
      <w:r>
        <w:rPr>
          <w:spacing w:val="-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pseudo-second-order</w:t>
      </w:r>
      <w:r>
        <w:rPr>
          <w:spacing w:val="-4"/>
        </w:rPr>
        <w:t xml:space="preserve"> </w:t>
      </w:r>
      <w:r>
        <w:t>model</w:t>
      </w:r>
      <w:r>
        <w:rPr>
          <w:spacing w:val="-58"/>
        </w:rPr>
        <w:t xml:space="preserve"> </w:t>
      </w:r>
      <w:r>
        <w:t>with the contribution of intra-particle diffusion. Equilibrium isotherms are described by the</w:t>
      </w:r>
      <w:r>
        <w:rPr>
          <w:spacing w:val="1"/>
        </w:rPr>
        <w:t xml:space="preserve"> </w:t>
      </w:r>
      <w:r>
        <w:t>Temkin and Freundlich models. The thermodynamic quantities show that both materials' free</w:t>
      </w:r>
      <w:r>
        <w:rPr>
          <w:spacing w:val="1"/>
        </w:rPr>
        <w:t xml:space="preserve"> </w:t>
      </w:r>
      <w:r>
        <w:t>energy</w:t>
      </w:r>
      <w:r>
        <w:rPr>
          <w:spacing w:val="-13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negative,</w:t>
      </w:r>
      <w:r>
        <w:rPr>
          <w:spacing w:val="-9"/>
        </w:rPr>
        <w:t xml:space="preserve"> </w:t>
      </w:r>
      <w:r>
        <w:t>implying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process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spontaneous.</w:t>
      </w:r>
      <w:r>
        <w:rPr>
          <w:spacing w:val="-8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indicate</w:t>
      </w:r>
      <w:r>
        <w:rPr>
          <w:spacing w:val="-9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solids</w:t>
      </w:r>
      <w:r>
        <w:rPr>
          <w:spacing w:val="-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used to remove</w:t>
      </w:r>
      <w:r>
        <w:rPr>
          <w:spacing w:val="-1"/>
        </w:rPr>
        <w:t xml:space="preserve"> </w:t>
      </w:r>
      <w:r>
        <w:t>pollutants from</w:t>
      </w:r>
      <w:r>
        <w:rPr>
          <w:spacing w:val="-1"/>
        </w:rPr>
        <w:t xml:space="preserve"> </w:t>
      </w:r>
      <w:r>
        <w:t>wastewater.</w:t>
      </w:r>
    </w:p>
    <w:p w:rsidR="005E2962" w:rsidRDefault="005E2962" w:rsidP="005E2962">
      <w:pPr>
        <w:pStyle w:val="Corpsdetexte"/>
        <w:spacing w:before="200"/>
        <w:ind w:right="-284"/>
        <w:jc w:val="both"/>
      </w:pPr>
      <w:r>
        <w:rPr>
          <w:b/>
        </w:rPr>
        <w:t>Keywords</w:t>
      </w:r>
      <w:r>
        <w:t>:</w:t>
      </w:r>
      <w:r>
        <w:rPr>
          <w:spacing w:val="-3"/>
        </w:rPr>
        <w:t xml:space="preserve"> </w:t>
      </w:r>
      <w:r>
        <w:t>Clay;</w:t>
      </w:r>
      <w:r>
        <w:rPr>
          <w:spacing w:val="-3"/>
        </w:rPr>
        <w:t xml:space="preserve"> </w:t>
      </w:r>
      <w:r>
        <w:t>Adsorption;</w:t>
      </w:r>
      <w:r>
        <w:rPr>
          <w:spacing w:val="-1"/>
        </w:rPr>
        <w:t xml:space="preserve"> </w:t>
      </w:r>
      <w:r>
        <w:t>MBT, IBP,</w:t>
      </w:r>
      <w:r>
        <w:rPr>
          <w:spacing w:val="-1"/>
        </w:rPr>
        <w:t xml:space="preserve"> </w:t>
      </w:r>
      <w:r>
        <w:t>Isotherm.</w:t>
      </w:r>
    </w:p>
    <w:p w:rsidR="00D546B0" w:rsidRDefault="00D546B0"/>
    <w:sectPr w:rsidR="00D546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962"/>
    <w:rsid w:val="000566F6"/>
    <w:rsid w:val="00286719"/>
    <w:rsid w:val="00380F8E"/>
    <w:rsid w:val="004823BE"/>
    <w:rsid w:val="0054403B"/>
    <w:rsid w:val="005E2962"/>
    <w:rsid w:val="007236D1"/>
    <w:rsid w:val="008E6456"/>
    <w:rsid w:val="0090664F"/>
    <w:rsid w:val="00D546B0"/>
    <w:rsid w:val="00F77633"/>
    <w:rsid w:val="00FE0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8C6A3"/>
  <w15:chartTrackingRefBased/>
  <w15:docId w15:val="{8F5EAAD8-B2B7-45CA-B1CA-FF3C59AF3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5E296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5E2962"/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5E2962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rsid w:val="004823B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4823BE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4823B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823B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823BE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23B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23BE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B2A5A068-8799-441E-A056-F05F59888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349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NyrhuGroup</Company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2</cp:revision>
  <dcterms:created xsi:type="dcterms:W3CDTF">2023-07-26T20:31:00Z</dcterms:created>
  <dcterms:modified xsi:type="dcterms:W3CDTF">2023-07-26T21:52:00Z</dcterms:modified>
</cp:coreProperties>
</file>