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039" w:type="dxa"/>
        <w:tblLook w:val="04A0"/>
      </w:tblPr>
      <w:tblGrid>
        <w:gridCol w:w="6062"/>
        <w:gridCol w:w="2977"/>
      </w:tblGrid>
      <w:tr w:rsidR="00A72317" w:rsidTr="0050430C">
        <w:tc>
          <w:tcPr>
            <w:tcW w:w="6062" w:type="dxa"/>
          </w:tcPr>
          <w:p w:rsidR="00A72317" w:rsidRDefault="00A72317"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مانع صابرينة </w:t>
            </w:r>
          </w:p>
        </w:tc>
        <w:tc>
          <w:tcPr>
            <w:tcW w:w="2977" w:type="dxa"/>
            <w:vAlign w:val="center"/>
          </w:tcPr>
          <w:p w:rsidR="00A72317" w:rsidRPr="00CC4F81" w:rsidRDefault="00A72317"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A72317" w:rsidTr="0050430C">
        <w:tc>
          <w:tcPr>
            <w:tcW w:w="6062" w:type="dxa"/>
          </w:tcPr>
          <w:p w:rsidR="00A72317" w:rsidRPr="00805AEB" w:rsidRDefault="00A72317" w:rsidP="0050430C">
            <w:pPr>
              <w:jc w:val="right"/>
              <w:rPr>
                <w:rFonts w:ascii="Traditional Arabic" w:hAnsi="Traditional Arabic" w:cs="Traditional Arabic"/>
                <w:b/>
                <w:bCs/>
                <w:sz w:val="32"/>
                <w:szCs w:val="32"/>
              </w:rPr>
            </w:pPr>
            <w:r w:rsidRPr="00805AEB">
              <w:rPr>
                <w:rFonts w:ascii="Traditional Arabic" w:hAnsi="Traditional Arabic" w:cs="Traditional Arabic"/>
                <w:b/>
                <w:bCs/>
                <w:sz w:val="32"/>
                <w:szCs w:val="32"/>
                <w:rtl/>
                <w:lang w:bidi="ar-DZ"/>
              </w:rPr>
              <w:t xml:space="preserve">إدارة المعرفة ودورها في تحقيق الميزة التنافسية </w:t>
            </w:r>
          </w:p>
          <w:p w:rsidR="00A72317" w:rsidRPr="00805AEB" w:rsidRDefault="00A72317" w:rsidP="0050430C">
            <w:pPr>
              <w:jc w:val="right"/>
              <w:rPr>
                <w:rFonts w:ascii="Traditional Arabic" w:hAnsi="Traditional Arabic" w:cs="Traditional Arabic"/>
                <w:b/>
                <w:bCs/>
                <w:sz w:val="32"/>
                <w:szCs w:val="32"/>
                <w:rtl/>
              </w:rPr>
            </w:pPr>
            <w:r w:rsidRPr="00805AEB">
              <w:rPr>
                <w:rFonts w:ascii="Traditional Arabic" w:hAnsi="Traditional Arabic" w:cs="Traditional Arabic"/>
                <w:b/>
                <w:bCs/>
                <w:sz w:val="32"/>
                <w:szCs w:val="32"/>
                <w:rtl/>
                <w:lang w:bidi="ar-DZ"/>
              </w:rPr>
              <w:t xml:space="preserve">دراسة </w:t>
            </w:r>
            <w:r w:rsidRPr="00805AEB">
              <w:rPr>
                <w:rFonts w:ascii="Traditional Arabic" w:hAnsi="Traditional Arabic" w:cs="Traditional Arabic" w:hint="cs"/>
                <w:b/>
                <w:bCs/>
                <w:sz w:val="32"/>
                <w:szCs w:val="32"/>
                <w:rtl/>
                <w:lang w:bidi="ar-DZ"/>
              </w:rPr>
              <w:t xml:space="preserve">عينة من </w:t>
            </w:r>
            <w:r w:rsidRPr="00805AEB">
              <w:rPr>
                <w:rFonts w:ascii="Traditional Arabic" w:hAnsi="Traditional Arabic" w:cs="Traditional Arabic"/>
                <w:b/>
                <w:bCs/>
                <w:sz w:val="32"/>
                <w:szCs w:val="32"/>
                <w:rtl/>
                <w:lang w:bidi="ar-DZ"/>
              </w:rPr>
              <w:t xml:space="preserve">مؤسسات </w:t>
            </w:r>
            <w:r w:rsidRPr="00805AEB">
              <w:rPr>
                <w:rFonts w:ascii="Traditional Arabic" w:hAnsi="Traditional Arabic" w:cs="Traditional Arabic"/>
                <w:b/>
                <w:bCs/>
                <w:sz w:val="32"/>
                <w:szCs w:val="32"/>
                <w:rtl/>
              </w:rPr>
              <w:t>الاتصال</w:t>
            </w:r>
            <w:r w:rsidRPr="00805AEB">
              <w:rPr>
                <w:rFonts w:ascii="Traditional Arabic" w:hAnsi="Traditional Arabic" w:cs="Traditional Arabic" w:hint="cs"/>
                <w:b/>
                <w:bCs/>
                <w:sz w:val="32"/>
                <w:szCs w:val="32"/>
                <w:rtl/>
              </w:rPr>
              <w:t>ات</w:t>
            </w:r>
            <w:r w:rsidRPr="00805AEB">
              <w:rPr>
                <w:rFonts w:ascii="Traditional Arabic" w:hAnsi="Traditional Arabic" w:cs="Traditional Arabic"/>
                <w:b/>
                <w:bCs/>
                <w:sz w:val="32"/>
                <w:szCs w:val="32"/>
                <w:rtl/>
              </w:rPr>
              <w:t xml:space="preserve"> </w:t>
            </w:r>
          </w:p>
          <w:p w:rsidR="00A72317" w:rsidRDefault="00A72317" w:rsidP="0050430C">
            <w:pPr>
              <w:jc w:val="right"/>
              <w:rPr>
                <w:b/>
                <w:bCs/>
                <w:highlight w:val="yellow"/>
                <w:u w:val="single"/>
                <w:lang w:bidi="ar-DZ"/>
              </w:rPr>
            </w:pPr>
          </w:p>
        </w:tc>
        <w:tc>
          <w:tcPr>
            <w:tcW w:w="2977" w:type="dxa"/>
            <w:vAlign w:val="center"/>
          </w:tcPr>
          <w:p w:rsidR="00A72317" w:rsidRPr="00CC4F81" w:rsidRDefault="00A72317"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A72317" w:rsidRPr="00CC4F81" w:rsidRDefault="00A72317" w:rsidP="0050430C">
            <w:pPr>
              <w:jc w:val="right"/>
              <w:rPr>
                <w:rFonts w:ascii="Traditional Arabic" w:hAnsi="Traditional Arabic" w:cs="Traditional Arabic"/>
                <w:b/>
                <w:bCs/>
                <w:sz w:val="30"/>
                <w:szCs w:val="30"/>
                <w:lang w:bidi="ar-DZ"/>
              </w:rPr>
            </w:pPr>
          </w:p>
        </w:tc>
      </w:tr>
      <w:tr w:rsidR="00A72317" w:rsidTr="0050430C">
        <w:tc>
          <w:tcPr>
            <w:tcW w:w="6062" w:type="dxa"/>
          </w:tcPr>
          <w:p w:rsidR="00A72317" w:rsidRDefault="00A72317" w:rsidP="0050430C">
            <w:pPr>
              <w:jc w:val="right"/>
              <w:rPr>
                <w:b/>
                <w:bCs/>
                <w:highlight w:val="yellow"/>
                <w:u w:val="single"/>
                <w:lang w:bidi="ar-DZ"/>
              </w:rPr>
            </w:pPr>
            <w:r w:rsidRPr="00591FA5">
              <w:rPr>
                <w:rFonts w:hint="cs"/>
                <w:b/>
                <w:bCs/>
                <w:highlight w:val="yellow"/>
                <w:u w:val="single"/>
                <w:rtl/>
              </w:rPr>
              <w:t>29 مارس 2017</w:t>
            </w:r>
          </w:p>
        </w:tc>
        <w:tc>
          <w:tcPr>
            <w:tcW w:w="2977" w:type="dxa"/>
            <w:vAlign w:val="center"/>
          </w:tcPr>
          <w:p w:rsidR="00A72317" w:rsidRPr="00CC4F81" w:rsidRDefault="00A72317"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A72317" w:rsidTr="0050430C">
        <w:tc>
          <w:tcPr>
            <w:tcW w:w="6062" w:type="dxa"/>
          </w:tcPr>
          <w:p w:rsidR="00A72317" w:rsidRDefault="00A72317" w:rsidP="0050430C">
            <w:pPr>
              <w:jc w:val="right"/>
              <w:rPr>
                <w:b/>
                <w:bCs/>
                <w:highlight w:val="yellow"/>
                <w:u w:val="single"/>
                <w:lang w:bidi="ar-DZ"/>
              </w:rPr>
            </w:pPr>
            <w:r>
              <w:rPr>
                <w:rFonts w:hint="cs"/>
                <w:b/>
                <w:bCs/>
                <w:highlight w:val="yellow"/>
                <w:u w:val="single"/>
                <w:rtl/>
              </w:rPr>
              <w:t>مجلة دراسات وابحاث اقتصادية في الطاقات المتجددة</w:t>
            </w:r>
          </w:p>
        </w:tc>
        <w:tc>
          <w:tcPr>
            <w:tcW w:w="2977" w:type="dxa"/>
            <w:vAlign w:val="center"/>
          </w:tcPr>
          <w:p w:rsidR="00A72317" w:rsidRPr="00CC4F81" w:rsidRDefault="00A72317"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A72317" w:rsidTr="0050430C">
        <w:tc>
          <w:tcPr>
            <w:tcW w:w="6062" w:type="dxa"/>
          </w:tcPr>
          <w:p w:rsidR="00A72317" w:rsidRDefault="00A72317" w:rsidP="0050430C">
            <w:pPr>
              <w:jc w:val="right"/>
              <w:rPr>
                <w:b/>
                <w:bCs/>
                <w:highlight w:val="yellow"/>
                <w:u w:val="single"/>
                <w:lang w:bidi="ar-DZ"/>
              </w:rPr>
            </w:pPr>
          </w:p>
        </w:tc>
        <w:tc>
          <w:tcPr>
            <w:tcW w:w="2977" w:type="dxa"/>
            <w:vAlign w:val="center"/>
          </w:tcPr>
          <w:p w:rsidR="00A72317" w:rsidRPr="00CC4F81" w:rsidRDefault="00A72317"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A72317" w:rsidTr="0050430C">
        <w:tc>
          <w:tcPr>
            <w:tcW w:w="6062" w:type="dxa"/>
          </w:tcPr>
          <w:p w:rsidR="00A72317" w:rsidRDefault="00A72317" w:rsidP="0050430C">
            <w:pPr>
              <w:jc w:val="right"/>
              <w:rPr>
                <w:b/>
                <w:bCs/>
                <w:highlight w:val="yellow"/>
                <w:u w:val="single"/>
                <w:lang w:bidi="ar-DZ"/>
              </w:rPr>
            </w:pPr>
            <w:r>
              <w:rPr>
                <w:rFonts w:hint="cs"/>
                <w:b/>
                <w:bCs/>
                <w:highlight w:val="yellow"/>
                <w:u w:val="single"/>
                <w:rtl/>
                <w:lang w:bidi="ar-DZ"/>
              </w:rPr>
              <w:t>8</w:t>
            </w:r>
          </w:p>
        </w:tc>
        <w:tc>
          <w:tcPr>
            <w:tcW w:w="2977" w:type="dxa"/>
            <w:vAlign w:val="center"/>
          </w:tcPr>
          <w:p w:rsidR="00A72317" w:rsidRPr="00CC4F81" w:rsidRDefault="00A72317"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A72317" w:rsidTr="0050430C">
        <w:tc>
          <w:tcPr>
            <w:tcW w:w="6062" w:type="dxa"/>
          </w:tcPr>
          <w:p w:rsidR="00A72317" w:rsidRDefault="00A72317" w:rsidP="0050430C">
            <w:pPr>
              <w:jc w:val="right"/>
              <w:rPr>
                <w:b/>
                <w:bCs/>
                <w:highlight w:val="yellow"/>
                <w:u w:val="single"/>
                <w:lang w:bidi="ar-DZ"/>
              </w:rPr>
            </w:pPr>
            <w:r>
              <w:rPr>
                <w:rFonts w:hint="cs"/>
                <w:b/>
                <w:bCs/>
                <w:highlight w:val="yellow"/>
                <w:u w:val="single"/>
                <w:rtl/>
                <w:lang w:bidi="ar-DZ"/>
              </w:rPr>
              <w:t>5353-2392</w:t>
            </w:r>
          </w:p>
        </w:tc>
        <w:tc>
          <w:tcPr>
            <w:tcW w:w="2977" w:type="dxa"/>
            <w:vAlign w:val="center"/>
          </w:tcPr>
          <w:p w:rsidR="00A72317" w:rsidRPr="00CC4F81" w:rsidRDefault="00A72317"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A72317" w:rsidTr="0050430C">
        <w:tc>
          <w:tcPr>
            <w:tcW w:w="6062" w:type="dxa"/>
          </w:tcPr>
          <w:p w:rsidR="00A72317" w:rsidRDefault="00A72317"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2977" w:type="dxa"/>
            <w:vAlign w:val="center"/>
          </w:tcPr>
          <w:p w:rsidR="00A72317" w:rsidRPr="00CC4F81" w:rsidRDefault="00A72317"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A72317" w:rsidTr="0050430C">
        <w:tc>
          <w:tcPr>
            <w:tcW w:w="6062" w:type="dxa"/>
          </w:tcPr>
          <w:p w:rsidR="00A72317" w:rsidRDefault="00A72317"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2977" w:type="dxa"/>
            <w:vAlign w:val="center"/>
          </w:tcPr>
          <w:p w:rsidR="00A72317" w:rsidRPr="00CC4F81" w:rsidRDefault="00A72317" w:rsidP="0050430C">
            <w:pPr>
              <w:jc w:val="right"/>
              <w:rPr>
                <w:rFonts w:ascii="Traditional Arabic" w:hAnsi="Traditional Arabic" w:cs="Traditional Arabic"/>
                <w:b/>
                <w:bCs/>
                <w:sz w:val="30"/>
                <w:szCs w:val="30"/>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p w:rsidR="00A72317" w:rsidRPr="00CC4F81" w:rsidRDefault="00A72317" w:rsidP="0050430C">
            <w:pPr>
              <w:jc w:val="right"/>
              <w:rPr>
                <w:rFonts w:ascii="Traditional Arabic" w:hAnsi="Traditional Arabic" w:cs="Traditional Arabic"/>
                <w:b/>
                <w:bCs/>
                <w:sz w:val="30"/>
                <w:szCs w:val="30"/>
                <w:lang w:bidi="ar-DZ"/>
              </w:rPr>
            </w:pPr>
          </w:p>
        </w:tc>
      </w:tr>
      <w:tr w:rsidR="00A72317" w:rsidTr="0050430C">
        <w:tc>
          <w:tcPr>
            <w:tcW w:w="6062" w:type="dxa"/>
          </w:tcPr>
          <w:p w:rsidR="00A72317" w:rsidRPr="00805AEB" w:rsidRDefault="00A72317" w:rsidP="0050430C">
            <w:pPr>
              <w:jc w:val="right"/>
              <w:rPr>
                <w:b/>
                <w:bCs/>
                <w:highlight w:val="yellow"/>
                <w:u w:val="single"/>
                <w:lang w:bidi="ar-DZ"/>
              </w:rPr>
            </w:pPr>
            <w:r w:rsidRPr="00805AEB">
              <w:rPr>
                <w:b/>
                <w:bCs/>
                <w:highlight w:val="yellow"/>
                <w:u w:val="single"/>
                <w:rtl/>
                <w:lang w:bidi="ar-DZ"/>
              </w:rPr>
              <w:t xml:space="preserve"> المعرفة، إدارة المعرفة، عمال المعرفة، اقتصاد المعرفة، الميزة التنافسية.</w:t>
            </w:r>
          </w:p>
          <w:p w:rsidR="00A72317" w:rsidRDefault="00A72317" w:rsidP="0050430C">
            <w:pPr>
              <w:jc w:val="right"/>
              <w:rPr>
                <w:b/>
                <w:bCs/>
                <w:highlight w:val="yellow"/>
                <w:u w:val="single"/>
                <w:lang w:bidi="ar-DZ"/>
              </w:rPr>
            </w:pPr>
          </w:p>
        </w:tc>
        <w:tc>
          <w:tcPr>
            <w:tcW w:w="2977" w:type="dxa"/>
            <w:vAlign w:val="center"/>
          </w:tcPr>
          <w:p w:rsidR="00A72317" w:rsidRPr="00CC4F81" w:rsidRDefault="00A72317"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A72317" w:rsidTr="0050430C">
        <w:tc>
          <w:tcPr>
            <w:tcW w:w="6062" w:type="dxa"/>
          </w:tcPr>
          <w:p w:rsidR="00A72317" w:rsidRPr="00805AEB" w:rsidRDefault="00A72317" w:rsidP="0050430C">
            <w:pPr>
              <w:bidi/>
              <w:ind w:firstLine="708"/>
              <w:jc w:val="both"/>
              <w:rPr>
                <w:rFonts w:ascii="Simplified Arabic" w:hAnsi="Simplified Arabic" w:cs="Simplified Arabic"/>
                <w:rtl/>
                <w:lang w:bidi="ar-DZ"/>
              </w:rPr>
            </w:pPr>
            <w:r w:rsidRPr="00805AEB">
              <w:rPr>
                <w:rFonts w:ascii="Simplified Arabic" w:hAnsi="Simplified Arabic" w:cs="Simplified Arabic"/>
                <w:rtl/>
                <w:lang w:bidi="ar-DZ"/>
              </w:rPr>
              <w:t xml:space="preserve">تهدف هذه الدراسة إلى الكشف عن دور إدارة المعرفة في تحقيق الميزة التنافسية، تمت الدراسة على عينة من مؤسسات الاتصالات الممثلة في مختلف وكلاتها لولاية مستغانم، اعتمدت الدراسة على المنهج الوصفي والمنهج التحليلي وباعتماد برنامج العلوم الادارية </w:t>
            </w:r>
            <w:r w:rsidRPr="00805AEB">
              <w:rPr>
                <w:rFonts w:ascii="Simplified Arabic" w:hAnsi="Simplified Arabic" w:cs="Simplified Arabic"/>
                <w:lang w:bidi="ar-DZ"/>
              </w:rPr>
              <w:t>spss20</w:t>
            </w:r>
            <w:r w:rsidRPr="00805AEB">
              <w:rPr>
                <w:rFonts w:ascii="Simplified Arabic" w:hAnsi="Simplified Arabic" w:cs="Simplified Arabic"/>
                <w:rtl/>
                <w:lang w:bidi="ar-DZ"/>
              </w:rPr>
              <w:t xml:space="preserve">، ومختلف الأساليب الاحصائية لتحليل البيانات المتحصل عليها من خلال الاستبيان كوسيلة للغرض. أجريت الدراسة على عينة ممثلة بـ 33 فرد من أجل اختبار الفرضيات وتأكيد أو نفي العلاقة الموجودة بين ادارة المعرفة وتحقيق الميزة التنافسية، وقد توصلت الدراسة لوجود علاقة إجابيه طردية بين إدارة المعرفة والميزة التنافسية في المؤسسات المدروسة. </w:t>
            </w:r>
          </w:p>
          <w:p w:rsidR="00A72317" w:rsidRPr="00805AEB" w:rsidRDefault="00A72317" w:rsidP="0050430C">
            <w:pPr>
              <w:bidi/>
              <w:jc w:val="both"/>
              <w:rPr>
                <w:b/>
                <w:bCs/>
                <w:highlight w:val="yellow"/>
                <w:u w:val="single"/>
                <w:lang w:bidi="ar-DZ"/>
              </w:rPr>
            </w:pPr>
          </w:p>
        </w:tc>
        <w:tc>
          <w:tcPr>
            <w:tcW w:w="2977" w:type="dxa"/>
            <w:vAlign w:val="center"/>
          </w:tcPr>
          <w:p w:rsidR="00A72317" w:rsidRPr="00CC4F81" w:rsidRDefault="00A72317"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Simplified Arabic">
    <w:altName w:val="Times New Roman"/>
    <w:charset w:val="00"/>
    <w:family w:val="roman"/>
    <w:pitch w:val="variable"/>
    <w:sig w:usb0="00000000"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283D23"/>
    <w:rsid w:val="002E56E9"/>
    <w:rsid w:val="00580BB0"/>
    <w:rsid w:val="00590C55"/>
    <w:rsid w:val="007921C7"/>
    <w:rsid w:val="00892829"/>
    <w:rsid w:val="009128E1"/>
    <w:rsid w:val="00A2671B"/>
    <w:rsid w:val="00A67C64"/>
    <w:rsid w:val="00A72317"/>
    <w:rsid w:val="00C147B2"/>
    <w:rsid w:val="00C264E1"/>
    <w:rsid w:val="00C62C3F"/>
    <w:rsid w:val="00CC0729"/>
    <w:rsid w:val="00D64E9E"/>
    <w:rsid w:val="00DB0488"/>
    <w:rsid w:val="00DB7711"/>
    <w:rsid w:val="00EA1B3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160</Words>
  <Characters>882</Characters>
  <Application>Microsoft Office Word</Application>
  <DocSecurity>0</DocSecurity>
  <Lines>7</Lines>
  <Paragraphs>2</Paragraphs>
  <ScaleCrop>false</ScaleCrop>
  <Company/>
  <LinksUpToDate>false</LinksUpToDate>
  <CharactersWithSpaces>1040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12</cp:revision>
  <dcterms:created xsi:type="dcterms:W3CDTF">2019-01-04T20:31:00Z</dcterms:created>
  <dcterms:modified xsi:type="dcterms:W3CDTF">2019-01-04T21:06:00Z</dcterms:modified>
</cp:coreProperties>
</file>