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7AF" w:rsidRPr="00741017" w:rsidRDefault="00DA07AF" w:rsidP="00DA07AF">
      <w:pPr>
        <w:tabs>
          <w:tab w:val="right" w:pos="425"/>
          <w:tab w:val="right" w:pos="5385"/>
        </w:tabs>
        <w:bidi/>
        <w:ind w:left="1789"/>
        <w:jc w:val="center"/>
        <w:rPr>
          <w:rFonts w:cs="Traditional Arabic"/>
          <w:b/>
          <w:bCs/>
          <w:sz w:val="32"/>
          <w:szCs w:val="32"/>
          <w:u w:val="single"/>
          <w:rtl/>
        </w:rPr>
      </w:pPr>
      <w:r w:rsidRPr="00741017">
        <w:rPr>
          <w:rFonts w:cs="Traditional Arabic"/>
          <w:b/>
          <w:bCs/>
          <w:sz w:val="32"/>
          <w:szCs w:val="32"/>
          <w:u w:val="single"/>
          <w:rtl/>
        </w:rPr>
        <w:t>المختصرات:</w:t>
      </w:r>
    </w:p>
    <w:p w:rsidR="00DA07AF" w:rsidRPr="00741017" w:rsidRDefault="00DA07AF" w:rsidP="00DA07AF">
      <w:pPr>
        <w:pStyle w:val="Paragraphedeliste"/>
        <w:numPr>
          <w:ilvl w:val="0"/>
          <w:numId w:val="1"/>
        </w:numPr>
        <w:tabs>
          <w:tab w:val="right" w:pos="425"/>
        </w:tabs>
        <w:bidi/>
        <w:jc w:val="both"/>
        <w:rPr>
          <w:rFonts w:cs="Traditional Arabic"/>
          <w:b/>
          <w:bCs/>
          <w:sz w:val="28"/>
          <w:szCs w:val="28"/>
          <w:u w:val="single"/>
          <w:rtl/>
        </w:rPr>
      </w:pPr>
      <w:r w:rsidRPr="00741017">
        <w:rPr>
          <w:rFonts w:cs="Traditional Arabic"/>
          <w:b/>
          <w:bCs/>
          <w:sz w:val="28"/>
          <w:szCs w:val="28"/>
          <w:u w:val="single"/>
          <w:rtl/>
        </w:rPr>
        <w:t>أوّلا- المختصرات باللّغة العربية:</w:t>
      </w:r>
    </w:p>
    <w:p w:rsidR="00DA07AF" w:rsidRPr="00741017" w:rsidRDefault="00DA07AF" w:rsidP="00DA07AF">
      <w:pPr>
        <w:tabs>
          <w:tab w:val="right" w:pos="425"/>
          <w:tab w:val="left" w:pos="5755"/>
        </w:tabs>
        <w:bidi/>
        <w:ind w:firstLine="709"/>
        <w:jc w:val="both"/>
        <w:rPr>
          <w:rFonts w:cs="Traditional Arabic"/>
          <w:sz w:val="28"/>
          <w:szCs w:val="28"/>
          <w:rtl/>
        </w:rPr>
      </w:pPr>
      <w:r w:rsidRPr="00741017">
        <w:rPr>
          <w:rFonts w:cs="Traditional Arabic"/>
          <w:sz w:val="28"/>
          <w:szCs w:val="28"/>
          <w:rtl/>
        </w:rPr>
        <w:t>ق.م.ج/القانون المدني الجزائري</w:t>
      </w:r>
      <w:r w:rsidRPr="00741017">
        <w:rPr>
          <w:rFonts w:cs="Traditional Arabic"/>
          <w:sz w:val="28"/>
          <w:szCs w:val="28"/>
        </w:rPr>
        <w:t>.</w:t>
      </w:r>
    </w:p>
    <w:p w:rsidR="00DA07AF" w:rsidRPr="00741017" w:rsidRDefault="00DA07AF" w:rsidP="00DA07AF">
      <w:pPr>
        <w:tabs>
          <w:tab w:val="right" w:pos="425"/>
          <w:tab w:val="left" w:pos="5755"/>
        </w:tabs>
        <w:bidi/>
        <w:ind w:firstLine="709"/>
        <w:jc w:val="both"/>
        <w:rPr>
          <w:rFonts w:cs="Traditional Arabic"/>
          <w:sz w:val="28"/>
          <w:szCs w:val="28"/>
          <w:rtl/>
        </w:rPr>
      </w:pPr>
      <w:r w:rsidRPr="00741017">
        <w:rPr>
          <w:rFonts w:cs="Traditional Arabic"/>
          <w:sz w:val="28"/>
          <w:szCs w:val="28"/>
          <w:rtl/>
        </w:rPr>
        <w:t>ج/الجزء.</w:t>
      </w:r>
    </w:p>
    <w:p w:rsidR="00DA07AF" w:rsidRPr="00741017" w:rsidRDefault="00DA07AF" w:rsidP="00DA07AF">
      <w:pPr>
        <w:tabs>
          <w:tab w:val="right" w:pos="425"/>
        </w:tabs>
        <w:bidi/>
        <w:spacing w:line="240" w:lineRule="auto"/>
        <w:ind w:firstLine="709"/>
        <w:jc w:val="both"/>
        <w:rPr>
          <w:rFonts w:cs="Traditional Arabic"/>
          <w:sz w:val="28"/>
          <w:szCs w:val="28"/>
          <w:rtl/>
        </w:rPr>
      </w:pPr>
      <w:r w:rsidRPr="00741017">
        <w:rPr>
          <w:rFonts w:cs="Traditional Arabic"/>
          <w:sz w:val="28"/>
          <w:szCs w:val="28"/>
          <w:rtl/>
        </w:rPr>
        <w:t>ق.م.ف/ القانون المدني الفرنسي</w:t>
      </w:r>
      <w:r w:rsidRPr="00741017">
        <w:rPr>
          <w:rFonts w:cs="Traditional Arabic"/>
          <w:sz w:val="28"/>
          <w:szCs w:val="28"/>
        </w:rPr>
        <w:t>.</w:t>
      </w:r>
      <w:r w:rsidRPr="00741017">
        <w:rPr>
          <w:rFonts w:cs="Traditional Arabic"/>
          <w:sz w:val="28"/>
          <w:szCs w:val="28"/>
        </w:rPr>
        <w:tab/>
      </w:r>
      <w:r w:rsidRPr="00741017">
        <w:rPr>
          <w:rFonts w:cs="Traditional Arabic"/>
          <w:sz w:val="28"/>
          <w:szCs w:val="28"/>
          <w:rtl/>
        </w:rPr>
        <w:t xml:space="preserve">    </w:t>
      </w:r>
    </w:p>
    <w:p w:rsidR="00DA07AF" w:rsidRPr="00741017" w:rsidRDefault="00DA07AF" w:rsidP="00DA07AF">
      <w:pPr>
        <w:tabs>
          <w:tab w:val="right" w:pos="425"/>
        </w:tabs>
        <w:bidi/>
        <w:spacing w:line="240" w:lineRule="auto"/>
        <w:ind w:firstLine="709"/>
        <w:jc w:val="both"/>
        <w:rPr>
          <w:rFonts w:cs="Traditional Arabic"/>
          <w:sz w:val="28"/>
          <w:szCs w:val="28"/>
          <w:rtl/>
        </w:rPr>
      </w:pPr>
      <w:r w:rsidRPr="00741017">
        <w:rPr>
          <w:rFonts w:cs="Traditional Arabic"/>
          <w:sz w:val="28"/>
          <w:szCs w:val="28"/>
          <w:rtl/>
        </w:rPr>
        <w:t>ق.م.م/القانون المدني المصري</w:t>
      </w:r>
      <w:r w:rsidRPr="00741017">
        <w:rPr>
          <w:rFonts w:cs="Traditional Arabic"/>
          <w:sz w:val="28"/>
          <w:szCs w:val="28"/>
        </w:rPr>
        <w:t>.</w:t>
      </w:r>
      <w:r w:rsidRPr="00741017">
        <w:rPr>
          <w:rFonts w:cs="Traditional Arabic"/>
          <w:sz w:val="28"/>
          <w:szCs w:val="28"/>
          <w:rtl/>
        </w:rPr>
        <w:t xml:space="preserve">  </w:t>
      </w:r>
    </w:p>
    <w:p w:rsidR="00DA07AF" w:rsidRPr="00741017" w:rsidRDefault="00DA07AF" w:rsidP="00DA07AF">
      <w:pPr>
        <w:tabs>
          <w:tab w:val="right" w:pos="425"/>
        </w:tabs>
        <w:bidi/>
        <w:spacing w:line="240" w:lineRule="auto"/>
        <w:jc w:val="both"/>
        <w:rPr>
          <w:rFonts w:cs="Traditional Arabic"/>
          <w:sz w:val="28"/>
          <w:szCs w:val="28"/>
          <w:rtl/>
        </w:rPr>
      </w:pPr>
      <w:r w:rsidRPr="00741017">
        <w:rPr>
          <w:rFonts w:cs="Traditional Arabic"/>
          <w:sz w:val="28"/>
          <w:szCs w:val="28"/>
          <w:rtl/>
        </w:rPr>
        <w:t xml:space="preserve">       </w:t>
      </w:r>
      <w:r>
        <w:rPr>
          <w:rFonts w:cs="Traditional Arabic"/>
          <w:sz w:val="28"/>
          <w:szCs w:val="28"/>
        </w:rPr>
        <w:t xml:space="preserve">   </w:t>
      </w:r>
      <w:r w:rsidRPr="00741017">
        <w:rPr>
          <w:rFonts w:cs="Traditional Arabic"/>
          <w:sz w:val="28"/>
          <w:szCs w:val="28"/>
          <w:rtl/>
        </w:rPr>
        <w:t xml:space="preserve"> ص/صفحة</w:t>
      </w:r>
      <w:r w:rsidRPr="00741017">
        <w:rPr>
          <w:rFonts w:cs="Traditional Arabic"/>
          <w:sz w:val="28"/>
          <w:szCs w:val="28"/>
        </w:rPr>
        <w:t>.</w:t>
      </w:r>
    </w:p>
    <w:p w:rsidR="00DA07AF" w:rsidRPr="00741017" w:rsidRDefault="00DA07AF" w:rsidP="00DA07AF">
      <w:pPr>
        <w:tabs>
          <w:tab w:val="right" w:pos="425"/>
          <w:tab w:val="left" w:pos="5658"/>
        </w:tabs>
        <w:bidi/>
        <w:spacing w:line="240" w:lineRule="auto"/>
        <w:ind w:firstLine="709"/>
        <w:jc w:val="both"/>
        <w:rPr>
          <w:rFonts w:cs="Traditional Arabic"/>
          <w:sz w:val="28"/>
          <w:szCs w:val="28"/>
          <w:rtl/>
        </w:rPr>
      </w:pPr>
      <w:r w:rsidRPr="00741017">
        <w:rPr>
          <w:rFonts w:cs="Traditional Arabic"/>
          <w:sz w:val="28"/>
          <w:szCs w:val="28"/>
          <w:rtl/>
        </w:rPr>
        <w:t>ق.إ.م.إ/قانون الإجراءات المدنية و الإدارية</w:t>
      </w:r>
      <w:r w:rsidRPr="00741017">
        <w:rPr>
          <w:rFonts w:cs="Traditional Arabic"/>
          <w:sz w:val="28"/>
          <w:szCs w:val="28"/>
        </w:rPr>
        <w:t>.</w:t>
      </w:r>
    </w:p>
    <w:p w:rsidR="00DA07AF" w:rsidRPr="00741017" w:rsidRDefault="00DA07AF" w:rsidP="00DA07AF">
      <w:pPr>
        <w:tabs>
          <w:tab w:val="right" w:pos="425"/>
          <w:tab w:val="left" w:pos="5658"/>
        </w:tabs>
        <w:bidi/>
        <w:spacing w:line="240" w:lineRule="auto"/>
        <w:ind w:firstLine="709"/>
        <w:jc w:val="both"/>
        <w:rPr>
          <w:rFonts w:cs="Traditional Arabic"/>
          <w:sz w:val="28"/>
          <w:szCs w:val="28"/>
          <w:rtl/>
        </w:rPr>
      </w:pPr>
      <w:r w:rsidRPr="00741017">
        <w:rPr>
          <w:rFonts w:cs="Traditional Arabic"/>
          <w:sz w:val="28"/>
          <w:szCs w:val="28"/>
          <w:rtl/>
        </w:rPr>
        <w:t>ع/العدد.</w:t>
      </w:r>
    </w:p>
    <w:p w:rsidR="00DA07AF" w:rsidRPr="00741017" w:rsidRDefault="00DA07AF" w:rsidP="00DA07AF">
      <w:pPr>
        <w:tabs>
          <w:tab w:val="right" w:pos="425"/>
        </w:tabs>
        <w:bidi/>
        <w:spacing w:line="240" w:lineRule="auto"/>
        <w:jc w:val="both"/>
        <w:rPr>
          <w:rFonts w:cs="Traditional Arabic"/>
          <w:sz w:val="28"/>
          <w:szCs w:val="28"/>
          <w:rtl/>
        </w:rPr>
      </w:pPr>
      <w:r w:rsidRPr="00741017">
        <w:rPr>
          <w:rFonts w:cs="Traditional Arabic"/>
          <w:sz w:val="28"/>
          <w:szCs w:val="28"/>
          <w:rtl/>
        </w:rPr>
        <w:t xml:space="preserve">    </w:t>
      </w:r>
      <w:r>
        <w:rPr>
          <w:rFonts w:cs="Traditional Arabic"/>
          <w:sz w:val="28"/>
          <w:szCs w:val="28"/>
        </w:rPr>
        <w:t xml:space="preserve">    </w:t>
      </w:r>
      <w:r w:rsidRPr="00741017">
        <w:rPr>
          <w:rFonts w:cs="Traditional Arabic"/>
          <w:sz w:val="28"/>
          <w:szCs w:val="28"/>
          <w:rtl/>
        </w:rPr>
        <w:t xml:space="preserve">   ج ر/ الجريدة الرّسمية للجمهورية الجزائرية الدّيمقراطية الشّعبية.</w:t>
      </w:r>
    </w:p>
    <w:p w:rsidR="00DA07AF" w:rsidRPr="00741017" w:rsidRDefault="00DA07AF" w:rsidP="00DA07AF">
      <w:pPr>
        <w:tabs>
          <w:tab w:val="right" w:pos="425"/>
        </w:tabs>
        <w:bidi/>
        <w:spacing w:line="240" w:lineRule="auto"/>
        <w:ind w:firstLine="708"/>
        <w:jc w:val="both"/>
        <w:rPr>
          <w:rFonts w:cs="Traditional Arabic"/>
          <w:sz w:val="28"/>
          <w:szCs w:val="28"/>
        </w:rPr>
      </w:pPr>
      <w:r w:rsidRPr="00741017">
        <w:rPr>
          <w:rFonts w:cs="Traditional Arabic"/>
          <w:sz w:val="28"/>
          <w:szCs w:val="28"/>
          <w:rtl/>
        </w:rPr>
        <w:t>د.م.ج/ديوان المطبوعات الجامعية.</w:t>
      </w:r>
    </w:p>
    <w:p w:rsidR="00DA07AF" w:rsidRPr="00741017" w:rsidRDefault="00DA07AF" w:rsidP="00DA07AF">
      <w:pPr>
        <w:tabs>
          <w:tab w:val="right" w:pos="425"/>
        </w:tabs>
        <w:bidi/>
        <w:spacing w:line="240" w:lineRule="auto"/>
        <w:ind w:firstLine="708"/>
        <w:jc w:val="both"/>
        <w:rPr>
          <w:rFonts w:cs="Traditional Arabic"/>
          <w:sz w:val="28"/>
          <w:szCs w:val="28"/>
          <w:rtl/>
        </w:rPr>
      </w:pPr>
      <w:r w:rsidRPr="00741017">
        <w:rPr>
          <w:rFonts w:cs="Traditional Arabic" w:hint="cs"/>
          <w:sz w:val="28"/>
          <w:szCs w:val="28"/>
          <w:rtl/>
        </w:rPr>
        <w:t>د/دكتور.</w:t>
      </w:r>
    </w:p>
    <w:p w:rsidR="00DA07AF" w:rsidRDefault="00DA07AF" w:rsidP="00DA07AF">
      <w:pPr>
        <w:pStyle w:val="Paragraphedeliste"/>
        <w:numPr>
          <w:ilvl w:val="0"/>
          <w:numId w:val="1"/>
        </w:numPr>
        <w:tabs>
          <w:tab w:val="right" w:pos="425"/>
        </w:tabs>
        <w:bidi/>
        <w:jc w:val="both"/>
        <w:rPr>
          <w:rFonts w:cs="Traditional Arabic" w:hint="cs"/>
          <w:b/>
          <w:bCs/>
          <w:sz w:val="28"/>
          <w:szCs w:val="28"/>
          <w:u w:val="single"/>
        </w:rPr>
      </w:pPr>
      <w:r w:rsidRPr="00741017">
        <w:rPr>
          <w:rFonts w:cs="Traditional Arabic"/>
          <w:b/>
          <w:bCs/>
          <w:sz w:val="28"/>
          <w:szCs w:val="28"/>
          <w:u w:val="single"/>
          <w:rtl/>
        </w:rPr>
        <w:t>ثانيا- المختصرات باللّغة الفرنسية:</w:t>
      </w:r>
    </w:p>
    <w:p w:rsidR="00DA07AF" w:rsidRPr="00DA07AF" w:rsidRDefault="00DA07AF" w:rsidP="00DA07AF">
      <w:pPr>
        <w:pStyle w:val="Paragraphedeliste"/>
        <w:tabs>
          <w:tab w:val="right" w:pos="425"/>
        </w:tabs>
        <w:bidi/>
        <w:ind w:left="1429"/>
        <w:jc w:val="right"/>
        <w:rPr>
          <w:rFonts w:cs="Traditional Arabic"/>
          <w:sz w:val="28"/>
          <w:szCs w:val="28"/>
        </w:rPr>
      </w:pPr>
      <w:r>
        <w:rPr>
          <w:rFonts w:cs="Traditional Arabic"/>
          <w:sz w:val="28"/>
          <w:szCs w:val="28"/>
        </w:rPr>
        <w:t>-</w:t>
      </w:r>
      <w:r w:rsidRPr="00DA07AF">
        <w:rPr>
          <w:rFonts w:cs="Traditional Arabic"/>
          <w:sz w:val="28"/>
          <w:szCs w:val="28"/>
        </w:rPr>
        <w:t xml:space="preserve"> </w:t>
      </w:r>
      <w:r w:rsidRPr="00741017">
        <w:rPr>
          <w:rFonts w:cs="Traditional Arabic"/>
          <w:sz w:val="28"/>
          <w:szCs w:val="28"/>
        </w:rPr>
        <w:t>Ed-édition</w:t>
      </w:r>
      <w:r>
        <w:rPr>
          <w:rFonts w:cs="Traditional Arabic" w:hint="cs"/>
          <w:sz w:val="28"/>
          <w:szCs w:val="28"/>
          <w:rtl/>
        </w:rPr>
        <w:t xml:space="preserve">                                                                                            </w:t>
      </w:r>
    </w:p>
    <w:p w:rsidR="00DA07AF" w:rsidRPr="00741017" w:rsidRDefault="00DA07AF" w:rsidP="00DA07AF">
      <w:pPr>
        <w:tabs>
          <w:tab w:val="right" w:pos="425"/>
          <w:tab w:val="right" w:pos="4110"/>
        </w:tabs>
        <w:jc w:val="both"/>
        <w:rPr>
          <w:rFonts w:cs="Traditional Arabic"/>
          <w:sz w:val="28"/>
          <w:szCs w:val="28"/>
        </w:rPr>
      </w:pPr>
      <w:r w:rsidRPr="00741017">
        <w:rPr>
          <w:rFonts w:cs="Traditional Arabic" w:hint="cs"/>
          <w:sz w:val="28"/>
          <w:szCs w:val="28"/>
          <w:rtl/>
        </w:rPr>
        <w:t xml:space="preserve"> -</w:t>
      </w:r>
      <w:r w:rsidRPr="00741017">
        <w:rPr>
          <w:rFonts w:cs="Traditional Arabic"/>
          <w:sz w:val="28"/>
          <w:szCs w:val="28"/>
        </w:rPr>
        <w:t>N° </w:t>
      </w:r>
      <w:r w:rsidRPr="00741017">
        <w:rPr>
          <w:rFonts w:cs="Traditional Arabic"/>
          <w:sz w:val="28"/>
          <w:szCs w:val="28"/>
          <w:rtl/>
        </w:rPr>
        <w:t>-</w:t>
      </w:r>
      <w:r w:rsidRPr="00741017">
        <w:rPr>
          <w:rFonts w:cs="Traditional Arabic"/>
          <w:sz w:val="28"/>
          <w:szCs w:val="28"/>
        </w:rPr>
        <w:t>numéro.</w:t>
      </w:r>
    </w:p>
    <w:p w:rsidR="00DA07AF" w:rsidRPr="00741017" w:rsidRDefault="00DA07AF" w:rsidP="00DA07AF">
      <w:pPr>
        <w:tabs>
          <w:tab w:val="right" w:pos="425"/>
          <w:tab w:val="right" w:pos="4110"/>
        </w:tabs>
        <w:jc w:val="both"/>
        <w:rPr>
          <w:rFonts w:cs="Traditional Arabic"/>
          <w:sz w:val="28"/>
          <w:szCs w:val="28"/>
        </w:rPr>
      </w:pPr>
      <w:r w:rsidRPr="00741017">
        <w:rPr>
          <w:rFonts w:cs="Traditional Arabic" w:hint="cs"/>
          <w:sz w:val="28"/>
          <w:szCs w:val="28"/>
          <w:rtl/>
        </w:rPr>
        <w:t xml:space="preserve">- </w:t>
      </w:r>
      <w:r w:rsidRPr="00741017">
        <w:rPr>
          <w:rFonts w:cs="Traditional Arabic"/>
          <w:sz w:val="28"/>
          <w:szCs w:val="28"/>
        </w:rPr>
        <w:t>P </w:t>
      </w:r>
      <w:r w:rsidRPr="00741017">
        <w:rPr>
          <w:rFonts w:cs="Traditional Arabic"/>
          <w:sz w:val="28"/>
          <w:szCs w:val="28"/>
          <w:rtl/>
        </w:rPr>
        <w:t>–</w:t>
      </w:r>
      <w:r w:rsidRPr="00741017">
        <w:rPr>
          <w:rFonts w:cs="Traditional Arabic"/>
          <w:sz w:val="28"/>
          <w:szCs w:val="28"/>
        </w:rPr>
        <w:t xml:space="preserve"> page.</w:t>
      </w:r>
    </w:p>
    <w:p w:rsidR="00DA07AF" w:rsidRPr="00741017" w:rsidRDefault="00DA07AF" w:rsidP="00DA07AF">
      <w:pPr>
        <w:tabs>
          <w:tab w:val="right" w:pos="425"/>
          <w:tab w:val="right" w:pos="4110"/>
        </w:tabs>
        <w:jc w:val="both"/>
        <w:rPr>
          <w:rFonts w:cs="Traditional Arabic"/>
          <w:sz w:val="28"/>
          <w:szCs w:val="28"/>
        </w:rPr>
      </w:pPr>
      <w:r w:rsidRPr="00741017">
        <w:rPr>
          <w:rFonts w:cs="Traditional Arabic" w:hint="cs"/>
          <w:sz w:val="28"/>
          <w:szCs w:val="28"/>
          <w:rtl/>
        </w:rPr>
        <w:t xml:space="preserve">- </w:t>
      </w:r>
      <w:r w:rsidRPr="00741017">
        <w:rPr>
          <w:rFonts w:cs="Traditional Arabic"/>
          <w:sz w:val="28"/>
          <w:szCs w:val="28"/>
        </w:rPr>
        <w:t>Op-cit </w:t>
      </w:r>
      <w:r w:rsidRPr="00741017">
        <w:rPr>
          <w:rFonts w:cs="Traditional Arabic"/>
          <w:sz w:val="28"/>
          <w:szCs w:val="28"/>
          <w:rtl/>
        </w:rPr>
        <w:t>-</w:t>
      </w:r>
      <w:r w:rsidRPr="00741017">
        <w:rPr>
          <w:rFonts w:cs="Traditional Arabic"/>
          <w:sz w:val="28"/>
          <w:szCs w:val="28"/>
        </w:rPr>
        <w:t>ouvrage précédemment cité.</w:t>
      </w:r>
    </w:p>
    <w:p w:rsidR="00DA07AF" w:rsidRPr="00741017" w:rsidRDefault="00DA07AF" w:rsidP="00DA07AF">
      <w:pPr>
        <w:tabs>
          <w:tab w:val="right" w:pos="425"/>
          <w:tab w:val="right" w:pos="4110"/>
        </w:tabs>
        <w:jc w:val="both"/>
        <w:rPr>
          <w:rFonts w:cs="Traditional Arabic"/>
          <w:sz w:val="28"/>
          <w:szCs w:val="28"/>
        </w:rPr>
      </w:pPr>
      <w:r w:rsidRPr="00741017">
        <w:rPr>
          <w:rFonts w:cs="Traditional Arabic" w:hint="cs"/>
          <w:sz w:val="28"/>
          <w:szCs w:val="28"/>
          <w:rtl/>
        </w:rPr>
        <w:t>-</w:t>
      </w:r>
      <w:r w:rsidRPr="00741017">
        <w:rPr>
          <w:rFonts w:cs="Traditional Arabic"/>
          <w:sz w:val="28"/>
          <w:szCs w:val="28"/>
        </w:rPr>
        <w:t>L.G.D.J </w:t>
      </w:r>
      <w:r w:rsidRPr="00741017">
        <w:rPr>
          <w:rFonts w:cs="Traditional Arabic"/>
          <w:sz w:val="28"/>
          <w:szCs w:val="28"/>
          <w:rtl/>
        </w:rPr>
        <w:t>-</w:t>
      </w:r>
      <w:r w:rsidRPr="00741017">
        <w:rPr>
          <w:rFonts w:cs="Traditional Arabic"/>
          <w:sz w:val="28"/>
          <w:szCs w:val="28"/>
        </w:rPr>
        <w:t>Librairie générale de droit et jurisprudence..</w:t>
      </w:r>
    </w:p>
    <w:p w:rsidR="00DA07AF" w:rsidRPr="00741017" w:rsidRDefault="00DA07AF" w:rsidP="00DA07AF">
      <w:pPr>
        <w:tabs>
          <w:tab w:val="right" w:pos="425"/>
          <w:tab w:val="right" w:pos="4110"/>
        </w:tabs>
        <w:jc w:val="both"/>
        <w:rPr>
          <w:rFonts w:cs="Traditional Arabic"/>
          <w:sz w:val="28"/>
          <w:szCs w:val="28"/>
        </w:rPr>
      </w:pPr>
      <w:r w:rsidRPr="00741017">
        <w:rPr>
          <w:rFonts w:cs="Traditional Arabic" w:hint="cs"/>
          <w:sz w:val="28"/>
          <w:szCs w:val="28"/>
          <w:rtl/>
        </w:rPr>
        <w:t>-</w:t>
      </w:r>
      <w:r w:rsidRPr="00741017">
        <w:rPr>
          <w:rFonts w:cs="Traditional Arabic"/>
          <w:sz w:val="28"/>
          <w:szCs w:val="28"/>
        </w:rPr>
        <w:t>R.A.S.J.E.P</w:t>
      </w:r>
      <w:r w:rsidRPr="00741017">
        <w:rPr>
          <w:rFonts w:cs="Traditional Arabic"/>
          <w:sz w:val="28"/>
          <w:szCs w:val="28"/>
          <w:rtl/>
        </w:rPr>
        <w:t>-</w:t>
      </w:r>
      <w:r w:rsidRPr="00741017">
        <w:rPr>
          <w:rFonts w:cs="Traditional Arabic"/>
          <w:sz w:val="28"/>
          <w:szCs w:val="28"/>
        </w:rPr>
        <w:t xml:space="preserve"> Revue Algérien des sciences juridique, économique et politique.</w:t>
      </w:r>
    </w:p>
    <w:p w:rsidR="00DA07AF" w:rsidRDefault="00DA07AF" w:rsidP="00DA07AF">
      <w:pPr>
        <w:tabs>
          <w:tab w:val="left" w:pos="0"/>
          <w:tab w:val="right" w:pos="142"/>
          <w:tab w:val="right" w:pos="4110"/>
        </w:tabs>
        <w:ind w:left="426" w:hanging="426"/>
        <w:jc w:val="both"/>
        <w:rPr>
          <w:rFonts w:cs="Traditional Arabic"/>
          <w:sz w:val="28"/>
          <w:szCs w:val="28"/>
        </w:rPr>
      </w:pPr>
      <w:r w:rsidRPr="00741017">
        <w:rPr>
          <w:rFonts w:cs="Traditional Arabic" w:hint="cs"/>
          <w:sz w:val="28"/>
          <w:szCs w:val="28"/>
          <w:rtl/>
        </w:rPr>
        <w:t>-</w:t>
      </w:r>
      <w:r w:rsidRPr="00741017">
        <w:rPr>
          <w:rFonts w:cs="Traditional Arabic"/>
          <w:sz w:val="28"/>
          <w:szCs w:val="28"/>
        </w:rPr>
        <w:t>T-tome.</w:t>
      </w:r>
    </w:p>
    <w:p w:rsidR="00C70697" w:rsidRDefault="00C70697" w:rsidP="00DA07AF">
      <w:pPr>
        <w:jc w:val="right"/>
      </w:pPr>
    </w:p>
    <w:sectPr w:rsidR="00C706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697" w:rsidRDefault="00C70697" w:rsidP="00DA07AF">
      <w:pPr>
        <w:spacing w:after="0" w:line="240" w:lineRule="auto"/>
      </w:pPr>
      <w:r>
        <w:separator/>
      </w:r>
    </w:p>
  </w:endnote>
  <w:endnote w:type="continuationSeparator" w:id="1">
    <w:p w:rsidR="00C70697" w:rsidRDefault="00C70697" w:rsidP="00DA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697" w:rsidRDefault="00C70697" w:rsidP="00DA07AF">
      <w:pPr>
        <w:spacing w:after="0" w:line="240" w:lineRule="auto"/>
      </w:pPr>
      <w:r>
        <w:separator/>
      </w:r>
    </w:p>
  </w:footnote>
  <w:footnote w:type="continuationSeparator" w:id="1">
    <w:p w:rsidR="00C70697" w:rsidRDefault="00C70697" w:rsidP="00DA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7AF" w:rsidRDefault="00DA07AF" w:rsidP="00DA07AF">
    <w:pPr>
      <w:pStyle w:val="En-tte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Theme="majorHAnsi" w:eastAsiaTheme="majorEastAsia" w:hAnsiTheme="majorHAnsi" w:cstheme="majorBidi"/>
          <w:sz w:val="32"/>
          <w:szCs w:val="32"/>
        </w:rPr>
        <w:alias w:val="Titre"/>
        <w:id w:val="77738743"/>
        <w:placeholder>
          <w:docPart w:val="FDCC910DD82D4EE188E2BF3C3DCF639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554D81">
          <w:rPr>
            <w:rFonts w:asciiTheme="majorHAnsi" w:eastAsiaTheme="majorEastAsia" w:hAnsiTheme="majorHAnsi" w:cstheme="majorBidi" w:hint="eastAsia"/>
            <w:sz w:val="32"/>
            <w:szCs w:val="32"/>
            <w:rtl/>
          </w:rPr>
          <w:t>أحكام</w:t>
        </w:r>
        <w:r w:rsidRPr="00554D81">
          <w:rPr>
            <w:rFonts w:asciiTheme="majorHAnsi" w:eastAsiaTheme="majorEastAsia" w:hAnsiTheme="majorHAnsi" w:cstheme="majorBidi"/>
            <w:sz w:val="32"/>
            <w:szCs w:val="32"/>
            <w:rtl/>
          </w:rPr>
          <w:t xml:space="preserve"> </w:t>
        </w:r>
        <w:r w:rsidRPr="00554D81">
          <w:rPr>
            <w:rFonts w:asciiTheme="majorHAnsi" w:eastAsiaTheme="majorEastAsia" w:hAnsiTheme="majorHAnsi" w:cstheme="majorBidi" w:hint="eastAsia"/>
            <w:sz w:val="32"/>
            <w:szCs w:val="32"/>
            <w:rtl/>
          </w:rPr>
          <w:t>الضّمان</w:t>
        </w:r>
        <w:r w:rsidRPr="00554D81">
          <w:rPr>
            <w:rFonts w:asciiTheme="majorHAnsi" w:eastAsiaTheme="majorEastAsia" w:hAnsiTheme="majorHAnsi" w:cstheme="majorBidi"/>
            <w:sz w:val="32"/>
            <w:szCs w:val="32"/>
            <w:rtl/>
          </w:rPr>
          <w:t xml:space="preserve"> </w:t>
        </w:r>
        <w:r w:rsidRPr="00554D81">
          <w:rPr>
            <w:rFonts w:asciiTheme="majorHAnsi" w:eastAsiaTheme="majorEastAsia" w:hAnsiTheme="majorHAnsi" w:cstheme="majorBidi" w:hint="eastAsia"/>
            <w:sz w:val="32"/>
            <w:szCs w:val="32"/>
            <w:rtl/>
          </w:rPr>
          <w:t>العشري</w:t>
        </w:r>
        <w:r w:rsidRPr="00554D81">
          <w:rPr>
            <w:rFonts w:asciiTheme="majorHAnsi" w:eastAsiaTheme="majorEastAsia" w:hAnsiTheme="majorHAnsi" w:cstheme="majorBidi"/>
            <w:sz w:val="32"/>
            <w:szCs w:val="32"/>
            <w:rtl/>
          </w:rPr>
          <w:t xml:space="preserve"> </w:t>
        </w:r>
        <w:r w:rsidRPr="00554D81">
          <w:rPr>
            <w:rFonts w:asciiTheme="majorHAnsi" w:eastAsiaTheme="majorEastAsia" w:hAnsiTheme="majorHAnsi" w:cstheme="majorBidi" w:hint="eastAsia"/>
            <w:sz w:val="32"/>
            <w:szCs w:val="32"/>
            <w:rtl/>
          </w:rPr>
          <w:t>في</w:t>
        </w:r>
        <w:r w:rsidRPr="00554D81">
          <w:rPr>
            <w:rFonts w:asciiTheme="majorHAnsi" w:eastAsiaTheme="majorEastAsia" w:hAnsiTheme="majorHAnsi" w:cstheme="majorBidi"/>
            <w:sz w:val="32"/>
            <w:szCs w:val="32"/>
            <w:rtl/>
          </w:rPr>
          <w:t xml:space="preserve"> </w:t>
        </w:r>
        <w:r w:rsidRPr="00554D81">
          <w:rPr>
            <w:rFonts w:asciiTheme="majorHAnsi" w:eastAsiaTheme="majorEastAsia" w:hAnsiTheme="majorHAnsi" w:cstheme="majorBidi" w:hint="eastAsia"/>
            <w:sz w:val="32"/>
            <w:szCs w:val="32"/>
            <w:rtl/>
          </w:rPr>
          <w:t>عقد</w:t>
        </w:r>
        <w:r w:rsidRPr="00554D81">
          <w:rPr>
            <w:rFonts w:asciiTheme="majorHAnsi" w:eastAsiaTheme="majorEastAsia" w:hAnsiTheme="majorHAnsi" w:cstheme="majorBidi"/>
            <w:sz w:val="32"/>
            <w:szCs w:val="32"/>
            <w:rtl/>
          </w:rPr>
          <w:t xml:space="preserve"> </w:t>
        </w:r>
        <w:r w:rsidRPr="00554D81">
          <w:rPr>
            <w:rFonts w:asciiTheme="majorHAnsi" w:eastAsiaTheme="majorEastAsia" w:hAnsiTheme="majorHAnsi" w:cstheme="majorBidi" w:hint="eastAsia"/>
            <w:sz w:val="32"/>
            <w:szCs w:val="32"/>
            <w:rtl/>
          </w:rPr>
          <w:t>مقاولة</w:t>
        </w:r>
        <w:r w:rsidRPr="00554D81">
          <w:rPr>
            <w:rFonts w:asciiTheme="majorHAnsi" w:eastAsiaTheme="majorEastAsia" w:hAnsiTheme="majorHAnsi" w:cstheme="majorBidi"/>
            <w:sz w:val="32"/>
            <w:szCs w:val="32"/>
            <w:rtl/>
          </w:rPr>
          <w:t xml:space="preserve"> </w:t>
        </w:r>
        <w:r w:rsidRPr="00554D81">
          <w:rPr>
            <w:rFonts w:asciiTheme="majorHAnsi" w:eastAsiaTheme="majorEastAsia" w:hAnsiTheme="majorHAnsi" w:cstheme="majorBidi" w:hint="eastAsia"/>
            <w:sz w:val="32"/>
            <w:szCs w:val="32"/>
            <w:rtl/>
          </w:rPr>
          <w:t>البناء</w:t>
        </w:r>
      </w:sdtContent>
    </w:sdt>
  </w:p>
  <w:p w:rsidR="00DA07AF" w:rsidRPr="00DA07AF" w:rsidRDefault="00DA07AF" w:rsidP="00DA07AF">
    <w:pPr>
      <w:pStyle w:val="En-tte"/>
      <w:jc w:val="center"/>
      <w:rPr>
        <w:rFonts w:ascii="Simplified Arabic" w:hAnsi="Simplified Arabic" w:cs="Simplified Arabic"/>
        <w:sz w:val="32"/>
        <w:szCs w:val="32"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969D7"/>
    <w:multiLevelType w:val="hybridMultilevel"/>
    <w:tmpl w:val="3E4681EE"/>
    <w:lvl w:ilvl="0" w:tplc="04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07AF"/>
    <w:rsid w:val="00C70697"/>
    <w:rsid w:val="00DA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A0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07AF"/>
  </w:style>
  <w:style w:type="paragraph" w:styleId="Pieddepage">
    <w:name w:val="footer"/>
    <w:basedOn w:val="Normal"/>
    <w:link w:val="PieddepageCar"/>
    <w:uiPriority w:val="99"/>
    <w:semiHidden/>
    <w:unhideWhenUsed/>
    <w:rsid w:val="00DA0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A07AF"/>
  </w:style>
  <w:style w:type="paragraph" w:styleId="Paragraphedeliste">
    <w:name w:val="List Paragraph"/>
    <w:basedOn w:val="Normal"/>
    <w:uiPriority w:val="34"/>
    <w:qFormat/>
    <w:rsid w:val="00DA07A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A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0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DCC910DD82D4EE188E2BF3C3DCF6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697DCC-F9D2-4598-AB76-25A54F40D5EF}"/>
      </w:docPartPr>
      <w:docPartBody>
        <w:p w:rsidR="00000000" w:rsidRDefault="0036582B" w:rsidP="0036582B">
          <w:pPr>
            <w:pStyle w:val="FDCC910DD82D4EE188E2BF3C3DCF639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6582B"/>
    <w:rsid w:val="00041294"/>
    <w:rsid w:val="00365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DCC910DD82D4EE188E2BF3C3DCF6399">
    <w:name w:val="FDCC910DD82D4EE188E2BF3C3DCF6399"/>
    <w:rsid w:val="0036582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أحكام الضّمان العشري في عقد مقاولة البناء</dc:title>
  <dc:subject/>
  <dc:creator>pB Dot s</dc:creator>
  <cp:keywords/>
  <dc:description/>
  <cp:lastModifiedBy>pB Dot s</cp:lastModifiedBy>
  <cp:revision>2</cp:revision>
  <dcterms:created xsi:type="dcterms:W3CDTF">2015-11-04T14:07:00Z</dcterms:created>
  <dcterms:modified xsi:type="dcterms:W3CDTF">2015-11-04T14:11:00Z</dcterms:modified>
</cp:coreProperties>
</file>