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4C9" w:rsidRPr="00FA4132" w:rsidRDefault="00CB14C9" w:rsidP="00CB14C9">
      <w:pPr>
        <w:pStyle w:val="Titre1"/>
        <w:spacing w:before="0" w:beforeAutospacing="0" w:after="0" w:afterAutospacing="0" w:line="276" w:lineRule="auto"/>
        <w:jc w:val="center"/>
        <w:rPr>
          <w:rFonts w:asciiTheme="majorBidi" w:hAnsiTheme="majorBidi" w:cstheme="majorBidi"/>
          <w:sz w:val="2"/>
          <w:szCs w:val="2"/>
        </w:rPr>
      </w:pPr>
    </w:p>
    <w:p w:rsidR="00CB14C9" w:rsidRPr="0026642D" w:rsidRDefault="00CB14C9" w:rsidP="00CB14C9">
      <w:pPr>
        <w:pStyle w:val="Titre1"/>
        <w:spacing w:before="0" w:beforeAutospacing="0" w:after="0" w:afterAutospacing="0" w:line="276" w:lineRule="auto"/>
        <w:jc w:val="center"/>
        <w:rPr>
          <w:rFonts w:asciiTheme="majorBidi" w:hAnsiTheme="majorBidi" w:cstheme="majorBidi"/>
          <w:sz w:val="26"/>
          <w:szCs w:val="26"/>
          <w:lang w:val="en-US"/>
        </w:rPr>
      </w:pPr>
      <w:r w:rsidRPr="0026642D">
        <w:rPr>
          <w:rFonts w:asciiTheme="majorBidi" w:hAnsiTheme="majorBidi" w:cstheme="majorBidi"/>
          <w:sz w:val="26"/>
          <w:szCs w:val="26"/>
          <w:lang w:val="en-US"/>
        </w:rPr>
        <w:t>Determinants of Foreign Direct Investment Inflows in Algeria</w:t>
      </w:r>
    </w:p>
    <w:p w:rsidR="00CB14C9" w:rsidRDefault="00CB14C9" w:rsidP="00CB14C9">
      <w:pPr>
        <w:pStyle w:val="Titre1"/>
        <w:spacing w:before="0" w:beforeAutospacing="0" w:after="0" w:afterAutospacing="0" w:line="276" w:lineRule="auto"/>
        <w:jc w:val="center"/>
        <w:rPr>
          <w:rFonts w:asciiTheme="majorBidi" w:hAnsiTheme="majorBidi" w:cstheme="majorBidi"/>
          <w:sz w:val="26"/>
          <w:szCs w:val="26"/>
          <w:lang w:val="en-US"/>
        </w:rPr>
      </w:pPr>
      <w:r w:rsidRPr="0026642D">
        <w:rPr>
          <w:rFonts w:asciiTheme="majorBidi" w:hAnsiTheme="majorBidi" w:cstheme="majorBidi"/>
          <w:sz w:val="26"/>
          <w:szCs w:val="26"/>
          <w:lang w:val="en-US"/>
        </w:rPr>
        <w:t xml:space="preserve">An Analytical Econometric Study (1980-2017).  </w:t>
      </w:r>
    </w:p>
    <w:p w:rsidR="00413A4D" w:rsidRDefault="00D32D9D" w:rsidP="00225CBB">
      <w:pPr>
        <w:pStyle w:val="Titre1"/>
        <w:spacing w:before="0" w:beforeAutospacing="0" w:after="0" w:afterAutospacing="0" w:line="276" w:lineRule="auto"/>
        <w:jc w:val="center"/>
        <w:rPr>
          <w:rFonts w:ascii="Traditional Arabic" w:hAnsi="Traditional Arabic"/>
          <w:sz w:val="30"/>
          <w:szCs w:val="30"/>
          <w:rtl/>
          <w:lang w:val="en-US"/>
        </w:rPr>
      </w:pPr>
      <w:r>
        <w:rPr>
          <w:rFonts w:ascii="Traditional Arabic" w:hAnsi="Traditional Arabic"/>
          <w:sz w:val="30"/>
          <w:szCs w:val="30"/>
          <w:rtl/>
        </w:rPr>
        <w:t xml:space="preserve">محددات الاستثمار الأجنبي المباشر </w:t>
      </w:r>
      <w:r w:rsidR="00672668">
        <w:rPr>
          <w:rFonts w:ascii="Traditional Arabic" w:hAnsi="Traditional Arabic"/>
          <w:sz w:val="30"/>
          <w:szCs w:val="30"/>
          <w:rtl/>
        </w:rPr>
        <w:t>في الجزائر</w:t>
      </w:r>
    </w:p>
    <w:p w:rsidR="00672668" w:rsidRPr="00947E16" w:rsidRDefault="00672668" w:rsidP="00225CBB">
      <w:pPr>
        <w:pStyle w:val="Titre1"/>
        <w:spacing w:before="0" w:beforeAutospacing="0" w:after="0" w:afterAutospacing="0" w:line="276" w:lineRule="auto"/>
        <w:jc w:val="center"/>
        <w:rPr>
          <w:rFonts w:ascii="Traditional Arabic" w:hAnsi="Traditional Arabic"/>
          <w:sz w:val="30"/>
          <w:szCs w:val="30"/>
          <w:rtl/>
          <w:lang w:val="en-US"/>
        </w:rPr>
      </w:pPr>
      <w:r>
        <w:rPr>
          <w:rFonts w:ascii="Traditional Arabic" w:hAnsi="Traditional Arabic"/>
          <w:sz w:val="30"/>
          <w:szCs w:val="30"/>
          <w:rtl/>
          <w:lang w:val="en-US"/>
        </w:rPr>
        <w:t>دراسة</w:t>
      </w:r>
      <w:r>
        <w:rPr>
          <w:rFonts w:ascii="Traditional Arabic" w:hAnsi="Traditional Arabic"/>
          <w:sz w:val="30"/>
          <w:szCs w:val="30"/>
          <w:lang w:val="en-US"/>
        </w:rPr>
        <w:t xml:space="preserve"> </w:t>
      </w:r>
      <w:r>
        <w:rPr>
          <w:rFonts w:ascii="Traditional Arabic" w:hAnsi="Traditional Arabic"/>
          <w:sz w:val="30"/>
          <w:szCs w:val="30"/>
          <w:rtl/>
          <w:lang w:val="en-US"/>
        </w:rPr>
        <w:t>تحليلية</w:t>
      </w:r>
      <w:r>
        <w:rPr>
          <w:rFonts w:ascii="Traditional Arabic" w:hAnsi="Traditional Arabic"/>
          <w:sz w:val="30"/>
          <w:szCs w:val="30"/>
          <w:lang w:val="en-US"/>
        </w:rPr>
        <w:t xml:space="preserve"> </w:t>
      </w:r>
      <w:r>
        <w:rPr>
          <w:rFonts w:ascii="Traditional Arabic" w:hAnsi="Traditional Arabic"/>
          <w:sz w:val="30"/>
          <w:szCs w:val="30"/>
          <w:rtl/>
          <w:lang w:val="en-US"/>
        </w:rPr>
        <w:t>قياسية</w:t>
      </w:r>
      <w:r>
        <w:rPr>
          <w:rFonts w:ascii="Traditional Arabic" w:hAnsi="Traditional Arabic"/>
          <w:sz w:val="30"/>
          <w:szCs w:val="30"/>
          <w:lang w:val="en-US"/>
        </w:rPr>
        <w:t xml:space="preserve"> 1980_2017</w:t>
      </w:r>
    </w:p>
    <w:p w:rsidR="00CB14C9" w:rsidRPr="00947E16" w:rsidRDefault="00CB14C9" w:rsidP="00CB14C9">
      <w:pPr>
        <w:spacing w:line="276" w:lineRule="auto"/>
        <w:rPr>
          <w:sz w:val="18"/>
          <w:szCs w:val="18"/>
          <w:lang w:val="en-US"/>
        </w:rPr>
      </w:pPr>
    </w:p>
    <w:p w:rsidR="00CB14C9" w:rsidRPr="00947E16" w:rsidRDefault="00CB14C9" w:rsidP="00CB14C9">
      <w:pPr>
        <w:spacing w:line="276" w:lineRule="auto"/>
        <w:jc w:val="center"/>
        <w:rPr>
          <w:b/>
          <w:bCs/>
          <w:sz w:val="24"/>
          <w:szCs w:val="24"/>
          <w:vertAlign w:val="superscript"/>
          <w:lang w:val="en-US"/>
        </w:rPr>
      </w:pPr>
      <w:r w:rsidRPr="00947E16">
        <w:rPr>
          <w:rFonts w:asciiTheme="majorBidi" w:hAnsiTheme="majorBidi" w:cstheme="majorBidi"/>
          <w:b/>
          <w:bCs/>
          <w:sz w:val="24"/>
          <w:szCs w:val="24"/>
          <w:lang w:val="en-US"/>
        </w:rPr>
        <w:t xml:space="preserve">Dr. BENCHENNI Abdelkader </w:t>
      </w:r>
      <w:r w:rsidRPr="00947E16">
        <w:rPr>
          <w:rStyle w:val="Appelnotedebasdep"/>
          <w:rFonts w:asciiTheme="majorBidi" w:hAnsiTheme="majorBidi" w:cstheme="majorBidi"/>
          <w:b/>
          <w:bCs/>
          <w:sz w:val="24"/>
          <w:szCs w:val="24"/>
        </w:rPr>
        <w:footnoteReference w:id="2"/>
      </w:r>
      <w:r w:rsidRPr="00947E16">
        <w:rPr>
          <w:rFonts w:asciiTheme="majorBidi" w:hAnsiTheme="majorBidi" w:cstheme="majorBidi"/>
          <w:b/>
          <w:bCs/>
          <w:sz w:val="24"/>
          <w:szCs w:val="24"/>
          <w:lang w:val="en-US"/>
        </w:rPr>
        <w:t xml:space="preserve">, </w:t>
      </w:r>
      <w:r w:rsidRPr="00947E16">
        <w:rPr>
          <w:b/>
          <w:bCs/>
          <w:sz w:val="24"/>
          <w:szCs w:val="24"/>
          <w:lang w:val="en-US"/>
        </w:rPr>
        <w:t xml:space="preserve">Dr. BESSADET Karima </w:t>
      </w:r>
      <w:r w:rsidRPr="00947E16">
        <w:rPr>
          <w:b/>
          <w:bCs/>
          <w:sz w:val="24"/>
          <w:szCs w:val="24"/>
          <w:vertAlign w:val="superscript"/>
          <w:lang w:val="en-US"/>
        </w:rPr>
        <w:t>2</w:t>
      </w:r>
    </w:p>
    <w:p w:rsidR="00CB14C9" w:rsidRPr="00947E16" w:rsidRDefault="00CB14C9" w:rsidP="00CB14C9">
      <w:pPr>
        <w:spacing w:line="276" w:lineRule="auto"/>
        <w:jc w:val="center"/>
        <w:rPr>
          <w:rFonts w:asciiTheme="majorBidi" w:hAnsiTheme="majorBidi" w:cstheme="majorBidi"/>
          <w:b/>
          <w:bCs/>
          <w:sz w:val="24"/>
          <w:szCs w:val="24"/>
          <w:rtl/>
        </w:rPr>
      </w:pPr>
    </w:p>
    <w:p w:rsidR="00CB14C9" w:rsidRPr="00947E16" w:rsidRDefault="00CB14C9" w:rsidP="00CB14C9">
      <w:pPr>
        <w:spacing w:line="276" w:lineRule="auto"/>
        <w:jc w:val="center"/>
        <w:rPr>
          <w:rFonts w:asciiTheme="majorBidi" w:hAnsiTheme="majorBidi" w:cstheme="majorBidi"/>
          <w:b/>
          <w:bCs/>
          <w:sz w:val="24"/>
          <w:szCs w:val="24"/>
          <w:lang w:val="en-US"/>
        </w:rPr>
      </w:pPr>
      <w:r w:rsidRPr="00947E16">
        <w:rPr>
          <w:rFonts w:asciiTheme="majorBidi" w:hAnsiTheme="majorBidi" w:cstheme="majorBidi"/>
          <w:b/>
          <w:bCs/>
          <w:sz w:val="24"/>
          <w:szCs w:val="24"/>
          <w:vertAlign w:val="superscript"/>
          <w:lang w:val="en-US"/>
        </w:rPr>
        <w:t>1</w:t>
      </w:r>
      <w:r w:rsidRPr="00947E16">
        <w:rPr>
          <w:rFonts w:asciiTheme="majorBidi" w:hAnsiTheme="majorBidi" w:cstheme="majorBidi"/>
          <w:b/>
          <w:bCs/>
          <w:sz w:val="24"/>
          <w:szCs w:val="24"/>
          <w:lang w:val="en-US"/>
        </w:rPr>
        <w:t xml:space="preserve"> university of Mostaganem, Email: </w:t>
      </w:r>
      <w:hyperlink r:id="rId8" w:history="1">
        <w:r w:rsidRPr="00947E16">
          <w:rPr>
            <w:rStyle w:val="Lienhypertexte"/>
            <w:rFonts w:asciiTheme="majorBidi" w:hAnsiTheme="majorBidi" w:cstheme="majorBidi"/>
            <w:b/>
            <w:bCs/>
            <w:color w:val="auto"/>
            <w:sz w:val="24"/>
            <w:szCs w:val="24"/>
            <w:u w:val="none"/>
            <w:lang w:val="en-US"/>
          </w:rPr>
          <w:t>aekkari2202@gimail.com</w:t>
        </w:r>
      </w:hyperlink>
    </w:p>
    <w:p w:rsidR="00CB14C9" w:rsidRPr="00947E16" w:rsidRDefault="00CB14C9" w:rsidP="00CB14C9">
      <w:pPr>
        <w:spacing w:line="276" w:lineRule="auto"/>
        <w:jc w:val="center"/>
        <w:rPr>
          <w:rFonts w:asciiTheme="majorBidi" w:hAnsiTheme="majorBidi" w:cstheme="majorBidi"/>
          <w:b/>
          <w:bCs/>
          <w:sz w:val="26"/>
          <w:szCs w:val="26"/>
          <w:lang w:val="en-US"/>
        </w:rPr>
      </w:pPr>
      <w:r w:rsidRPr="00947E16">
        <w:rPr>
          <w:rFonts w:asciiTheme="majorBidi" w:hAnsiTheme="majorBidi" w:cstheme="majorBidi"/>
          <w:b/>
          <w:bCs/>
          <w:sz w:val="24"/>
          <w:szCs w:val="24"/>
          <w:vertAlign w:val="superscript"/>
          <w:lang w:val="en-US"/>
        </w:rPr>
        <w:t xml:space="preserve">2 </w:t>
      </w:r>
      <w:r w:rsidRPr="00947E16">
        <w:rPr>
          <w:rFonts w:asciiTheme="majorBidi" w:hAnsiTheme="majorBidi" w:cstheme="majorBidi"/>
          <w:b/>
          <w:bCs/>
          <w:sz w:val="24"/>
          <w:szCs w:val="24"/>
          <w:lang w:val="en-US"/>
        </w:rPr>
        <w:t xml:space="preserve">university of Mostaganem, Email: </w:t>
      </w:r>
      <w:hyperlink r:id="rId9" w:history="1">
        <w:r w:rsidRPr="00947E16">
          <w:rPr>
            <w:rStyle w:val="Lienhypertexte"/>
            <w:rFonts w:asciiTheme="majorBidi" w:hAnsiTheme="majorBidi" w:cstheme="majorBidi"/>
            <w:b/>
            <w:bCs/>
            <w:color w:val="auto"/>
            <w:sz w:val="24"/>
            <w:szCs w:val="24"/>
            <w:u w:val="none"/>
            <w:lang w:val="en-US"/>
          </w:rPr>
          <w:t>karimaaek@yahoo.fr</w:t>
        </w:r>
      </w:hyperlink>
      <w:r w:rsidRPr="00947E16">
        <w:rPr>
          <w:rFonts w:asciiTheme="majorBidi" w:hAnsiTheme="majorBidi" w:cstheme="majorBidi"/>
          <w:b/>
          <w:bCs/>
          <w:sz w:val="26"/>
          <w:szCs w:val="26"/>
          <w:lang w:val="en-US"/>
        </w:rPr>
        <w:t>.</w:t>
      </w:r>
    </w:p>
    <w:p w:rsidR="00CB14C9" w:rsidRPr="00947E16" w:rsidRDefault="00CB14C9" w:rsidP="00CB14C9">
      <w:pPr>
        <w:spacing w:line="276" w:lineRule="auto"/>
        <w:jc w:val="both"/>
        <w:rPr>
          <w:rFonts w:asciiTheme="majorBidi" w:hAnsiTheme="majorBidi" w:cstheme="majorBidi"/>
          <w:b/>
          <w:bCs/>
          <w:sz w:val="2"/>
          <w:szCs w:val="2"/>
          <w:lang w:val="en-US"/>
        </w:rPr>
      </w:pPr>
    </w:p>
    <w:p w:rsidR="00CB14C9" w:rsidRPr="00947E16" w:rsidRDefault="00CB14C9" w:rsidP="00CB14C9">
      <w:pPr>
        <w:spacing w:line="276" w:lineRule="auto"/>
        <w:rPr>
          <w:b/>
          <w:bCs/>
          <w:lang w:val="en-US"/>
        </w:rPr>
      </w:pPr>
    </w:p>
    <w:p w:rsidR="00CB14C9" w:rsidRPr="00947E16" w:rsidRDefault="00CB14C9" w:rsidP="00CB14C9">
      <w:pPr>
        <w:pBdr>
          <w:bottom w:val="dashDotStroked" w:sz="24" w:space="1" w:color="auto"/>
        </w:pBdr>
        <w:spacing w:line="276" w:lineRule="auto"/>
        <w:jc w:val="center"/>
        <w:rPr>
          <w:b/>
          <w:bCs/>
          <w:sz w:val="22"/>
          <w:szCs w:val="22"/>
          <w:lang w:val="en-US" w:bidi="ar-DZ"/>
        </w:rPr>
      </w:pPr>
      <w:r w:rsidRPr="00947E16">
        <w:rPr>
          <w:rFonts w:eastAsia="Calibri"/>
          <w:sz w:val="22"/>
          <w:szCs w:val="22"/>
          <w:lang w:val="en-US" w:bidi="ar-DZ"/>
        </w:rPr>
        <w:t>Received: XX ….. 20XX                                 Accepted: XX …… 20XX</w:t>
      </w:r>
    </w:p>
    <w:p w:rsidR="00CB14C9" w:rsidRPr="00947E16" w:rsidRDefault="00CB14C9" w:rsidP="00CB14C9">
      <w:pPr>
        <w:pStyle w:val="Titre1"/>
        <w:pBdr>
          <w:top w:val="single" w:sz="4" w:space="1" w:color="auto"/>
          <w:left w:val="single" w:sz="4" w:space="4" w:color="auto"/>
          <w:bottom w:val="single" w:sz="4" w:space="1" w:color="auto"/>
          <w:right w:val="single" w:sz="4" w:space="4" w:color="auto"/>
        </w:pBdr>
        <w:spacing w:before="0" w:beforeAutospacing="0" w:after="0" w:afterAutospacing="0" w:line="276" w:lineRule="auto"/>
        <w:jc w:val="both"/>
        <w:rPr>
          <w:rFonts w:asciiTheme="majorBidi" w:hAnsiTheme="majorBidi" w:cstheme="majorBidi"/>
          <w:sz w:val="26"/>
          <w:szCs w:val="26"/>
          <w:lang w:val="en-US"/>
        </w:rPr>
      </w:pPr>
      <w:r w:rsidRPr="00947E16">
        <w:rPr>
          <w:rFonts w:asciiTheme="majorBidi" w:hAnsiTheme="majorBidi" w:cstheme="majorBidi"/>
          <w:sz w:val="26"/>
          <w:szCs w:val="26"/>
          <w:lang w:val="en-US"/>
        </w:rPr>
        <w:t>Abstract</w:t>
      </w:r>
    </w:p>
    <w:p w:rsidR="00CB14C9" w:rsidRPr="0026642D" w:rsidRDefault="00CB14C9" w:rsidP="00CB14C9">
      <w:pPr>
        <w:pBdr>
          <w:top w:val="single" w:sz="4" w:space="1" w:color="auto"/>
          <w:left w:val="single" w:sz="4" w:space="4" w:color="auto"/>
          <w:bottom w:val="single" w:sz="4" w:space="1" w:color="auto"/>
          <w:right w:val="single" w:sz="4" w:space="4" w:color="auto"/>
        </w:pBdr>
        <w:spacing w:line="276" w:lineRule="auto"/>
        <w:ind w:firstLine="708"/>
        <w:jc w:val="both"/>
        <w:rPr>
          <w:rFonts w:asciiTheme="majorBidi" w:hAnsiTheme="majorBidi" w:cstheme="majorBidi"/>
          <w:sz w:val="26"/>
          <w:szCs w:val="26"/>
          <w:lang w:val="en-US"/>
        </w:rPr>
      </w:pPr>
      <w:r w:rsidRPr="00947E16">
        <w:rPr>
          <w:sz w:val="26"/>
          <w:szCs w:val="26"/>
          <w:lang w:val="en-US"/>
        </w:rPr>
        <w:t>The study aims to determine the factors that affect the foreign direct investment inflows in Algeria, using a samp</w:t>
      </w:r>
      <w:r>
        <w:rPr>
          <w:sz w:val="26"/>
          <w:szCs w:val="26"/>
          <w:lang w:val="en-US"/>
        </w:rPr>
        <w:t xml:space="preserve">le of 38 observation for the period </w:t>
      </w:r>
      <w:r w:rsidRPr="00CA72A2">
        <w:rPr>
          <w:sz w:val="26"/>
          <w:szCs w:val="26"/>
          <w:lang w:val="en-US"/>
        </w:rPr>
        <w:t>1</w:t>
      </w:r>
      <w:r>
        <w:rPr>
          <w:sz w:val="26"/>
          <w:szCs w:val="26"/>
          <w:lang w:val="en-US"/>
        </w:rPr>
        <w:t>980-2017.Rely on</w:t>
      </w:r>
      <w:r w:rsidRPr="00CA72A2">
        <w:rPr>
          <w:sz w:val="26"/>
          <w:szCs w:val="26"/>
          <w:lang w:val="en-US"/>
        </w:rPr>
        <w:t xml:space="preserve"> annual time series and multiple linear regression model to examine the relationship between foreign direct investment</w:t>
      </w:r>
      <w:r>
        <w:rPr>
          <w:sz w:val="26"/>
          <w:szCs w:val="26"/>
          <w:lang w:val="en-US"/>
        </w:rPr>
        <w:t xml:space="preserve"> inflows as a  dependent variable, and</w:t>
      </w:r>
      <w:r w:rsidRPr="0026642D">
        <w:rPr>
          <w:rFonts w:asciiTheme="majorBidi" w:hAnsiTheme="majorBidi" w:cstheme="majorBidi"/>
          <w:sz w:val="26"/>
          <w:szCs w:val="26"/>
          <w:lang w:val="en-US"/>
        </w:rPr>
        <w:t>market size, trade openness, economic stability,</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,human capital,</w:t>
      </w:r>
      <w:r w:rsidRPr="0026642D">
        <w:rPr>
          <w:rFonts w:asciiTheme="majorBidi" w:hAnsiTheme="majorBidi" w:cstheme="majorBidi"/>
          <w:sz w:val="26"/>
          <w:szCs w:val="26"/>
          <w:lang w:val="en-US"/>
        </w:rPr>
        <w:t xml:space="preserve"> political stability,quality of infrastructure as independent variables.</w:t>
      </w:r>
    </w:p>
    <w:p w:rsidR="00CB14C9" w:rsidRDefault="00CB14C9" w:rsidP="00CB14C9">
      <w:pPr>
        <w:pBdr>
          <w:top w:val="single" w:sz="4" w:space="1" w:color="auto"/>
          <w:left w:val="single" w:sz="4" w:space="4" w:color="auto"/>
          <w:bottom w:val="single" w:sz="4" w:space="1" w:color="auto"/>
          <w:right w:val="single" w:sz="4" w:space="4" w:color="auto"/>
        </w:pBdr>
        <w:spacing w:line="276" w:lineRule="auto"/>
        <w:ind w:firstLine="708"/>
        <w:jc w:val="both"/>
        <w:rPr>
          <w:rFonts w:asciiTheme="majorBidi" w:hAnsiTheme="majorBidi" w:cstheme="majorBidi"/>
          <w:color w:val="000000"/>
          <w:sz w:val="26"/>
          <w:szCs w:val="26"/>
          <w:lang w:val="en-US"/>
        </w:rPr>
      </w:pPr>
      <w:r w:rsidRPr="0026642D">
        <w:rPr>
          <w:rFonts w:asciiTheme="majorBidi" w:hAnsiTheme="majorBidi" w:cstheme="majorBidi"/>
          <w:sz w:val="26"/>
          <w:szCs w:val="26"/>
          <w:lang w:val="en-US"/>
        </w:rPr>
        <w:t>The results show that market size, trade openness,</w:t>
      </w:r>
      <w:r>
        <w:rPr>
          <w:rFonts w:asciiTheme="majorBidi" w:hAnsiTheme="majorBidi" w:cstheme="majorBidi"/>
          <w:color w:val="000000"/>
          <w:sz w:val="26"/>
          <w:szCs w:val="26"/>
          <w:lang w:val="en-US"/>
        </w:rPr>
        <w:t>human capital have a positive and significant effect on foreign direct investment inflows in Algeria.</w:t>
      </w:r>
    </w:p>
    <w:p w:rsidR="00CB14C9" w:rsidRDefault="00CB14C9" w:rsidP="00CB14C9">
      <w:pPr>
        <w:pBdr>
          <w:top w:val="single" w:sz="4" w:space="1" w:color="auto"/>
          <w:left w:val="single" w:sz="4" w:space="4" w:color="auto"/>
          <w:bottom w:val="single" w:sz="4" w:space="1" w:color="auto"/>
          <w:right w:val="single" w:sz="4" w:space="4" w:color="auto"/>
        </w:pBdr>
        <w:spacing w:line="276" w:lineRule="auto"/>
        <w:jc w:val="both"/>
        <w:rPr>
          <w:rFonts w:asciiTheme="majorBidi" w:hAnsiTheme="majorBidi" w:cstheme="majorBidi"/>
          <w:color w:val="000000"/>
          <w:sz w:val="26"/>
          <w:szCs w:val="26"/>
          <w:lang w:val="en-US"/>
        </w:rPr>
      </w:pPr>
      <w:r w:rsidRPr="007303C0">
        <w:rPr>
          <w:rFonts w:asciiTheme="majorBidi" w:hAnsiTheme="majorBidi" w:cstheme="majorBidi"/>
          <w:b/>
          <w:bCs/>
          <w:color w:val="000000"/>
          <w:sz w:val="26"/>
          <w:szCs w:val="26"/>
          <w:lang w:val="en-US"/>
        </w:rPr>
        <w:t>Keyword</w:t>
      </w:r>
      <w:r>
        <w:rPr>
          <w:rFonts w:asciiTheme="majorBidi" w:hAnsiTheme="majorBidi" w:cstheme="majorBidi"/>
          <w:b/>
          <w:bCs/>
          <w:color w:val="000000"/>
          <w:sz w:val="26"/>
          <w:szCs w:val="26"/>
          <w:lang w:val="en-US"/>
        </w:rPr>
        <w:t>s</w:t>
      </w:r>
      <w:r w:rsidRPr="007303C0">
        <w:rPr>
          <w:rFonts w:asciiTheme="majorBidi" w:hAnsiTheme="majorBidi" w:cstheme="majorBidi"/>
          <w:b/>
          <w:bCs/>
          <w:color w:val="000000"/>
          <w:sz w:val="26"/>
          <w:szCs w:val="26"/>
          <w:lang w:val="en-US"/>
        </w:rPr>
        <w:t>:</w:t>
      </w:r>
      <w:r>
        <w:rPr>
          <w:rFonts w:asciiTheme="majorBidi" w:hAnsiTheme="majorBidi" w:cstheme="majorBidi"/>
          <w:color w:val="000000"/>
          <w:sz w:val="26"/>
          <w:szCs w:val="26"/>
          <w:lang w:val="en-US"/>
        </w:rPr>
        <w:t xml:space="preserve"> FDI Inflows, Determinants of FDI, Algeria.</w:t>
      </w:r>
    </w:p>
    <w:p w:rsidR="00CB14C9" w:rsidRPr="00CB14C9" w:rsidRDefault="00CB14C9" w:rsidP="00CB14C9">
      <w:pPr>
        <w:pBdr>
          <w:top w:val="single" w:sz="4" w:space="1" w:color="auto"/>
          <w:left w:val="single" w:sz="4" w:space="4" w:color="auto"/>
          <w:bottom w:val="single" w:sz="4" w:space="1" w:color="auto"/>
          <w:right w:val="single" w:sz="4" w:space="4" w:color="auto"/>
        </w:pBdr>
        <w:spacing w:line="276" w:lineRule="auto"/>
        <w:jc w:val="both"/>
        <w:rPr>
          <w:rFonts w:ascii="Traditional Arabic" w:hAnsi="Traditional Arabic"/>
          <w:color w:val="000000"/>
          <w:sz w:val="30"/>
          <w:szCs w:val="30"/>
          <w:lang w:val="en-US"/>
        </w:rPr>
      </w:pPr>
      <w:r w:rsidRPr="00CB14C9">
        <w:rPr>
          <w:rFonts w:asciiTheme="majorBidi" w:hAnsiTheme="majorBidi" w:cstheme="majorBidi"/>
          <w:b/>
          <w:bCs/>
          <w:color w:val="000000"/>
          <w:sz w:val="26"/>
          <w:szCs w:val="26"/>
          <w:lang w:val="en-US"/>
        </w:rPr>
        <w:t xml:space="preserve">JEL Classification: </w:t>
      </w:r>
      <w:r w:rsidRPr="00CB14C9">
        <w:rPr>
          <w:rFonts w:asciiTheme="majorBidi" w:hAnsiTheme="majorBidi" w:cstheme="majorBidi"/>
          <w:color w:val="000000"/>
          <w:sz w:val="26"/>
          <w:szCs w:val="26"/>
          <w:lang w:val="en-US"/>
        </w:rPr>
        <w:t>C25, F21</w:t>
      </w:r>
    </w:p>
    <w:p w:rsidR="00CB14C9" w:rsidRPr="0026642D" w:rsidRDefault="00CB14C9" w:rsidP="00CB14C9">
      <w:pPr>
        <w:pBdr>
          <w:top w:val="single" w:sz="4" w:space="1" w:color="auto"/>
          <w:left w:val="single" w:sz="4" w:space="4" w:color="auto"/>
          <w:bottom w:val="single" w:sz="4" w:space="1" w:color="auto"/>
          <w:right w:val="single" w:sz="4" w:space="4" w:color="auto"/>
        </w:pBdr>
        <w:bidi/>
        <w:spacing w:line="276" w:lineRule="auto"/>
        <w:jc w:val="both"/>
        <w:rPr>
          <w:rFonts w:ascii="Traditional Arabic" w:hAnsi="Traditional Arabic"/>
          <w:color w:val="000000"/>
          <w:sz w:val="30"/>
          <w:szCs w:val="30"/>
          <w:lang w:val="en-US"/>
        </w:rPr>
        <w:sectPr w:rsidR="00CB14C9" w:rsidRPr="0026642D" w:rsidSect="00150A1A">
          <w:headerReference w:type="even" r:id="rId10"/>
          <w:headerReference w:type="default" r:id="rId11"/>
          <w:headerReference w:type="first" r:id="rId12"/>
          <w:footerReference w:type="first" r:id="rId13"/>
          <w:footnotePr>
            <w:numRestart w:val="eachPage"/>
          </w:footnotePr>
          <w:endnotePr>
            <w:numFmt w:val="decimal"/>
          </w:endnotePr>
          <w:type w:val="continuous"/>
          <w:pgSz w:w="9639" w:h="13608"/>
          <w:pgMar w:top="851" w:right="851" w:bottom="851" w:left="851" w:header="709" w:footer="709" w:gutter="0"/>
          <w:cols w:space="708"/>
          <w:titlePg/>
          <w:docGrid w:linePitch="381"/>
        </w:sectPr>
      </w:pPr>
    </w:p>
    <w:p w:rsidR="007C41C9" w:rsidRPr="0026642D" w:rsidRDefault="007C41C9" w:rsidP="00F1777C">
      <w:pPr>
        <w:pBdr>
          <w:top w:val="single" w:sz="4" w:space="1" w:color="auto"/>
          <w:left w:val="single" w:sz="4" w:space="4" w:color="auto"/>
          <w:bottom w:val="single" w:sz="4" w:space="1" w:color="auto"/>
          <w:right w:val="single" w:sz="4" w:space="4" w:color="auto"/>
        </w:pBdr>
        <w:bidi/>
        <w:spacing w:line="276" w:lineRule="auto"/>
        <w:jc w:val="both"/>
        <w:rPr>
          <w:rFonts w:ascii="Traditional Arabic" w:hAnsi="Traditional Arabic"/>
          <w:b/>
          <w:bCs/>
          <w:color w:val="000000"/>
          <w:sz w:val="30"/>
          <w:szCs w:val="30"/>
          <w:rtl/>
          <w:lang w:val="en-US"/>
        </w:rPr>
      </w:pPr>
      <w:r w:rsidRPr="0026642D">
        <w:rPr>
          <w:rFonts w:ascii="Traditional Arabic" w:hAnsi="Traditional Arabic"/>
          <w:b/>
          <w:bCs/>
          <w:color w:val="000000"/>
          <w:sz w:val="30"/>
          <w:szCs w:val="30"/>
          <w:rtl/>
          <w:lang w:val="en-US"/>
        </w:rPr>
        <w:lastRenderedPageBreak/>
        <w:t>ملخص:</w:t>
      </w:r>
    </w:p>
    <w:p w:rsidR="00CB14C9" w:rsidRPr="0026642D" w:rsidRDefault="007C41C9" w:rsidP="007C41C9">
      <w:pPr>
        <w:pBdr>
          <w:top w:val="single" w:sz="4" w:space="1" w:color="auto"/>
          <w:left w:val="single" w:sz="4" w:space="4" w:color="auto"/>
          <w:bottom w:val="single" w:sz="4" w:space="1" w:color="auto"/>
          <w:right w:val="single" w:sz="4" w:space="4" w:color="auto"/>
        </w:pBdr>
        <w:bidi/>
        <w:spacing w:line="276" w:lineRule="auto"/>
        <w:ind w:firstLine="708"/>
        <w:jc w:val="both"/>
        <w:rPr>
          <w:rFonts w:ascii="Traditional Arabic" w:hAnsi="Traditional Arabic"/>
          <w:color w:val="000000"/>
          <w:sz w:val="30"/>
          <w:szCs w:val="30"/>
          <w:rtl/>
          <w:lang w:val="en-US"/>
        </w:rPr>
      </w:pPr>
      <w:r w:rsidRPr="0026642D">
        <w:rPr>
          <w:rFonts w:ascii="Traditional Arabic" w:hAnsi="Traditional Arabic"/>
          <w:color w:val="000000"/>
          <w:sz w:val="30"/>
          <w:szCs w:val="30"/>
          <w:rtl/>
          <w:lang w:val="en-US"/>
        </w:rPr>
        <w:t xml:space="preserve">تهدف هذه الدراسة إلى تحديد العوامل التي تؤثر على تدفقات الاستثمار الأجنبي المباشر نحو الجزائر، تم الاعتماد على نموذج انحدار خطي متعدد و سلسلة زمنية تحوي 38 مشاهدة سنوية تغطي </w:t>
      </w:r>
      <w:r w:rsidR="00CB14C9" w:rsidRPr="0026642D">
        <w:rPr>
          <w:rFonts w:ascii="Traditional Arabic" w:hAnsi="Traditional Arabic"/>
          <w:color w:val="000000"/>
          <w:sz w:val="30"/>
          <w:szCs w:val="30"/>
          <w:rtl/>
          <w:lang w:val="en-US"/>
        </w:rPr>
        <w:t>الفترة من 1980-2017، اعتمدت الدراسة على المتغيرات التالية: تدفقات الاستثمار الأجنبي المباشر كمتغير تابع، أما كمتغيرات مستقلة أو المفسرة فقد تم الاعتماد على حجم السوق،  درجة الانفتاح الاقتصادي، الاستقرار الاقتصادي، الائتمان المقدم من القطاع المالي،رأس المال البشري، الاستقرار السياسي، نوعية البنى التحتية.</w:t>
      </w:r>
    </w:p>
    <w:p w:rsidR="00CB14C9" w:rsidRDefault="00CB14C9" w:rsidP="007C41C9">
      <w:pPr>
        <w:pBdr>
          <w:top w:val="single" w:sz="4" w:space="1" w:color="auto"/>
          <w:left w:val="single" w:sz="4" w:space="4" w:color="auto"/>
          <w:bottom w:val="single" w:sz="4" w:space="1" w:color="auto"/>
          <w:right w:val="single" w:sz="4" w:space="4" w:color="auto"/>
        </w:pBdr>
        <w:bidi/>
        <w:spacing w:line="276" w:lineRule="auto"/>
        <w:jc w:val="both"/>
        <w:rPr>
          <w:rFonts w:ascii="Traditional Arabic" w:hAnsi="Traditional Arabic"/>
          <w:color w:val="000000"/>
          <w:sz w:val="30"/>
          <w:szCs w:val="30"/>
          <w:lang w:val="en-US"/>
        </w:rPr>
      </w:pPr>
      <w:r w:rsidRPr="0026642D">
        <w:rPr>
          <w:rFonts w:ascii="Traditional Arabic" w:hAnsi="Traditional Arabic"/>
          <w:color w:val="000000"/>
          <w:sz w:val="30"/>
          <w:szCs w:val="30"/>
          <w:rtl/>
          <w:lang w:val="en-US"/>
        </w:rPr>
        <w:t>توصلت الدراسة إلى أن حجم السوق، درجة الانفتاح الاقتصادي، رأس المال البشري لها تأثير موجب ومعنوي على تدفقات الاستثمار الأجنبي المباشر في الجزائر.</w:t>
      </w:r>
    </w:p>
    <w:p w:rsidR="00CB14C9" w:rsidRDefault="00CB14C9" w:rsidP="007C41C9">
      <w:pPr>
        <w:pBdr>
          <w:top w:val="single" w:sz="4" w:space="1" w:color="auto"/>
          <w:left w:val="single" w:sz="4" w:space="4" w:color="auto"/>
          <w:bottom w:val="single" w:sz="4" w:space="1" w:color="auto"/>
          <w:right w:val="single" w:sz="4" w:space="4" w:color="auto"/>
        </w:pBdr>
        <w:bidi/>
        <w:spacing w:line="276" w:lineRule="auto"/>
        <w:contextualSpacing/>
        <w:jc w:val="lowKashida"/>
        <w:rPr>
          <w:rFonts w:ascii="Traditional Arabic" w:hAnsi="Traditional Arabic"/>
          <w:color w:val="000000"/>
          <w:sz w:val="30"/>
          <w:szCs w:val="30"/>
          <w:lang w:val="en-US"/>
        </w:rPr>
      </w:pPr>
      <w:r w:rsidRPr="0026642D">
        <w:rPr>
          <w:rFonts w:ascii="Traditional Arabic" w:hAnsi="Traditional Arabic"/>
          <w:b/>
          <w:bCs/>
          <w:color w:val="000000"/>
          <w:sz w:val="30"/>
          <w:szCs w:val="30"/>
          <w:rtl/>
          <w:lang w:val="en-US"/>
        </w:rPr>
        <w:t xml:space="preserve">كلمات مفتاحية: </w:t>
      </w:r>
      <w:r w:rsidRPr="0026642D">
        <w:rPr>
          <w:rFonts w:ascii="Traditional Arabic" w:hAnsi="Traditional Arabic"/>
          <w:color w:val="000000"/>
          <w:sz w:val="30"/>
          <w:szCs w:val="30"/>
          <w:rtl/>
          <w:lang w:val="en-US"/>
        </w:rPr>
        <w:t>تدفقات الاستثمار الأجنبي المباشر، محددات الاستثمار الأجنبي المباشر، الجزائر.</w:t>
      </w:r>
    </w:p>
    <w:p w:rsidR="00CB14C9" w:rsidRPr="00CB14C9" w:rsidRDefault="00CB14C9" w:rsidP="007C41C9">
      <w:pPr>
        <w:pBdr>
          <w:top w:val="single" w:sz="4" w:space="1" w:color="auto"/>
          <w:left w:val="single" w:sz="4" w:space="4" w:color="auto"/>
          <w:bottom w:val="single" w:sz="4" w:space="1" w:color="auto"/>
          <w:right w:val="single" w:sz="4" w:space="4" w:color="auto"/>
        </w:pBdr>
        <w:bidi/>
        <w:spacing w:line="276" w:lineRule="auto"/>
        <w:contextualSpacing/>
        <w:jc w:val="lowKashida"/>
        <w:rPr>
          <w:rFonts w:ascii="Traditional Arabic" w:hAnsi="Traditional Arabic"/>
          <w:b/>
          <w:bCs/>
          <w:color w:val="000000"/>
          <w:sz w:val="30"/>
          <w:szCs w:val="30"/>
        </w:rPr>
      </w:pPr>
      <w:r w:rsidRPr="00CB14C9">
        <w:rPr>
          <w:rFonts w:ascii="Traditional Arabic" w:hAnsi="Traditional Arabic" w:hint="cs"/>
          <w:b/>
          <w:bCs/>
          <w:color w:val="000000"/>
          <w:sz w:val="30"/>
          <w:szCs w:val="30"/>
          <w:rtl/>
          <w:lang w:val="en-US"/>
        </w:rPr>
        <w:t xml:space="preserve">تصنيفات </w:t>
      </w:r>
      <w:r w:rsidRPr="00CB14C9">
        <w:rPr>
          <w:rFonts w:ascii="Traditional Arabic" w:hAnsi="Traditional Arabic"/>
          <w:b/>
          <w:bCs/>
          <w:color w:val="000000"/>
          <w:sz w:val="26"/>
          <w:szCs w:val="26"/>
        </w:rPr>
        <w:t>JEL</w:t>
      </w:r>
      <w:r w:rsidRPr="00CB14C9">
        <w:rPr>
          <w:rFonts w:ascii="Traditional Arabic" w:hAnsi="Traditional Arabic" w:hint="cs"/>
          <w:b/>
          <w:bCs/>
          <w:color w:val="000000"/>
          <w:sz w:val="30"/>
          <w:szCs w:val="30"/>
          <w:rtl/>
        </w:rPr>
        <w:t xml:space="preserve">: </w:t>
      </w:r>
      <w:r w:rsidRPr="00CB14C9">
        <w:rPr>
          <w:rFonts w:ascii="Traditional Arabic" w:hAnsi="Traditional Arabic"/>
          <w:color w:val="000000"/>
          <w:sz w:val="26"/>
          <w:szCs w:val="26"/>
        </w:rPr>
        <w:t>C25</w:t>
      </w:r>
      <w:r w:rsidRPr="00CB14C9">
        <w:rPr>
          <w:rFonts w:ascii="Traditional Arabic" w:hAnsi="Traditional Arabic" w:hint="cs"/>
          <w:color w:val="000000"/>
          <w:sz w:val="26"/>
          <w:szCs w:val="26"/>
          <w:rtl/>
        </w:rPr>
        <w:t xml:space="preserve">، </w:t>
      </w:r>
      <w:r w:rsidRPr="00CB14C9">
        <w:rPr>
          <w:rFonts w:ascii="Traditional Arabic" w:hAnsi="Traditional Arabic"/>
          <w:color w:val="000000"/>
          <w:sz w:val="26"/>
          <w:szCs w:val="26"/>
        </w:rPr>
        <w:t>F21</w:t>
      </w:r>
    </w:p>
    <w:p w:rsidR="00CB14C9" w:rsidRPr="0026642D" w:rsidRDefault="00CB14C9" w:rsidP="00CB14C9">
      <w:pPr>
        <w:spacing w:line="276" w:lineRule="auto"/>
        <w:contextualSpacing/>
        <w:jc w:val="lowKashida"/>
        <w:rPr>
          <w:rFonts w:asciiTheme="majorBidi" w:hAnsiTheme="majorBidi" w:cstheme="majorBidi"/>
          <w:b/>
          <w:bCs/>
          <w:sz w:val="26"/>
          <w:szCs w:val="26"/>
        </w:rPr>
      </w:pPr>
    </w:p>
    <w:p w:rsidR="00CB14C9" w:rsidRPr="009D4A32" w:rsidRDefault="00CB14C9" w:rsidP="00CB14C9">
      <w:pPr>
        <w:pStyle w:val="Paragraphedeliste"/>
        <w:numPr>
          <w:ilvl w:val="0"/>
          <w:numId w:val="27"/>
        </w:numPr>
        <w:spacing w:line="276" w:lineRule="auto"/>
        <w:contextualSpacing/>
        <w:jc w:val="lowKashida"/>
        <w:rPr>
          <w:rFonts w:asciiTheme="majorBidi" w:hAnsiTheme="majorBidi" w:cstheme="majorBidi"/>
          <w:b/>
          <w:bCs/>
          <w:sz w:val="26"/>
          <w:szCs w:val="26"/>
        </w:rPr>
      </w:pPr>
      <w:r w:rsidRPr="009D4A32">
        <w:rPr>
          <w:rFonts w:asciiTheme="majorBidi" w:hAnsiTheme="majorBidi" w:cstheme="majorBidi"/>
          <w:b/>
          <w:bCs/>
          <w:sz w:val="26"/>
          <w:szCs w:val="26"/>
        </w:rPr>
        <w:t>Introduction</w:t>
      </w:r>
    </w:p>
    <w:p w:rsidR="00CB14C9" w:rsidRPr="00381742" w:rsidRDefault="00CB14C9" w:rsidP="00CB14C9">
      <w:pPr>
        <w:pStyle w:val="NormalWeb"/>
        <w:spacing w:before="0" w:beforeAutospacing="0" w:after="0" w:afterAutospacing="0" w:line="276" w:lineRule="auto"/>
        <w:ind w:firstLine="708"/>
        <w:jc w:val="both"/>
        <w:rPr>
          <w:rFonts w:asciiTheme="majorBidi" w:hAnsiTheme="majorBidi" w:cstheme="majorBidi"/>
          <w:color w:val="000000"/>
          <w:sz w:val="18"/>
          <w:szCs w:val="18"/>
          <w:lang w:val="en-US"/>
        </w:rPr>
      </w:pPr>
      <w:r>
        <w:rPr>
          <w:rFonts w:asciiTheme="majorBidi" w:hAnsiTheme="majorBidi" w:cstheme="majorBidi"/>
          <w:color w:val="000000"/>
          <w:sz w:val="26"/>
          <w:szCs w:val="26"/>
          <w:lang w:val="en-US"/>
        </w:rPr>
        <w:t xml:space="preserve">In the </w:t>
      </w:r>
      <w:r w:rsidRPr="00381742">
        <w:rPr>
          <w:rFonts w:asciiTheme="majorBidi" w:hAnsiTheme="majorBidi" w:cstheme="majorBidi"/>
          <w:color w:val="000000"/>
          <w:sz w:val="26"/>
          <w:szCs w:val="26"/>
          <w:lang w:val="en-US"/>
        </w:rPr>
        <w:t>last few years</w:t>
      </w:r>
      <w:r>
        <w:rPr>
          <w:rFonts w:asciiTheme="majorBidi" w:hAnsiTheme="majorBidi" w:cstheme="majorBidi"/>
          <w:color w:val="000000"/>
          <w:sz w:val="26"/>
          <w:szCs w:val="26"/>
          <w:lang w:val="en-US"/>
        </w:rPr>
        <w:t>,</w:t>
      </w:r>
      <w:r w:rsidRPr="00381742">
        <w:rPr>
          <w:rFonts w:asciiTheme="majorBidi" w:hAnsiTheme="majorBidi" w:cstheme="majorBidi"/>
          <w:color w:val="000000"/>
          <w:sz w:val="26"/>
          <w:szCs w:val="26"/>
          <w:lang w:val="en-US"/>
        </w:rPr>
        <w:t xml:space="preserve"> FDI has an important role in several countries, contributes to realizing economic growth, creates jobs, as a result, reduces unemploym</w:t>
      </w:r>
      <w:r>
        <w:rPr>
          <w:rFonts w:asciiTheme="majorBidi" w:hAnsiTheme="majorBidi" w:cstheme="majorBidi"/>
          <w:color w:val="000000"/>
          <w:sz w:val="26"/>
          <w:szCs w:val="26"/>
          <w:lang w:val="en-US"/>
        </w:rPr>
        <w:t>ent, provides finance, transfer</w:t>
      </w:r>
      <w:r w:rsidRPr="00381742">
        <w:rPr>
          <w:rFonts w:asciiTheme="majorBidi" w:hAnsiTheme="majorBidi" w:cstheme="majorBidi"/>
          <w:color w:val="000000"/>
          <w:sz w:val="26"/>
          <w:szCs w:val="26"/>
          <w:lang w:val="en-US"/>
        </w:rPr>
        <w:t xml:space="preserve"> technology, skills and so. Accordingly, countries attempt to attract the larger part of foreign direct investment inflow by improving the investment climate, which requires economic and political stability, unchanging macroeconomic policies, protection of property rights, get better infrastructure, facility access to credit...</w:t>
      </w:r>
    </w:p>
    <w:p w:rsidR="00CB14C9" w:rsidRPr="0026642D" w:rsidRDefault="00CB14C9" w:rsidP="00CB14C9">
      <w:pPr>
        <w:spacing w:line="276" w:lineRule="auto"/>
        <w:ind w:firstLine="708"/>
        <w:jc w:val="both"/>
        <w:rPr>
          <w:rFonts w:asciiTheme="majorBidi" w:hAnsiTheme="majorBidi" w:cstheme="majorBidi"/>
          <w:color w:val="000000"/>
          <w:sz w:val="18"/>
          <w:szCs w:val="18"/>
          <w:lang w:val="en-US"/>
        </w:rPr>
      </w:pPr>
      <w:r w:rsidRPr="00381742">
        <w:rPr>
          <w:rFonts w:asciiTheme="majorBidi" w:hAnsiTheme="majorBidi" w:cstheme="majorBidi"/>
          <w:color w:val="000000"/>
          <w:sz w:val="26"/>
          <w:szCs w:val="26"/>
          <w:lang w:val="en-US"/>
        </w:rPr>
        <w:t>Algeria as one of several countries efforts to improve the conditions (economic and polic</w:t>
      </w:r>
      <w:r>
        <w:rPr>
          <w:rFonts w:asciiTheme="majorBidi" w:hAnsiTheme="majorBidi" w:cstheme="majorBidi"/>
          <w:color w:val="000000"/>
          <w:sz w:val="26"/>
          <w:szCs w:val="26"/>
          <w:lang w:val="en-US"/>
        </w:rPr>
        <w:t>y</w:t>
      </w:r>
      <w:r w:rsidRPr="00381742">
        <w:rPr>
          <w:rFonts w:asciiTheme="majorBidi" w:hAnsiTheme="majorBidi" w:cstheme="majorBidi"/>
          <w:color w:val="000000"/>
          <w:sz w:val="26"/>
          <w:szCs w:val="26"/>
          <w:lang w:val="en-US"/>
        </w:rPr>
        <w:t xml:space="preserve"> reforms) to attract big part of foreign direct investment inflow, Algeria has a lot of advantages to draw many investors (</w:t>
      </w:r>
      <w:r w:rsidRPr="00381742">
        <w:rPr>
          <w:rFonts w:asciiTheme="majorBidi" w:hAnsiTheme="majorBidi" w:cstheme="majorBidi"/>
          <w:color w:val="111111"/>
          <w:sz w:val="26"/>
          <w:szCs w:val="26"/>
          <w:lang w:val="en-US"/>
        </w:rPr>
        <w:t>proximity to Europe, low cost of energy…</w:t>
      </w:r>
      <w:r w:rsidRPr="00381742">
        <w:rPr>
          <w:rFonts w:asciiTheme="majorBidi" w:hAnsiTheme="majorBidi" w:cstheme="majorBidi"/>
          <w:color w:val="000000"/>
          <w:sz w:val="26"/>
          <w:szCs w:val="26"/>
          <w:lang w:val="en-US"/>
        </w:rPr>
        <w:t xml:space="preserve">), but also has a range of disadvantage </w:t>
      </w:r>
      <w:r>
        <w:rPr>
          <w:rFonts w:asciiTheme="majorBidi" w:hAnsiTheme="majorBidi" w:cstheme="majorBidi"/>
          <w:color w:val="000000"/>
          <w:sz w:val="26"/>
          <w:szCs w:val="26"/>
          <w:lang w:val="en-US"/>
        </w:rPr>
        <w:t xml:space="preserve">such as </w:t>
      </w:r>
      <w:r w:rsidRPr="00381742">
        <w:rPr>
          <w:rFonts w:asciiTheme="majorBidi" w:hAnsiTheme="majorBidi" w:cstheme="majorBidi"/>
          <w:color w:val="000000"/>
          <w:sz w:val="26"/>
          <w:szCs w:val="26"/>
          <w:lang w:val="en-US"/>
        </w:rPr>
        <w:t>it is complicated</w:t>
      </w:r>
      <w:r w:rsidRPr="00381742">
        <w:rPr>
          <w:rFonts w:asciiTheme="majorBidi" w:hAnsiTheme="majorBidi" w:cstheme="majorBidi"/>
          <w:color w:val="111111"/>
          <w:sz w:val="26"/>
          <w:szCs w:val="26"/>
          <w:lang w:val="en-US"/>
        </w:rPr>
        <w:t xml:space="preserve"> to acquire industrial </w:t>
      </w:r>
      <w:r w:rsidRPr="00381742">
        <w:rPr>
          <w:rFonts w:asciiTheme="majorBidi" w:hAnsiTheme="majorBidi" w:cstheme="majorBidi"/>
          <w:color w:val="111111"/>
          <w:sz w:val="26"/>
          <w:szCs w:val="26"/>
          <w:lang w:val="en-US"/>
        </w:rPr>
        <w:lastRenderedPageBreak/>
        <w:t>property, </w:t>
      </w:r>
      <w:r w:rsidRPr="00381742">
        <w:rPr>
          <w:rFonts w:asciiTheme="majorBidi" w:hAnsiTheme="majorBidi" w:cstheme="majorBidi"/>
          <w:color w:val="000000"/>
          <w:sz w:val="26"/>
          <w:szCs w:val="26"/>
          <w:lang w:val="en-US"/>
        </w:rPr>
        <w:t>administrative</w:t>
      </w:r>
      <w:r w:rsidRPr="00381742">
        <w:rPr>
          <w:rFonts w:asciiTheme="majorBidi" w:hAnsiTheme="majorBidi" w:cstheme="majorBidi"/>
          <w:color w:val="111111"/>
          <w:sz w:val="26"/>
          <w:szCs w:val="26"/>
          <w:lang w:val="en-US"/>
        </w:rPr>
        <w:t> procedures take a long time and slowly, tax law</w:t>
      </w:r>
      <w:r w:rsidRPr="00381742">
        <w:rPr>
          <w:rFonts w:asciiTheme="majorBidi" w:hAnsiTheme="majorBidi" w:cstheme="majorBidi"/>
          <w:color w:val="000000"/>
          <w:sz w:val="26"/>
          <w:szCs w:val="26"/>
          <w:lang w:val="en-US"/>
        </w:rPr>
        <w:t> </w:t>
      </w:r>
      <w:r w:rsidRPr="00381742">
        <w:rPr>
          <w:rFonts w:asciiTheme="majorBidi" w:hAnsiTheme="majorBidi" w:cstheme="majorBidi"/>
          <w:color w:val="111111"/>
          <w:sz w:val="26"/>
          <w:szCs w:val="26"/>
          <w:lang w:val="en-US"/>
        </w:rPr>
        <w:t>is very complex.</w:t>
      </w:r>
    </w:p>
    <w:p w:rsidR="00CB14C9" w:rsidRPr="0026642D" w:rsidRDefault="00CB14C9" w:rsidP="00CB14C9">
      <w:pPr>
        <w:spacing w:line="276" w:lineRule="auto"/>
        <w:jc w:val="both"/>
        <w:rPr>
          <w:rFonts w:asciiTheme="majorBidi" w:hAnsiTheme="majorBidi" w:cstheme="majorBidi"/>
          <w:color w:val="000000"/>
          <w:sz w:val="18"/>
          <w:szCs w:val="18"/>
          <w:lang w:val="en-US"/>
        </w:rPr>
      </w:pPr>
      <w:r w:rsidRPr="00381742">
        <w:rPr>
          <w:rFonts w:asciiTheme="majorBidi" w:hAnsiTheme="majorBidi" w:cstheme="majorBidi"/>
          <w:color w:val="111111"/>
          <w:sz w:val="26"/>
          <w:szCs w:val="26"/>
          <w:lang w:val="en-US"/>
        </w:rPr>
        <w:t>In view of that, the study looks for the following question:</w:t>
      </w:r>
    </w:p>
    <w:p w:rsidR="00CB14C9" w:rsidRPr="00EC48D3" w:rsidRDefault="00CB14C9" w:rsidP="00CB14C9">
      <w:pPr>
        <w:pStyle w:val="NormalWeb"/>
        <w:spacing w:before="0" w:beforeAutospacing="0" w:after="0" w:afterAutospacing="0" w:line="276" w:lineRule="auto"/>
        <w:jc w:val="center"/>
        <w:rPr>
          <w:rFonts w:asciiTheme="majorBidi" w:hAnsiTheme="majorBidi" w:cstheme="majorBidi"/>
          <w:color w:val="000000"/>
          <w:sz w:val="18"/>
          <w:szCs w:val="18"/>
          <w:lang w:val="en-US"/>
        </w:rPr>
      </w:pPr>
      <w:r w:rsidRPr="00381742">
        <w:rPr>
          <w:rFonts w:asciiTheme="majorBidi" w:hAnsiTheme="majorBidi" w:cstheme="majorBidi"/>
          <w:color w:val="111111"/>
          <w:sz w:val="26"/>
          <w:szCs w:val="26"/>
          <w:lang w:val="en-US"/>
        </w:rPr>
        <w:t>What are the main determinants of FDI inflows in Algeria?</w:t>
      </w:r>
    </w:p>
    <w:p w:rsidR="00CB14C9" w:rsidRPr="0026642D" w:rsidRDefault="00CB14C9" w:rsidP="00CB14C9">
      <w:pPr>
        <w:spacing w:line="276" w:lineRule="auto"/>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To answer the question we will test the following hypotheses:</w:t>
      </w:r>
    </w:p>
    <w:p w:rsidR="00CB14C9" w:rsidRPr="007B4B77" w:rsidRDefault="00CB14C9" w:rsidP="00C403B8">
      <w:pPr>
        <w:pStyle w:val="Paragraphedeliste"/>
        <w:spacing w:line="276" w:lineRule="auto"/>
        <w:ind w:left="720"/>
        <w:jc w:val="both"/>
        <w:rPr>
          <w:rFonts w:asciiTheme="majorBidi" w:hAnsiTheme="majorBidi" w:cstheme="majorBidi"/>
          <w:color w:val="000000"/>
          <w:sz w:val="26"/>
          <w:szCs w:val="26"/>
          <w:highlight w:val="yellow"/>
          <w:lang w:val="en-US"/>
        </w:rPr>
      </w:pPr>
    </w:p>
    <w:p w:rsidR="00CB14C9" w:rsidRPr="00CE5E93" w:rsidRDefault="00CB14C9" w:rsidP="00493685">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sz w:val="26"/>
          <w:szCs w:val="26"/>
          <w:lang w:val="en-US"/>
        </w:rPr>
        <w:t>GDP per capita is foreign direct investment determinant.</w:t>
      </w:r>
    </w:p>
    <w:p w:rsidR="00CB14C9" w:rsidRPr="00CE5E93" w:rsidRDefault="00CB14C9" w:rsidP="00560C8B">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sz w:val="26"/>
          <w:szCs w:val="26"/>
          <w:lang w:val="en-US"/>
        </w:rPr>
        <w:t>Merchandise trade is foreign direct investment determinant.</w:t>
      </w:r>
    </w:p>
    <w:p w:rsidR="00CB14C9" w:rsidRPr="00CE5E93" w:rsidRDefault="00CB14C9" w:rsidP="00560C8B">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sz w:val="26"/>
          <w:szCs w:val="26"/>
          <w:lang w:val="en-US"/>
        </w:rPr>
        <w:t>Inflation is foreign direct investment determinant.</w:t>
      </w:r>
    </w:p>
    <w:p w:rsidR="00CB14C9" w:rsidRPr="00CE5E93" w:rsidRDefault="00CB14C9" w:rsidP="00560C8B">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color w:val="000000"/>
          <w:sz w:val="26"/>
          <w:szCs w:val="26"/>
          <w:lang w:val="en-US"/>
        </w:rPr>
        <w:t>credit provided by financial sector is</w:t>
      </w:r>
      <w:r w:rsidRPr="00CE5E93">
        <w:rPr>
          <w:rFonts w:asciiTheme="majorBidi" w:hAnsiTheme="majorBidi" w:cstheme="majorBidi"/>
          <w:sz w:val="26"/>
          <w:szCs w:val="26"/>
          <w:lang w:val="en-US"/>
        </w:rPr>
        <w:t xml:space="preserve"> foreign direct investment determinant.</w:t>
      </w:r>
    </w:p>
    <w:p w:rsidR="00CB14C9" w:rsidRPr="00CE5E93" w:rsidRDefault="00CB14C9" w:rsidP="00560C8B">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color w:val="000000"/>
          <w:sz w:val="26"/>
          <w:szCs w:val="26"/>
          <w:lang w:val="en-US"/>
        </w:rPr>
        <w:t>School enrollment secondary</w:t>
      </w:r>
      <w:r w:rsidRPr="00CE5E93">
        <w:rPr>
          <w:rFonts w:asciiTheme="majorBidi" w:hAnsiTheme="majorBidi" w:cstheme="majorBidi"/>
          <w:sz w:val="26"/>
          <w:szCs w:val="26"/>
          <w:lang w:val="en-US"/>
        </w:rPr>
        <w:t xml:space="preserve"> is foreign direct investment determinants.</w:t>
      </w:r>
    </w:p>
    <w:p w:rsidR="00CB14C9" w:rsidRPr="00CE5E93" w:rsidRDefault="00CB14C9" w:rsidP="00560C8B">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sz w:val="26"/>
          <w:szCs w:val="26"/>
          <w:lang w:val="en-US"/>
        </w:rPr>
        <w:t>Military expenditure is foreign direct investment determinant.</w:t>
      </w:r>
    </w:p>
    <w:p w:rsidR="00CB14C9" w:rsidRPr="00CE5E93" w:rsidRDefault="00CB14C9" w:rsidP="007B4B77">
      <w:pPr>
        <w:pStyle w:val="Paragraphedeliste"/>
        <w:numPr>
          <w:ilvl w:val="0"/>
          <w:numId w:val="32"/>
        </w:numPr>
        <w:spacing w:line="276" w:lineRule="auto"/>
        <w:jc w:val="both"/>
        <w:rPr>
          <w:rFonts w:asciiTheme="majorBidi" w:hAnsiTheme="majorBidi" w:cstheme="majorBidi"/>
          <w:lang w:val="en-US"/>
        </w:rPr>
      </w:pPr>
      <w:r w:rsidRPr="00CE5E93">
        <w:rPr>
          <w:rFonts w:asciiTheme="majorBidi" w:hAnsiTheme="majorBidi" w:cstheme="majorBidi"/>
          <w:sz w:val="26"/>
          <w:szCs w:val="26"/>
          <w:lang w:val="en-US"/>
        </w:rPr>
        <w:t>Air transport  is foreign direct investment determinant.</w:t>
      </w:r>
    </w:p>
    <w:p w:rsidR="00CB14C9" w:rsidRPr="0026642D" w:rsidRDefault="00CB14C9" w:rsidP="00CB14C9">
      <w:pPr>
        <w:pStyle w:val="Titre1"/>
        <w:spacing w:before="0" w:beforeAutospacing="0" w:after="0" w:afterAutospacing="0" w:line="276" w:lineRule="auto"/>
        <w:jc w:val="both"/>
        <w:rPr>
          <w:rFonts w:cs="Times New Roman"/>
          <w:b w:val="0"/>
          <w:bCs w:val="0"/>
          <w:kern w:val="0"/>
          <w:sz w:val="24"/>
          <w:szCs w:val="24"/>
          <w:lang w:val="en-US"/>
        </w:rPr>
      </w:pPr>
      <w:r w:rsidRPr="0026642D">
        <w:rPr>
          <w:rFonts w:asciiTheme="majorBidi" w:hAnsiTheme="majorBidi" w:cstheme="majorBidi"/>
          <w:b w:val="0"/>
          <w:bCs w:val="0"/>
          <w:sz w:val="26"/>
          <w:szCs w:val="26"/>
          <w:lang w:val="en-US"/>
        </w:rPr>
        <w:t>There are several studies tried to explain the determinants of foreign direct investment</w:t>
      </w:r>
      <w:r w:rsidRPr="0026642D">
        <w:rPr>
          <w:rFonts w:cs="Times New Roman"/>
          <w:b w:val="0"/>
          <w:bCs w:val="0"/>
          <w:kern w:val="0"/>
          <w:sz w:val="24"/>
          <w:szCs w:val="24"/>
          <w:lang w:val="en-US"/>
        </w:rPr>
        <w:t xml:space="preserve">, recall the most recent: </w:t>
      </w:r>
    </w:p>
    <w:p w:rsidR="00CB14C9" w:rsidRPr="0026642D" w:rsidRDefault="00CB14C9" w:rsidP="00CB14C9">
      <w:pPr>
        <w:spacing w:line="276" w:lineRule="auto"/>
        <w:ind w:firstLine="708"/>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Behrooz Shahmoradi, Mostafa Baghbanyan (2011),”Determinants of Foreign Direct Investment in Developing Countries: A Panel Data Analysis”, based on a sample of 25 developing countries and used panel data techniques to determine the main factors that affect foreign direct investment inflows  to this countries for 18 years (1990-2007), the FDI inflows  were used as explained variable and FDI outflow, GDP per capita, balance of payment, (export+import)/ GDP, population, mobile telephone per 1000 people, internet users per 1000people, workforce, technology, ODA( Total Official Development Aid, and inflation as explanatory variables. The results achieved that openness of the economy, market size, workforce, ODA, mobile technology, and the internet had a significant and positive effect on FDI inflows, the population had a significant and negative effect, and the other variables did not significantly at any level.</w:t>
      </w:r>
      <w:sdt>
        <w:sdtPr>
          <w:rPr>
            <w:rFonts w:asciiTheme="majorBidi" w:hAnsiTheme="majorBidi" w:cstheme="majorBidi"/>
            <w:sz w:val="26"/>
            <w:szCs w:val="26"/>
          </w:rPr>
          <w:id w:val="-1718416037"/>
          <w:citation/>
        </w:sdtPr>
        <w:sdtContent>
          <w:r w:rsidR="00274750">
            <w:rPr>
              <w:rFonts w:asciiTheme="majorBidi" w:hAnsiTheme="majorBidi" w:cstheme="majorBidi"/>
              <w:sz w:val="26"/>
              <w:szCs w:val="26"/>
            </w:rPr>
            <w:fldChar w:fldCharType="begin"/>
          </w:r>
          <w:r>
            <w:rPr>
              <w:rFonts w:asciiTheme="majorBidi" w:hAnsiTheme="majorBidi" w:cstheme="majorBidi"/>
              <w:sz w:val="26"/>
              <w:szCs w:val="26"/>
              <w:lang w:val="en-US"/>
            </w:rPr>
            <w:instrText xml:space="preserve">CITATION Beh11 \p 49-56 \l 1036 </w:instrText>
          </w:r>
          <w:r w:rsidR="00274750">
            <w:rPr>
              <w:rFonts w:asciiTheme="majorBidi" w:hAnsiTheme="majorBidi" w:cstheme="majorBidi"/>
              <w:sz w:val="26"/>
              <w:szCs w:val="26"/>
            </w:rPr>
            <w:fldChar w:fldCharType="separate"/>
          </w:r>
          <w:r w:rsidRPr="0026642D">
            <w:rPr>
              <w:rFonts w:asciiTheme="majorBidi" w:hAnsiTheme="majorBidi" w:cstheme="majorBidi"/>
              <w:noProof/>
              <w:sz w:val="26"/>
              <w:szCs w:val="26"/>
              <w:lang w:val="en-US"/>
            </w:rPr>
            <w:t xml:space="preserve"> (Behrooz Shahmoradi, 2011, pp. 49-56)</w:t>
          </w:r>
          <w:r w:rsidR="00274750">
            <w:rPr>
              <w:rFonts w:asciiTheme="majorBidi" w:hAnsiTheme="majorBidi" w:cstheme="majorBidi"/>
              <w:sz w:val="26"/>
              <w:szCs w:val="26"/>
            </w:rPr>
            <w:fldChar w:fldCharType="end"/>
          </w:r>
        </w:sdtContent>
      </w:sdt>
    </w:p>
    <w:p w:rsidR="00CB14C9" w:rsidRPr="0026642D" w:rsidRDefault="00CB14C9" w:rsidP="00CB14C9">
      <w:pPr>
        <w:spacing w:line="276" w:lineRule="auto"/>
        <w:ind w:firstLine="708"/>
        <w:jc w:val="both"/>
        <w:rPr>
          <w:rFonts w:asciiTheme="majorBidi" w:hAnsiTheme="majorBidi" w:cstheme="majorBidi"/>
          <w:sz w:val="26"/>
          <w:szCs w:val="26"/>
          <w:lang w:val="en-US"/>
        </w:rPr>
      </w:pPr>
      <w:r w:rsidRPr="0026642D">
        <w:rPr>
          <w:rFonts w:asciiTheme="majorBidi" w:hAnsiTheme="majorBidi" w:cstheme="majorBidi"/>
          <w:sz w:val="26"/>
          <w:szCs w:val="26"/>
          <w:lang w:val="en-US"/>
        </w:rPr>
        <w:lastRenderedPageBreak/>
        <w:t xml:space="preserve">Yapatake kossele Thales Pacific, Riti Joshua Sunday, Anning Lucy 2015, “Determinants of Foreign Direct Investment Flows to Francophone African Countries: Panel Data Analysis”, to look at the factors  that determine  foreign direct investment inflows to Francophone African Countries, they relied on  panel data analysis from 25 countries for the period of 9 years(2004-2012) which had 158 panel observations,  used FDI inflows as dependent variable and the growth rate of Gross Domestic Product, exports in goods and services, official exchange rate, domestic credit to private sectors, information and communication technology defined  by the number of internet users, political stability and absence of violence as independent variables. The main results showed that most important determinants of FDI Francophone African Countries were: exports in goods and services, internet’s users, exchange rate, political stability and absence of violence estimate, the time required to start a business in the country. </w:t>
      </w:r>
      <w:sdt>
        <w:sdtPr>
          <w:rPr>
            <w:rFonts w:asciiTheme="majorBidi" w:hAnsiTheme="majorBidi" w:cstheme="majorBidi"/>
            <w:sz w:val="26"/>
            <w:szCs w:val="26"/>
          </w:rPr>
          <w:id w:val="-1828664664"/>
          <w:citation/>
        </w:sdtPr>
        <w:sdtContent>
          <w:r w:rsidR="00274750">
            <w:rPr>
              <w:rFonts w:asciiTheme="majorBidi" w:hAnsiTheme="majorBidi" w:cstheme="majorBidi"/>
              <w:sz w:val="26"/>
              <w:szCs w:val="26"/>
            </w:rPr>
            <w:fldChar w:fldCharType="begin"/>
          </w:r>
          <w:r>
            <w:rPr>
              <w:rFonts w:asciiTheme="majorBidi" w:hAnsiTheme="majorBidi" w:cstheme="majorBidi"/>
              <w:sz w:val="26"/>
              <w:szCs w:val="26"/>
              <w:lang w:val="en-US"/>
            </w:rPr>
            <w:instrText xml:space="preserve">CITATION Yap15 \p 4-9 \l 1036 </w:instrText>
          </w:r>
          <w:r w:rsidR="00274750">
            <w:rPr>
              <w:rFonts w:asciiTheme="majorBidi" w:hAnsiTheme="majorBidi" w:cstheme="majorBidi"/>
              <w:sz w:val="26"/>
              <w:szCs w:val="26"/>
            </w:rPr>
            <w:fldChar w:fldCharType="separate"/>
          </w:r>
          <w:r w:rsidRPr="0026642D">
            <w:rPr>
              <w:rFonts w:asciiTheme="majorBidi" w:hAnsiTheme="majorBidi" w:cstheme="majorBidi"/>
              <w:noProof/>
              <w:sz w:val="26"/>
              <w:szCs w:val="26"/>
              <w:lang w:val="en-US"/>
            </w:rPr>
            <w:t>(Yapatake kossele Thales Pacific, 2015, pp. 4-9)</w:t>
          </w:r>
          <w:r w:rsidR="00274750">
            <w:rPr>
              <w:rFonts w:asciiTheme="majorBidi" w:hAnsiTheme="majorBidi" w:cstheme="majorBidi"/>
              <w:sz w:val="26"/>
              <w:szCs w:val="26"/>
            </w:rPr>
            <w:fldChar w:fldCharType="end"/>
          </w:r>
        </w:sdtContent>
      </w:sdt>
    </w:p>
    <w:p w:rsidR="00CB14C9" w:rsidRDefault="00CB14C9" w:rsidP="00CB14C9">
      <w:pPr>
        <w:spacing w:line="276" w:lineRule="auto"/>
        <w:ind w:firstLine="708"/>
        <w:jc w:val="both"/>
        <w:rPr>
          <w:rFonts w:asciiTheme="majorBidi" w:hAnsiTheme="majorBidi" w:cstheme="majorBidi"/>
          <w:sz w:val="26"/>
          <w:szCs w:val="26"/>
          <w:lang w:val="en-US"/>
        </w:rPr>
      </w:pPr>
      <w:r w:rsidRPr="00DF17A8">
        <w:rPr>
          <w:rFonts w:asciiTheme="majorBidi" w:hAnsiTheme="majorBidi" w:cstheme="majorBidi"/>
          <w:sz w:val="26"/>
          <w:szCs w:val="26"/>
          <w:lang w:val="en-US"/>
        </w:rPr>
        <w:t>Sobir Shukurov</w:t>
      </w:r>
      <w:r>
        <w:rPr>
          <w:rFonts w:asciiTheme="majorBidi" w:hAnsiTheme="majorBidi" w:cstheme="majorBidi"/>
          <w:sz w:val="26"/>
          <w:szCs w:val="26"/>
          <w:lang w:val="en-US"/>
        </w:rPr>
        <w:t>. 2016,”</w:t>
      </w:r>
      <w:r w:rsidRPr="00DF17A8">
        <w:rPr>
          <w:rFonts w:asciiTheme="majorBidi" w:hAnsiTheme="majorBidi" w:cstheme="majorBidi"/>
          <w:sz w:val="26"/>
          <w:szCs w:val="26"/>
          <w:lang w:val="en-US"/>
        </w:rPr>
        <w:t xml:space="preserve">Determinants of </w:t>
      </w:r>
      <w:r>
        <w:rPr>
          <w:rFonts w:asciiTheme="majorBidi" w:hAnsiTheme="majorBidi" w:cstheme="majorBidi"/>
          <w:sz w:val="26"/>
          <w:szCs w:val="26"/>
          <w:lang w:val="en-US"/>
        </w:rPr>
        <w:t>FDI</w:t>
      </w:r>
      <w:r w:rsidRPr="00DF17A8">
        <w:rPr>
          <w:rFonts w:asciiTheme="majorBidi" w:hAnsiTheme="majorBidi" w:cstheme="majorBidi"/>
          <w:sz w:val="26"/>
          <w:szCs w:val="26"/>
          <w:lang w:val="en-US"/>
        </w:rPr>
        <w:t xml:space="preserve"> in Transition Economics</w:t>
      </w:r>
      <w:r>
        <w:rPr>
          <w:rFonts w:asciiTheme="majorBidi" w:hAnsiTheme="majorBidi" w:cstheme="majorBidi"/>
          <w:sz w:val="26"/>
          <w:szCs w:val="26"/>
          <w:lang w:val="en-US"/>
        </w:rPr>
        <w:t xml:space="preserve">: </w:t>
      </w:r>
      <w:r w:rsidRPr="00DF17A8">
        <w:rPr>
          <w:rFonts w:asciiTheme="majorBidi" w:hAnsiTheme="majorBidi" w:cstheme="majorBidi"/>
          <w:sz w:val="26"/>
          <w:szCs w:val="26"/>
          <w:lang w:val="en-US"/>
        </w:rPr>
        <w:t>T</w:t>
      </w:r>
      <w:r>
        <w:rPr>
          <w:rFonts w:asciiTheme="majorBidi" w:hAnsiTheme="majorBidi" w:cstheme="majorBidi"/>
          <w:sz w:val="26"/>
          <w:szCs w:val="26"/>
          <w:lang w:val="en-US"/>
        </w:rPr>
        <w:t xml:space="preserve">he </w:t>
      </w:r>
      <w:r w:rsidRPr="00DF17A8">
        <w:rPr>
          <w:rFonts w:asciiTheme="majorBidi" w:hAnsiTheme="majorBidi" w:cstheme="majorBidi"/>
          <w:sz w:val="26"/>
          <w:szCs w:val="26"/>
          <w:lang w:val="en-US"/>
        </w:rPr>
        <w:t>Case</w:t>
      </w:r>
      <w:r>
        <w:rPr>
          <w:rFonts w:asciiTheme="majorBidi" w:hAnsiTheme="majorBidi" w:cstheme="majorBidi"/>
          <w:sz w:val="26"/>
          <w:szCs w:val="26"/>
          <w:lang w:val="en-US"/>
        </w:rPr>
        <w:t xml:space="preserve"> of</w:t>
      </w:r>
      <w:r w:rsidRPr="00DF17A8">
        <w:rPr>
          <w:rFonts w:asciiTheme="majorBidi" w:hAnsiTheme="majorBidi" w:cstheme="majorBidi"/>
          <w:sz w:val="26"/>
          <w:szCs w:val="26"/>
          <w:lang w:val="en-US"/>
        </w:rPr>
        <w:t xml:space="preserve"> CISC</w:t>
      </w:r>
      <w:r>
        <w:rPr>
          <w:rFonts w:asciiTheme="majorBidi" w:hAnsiTheme="majorBidi" w:cstheme="majorBidi"/>
          <w:sz w:val="26"/>
          <w:szCs w:val="26"/>
          <w:lang w:val="en-US"/>
        </w:rPr>
        <w:t>ountries.”  Used panel data models to determine the factors affecting (share of FDI inflows in GDP as dependent variable, and GDP per capita, inflation rate, external balance on goods and services, infrastructure reform, trade and exchange rate restriction, competition policy; banking reforms, natural resources as independent variables )FDI inflows to CIS (</w:t>
      </w:r>
      <w:r w:rsidRPr="00CF7C7E">
        <w:rPr>
          <w:rFonts w:asciiTheme="majorBidi" w:hAnsiTheme="majorBidi" w:cstheme="majorBidi"/>
          <w:sz w:val="26"/>
          <w:szCs w:val="26"/>
          <w:lang w:val="en-US"/>
        </w:rPr>
        <w:t>Commonwealth Independent States</w:t>
      </w:r>
      <w:r>
        <w:rPr>
          <w:rFonts w:asciiTheme="majorBidi" w:hAnsiTheme="majorBidi" w:cstheme="majorBidi"/>
          <w:sz w:val="26"/>
          <w:szCs w:val="26"/>
          <w:lang w:val="en-US"/>
        </w:rPr>
        <w:t>)countries ( Uzbekistan, Ukrraine, Turkmenistan, Tajikistan, Russia, Moldova, Kazakhstan, Belarus, Azerbaijan, Armenia) for the period of 1995-2010. The results indicated that market size, abundance in natural resources were positively affected FDI inflow,  where fiscal imbalance and inflation had  a negative influence on FDI inflows.</w:t>
      </w:r>
      <w:sdt>
        <w:sdtPr>
          <w:rPr>
            <w:rFonts w:asciiTheme="majorBidi" w:hAnsiTheme="majorBidi" w:cstheme="majorBidi"/>
            <w:sz w:val="26"/>
            <w:szCs w:val="26"/>
            <w:lang w:val="en-US"/>
          </w:rPr>
          <w:id w:val="530390584"/>
          <w:citation/>
        </w:sdtPr>
        <w:sdtContent>
          <w:r w:rsidR="00274750">
            <w:rPr>
              <w:rFonts w:asciiTheme="majorBidi" w:hAnsiTheme="majorBidi" w:cstheme="majorBidi"/>
              <w:sz w:val="26"/>
              <w:szCs w:val="26"/>
              <w:lang w:val="en-US"/>
            </w:rPr>
            <w:fldChar w:fldCharType="begin"/>
          </w:r>
          <w:r>
            <w:rPr>
              <w:rFonts w:asciiTheme="majorBidi" w:hAnsiTheme="majorBidi" w:cstheme="majorBidi"/>
              <w:sz w:val="26"/>
              <w:szCs w:val="26"/>
              <w:lang w:val="en-US"/>
            </w:rPr>
            <w:instrText xml:space="preserve">CITATION Shu16 \p 75-94 \l 1036 </w:instrText>
          </w:r>
          <w:r w:rsidR="00274750">
            <w:rPr>
              <w:rFonts w:asciiTheme="majorBidi" w:hAnsiTheme="majorBidi" w:cstheme="majorBidi"/>
              <w:sz w:val="26"/>
              <w:szCs w:val="26"/>
              <w:lang w:val="en-US"/>
            </w:rPr>
            <w:fldChar w:fldCharType="separate"/>
          </w:r>
          <w:r w:rsidRPr="00EF0A8D">
            <w:rPr>
              <w:rFonts w:asciiTheme="majorBidi" w:hAnsiTheme="majorBidi" w:cstheme="majorBidi"/>
              <w:noProof/>
              <w:sz w:val="26"/>
              <w:szCs w:val="26"/>
              <w:lang w:val="en-US"/>
            </w:rPr>
            <w:t>(Shukurov, 2016, pp. 75-94)</w:t>
          </w:r>
          <w:r w:rsidR="00274750">
            <w:rPr>
              <w:rFonts w:asciiTheme="majorBidi" w:hAnsiTheme="majorBidi" w:cstheme="majorBidi"/>
              <w:sz w:val="26"/>
              <w:szCs w:val="26"/>
              <w:lang w:val="en-US"/>
            </w:rPr>
            <w:fldChar w:fldCharType="end"/>
          </w:r>
        </w:sdtContent>
      </w:sdt>
    </w:p>
    <w:p w:rsidR="00CB14C9" w:rsidRPr="0026642D" w:rsidRDefault="00CB14C9" w:rsidP="00CB14C9">
      <w:pPr>
        <w:spacing w:line="276" w:lineRule="auto"/>
        <w:ind w:firstLine="708"/>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 xml:space="preserve">The study structured as follows: The first part is the introduction to the study. Part two has some background information about foreign direct investment inflow in Algeria. Part three includes the data collection and sources, variable definition, and economic analysis methods. Last part introduces the results of the study. The conclusion and the recommendations discussed at the end of the study. </w:t>
      </w:r>
    </w:p>
    <w:p w:rsidR="00CB14C9" w:rsidRPr="0026642D" w:rsidRDefault="00CB14C9" w:rsidP="00CB14C9">
      <w:pPr>
        <w:spacing w:line="276" w:lineRule="auto"/>
        <w:jc w:val="both"/>
        <w:rPr>
          <w:rFonts w:asciiTheme="majorBidi" w:hAnsiTheme="majorBidi" w:cstheme="majorBidi"/>
          <w:sz w:val="26"/>
          <w:szCs w:val="26"/>
          <w:lang w:val="en-US"/>
        </w:rPr>
      </w:pPr>
    </w:p>
    <w:p w:rsidR="00CB14C9" w:rsidRPr="008E623E" w:rsidRDefault="00CB14C9" w:rsidP="00CB14C9">
      <w:pPr>
        <w:pStyle w:val="Paragraphedeliste"/>
        <w:numPr>
          <w:ilvl w:val="0"/>
          <w:numId w:val="27"/>
        </w:numPr>
        <w:spacing w:line="276" w:lineRule="auto"/>
        <w:contextualSpacing/>
        <w:rPr>
          <w:rFonts w:asciiTheme="majorBidi" w:hAnsiTheme="majorBidi" w:cstheme="majorBidi"/>
          <w:b/>
          <w:bCs/>
          <w:sz w:val="26"/>
          <w:szCs w:val="26"/>
        </w:rPr>
      </w:pPr>
      <w:r w:rsidRPr="009D4A32">
        <w:rPr>
          <w:rFonts w:asciiTheme="majorBidi" w:hAnsiTheme="majorBidi" w:cstheme="majorBidi"/>
          <w:b/>
          <w:bCs/>
          <w:sz w:val="26"/>
          <w:szCs w:val="26"/>
        </w:rPr>
        <w:t>Overview</w:t>
      </w:r>
    </w:p>
    <w:p w:rsidR="00CB14C9" w:rsidRPr="0026642D" w:rsidRDefault="00CB14C9" w:rsidP="00CB14C9">
      <w:pPr>
        <w:spacing w:line="276" w:lineRule="auto"/>
        <w:ind w:firstLine="708"/>
        <w:jc w:val="both"/>
        <w:rPr>
          <w:rFonts w:asciiTheme="majorBidi" w:hAnsiTheme="majorBidi" w:cstheme="majorBidi"/>
          <w:sz w:val="26"/>
          <w:szCs w:val="26"/>
          <w:lang w:val="en-US"/>
        </w:rPr>
      </w:pPr>
      <w:r w:rsidRPr="0026642D">
        <w:rPr>
          <w:rFonts w:asciiTheme="majorBidi" w:hAnsiTheme="majorBidi" w:cstheme="majorBidi"/>
          <w:sz w:val="26"/>
          <w:szCs w:val="26"/>
          <w:lang w:val="en-US"/>
        </w:rPr>
        <w:t xml:space="preserve"> Investment is a vital element in development economics and has an important role in several countries alike local or foreign. In recent years nations undertake to care for foreign direct investment since its advantages. Algeria regards as one of the countries that attempt to attract a lot of FDI inflows, thus it seeks to create a favourable and motivate investment climate. Algeria has many potentials to be an attractive country to foreign investments, it riches in natural resources which are competitive factors costs( natural gas 0.21 to 0.40 Euros/therm, electricity 1 to 4 euro certs/kwh on average, gasoline super 0.3euros/ L, gas oil 0.17euros/L)</w:t>
      </w:r>
      <w:sdt>
        <w:sdtPr>
          <w:rPr>
            <w:rFonts w:asciiTheme="majorBidi" w:hAnsiTheme="majorBidi" w:cstheme="majorBidi"/>
            <w:sz w:val="26"/>
            <w:szCs w:val="26"/>
          </w:rPr>
          <w:id w:val="-147595815"/>
          <w:citation/>
        </w:sdtPr>
        <w:sdtContent>
          <w:r w:rsidR="00274750">
            <w:rPr>
              <w:rFonts w:asciiTheme="majorBidi" w:hAnsiTheme="majorBidi" w:cstheme="majorBidi"/>
              <w:sz w:val="26"/>
              <w:szCs w:val="26"/>
            </w:rPr>
            <w:fldChar w:fldCharType="begin"/>
          </w:r>
          <w:r>
            <w:rPr>
              <w:rFonts w:asciiTheme="majorBidi" w:hAnsiTheme="majorBidi" w:cstheme="majorBidi"/>
              <w:sz w:val="26"/>
              <w:szCs w:val="26"/>
              <w:lang w:val="en-US"/>
            </w:rPr>
            <w:instrText xml:space="preserve">CITATION htt18 \l 1036 </w:instrText>
          </w:r>
          <w:r w:rsidR="00274750">
            <w:rPr>
              <w:rFonts w:asciiTheme="majorBidi" w:hAnsiTheme="majorBidi" w:cstheme="majorBidi"/>
              <w:sz w:val="26"/>
              <w:szCs w:val="26"/>
            </w:rPr>
            <w:fldChar w:fldCharType="separate"/>
          </w:r>
          <w:r w:rsidRPr="0026642D">
            <w:rPr>
              <w:rFonts w:asciiTheme="majorBidi" w:hAnsiTheme="majorBidi" w:cstheme="majorBidi"/>
              <w:noProof/>
              <w:sz w:val="26"/>
              <w:szCs w:val="26"/>
              <w:lang w:val="en-US"/>
            </w:rPr>
            <w:t xml:space="preserve"> (http://www.andi.dz/index.php/en/raisons-pour-investir.)</w:t>
          </w:r>
          <w:r w:rsidR="00274750">
            <w:rPr>
              <w:rFonts w:asciiTheme="majorBidi" w:hAnsiTheme="majorBidi" w:cstheme="majorBidi"/>
              <w:sz w:val="26"/>
              <w:szCs w:val="26"/>
            </w:rPr>
            <w:fldChar w:fldCharType="end"/>
          </w:r>
        </w:sdtContent>
      </w:sdt>
      <w:r w:rsidRPr="0026642D">
        <w:rPr>
          <w:rFonts w:asciiTheme="majorBidi" w:hAnsiTheme="majorBidi" w:cstheme="majorBidi"/>
          <w:sz w:val="26"/>
          <w:szCs w:val="26"/>
          <w:lang w:val="en-US"/>
        </w:rPr>
        <w:t>, has young and a qualified labour force , modern infrastructure, encouragement  for investment for example:  when foreign company  recruits young job seekers, benefits for reduction of charges of contribution to social security (North</w:t>
      </w:r>
      <w:r w:rsidRPr="0026642D">
        <w:rPr>
          <w:sz w:val="26"/>
          <w:szCs w:val="26"/>
          <w:lang w:val="en-US"/>
        </w:rPr>
        <w:t> 56%to 80,</w:t>
      </w:r>
      <w:r w:rsidRPr="0026642D">
        <w:rPr>
          <w:rFonts w:asciiTheme="majorBidi" w:hAnsiTheme="majorBidi" w:cstheme="majorBidi"/>
          <w:sz w:val="26"/>
          <w:szCs w:val="26"/>
          <w:lang w:val="en-US"/>
        </w:rPr>
        <w:t> Highlands and South </w:t>
      </w:r>
      <w:r w:rsidRPr="0026642D">
        <w:rPr>
          <w:sz w:val="26"/>
          <w:szCs w:val="26"/>
          <w:lang w:val="en-US"/>
        </w:rPr>
        <w:t>72% to 90%)</w:t>
      </w:r>
      <w:sdt>
        <w:sdtPr>
          <w:rPr>
            <w:sz w:val="26"/>
            <w:szCs w:val="26"/>
          </w:rPr>
          <w:id w:val="765661596"/>
          <w:citation/>
        </w:sdtPr>
        <w:sdtContent>
          <w:r w:rsidR="00274750">
            <w:rPr>
              <w:sz w:val="26"/>
              <w:szCs w:val="26"/>
            </w:rPr>
            <w:fldChar w:fldCharType="begin"/>
          </w:r>
          <w:r w:rsidRPr="00146473">
            <w:rPr>
              <w:sz w:val="26"/>
              <w:szCs w:val="26"/>
              <w:lang w:val="en-US"/>
            </w:rPr>
            <w:instrText xml:space="preserve"> CITATION htt181 \l 1036 </w:instrText>
          </w:r>
          <w:r w:rsidR="00274750">
            <w:rPr>
              <w:sz w:val="26"/>
              <w:szCs w:val="26"/>
            </w:rPr>
            <w:fldChar w:fldCharType="separate"/>
          </w:r>
          <w:r w:rsidRPr="00EF0A8D">
            <w:rPr>
              <w:noProof/>
              <w:sz w:val="26"/>
              <w:szCs w:val="26"/>
              <w:lang w:val="en-US"/>
            </w:rPr>
            <w:t>(http://www.andi.dz/index.php/en/raisons-pour-investir.)</w:t>
          </w:r>
          <w:r w:rsidR="00274750">
            <w:rPr>
              <w:sz w:val="26"/>
              <w:szCs w:val="26"/>
            </w:rPr>
            <w:fldChar w:fldCharType="end"/>
          </w:r>
        </w:sdtContent>
      </w:sdt>
      <w:r w:rsidRPr="0026642D">
        <w:rPr>
          <w:sz w:val="26"/>
          <w:szCs w:val="26"/>
          <w:lang w:val="en-US"/>
        </w:rPr>
        <w:t>, and so on</w:t>
      </w:r>
      <w:r w:rsidRPr="0026642D">
        <w:rPr>
          <w:b/>
          <w:bCs/>
          <w:sz w:val="26"/>
          <w:szCs w:val="26"/>
          <w:lang w:val="en-US"/>
        </w:rPr>
        <w:t>…</w:t>
      </w:r>
    </w:p>
    <w:p w:rsidR="00CB14C9" w:rsidRPr="0026642D" w:rsidRDefault="00CB14C9" w:rsidP="00CB14C9">
      <w:pPr>
        <w:spacing w:line="276" w:lineRule="auto"/>
        <w:jc w:val="both"/>
        <w:rPr>
          <w:rFonts w:asciiTheme="majorBidi" w:hAnsiTheme="majorBidi" w:cstheme="majorBidi"/>
          <w:sz w:val="26"/>
          <w:szCs w:val="26"/>
          <w:lang w:val="en-US"/>
        </w:rPr>
      </w:pPr>
      <w:r w:rsidRPr="0026642D">
        <w:rPr>
          <w:rFonts w:asciiTheme="majorBidi" w:hAnsiTheme="majorBidi" w:cstheme="majorBidi"/>
          <w:sz w:val="26"/>
          <w:szCs w:val="26"/>
          <w:lang w:val="en-US"/>
        </w:rPr>
        <w:t xml:space="preserve">To attract great part of FDI inflows will have identified the mains factors that influence the FDI inflows to Algeria, but before that, we will take a general idea about foreign direct investment in Algeria.  </w:t>
      </w:r>
    </w:p>
    <w:p w:rsidR="00CB14C9" w:rsidRPr="0026642D" w:rsidRDefault="00CB14C9" w:rsidP="00CB14C9">
      <w:pPr>
        <w:spacing w:line="276" w:lineRule="auto"/>
        <w:ind w:firstLine="708"/>
        <w:jc w:val="both"/>
        <w:rPr>
          <w:rFonts w:asciiTheme="majorBidi" w:hAnsiTheme="majorBidi" w:cstheme="majorBidi"/>
          <w:sz w:val="26"/>
          <w:szCs w:val="26"/>
          <w:lang w:val="en-US"/>
        </w:rPr>
      </w:pPr>
      <w:r w:rsidRPr="0026642D">
        <w:rPr>
          <w:rFonts w:asciiTheme="majorBidi" w:hAnsiTheme="majorBidi" w:cstheme="majorBidi"/>
          <w:sz w:val="26"/>
          <w:szCs w:val="26"/>
          <w:lang w:val="en-US"/>
        </w:rPr>
        <w:t xml:space="preserve">Table and Figure (01) represent </w:t>
      </w:r>
      <w:r w:rsidRPr="0026642D">
        <w:rPr>
          <w:sz w:val="26"/>
          <w:szCs w:val="26"/>
          <w:lang w:val="en-US"/>
        </w:rPr>
        <w:t xml:space="preserve">foreign direct investment inflows to Algeria from 1970 to 2017, during this period the FDI inflows are increasing, after the independence Algeria did not welcome </w:t>
      </w:r>
      <w:r w:rsidRPr="0026642D">
        <w:rPr>
          <w:rFonts w:asciiTheme="majorBidi" w:hAnsiTheme="majorBidi" w:cstheme="majorBidi"/>
          <w:sz w:val="26"/>
          <w:szCs w:val="26"/>
          <w:lang w:val="en-US"/>
        </w:rPr>
        <w:t>foreign investments,</w:t>
      </w:r>
      <w:r w:rsidRPr="0026642D">
        <w:rPr>
          <w:sz w:val="26"/>
          <w:szCs w:val="26"/>
          <w:lang w:val="en-US"/>
        </w:rPr>
        <w:t xml:space="preserve"> but now it is </w:t>
      </w:r>
      <w:r w:rsidRPr="0026642D">
        <w:rPr>
          <w:rFonts w:asciiTheme="majorBidi" w:hAnsiTheme="majorBidi" w:cstheme="majorBidi"/>
          <w:sz w:val="26"/>
          <w:szCs w:val="26"/>
          <w:lang w:val="en-US"/>
        </w:rPr>
        <w:t xml:space="preserve">realizing its importance as a financing source, so is  striving to improve its investment climate to attract more  foreign investments. </w:t>
      </w:r>
      <w:r w:rsidRPr="0026642D">
        <w:rPr>
          <w:sz w:val="26"/>
          <w:szCs w:val="26"/>
          <w:lang w:val="en-US"/>
        </w:rPr>
        <w:t xml:space="preserve">The 1970s showed that FDI inflows during this period have been volatile, but are certainly weak compared to other international sources of finance, in 1971 FDI flows declined to $ 0.6 million compared with 1970 $ 80.12 million (as a result of the liquidation of FDI due to nationalization).The 1980s characterized by the significant decline in foreign direct investment, which reached $ 348.67 million in 1980 to arrive at -53.57 in 1982.In the 1990s, there was a near total absence of foreign </w:t>
      </w:r>
      <w:r w:rsidRPr="0026642D">
        <w:rPr>
          <w:sz w:val="26"/>
          <w:szCs w:val="26"/>
          <w:lang w:val="en-US"/>
        </w:rPr>
        <w:lastRenderedPageBreak/>
        <w:t>direct investment, particularly the period from 1993 to 1995 due to the complex situation in Algeria, As well as the lack of political stability, which had a negative impact on foreign direct investment inflows.</w:t>
      </w:r>
      <w:r w:rsidRPr="006871A7">
        <w:rPr>
          <w:sz w:val="26"/>
          <w:szCs w:val="26"/>
          <w:lang w:val="en-US"/>
        </w:rPr>
        <w:t>From 1996 to 1999 foreign investment inflows had raised, which ranged between 270(1996) and 606.6(1998) million dollars, most of them went to the hydrocarbons sector.Recently the volume of FDI inflows are growing, which reflect the polarization conditions available in Algeria, especially political and institutional stability, improving the macroeconomic framework, and strengthening of infrastructure, as well as government incentives such as finance, fiscal and customs exemption.</w:t>
      </w:r>
    </w:p>
    <w:p w:rsidR="002B092A" w:rsidRDefault="002B092A" w:rsidP="00CB14C9">
      <w:pPr>
        <w:spacing w:line="276" w:lineRule="auto"/>
        <w:jc w:val="center"/>
        <w:rPr>
          <w:b/>
          <w:bCs/>
          <w:sz w:val="26"/>
          <w:szCs w:val="26"/>
          <w:lang w:val="en-US"/>
        </w:rPr>
      </w:pPr>
    </w:p>
    <w:p w:rsidR="00CB14C9" w:rsidRPr="0026642D" w:rsidRDefault="00CB14C9" w:rsidP="00CB14C9">
      <w:pPr>
        <w:spacing w:line="276" w:lineRule="auto"/>
        <w:jc w:val="center"/>
        <w:rPr>
          <w:rFonts w:asciiTheme="majorBidi" w:hAnsiTheme="majorBidi" w:cstheme="majorBidi"/>
          <w:b/>
          <w:bCs/>
          <w:sz w:val="26"/>
          <w:szCs w:val="26"/>
          <w:u w:val="single"/>
          <w:lang w:val="en-US"/>
        </w:rPr>
      </w:pPr>
      <w:r w:rsidRPr="0026642D">
        <w:rPr>
          <w:b/>
          <w:bCs/>
          <w:sz w:val="26"/>
          <w:szCs w:val="26"/>
          <w:lang w:val="en-US"/>
        </w:rPr>
        <w:t>Figure N° 1. Foreign Direct Investment inflows to Algeria</w:t>
      </w:r>
      <w:r w:rsidRPr="0026642D">
        <w:rPr>
          <w:b/>
          <w:bCs/>
          <w:lang w:val="en-US"/>
        </w:rPr>
        <w:t>.</w:t>
      </w:r>
    </w:p>
    <w:p w:rsidR="00CB14C9" w:rsidRPr="009D4A32" w:rsidRDefault="00CB14C9" w:rsidP="00CB14C9">
      <w:pPr>
        <w:spacing w:line="276" w:lineRule="auto"/>
        <w:jc w:val="center"/>
        <w:rPr>
          <w:rFonts w:asciiTheme="majorBidi" w:hAnsiTheme="majorBidi" w:cstheme="majorBidi"/>
          <w:b/>
          <w:bCs/>
          <w:sz w:val="26"/>
          <w:szCs w:val="26"/>
          <w:u w:val="single"/>
        </w:rPr>
      </w:pPr>
      <w:r w:rsidRPr="00D049F6">
        <w:rPr>
          <w:rFonts w:asciiTheme="majorBidi" w:hAnsiTheme="majorBidi" w:cstheme="majorBidi"/>
          <w:b/>
          <w:bCs/>
          <w:noProof/>
          <w:sz w:val="26"/>
          <w:szCs w:val="26"/>
          <w:u w:val="single"/>
          <w:lang w:eastAsia="fr-FR"/>
        </w:rPr>
        <w:drawing>
          <wp:inline distT="0" distB="0" distL="0" distR="0">
            <wp:extent cx="4367284" cy="1064525"/>
            <wp:effectExtent l="0" t="0" r="14605" b="21590"/>
            <wp:docPr id="10"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B14C9" w:rsidRPr="007B4B77" w:rsidRDefault="00CB14C9" w:rsidP="00CB14C9">
      <w:pPr>
        <w:spacing w:line="276" w:lineRule="auto"/>
        <w:jc w:val="center"/>
        <w:rPr>
          <w:b/>
          <w:bCs/>
          <w:sz w:val="24"/>
          <w:szCs w:val="24"/>
          <w:lang w:val="en-US"/>
        </w:rPr>
      </w:pPr>
      <w:r w:rsidRPr="007B4B77">
        <w:rPr>
          <w:b/>
          <w:bCs/>
          <w:sz w:val="24"/>
          <w:szCs w:val="24"/>
          <w:lang w:val="en-US"/>
        </w:rPr>
        <w:t xml:space="preserve">Source: </w:t>
      </w:r>
      <w:r w:rsidRPr="007B4B77">
        <w:rPr>
          <w:sz w:val="24"/>
          <w:szCs w:val="24"/>
          <w:lang w:val="en-US"/>
        </w:rPr>
        <w:t>Prepared by researchers, based on data in table N°1</w:t>
      </w:r>
      <w:r w:rsidRPr="007B4B77">
        <w:rPr>
          <w:b/>
          <w:bCs/>
          <w:sz w:val="24"/>
          <w:szCs w:val="24"/>
          <w:lang w:val="en-US"/>
        </w:rPr>
        <w:t>.</w:t>
      </w:r>
    </w:p>
    <w:p w:rsidR="00CB14C9" w:rsidRPr="0026642D" w:rsidRDefault="00CB14C9" w:rsidP="00CB14C9">
      <w:pPr>
        <w:spacing w:line="276" w:lineRule="auto"/>
        <w:jc w:val="center"/>
        <w:rPr>
          <w:b/>
          <w:bCs/>
          <w:sz w:val="26"/>
          <w:szCs w:val="26"/>
          <w:lang w:val="en-US"/>
        </w:rPr>
      </w:pPr>
    </w:p>
    <w:p w:rsidR="00CB14C9" w:rsidRPr="00EF0A8D" w:rsidRDefault="00CB14C9" w:rsidP="00CB14C9">
      <w:pPr>
        <w:spacing w:line="276" w:lineRule="auto"/>
        <w:jc w:val="center"/>
        <w:rPr>
          <w:b/>
          <w:bCs/>
          <w:sz w:val="26"/>
          <w:szCs w:val="26"/>
          <w:lang w:val="en-US"/>
        </w:rPr>
      </w:pPr>
      <w:r w:rsidRPr="0026642D">
        <w:rPr>
          <w:b/>
          <w:bCs/>
          <w:sz w:val="26"/>
          <w:szCs w:val="26"/>
          <w:lang w:val="en-US"/>
        </w:rPr>
        <w:t>Table N°1. Foreign Direct Investment inflows to Algeria.</w:t>
      </w:r>
    </w:p>
    <w:p w:rsidR="00CB14C9" w:rsidRPr="00427812" w:rsidRDefault="00CB14C9" w:rsidP="00CB14C9">
      <w:pPr>
        <w:bidi/>
        <w:spacing w:line="276" w:lineRule="auto"/>
        <w:rPr>
          <w:rFonts w:asciiTheme="majorBidi" w:hAnsiTheme="majorBidi" w:cstheme="majorBidi"/>
          <w:rtl/>
          <w:lang w:bidi="ar-DZ"/>
        </w:rPr>
      </w:pPr>
      <w:r w:rsidRPr="00AD1671">
        <w:rPr>
          <w:rFonts w:asciiTheme="majorBidi" w:hAnsiTheme="majorBidi" w:cstheme="majorBidi"/>
        </w:rPr>
        <w:t xml:space="preserve">Unit: million dollars </w:t>
      </w:r>
    </w:p>
    <w:tbl>
      <w:tblPr>
        <w:tblStyle w:val="Grilledutableau"/>
        <w:tblW w:w="0" w:type="auto"/>
        <w:jc w:val="center"/>
        <w:tblLook w:val="04A0"/>
      </w:tblPr>
      <w:tblGrid>
        <w:gridCol w:w="1388"/>
        <w:gridCol w:w="1864"/>
        <w:gridCol w:w="1624"/>
        <w:gridCol w:w="1986"/>
      </w:tblGrid>
      <w:tr w:rsidR="00CB14C9" w:rsidRPr="002A495A" w:rsidTr="008D2322">
        <w:trPr>
          <w:trHeight w:val="329"/>
          <w:jc w:val="center"/>
        </w:trPr>
        <w:tc>
          <w:tcPr>
            <w:tcW w:w="1388" w:type="dxa"/>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b/>
                <w:bCs/>
                <w:sz w:val="24"/>
                <w:szCs w:val="24"/>
                <w:lang w:bidi="ar-DZ"/>
              </w:rPr>
              <w:t>years</w:t>
            </w:r>
          </w:p>
        </w:tc>
        <w:tc>
          <w:tcPr>
            <w:tcW w:w="1864" w:type="dxa"/>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b/>
                <w:bCs/>
                <w:sz w:val="24"/>
                <w:szCs w:val="24"/>
                <w:lang w:bidi="ar-AE"/>
              </w:rPr>
              <w:t>FDI inflows</w:t>
            </w:r>
          </w:p>
        </w:tc>
        <w:tc>
          <w:tcPr>
            <w:tcW w:w="1624" w:type="dxa"/>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b/>
                <w:bCs/>
                <w:sz w:val="24"/>
                <w:szCs w:val="24"/>
                <w:lang w:bidi="ar-DZ"/>
              </w:rPr>
              <w:t>years</w:t>
            </w:r>
          </w:p>
        </w:tc>
        <w:tc>
          <w:tcPr>
            <w:tcW w:w="1986" w:type="dxa"/>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b/>
                <w:bCs/>
                <w:sz w:val="24"/>
                <w:szCs w:val="24"/>
                <w:lang w:bidi="ar-AE"/>
              </w:rPr>
              <w:t>FDI inflows</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1970</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80,12</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1994</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0.001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1971</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0,6</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1995</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0.001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1972</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41,49</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1996</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270</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1973</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51</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1997</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260</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1974</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358</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1998</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606,6</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1975</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119</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1999</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291,6</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1976</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187</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2000</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280,1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1977</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178,45</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2001</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1113.106</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1978</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135,15</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2002</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1065</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1979</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25,69</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2003</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637.88</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1980</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348,67</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2004</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881,85</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1981</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13,21</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2005</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1145.33</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lastRenderedPageBreak/>
              <w:t>1982</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-53,57</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2006</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1888.165</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1983</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0,42</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2007</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1743.331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1984</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0,8</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2008</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2631.711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1985</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0,4</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2009</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2753.755</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1986</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5,32</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2010</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2301.226</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1987</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3,71</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2011</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2580.354</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1988</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13,02</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2012</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1499.21</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1989</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12,09</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2013</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1684</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1990</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tl/>
                <w:lang w:val="en-US"/>
              </w:rPr>
              <w:t>40</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2014</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1506.733</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1991</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tl/>
                <w:lang w:val="en-US"/>
              </w:rPr>
              <w:t>80</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2015</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-584</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1992</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tl/>
                <w:lang w:val="en-US"/>
              </w:rPr>
              <w:t>30</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2016</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1546</w:t>
            </w:r>
          </w:p>
        </w:tc>
      </w:tr>
      <w:tr w:rsidR="00CB14C9" w:rsidRPr="002A495A" w:rsidTr="008D2322">
        <w:trPr>
          <w:trHeight w:val="305"/>
          <w:jc w:val="center"/>
        </w:trPr>
        <w:tc>
          <w:tcPr>
            <w:tcW w:w="1388"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1993</w:t>
            </w:r>
          </w:p>
        </w:tc>
        <w:tc>
          <w:tcPr>
            <w:tcW w:w="1864"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lang w:bidi="ar-AE"/>
              </w:rPr>
              <w:t>0.001</w:t>
            </w:r>
          </w:p>
        </w:tc>
        <w:tc>
          <w:tcPr>
            <w:tcW w:w="1624" w:type="dxa"/>
          </w:tcPr>
          <w:p w:rsidR="00CB14C9" w:rsidRPr="00162151" w:rsidRDefault="00CB14C9" w:rsidP="00150A1A">
            <w:pPr>
              <w:spacing w:line="276" w:lineRule="auto"/>
              <w:jc w:val="center"/>
              <w:rPr>
                <w:rFonts w:asciiTheme="majorBidi" w:hAnsiTheme="majorBidi" w:cstheme="majorBidi"/>
                <w:b/>
                <w:bCs/>
                <w:sz w:val="22"/>
                <w:szCs w:val="22"/>
                <w:lang w:val="en-US"/>
              </w:rPr>
            </w:pPr>
            <w:r w:rsidRPr="00162151">
              <w:rPr>
                <w:rFonts w:asciiTheme="majorBidi" w:hAnsiTheme="majorBidi" w:cstheme="majorBidi"/>
                <w:b/>
                <w:bCs/>
                <w:sz w:val="22"/>
                <w:szCs w:val="22"/>
                <w:rtl/>
                <w:lang w:val="en-US"/>
              </w:rPr>
              <w:t>2017</w:t>
            </w:r>
          </w:p>
        </w:tc>
        <w:tc>
          <w:tcPr>
            <w:tcW w:w="1986" w:type="dxa"/>
          </w:tcPr>
          <w:p w:rsidR="00CB14C9" w:rsidRPr="00162151" w:rsidRDefault="00CB14C9" w:rsidP="00150A1A">
            <w:pPr>
              <w:spacing w:line="276" w:lineRule="auto"/>
              <w:jc w:val="center"/>
              <w:rPr>
                <w:rFonts w:asciiTheme="majorBidi" w:hAnsiTheme="majorBidi" w:cstheme="majorBidi"/>
                <w:sz w:val="22"/>
                <w:szCs w:val="22"/>
                <w:lang w:val="en-US"/>
              </w:rPr>
            </w:pPr>
            <w:r w:rsidRPr="00162151">
              <w:rPr>
                <w:rFonts w:asciiTheme="majorBidi" w:hAnsiTheme="majorBidi" w:cstheme="majorBidi"/>
                <w:sz w:val="22"/>
                <w:szCs w:val="22"/>
              </w:rPr>
              <w:t>1203</w:t>
            </w:r>
          </w:p>
        </w:tc>
      </w:tr>
    </w:tbl>
    <w:p w:rsidR="00CB14C9" w:rsidRPr="007B4B77" w:rsidRDefault="00CB14C9" w:rsidP="00CB14C9">
      <w:pPr>
        <w:spacing w:line="276" w:lineRule="auto"/>
        <w:ind w:left="360"/>
        <w:jc w:val="both"/>
        <w:rPr>
          <w:sz w:val="24"/>
          <w:szCs w:val="24"/>
        </w:rPr>
      </w:pPr>
      <w:r w:rsidRPr="007B4B77">
        <w:rPr>
          <w:b/>
          <w:bCs/>
          <w:sz w:val="24"/>
          <w:szCs w:val="24"/>
        </w:rPr>
        <w:t>Source :</w:t>
      </w:r>
      <w:hyperlink r:id="rId15" w:history="1">
        <w:r w:rsidRPr="007B4B77">
          <w:rPr>
            <w:rStyle w:val="Lienhypertexte"/>
            <w:rFonts w:asciiTheme="majorBidi" w:hAnsiTheme="majorBidi" w:cstheme="majorBidi"/>
            <w:sz w:val="24"/>
            <w:szCs w:val="24"/>
            <w:lang w:bidi="ar-AE"/>
          </w:rPr>
          <w:t>http://unctadstat.unctad.org/wds/TableViewer/tableView.asp /30-6-2018</w:t>
        </w:r>
      </w:hyperlink>
      <w:r w:rsidRPr="007B4B77">
        <w:rPr>
          <w:sz w:val="24"/>
          <w:szCs w:val="24"/>
        </w:rPr>
        <w:t>.</w:t>
      </w:r>
    </w:p>
    <w:p w:rsidR="00CB14C9" w:rsidRDefault="00CB14C9" w:rsidP="00CB14C9">
      <w:pPr>
        <w:spacing w:line="276" w:lineRule="auto"/>
        <w:ind w:left="360"/>
        <w:jc w:val="both"/>
      </w:pPr>
    </w:p>
    <w:p w:rsidR="00CB14C9" w:rsidRPr="007B4B77" w:rsidRDefault="00CB14C9" w:rsidP="007B4B77">
      <w:pPr>
        <w:spacing w:line="276" w:lineRule="auto"/>
        <w:jc w:val="center"/>
        <w:rPr>
          <w:rFonts w:asciiTheme="majorBidi" w:hAnsiTheme="majorBidi" w:cstheme="majorBidi"/>
          <w:b/>
          <w:bCs/>
          <w:color w:val="FF0000"/>
          <w:sz w:val="26"/>
          <w:szCs w:val="26"/>
          <w:lang w:val="en-US" w:bidi="ar-DZ"/>
        </w:rPr>
      </w:pPr>
      <w:r w:rsidRPr="007B4B77">
        <w:rPr>
          <w:b/>
          <w:bCs/>
          <w:sz w:val="26"/>
          <w:szCs w:val="26"/>
          <w:lang w:val="en-US"/>
        </w:rPr>
        <w:t>Table N°2.The most important countries investing in Algeria (January 2013 – December 2017)</w:t>
      </w:r>
    </w:p>
    <w:tbl>
      <w:tblPr>
        <w:tblStyle w:val="Grilledutableau"/>
        <w:bidiVisual/>
        <w:tblW w:w="0" w:type="auto"/>
        <w:jc w:val="center"/>
        <w:tblLook w:val="04A0"/>
      </w:tblPr>
      <w:tblGrid>
        <w:gridCol w:w="1890"/>
        <w:gridCol w:w="1890"/>
        <w:gridCol w:w="1612"/>
        <w:gridCol w:w="2020"/>
      </w:tblGrid>
      <w:tr w:rsidR="00CB14C9" w:rsidRPr="007B4B77" w:rsidTr="007B4B77">
        <w:trPr>
          <w:trHeight w:val="563"/>
          <w:jc w:val="center"/>
        </w:trPr>
        <w:tc>
          <w:tcPr>
            <w:tcW w:w="1890" w:type="dxa"/>
            <w:vAlign w:val="center"/>
          </w:tcPr>
          <w:p w:rsidR="00CB14C9" w:rsidRPr="007B4B77" w:rsidRDefault="00CB14C9" w:rsidP="00150A1A">
            <w:pPr>
              <w:bidi/>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Number of companies</w:t>
            </w:r>
          </w:p>
        </w:tc>
        <w:tc>
          <w:tcPr>
            <w:tcW w:w="1890" w:type="dxa"/>
            <w:vAlign w:val="center"/>
          </w:tcPr>
          <w:p w:rsidR="00CB14C9" w:rsidRPr="007B4B77" w:rsidRDefault="00CB14C9" w:rsidP="00150A1A">
            <w:pPr>
              <w:bidi/>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Number of projects</w:t>
            </w:r>
          </w:p>
        </w:tc>
        <w:tc>
          <w:tcPr>
            <w:tcW w:w="1612" w:type="dxa"/>
            <w:vAlign w:val="center"/>
          </w:tcPr>
          <w:p w:rsidR="00CB14C9" w:rsidRPr="007B4B77" w:rsidRDefault="00CB14C9" w:rsidP="00150A1A">
            <w:pPr>
              <w:bidi/>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Amount (million dollars)</w:t>
            </w:r>
          </w:p>
        </w:tc>
        <w:tc>
          <w:tcPr>
            <w:tcW w:w="2020" w:type="dxa"/>
            <w:vAlign w:val="center"/>
          </w:tcPr>
          <w:p w:rsidR="00CB14C9" w:rsidRPr="007B4B77" w:rsidRDefault="00CB14C9" w:rsidP="00150A1A">
            <w:pPr>
              <w:bidi/>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country</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5</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10</w:t>
            </w:r>
          </w:p>
        </w:tc>
        <w:tc>
          <w:tcPr>
            <w:tcW w:w="1612" w:type="dxa"/>
            <w:vAlign w:val="center"/>
          </w:tcPr>
          <w:p w:rsidR="00CB14C9" w:rsidRPr="007B4B77" w:rsidRDefault="00CB14C9" w:rsidP="00150A1A">
            <w:pPr>
              <w:tabs>
                <w:tab w:val="right" w:pos="1094"/>
              </w:tabs>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3539</w:t>
            </w:r>
          </w:p>
        </w:tc>
        <w:tc>
          <w:tcPr>
            <w:tcW w:w="2020" w:type="dxa"/>
            <w:vAlign w:val="center"/>
          </w:tcPr>
          <w:p w:rsidR="00CB14C9" w:rsidRPr="007B4B77" w:rsidRDefault="00CB14C9" w:rsidP="00150A1A">
            <w:pPr>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China</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3151</w:t>
            </w:r>
          </w:p>
        </w:tc>
        <w:tc>
          <w:tcPr>
            <w:tcW w:w="2020" w:type="dxa"/>
            <w:vAlign w:val="center"/>
          </w:tcPr>
          <w:p w:rsidR="00CB14C9" w:rsidRPr="007B4B77" w:rsidRDefault="00CB14C9" w:rsidP="00150A1A">
            <w:pPr>
              <w:jc w:val="center"/>
              <w:rPr>
                <w:rFonts w:asciiTheme="majorBidi" w:hAnsiTheme="majorBidi" w:cstheme="majorBidi"/>
                <w:b/>
                <w:bCs/>
                <w:sz w:val="24"/>
                <w:szCs w:val="24"/>
                <w:rtl/>
                <w:lang w:val="en-US" w:bidi="ar-DZ"/>
              </w:rPr>
            </w:pPr>
            <w:r w:rsidRPr="007B4B77">
              <w:rPr>
                <w:rFonts w:asciiTheme="majorBidi" w:hAnsiTheme="majorBidi" w:cstheme="majorBidi"/>
                <w:b/>
                <w:bCs/>
                <w:sz w:val="24"/>
                <w:szCs w:val="24"/>
                <w:lang w:val="en-US" w:bidi="ar-DZ"/>
              </w:rPr>
              <w:t>Singapore</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6</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10</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2565</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Spain</w:t>
            </w:r>
          </w:p>
        </w:tc>
      </w:tr>
      <w:tr w:rsidR="00CB14C9" w:rsidRPr="007B4B77" w:rsidTr="007B4B77">
        <w:trPr>
          <w:trHeight w:val="287"/>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4</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4</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2313</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Turkey</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7</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7</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380</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Germany</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350</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South Africa</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10</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12</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330</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France</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4</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4</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330</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Switzerland</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232</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Italia</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212</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United Kingdom</w:t>
            </w:r>
          </w:p>
        </w:tc>
      </w:tr>
      <w:tr w:rsidR="00CB14C9" w:rsidRPr="007B4B77" w:rsidTr="007B4B77">
        <w:trPr>
          <w:trHeight w:val="287"/>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28</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28</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892</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Other</w:t>
            </w:r>
          </w:p>
        </w:tc>
      </w:tr>
      <w:tr w:rsidR="00CB14C9" w:rsidRPr="007B4B77" w:rsidTr="007B4B77">
        <w:trPr>
          <w:trHeight w:val="276"/>
          <w:jc w:val="center"/>
        </w:trPr>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69</w:t>
            </w:r>
          </w:p>
        </w:tc>
        <w:tc>
          <w:tcPr>
            <w:tcW w:w="1890"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82</w:t>
            </w:r>
          </w:p>
        </w:tc>
        <w:tc>
          <w:tcPr>
            <w:tcW w:w="1612" w:type="dxa"/>
            <w:vAlign w:val="center"/>
          </w:tcPr>
          <w:p w:rsidR="00CB14C9" w:rsidRPr="007B4B77" w:rsidRDefault="00CB14C9" w:rsidP="00150A1A">
            <w:pPr>
              <w:bidi/>
              <w:jc w:val="center"/>
              <w:rPr>
                <w:rFonts w:asciiTheme="majorBidi" w:hAnsiTheme="majorBidi" w:cstheme="majorBidi"/>
                <w:sz w:val="24"/>
                <w:szCs w:val="24"/>
                <w:rtl/>
                <w:lang w:val="en-US" w:bidi="ar-DZ"/>
              </w:rPr>
            </w:pPr>
            <w:r w:rsidRPr="007B4B77">
              <w:rPr>
                <w:rFonts w:asciiTheme="majorBidi" w:hAnsiTheme="majorBidi" w:cstheme="majorBidi"/>
                <w:sz w:val="24"/>
                <w:szCs w:val="24"/>
                <w:lang w:val="en-US" w:bidi="ar-DZ"/>
              </w:rPr>
              <w:t>14293</w:t>
            </w:r>
          </w:p>
        </w:tc>
        <w:tc>
          <w:tcPr>
            <w:tcW w:w="2020" w:type="dxa"/>
            <w:vAlign w:val="center"/>
          </w:tcPr>
          <w:p w:rsidR="00CB14C9" w:rsidRPr="007B4B77" w:rsidRDefault="00CB14C9" w:rsidP="00150A1A">
            <w:pPr>
              <w:jc w:val="center"/>
              <w:rPr>
                <w:rFonts w:asciiTheme="majorBidi" w:hAnsiTheme="majorBidi" w:cstheme="majorBidi"/>
                <w:b/>
                <w:bCs/>
                <w:sz w:val="24"/>
                <w:szCs w:val="24"/>
              </w:rPr>
            </w:pPr>
            <w:r w:rsidRPr="007B4B77">
              <w:rPr>
                <w:rFonts w:asciiTheme="majorBidi" w:hAnsiTheme="majorBidi" w:cstheme="majorBidi"/>
                <w:b/>
                <w:bCs/>
                <w:sz w:val="24"/>
                <w:szCs w:val="24"/>
              </w:rPr>
              <w:t>Total</w:t>
            </w:r>
          </w:p>
        </w:tc>
      </w:tr>
    </w:tbl>
    <w:p w:rsidR="00CB14C9" w:rsidRPr="007B4B77" w:rsidRDefault="00CB14C9" w:rsidP="00CB14C9">
      <w:pPr>
        <w:spacing w:line="276" w:lineRule="auto"/>
        <w:jc w:val="both"/>
        <w:rPr>
          <w:sz w:val="24"/>
          <w:szCs w:val="24"/>
          <w:lang w:val="en-US"/>
        </w:rPr>
      </w:pPr>
      <w:r w:rsidRPr="007B4B77">
        <w:rPr>
          <w:b/>
          <w:bCs/>
          <w:sz w:val="24"/>
          <w:szCs w:val="24"/>
          <w:lang w:val="en-US"/>
        </w:rPr>
        <w:t xml:space="preserve">Source: </w:t>
      </w:r>
      <w:r w:rsidRPr="007B4B77">
        <w:rPr>
          <w:sz w:val="24"/>
          <w:szCs w:val="24"/>
          <w:lang w:val="en-US"/>
        </w:rPr>
        <w:t>The Arab Investment and Export Credit Guarantee Corporation, Quarterly Bulletin of Investment Guarantee, Features of Foreign Direct Investment in Arab Countries2017, N</w:t>
      </w:r>
      <w:r w:rsidRPr="007B4B77">
        <w:rPr>
          <w:sz w:val="24"/>
          <w:szCs w:val="24"/>
          <w:vertAlign w:val="superscript"/>
          <w:lang w:val="en-US"/>
        </w:rPr>
        <w:t>0</w:t>
      </w:r>
      <w:r w:rsidRPr="007B4B77">
        <w:rPr>
          <w:sz w:val="24"/>
          <w:szCs w:val="24"/>
          <w:lang w:val="en-US"/>
        </w:rPr>
        <w:t>2, 2018, p13.</w:t>
      </w:r>
    </w:p>
    <w:p w:rsidR="00CB14C9" w:rsidRPr="0026642D" w:rsidRDefault="00CB14C9" w:rsidP="00CB14C9">
      <w:pPr>
        <w:spacing w:line="276" w:lineRule="auto"/>
        <w:jc w:val="both"/>
        <w:rPr>
          <w:lang w:val="en-US"/>
        </w:rPr>
      </w:pPr>
    </w:p>
    <w:p w:rsidR="00CB14C9" w:rsidRPr="0026642D" w:rsidRDefault="00CB14C9" w:rsidP="00CB14C9">
      <w:pPr>
        <w:spacing w:line="276" w:lineRule="auto"/>
        <w:jc w:val="center"/>
        <w:rPr>
          <w:b/>
          <w:bCs/>
          <w:lang w:val="en-US"/>
        </w:rPr>
      </w:pPr>
      <w:r w:rsidRPr="0026642D">
        <w:rPr>
          <w:b/>
          <w:bCs/>
          <w:lang w:val="en-US"/>
        </w:rPr>
        <w:lastRenderedPageBreak/>
        <w:t>Figure N° 2. The most important countries investing in Algeria (2013 - 2017).</w:t>
      </w:r>
    </w:p>
    <w:p w:rsidR="00CB14C9" w:rsidRDefault="00CB14C9" w:rsidP="00CB14C9">
      <w:pPr>
        <w:bidi/>
        <w:spacing w:line="276" w:lineRule="auto"/>
        <w:jc w:val="both"/>
        <w:rPr>
          <w:rFonts w:asciiTheme="majorBidi" w:hAnsiTheme="majorBidi" w:cstheme="majorBidi"/>
          <w:b/>
          <w:bCs/>
          <w:color w:val="FF0000"/>
          <w:sz w:val="26"/>
          <w:szCs w:val="26"/>
          <w:lang w:val="en-US" w:bidi="ar-DZ"/>
        </w:rPr>
      </w:pPr>
      <w:r w:rsidRPr="00F36ACA">
        <w:rPr>
          <w:rFonts w:asciiTheme="majorBidi" w:hAnsiTheme="majorBidi"/>
          <w:b/>
          <w:bCs/>
          <w:noProof/>
          <w:color w:val="FF0000"/>
          <w:sz w:val="26"/>
          <w:szCs w:val="26"/>
          <w:rtl/>
          <w:lang w:eastAsia="fr-FR"/>
        </w:rPr>
        <w:drawing>
          <wp:inline distT="0" distB="0" distL="0" distR="0">
            <wp:extent cx="4770783" cy="1582310"/>
            <wp:effectExtent l="0" t="0" r="0" b="0"/>
            <wp:docPr id="1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B14C9" w:rsidRPr="007B4B77" w:rsidRDefault="00CB14C9" w:rsidP="00CB14C9">
      <w:pPr>
        <w:spacing w:line="276" w:lineRule="auto"/>
        <w:jc w:val="both"/>
        <w:rPr>
          <w:rFonts w:asciiTheme="majorBidi" w:hAnsiTheme="majorBidi" w:cstheme="majorBidi"/>
          <w:b/>
          <w:bCs/>
          <w:color w:val="FF0000"/>
          <w:sz w:val="24"/>
          <w:szCs w:val="24"/>
          <w:lang w:val="en-US" w:bidi="ar-DZ"/>
        </w:rPr>
      </w:pPr>
      <w:r w:rsidRPr="007B4B77">
        <w:rPr>
          <w:b/>
          <w:bCs/>
          <w:sz w:val="24"/>
          <w:szCs w:val="24"/>
          <w:lang w:val="en-US"/>
        </w:rPr>
        <w:t xml:space="preserve">Source: </w:t>
      </w:r>
      <w:r w:rsidRPr="007B4B77">
        <w:rPr>
          <w:sz w:val="24"/>
          <w:szCs w:val="24"/>
          <w:lang w:val="en-US"/>
        </w:rPr>
        <w:t>Prepared by researchers, based on data in table N°2</w:t>
      </w:r>
      <w:r w:rsidRPr="007B4B77">
        <w:rPr>
          <w:b/>
          <w:bCs/>
          <w:sz w:val="24"/>
          <w:szCs w:val="24"/>
          <w:lang w:val="en-US"/>
        </w:rPr>
        <w:t xml:space="preserve">. </w:t>
      </w:r>
    </w:p>
    <w:p w:rsidR="00CB14C9" w:rsidRPr="00A118B5" w:rsidRDefault="00CB14C9" w:rsidP="00CB14C9">
      <w:pPr>
        <w:bidi/>
        <w:spacing w:line="276" w:lineRule="auto"/>
        <w:jc w:val="both"/>
        <w:rPr>
          <w:rFonts w:asciiTheme="majorBidi" w:hAnsiTheme="majorBidi" w:cstheme="majorBidi"/>
          <w:b/>
          <w:bCs/>
          <w:color w:val="FF0000"/>
          <w:sz w:val="26"/>
          <w:szCs w:val="26"/>
          <w:lang w:val="en-US" w:bidi="ar-DZ"/>
        </w:rPr>
      </w:pPr>
    </w:p>
    <w:p w:rsidR="00CB14C9" w:rsidRPr="00C846FC" w:rsidRDefault="00CB14C9" w:rsidP="00CB14C9">
      <w:pPr>
        <w:spacing w:line="276" w:lineRule="auto"/>
        <w:ind w:firstLine="708"/>
        <w:jc w:val="both"/>
        <w:rPr>
          <w:rFonts w:asciiTheme="majorBidi" w:hAnsiTheme="majorBidi" w:cstheme="majorBidi"/>
          <w:b/>
          <w:bCs/>
          <w:color w:val="FF0000"/>
          <w:sz w:val="26"/>
          <w:szCs w:val="26"/>
          <w:lang w:val="en-US" w:bidi="ar-DZ"/>
        </w:rPr>
      </w:pPr>
      <w:r w:rsidRPr="00E9527D">
        <w:rPr>
          <w:rFonts w:asciiTheme="majorBidi" w:hAnsiTheme="majorBidi" w:cstheme="majorBidi"/>
          <w:sz w:val="26"/>
          <w:szCs w:val="26"/>
          <w:lang w:val="en-US" w:bidi="ar-DZ"/>
        </w:rPr>
        <w:t xml:space="preserve">Table </w:t>
      </w:r>
      <w:r>
        <w:rPr>
          <w:rFonts w:asciiTheme="majorBidi" w:hAnsiTheme="majorBidi" w:cstheme="majorBidi"/>
          <w:sz w:val="26"/>
          <w:szCs w:val="26"/>
          <w:lang w:val="en-US" w:bidi="ar-DZ"/>
        </w:rPr>
        <w:t xml:space="preserve">and figure </w:t>
      </w:r>
      <w:r w:rsidRPr="00E9527D">
        <w:rPr>
          <w:rFonts w:asciiTheme="majorBidi" w:hAnsiTheme="majorBidi" w:cstheme="majorBidi"/>
          <w:sz w:val="26"/>
          <w:szCs w:val="26"/>
          <w:lang w:val="en-US" w:bidi="ar-DZ"/>
        </w:rPr>
        <w:t xml:space="preserve">(02) </w:t>
      </w:r>
      <w:r>
        <w:rPr>
          <w:rFonts w:asciiTheme="majorBidi" w:hAnsiTheme="majorBidi" w:cstheme="majorBidi"/>
          <w:sz w:val="26"/>
          <w:szCs w:val="26"/>
          <w:lang w:val="en-US" w:bidi="ar-DZ"/>
        </w:rPr>
        <w:t xml:space="preserve"> display</w:t>
      </w:r>
      <w:r w:rsidRPr="00E9527D">
        <w:rPr>
          <w:rFonts w:asciiTheme="majorBidi" w:hAnsiTheme="majorBidi" w:cstheme="majorBidi"/>
          <w:sz w:val="26"/>
          <w:szCs w:val="26"/>
          <w:lang w:val="en-US" w:bidi="ar-DZ"/>
        </w:rPr>
        <w:t xml:space="preserve"> the</w:t>
      </w:r>
      <w:r w:rsidRPr="0026642D">
        <w:rPr>
          <w:lang w:val="en-US"/>
        </w:rPr>
        <w:t>most important countries investing in Algeria from January 2013 to December 2017(</w:t>
      </w:r>
      <w:r w:rsidRPr="00E9527D">
        <w:rPr>
          <w:rFonts w:asciiTheme="majorBidi" w:hAnsiTheme="majorBidi" w:cstheme="majorBidi"/>
          <w:lang w:val="en-US" w:bidi="ar-DZ"/>
        </w:rPr>
        <w:t>China</w:t>
      </w:r>
      <w:r>
        <w:rPr>
          <w:rFonts w:asciiTheme="majorBidi" w:hAnsiTheme="majorBidi" w:cstheme="majorBidi"/>
          <w:lang w:val="en-US" w:bidi="ar-DZ"/>
        </w:rPr>
        <w:t xml:space="preserve">, </w:t>
      </w:r>
      <w:r w:rsidRPr="0026642D">
        <w:rPr>
          <w:rFonts w:asciiTheme="majorBidi" w:hAnsiTheme="majorBidi" w:cstheme="majorBidi"/>
          <w:lang w:val="en-US"/>
        </w:rPr>
        <w:t>Spain, Turkey, Germany,South Africa</w:t>
      </w:r>
      <w:r w:rsidRPr="0026642D">
        <w:rPr>
          <w:lang w:val="en-US"/>
        </w:rPr>
        <w:t xml:space="preserve">, </w:t>
      </w:r>
      <w:r w:rsidRPr="0026642D">
        <w:rPr>
          <w:rFonts w:asciiTheme="majorBidi" w:hAnsiTheme="majorBidi" w:cstheme="majorBidi"/>
          <w:lang w:val="en-US"/>
        </w:rPr>
        <w:t>France, Switzerland, Italia, United Kingdom),</w:t>
      </w:r>
      <w:r w:rsidRPr="0026642D">
        <w:rPr>
          <w:lang w:val="en-US"/>
        </w:rPr>
        <w:t xml:space="preserve"> note that China owns the biggest amount of investment which achieves to </w:t>
      </w:r>
      <w:r w:rsidRPr="00FD1963">
        <w:rPr>
          <w:rFonts w:asciiTheme="majorBidi" w:hAnsiTheme="majorBidi" w:cstheme="majorBidi"/>
          <w:lang w:val="en-US" w:bidi="ar-DZ"/>
        </w:rPr>
        <w:t>3539 million dollars</w:t>
      </w:r>
      <w:r>
        <w:rPr>
          <w:rFonts w:asciiTheme="majorBidi" w:hAnsiTheme="majorBidi" w:cstheme="majorBidi"/>
          <w:lang w:val="en-US" w:bidi="ar-DZ"/>
        </w:rPr>
        <w:t xml:space="preserve">, however the </w:t>
      </w:r>
      <w:r w:rsidRPr="0026642D">
        <w:rPr>
          <w:rFonts w:asciiTheme="majorBidi" w:hAnsiTheme="majorBidi" w:cstheme="majorBidi"/>
          <w:lang w:val="en-US"/>
        </w:rPr>
        <w:t xml:space="preserve">United Kingdom has the lowest amount of investment 212 </w:t>
      </w:r>
      <w:r w:rsidRPr="00FD1963">
        <w:rPr>
          <w:rFonts w:asciiTheme="majorBidi" w:hAnsiTheme="majorBidi" w:cstheme="majorBidi"/>
          <w:lang w:val="en-US" w:bidi="ar-DZ"/>
        </w:rPr>
        <w:t>million dollars</w:t>
      </w:r>
      <w:r>
        <w:rPr>
          <w:rFonts w:asciiTheme="majorBidi" w:hAnsiTheme="majorBidi" w:cstheme="majorBidi"/>
          <w:lang w:val="en-US" w:bidi="ar-DZ"/>
        </w:rPr>
        <w:t xml:space="preserve"> during this period.</w:t>
      </w:r>
    </w:p>
    <w:p w:rsidR="00CB14C9" w:rsidRPr="007B4B77" w:rsidRDefault="00CB14C9" w:rsidP="007B4B77">
      <w:pPr>
        <w:spacing w:line="276" w:lineRule="auto"/>
        <w:jc w:val="center"/>
        <w:rPr>
          <w:rFonts w:asciiTheme="majorBidi" w:hAnsiTheme="majorBidi" w:cstheme="majorBidi"/>
          <w:b/>
          <w:bCs/>
          <w:color w:val="FF0000"/>
          <w:sz w:val="26"/>
          <w:szCs w:val="26"/>
          <w:lang w:val="en-US" w:bidi="ar-DZ"/>
        </w:rPr>
      </w:pPr>
      <w:r w:rsidRPr="007B4B77">
        <w:rPr>
          <w:b/>
          <w:bCs/>
          <w:sz w:val="26"/>
          <w:szCs w:val="26"/>
          <w:lang w:val="en-US"/>
        </w:rPr>
        <w:t>Figure N</w:t>
      </w:r>
      <w:r w:rsidRPr="007B4B77">
        <w:rPr>
          <w:b/>
          <w:bCs/>
          <w:sz w:val="26"/>
          <w:szCs w:val="26"/>
          <w:vertAlign w:val="superscript"/>
          <w:lang w:val="en-US"/>
        </w:rPr>
        <w:t>0</w:t>
      </w:r>
      <w:r w:rsidRPr="007B4B77">
        <w:rPr>
          <w:b/>
          <w:bCs/>
          <w:sz w:val="26"/>
          <w:szCs w:val="26"/>
          <w:lang w:val="en-US"/>
        </w:rPr>
        <w:t>3. The Number of Projects and Companies.</w:t>
      </w:r>
    </w:p>
    <w:p w:rsidR="00CB14C9" w:rsidRPr="007B4B77" w:rsidRDefault="00CB14C9" w:rsidP="007B4B77">
      <w:pPr>
        <w:bidi/>
        <w:spacing w:line="276" w:lineRule="auto"/>
        <w:jc w:val="center"/>
        <w:rPr>
          <w:b/>
          <w:bCs/>
          <w:sz w:val="24"/>
          <w:szCs w:val="24"/>
          <w:lang w:val="en-US"/>
        </w:rPr>
      </w:pPr>
      <w:r w:rsidRPr="007B4B77">
        <w:rPr>
          <w:rFonts w:asciiTheme="majorBidi" w:hAnsiTheme="majorBidi"/>
          <w:b/>
          <w:bCs/>
          <w:noProof/>
          <w:color w:val="0070C0"/>
          <w:sz w:val="24"/>
          <w:szCs w:val="24"/>
          <w:rtl/>
          <w:lang w:eastAsia="fr-FR"/>
        </w:rPr>
        <w:drawing>
          <wp:anchor distT="0" distB="0" distL="114300" distR="114300" simplePos="0" relativeHeight="251659264" behindDoc="0" locked="0" layoutInCell="1" allowOverlap="1">
            <wp:simplePos x="0" y="0"/>
            <wp:positionH relativeFrom="column">
              <wp:align>right</wp:align>
            </wp:positionH>
            <wp:positionV relativeFrom="paragraph">
              <wp:align>top</wp:align>
            </wp:positionV>
            <wp:extent cx="4947462" cy="1967024"/>
            <wp:effectExtent l="19050" t="0" r="24588" b="0"/>
            <wp:wrapSquare wrapText="bothSides"/>
            <wp:docPr id="1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7B4B77">
        <w:rPr>
          <w:b/>
          <w:bCs/>
          <w:sz w:val="24"/>
          <w:szCs w:val="24"/>
          <w:lang w:val="en-US"/>
        </w:rPr>
        <w:t xml:space="preserve">Source: </w:t>
      </w:r>
      <w:r w:rsidRPr="007B4B77">
        <w:rPr>
          <w:sz w:val="24"/>
          <w:szCs w:val="24"/>
          <w:lang w:val="en-US"/>
        </w:rPr>
        <w:t>Prepared by researchers, based on data in table N°2</w:t>
      </w:r>
      <w:r w:rsidRPr="007B4B77">
        <w:rPr>
          <w:b/>
          <w:bCs/>
          <w:sz w:val="24"/>
          <w:szCs w:val="24"/>
          <w:lang w:val="en-US"/>
        </w:rPr>
        <w:t>.</w:t>
      </w:r>
    </w:p>
    <w:p w:rsidR="00CB14C9" w:rsidRPr="0026642D" w:rsidRDefault="00CB14C9" w:rsidP="00CB14C9">
      <w:pPr>
        <w:spacing w:line="276" w:lineRule="auto"/>
        <w:ind w:firstLine="708"/>
        <w:jc w:val="both"/>
        <w:rPr>
          <w:lang w:val="en-US"/>
        </w:rPr>
      </w:pPr>
    </w:p>
    <w:p w:rsidR="00CB14C9" w:rsidRPr="00162151" w:rsidRDefault="00CB14C9" w:rsidP="00CB14C9">
      <w:pPr>
        <w:spacing w:line="276" w:lineRule="auto"/>
        <w:ind w:firstLine="708"/>
        <w:jc w:val="both"/>
        <w:rPr>
          <w:rFonts w:asciiTheme="majorBidi" w:hAnsiTheme="majorBidi" w:cstheme="majorBidi"/>
          <w:color w:val="FF0000"/>
          <w:sz w:val="26"/>
          <w:szCs w:val="26"/>
          <w:lang w:val="en-US" w:bidi="ar-DZ"/>
        </w:rPr>
      </w:pPr>
      <w:r w:rsidRPr="0026642D">
        <w:rPr>
          <w:lang w:val="en-US"/>
        </w:rPr>
        <w:lastRenderedPageBreak/>
        <w:t>Figure N</w:t>
      </w:r>
      <w:r w:rsidRPr="0026642D">
        <w:rPr>
          <w:vertAlign w:val="superscript"/>
          <w:lang w:val="en-US"/>
        </w:rPr>
        <w:t>0</w:t>
      </w:r>
      <w:r w:rsidRPr="0026642D">
        <w:rPr>
          <w:lang w:val="en-US"/>
        </w:rPr>
        <w:t>3 Shows the number of projects and companies for each country (</w:t>
      </w:r>
      <w:r w:rsidRPr="00B77DCA">
        <w:rPr>
          <w:rFonts w:asciiTheme="majorBidi" w:hAnsiTheme="majorBidi" w:cstheme="majorBidi"/>
          <w:lang w:val="en-US" w:bidi="ar-DZ"/>
        </w:rPr>
        <w:t xml:space="preserve">China, </w:t>
      </w:r>
      <w:r w:rsidRPr="0026642D">
        <w:rPr>
          <w:rFonts w:asciiTheme="majorBidi" w:hAnsiTheme="majorBidi" w:cstheme="majorBidi"/>
          <w:lang w:val="en-US"/>
        </w:rPr>
        <w:t>Spain, Turkey, Germany,South Africa</w:t>
      </w:r>
      <w:r w:rsidRPr="0026642D">
        <w:rPr>
          <w:lang w:val="en-US"/>
        </w:rPr>
        <w:t xml:space="preserve">,  </w:t>
      </w:r>
      <w:r w:rsidRPr="0026642D">
        <w:rPr>
          <w:rFonts w:asciiTheme="majorBidi" w:hAnsiTheme="majorBidi" w:cstheme="majorBidi"/>
          <w:lang w:val="en-US"/>
        </w:rPr>
        <w:t>France, Switzerland, Italia, United Kingdom)</w:t>
      </w:r>
      <w:r w:rsidRPr="0026642D">
        <w:rPr>
          <w:lang w:val="en-US"/>
        </w:rPr>
        <w:t xml:space="preserve"> during the period of fourth years from 2013 to 2017, France has biggest number of projects (12 projects) and companies ( 10 companies), China and Spain have the same number of projects (10 projects), and 6 companies for Spain and 5 for China,  </w:t>
      </w:r>
      <w:r w:rsidRPr="0026642D">
        <w:rPr>
          <w:rFonts w:asciiTheme="majorBidi" w:hAnsiTheme="majorBidi" w:cstheme="majorBidi"/>
          <w:lang w:val="en-US"/>
        </w:rPr>
        <w:t>Germany owns 7 projects and companies, when Italia has the lowest number of  projects and companies during this period.</w:t>
      </w:r>
    </w:p>
    <w:p w:rsidR="00CB14C9" w:rsidRPr="007B4B77" w:rsidRDefault="00CB14C9" w:rsidP="007B4B77">
      <w:pPr>
        <w:spacing w:line="276" w:lineRule="auto"/>
        <w:jc w:val="center"/>
        <w:rPr>
          <w:b/>
          <w:bCs/>
          <w:sz w:val="24"/>
          <w:szCs w:val="24"/>
          <w:lang w:val="en-US"/>
        </w:rPr>
      </w:pPr>
      <w:r w:rsidRPr="007B4B77">
        <w:rPr>
          <w:b/>
          <w:bCs/>
          <w:sz w:val="24"/>
          <w:szCs w:val="24"/>
          <w:lang w:val="en-US"/>
        </w:rPr>
        <w:t>Table N°3. The Top Five Companies Investing in Algeria (January 2013 and December 2017)</w:t>
      </w:r>
    </w:p>
    <w:tbl>
      <w:tblPr>
        <w:tblStyle w:val="Grilledutableau"/>
        <w:tblW w:w="0" w:type="auto"/>
        <w:jc w:val="center"/>
        <w:tblLook w:val="04A0"/>
      </w:tblPr>
      <w:tblGrid>
        <w:gridCol w:w="3794"/>
        <w:gridCol w:w="2126"/>
        <w:gridCol w:w="2157"/>
      </w:tblGrid>
      <w:tr w:rsidR="00CB14C9" w:rsidRPr="00162151" w:rsidTr="00150A1A">
        <w:trPr>
          <w:jc w:val="center"/>
        </w:trPr>
        <w:tc>
          <w:tcPr>
            <w:tcW w:w="3794" w:type="dxa"/>
            <w:vAlign w:val="center"/>
          </w:tcPr>
          <w:p w:rsidR="00CB14C9" w:rsidRPr="00162151" w:rsidRDefault="00CB14C9" w:rsidP="00150A1A">
            <w:pPr>
              <w:spacing w:line="276" w:lineRule="auto"/>
              <w:jc w:val="center"/>
              <w:rPr>
                <w:b/>
                <w:bCs/>
                <w:sz w:val="22"/>
                <w:szCs w:val="22"/>
                <w:lang w:eastAsia="en-US"/>
              </w:rPr>
            </w:pPr>
            <w:r w:rsidRPr="00162151">
              <w:rPr>
                <w:b/>
                <w:bCs/>
                <w:sz w:val="22"/>
                <w:szCs w:val="22"/>
                <w:lang w:eastAsia="en-US"/>
              </w:rPr>
              <w:t>Company</w:t>
            </w:r>
          </w:p>
        </w:tc>
        <w:tc>
          <w:tcPr>
            <w:tcW w:w="2126" w:type="dxa"/>
            <w:vAlign w:val="center"/>
          </w:tcPr>
          <w:p w:rsidR="00CB14C9" w:rsidRPr="00162151" w:rsidRDefault="00CB14C9" w:rsidP="00150A1A">
            <w:pPr>
              <w:spacing w:line="276" w:lineRule="auto"/>
              <w:jc w:val="center"/>
              <w:rPr>
                <w:b/>
                <w:bCs/>
                <w:sz w:val="22"/>
                <w:szCs w:val="22"/>
                <w:lang w:eastAsia="en-US"/>
              </w:rPr>
            </w:pPr>
            <w:r w:rsidRPr="00162151">
              <w:rPr>
                <w:b/>
                <w:bCs/>
                <w:sz w:val="22"/>
                <w:szCs w:val="22"/>
                <w:lang w:eastAsia="en-US"/>
              </w:rPr>
              <w:t>Country</w:t>
            </w:r>
          </w:p>
        </w:tc>
        <w:tc>
          <w:tcPr>
            <w:tcW w:w="2157" w:type="dxa"/>
            <w:vAlign w:val="center"/>
          </w:tcPr>
          <w:p w:rsidR="00CB14C9" w:rsidRPr="00162151" w:rsidRDefault="00CB14C9" w:rsidP="00150A1A">
            <w:pPr>
              <w:spacing w:line="276" w:lineRule="auto"/>
              <w:jc w:val="center"/>
              <w:rPr>
                <w:b/>
                <w:bCs/>
                <w:sz w:val="22"/>
                <w:szCs w:val="22"/>
                <w:lang w:eastAsia="en-US"/>
              </w:rPr>
            </w:pPr>
            <w:r w:rsidRPr="00162151">
              <w:rPr>
                <w:b/>
                <w:bCs/>
                <w:sz w:val="22"/>
                <w:szCs w:val="22"/>
                <w:lang w:eastAsia="en-US"/>
              </w:rPr>
              <w:t>Amount ( Million Dollars)</w:t>
            </w:r>
          </w:p>
        </w:tc>
      </w:tr>
      <w:tr w:rsidR="00CB14C9" w:rsidRPr="00162151" w:rsidTr="00150A1A">
        <w:trPr>
          <w:jc w:val="center"/>
        </w:trPr>
        <w:tc>
          <w:tcPr>
            <w:tcW w:w="3794" w:type="dxa"/>
            <w:vAlign w:val="center"/>
          </w:tcPr>
          <w:p w:rsidR="00CB14C9" w:rsidRPr="0026642D" w:rsidRDefault="00CB14C9" w:rsidP="00150A1A">
            <w:pPr>
              <w:autoSpaceDE w:val="0"/>
              <w:autoSpaceDN w:val="0"/>
              <w:adjustRightInd w:val="0"/>
              <w:spacing w:line="276" w:lineRule="auto"/>
              <w:jc w:val="center"/>
              <w:rPr>
                <w:b/>
                <w:bCs/>
                <w:sz w:val="22"/>
                <w:szCs w:val="22"/>
                <w:lang w:val="en-US" w:eastAsia="en-US"/>
              </w:rPr>
            </w:pPr>
            <w:r w:rsidRPr="0026642D">
              <w:rPr>
                <w:b/>
                <w:bCs/>
                <w:sz w:val="22"/>
                <w:szCs w:val="22"/>
                <w:lang w:val="en-US" w:eastAsia="en-US"/>
              </w:rPr>
              <w:t>China State Construction</w:t>
            </w:r>
          </w:p>
          <w:p w:rsidR="00CB14C9" w:rsidRPr="0026642D" w:rsidRDefault="00CB14C9" w:rsidP="00150A1A">
            <w:pPr>
              <w:spacing w:line="276" w:lineRule="auto"/>
              <w:jc w:val="center"/>
              <w:rPr>
                <w:b/>
                <w:bCs/>
                <w:sz w:val="22"/>
                <w:szCs w:val="22"/>
                <w:lang w:val="en-US" w:eastAsia="en-US"/>
              </w:rPr>
            </w:pPr>
            <w:r w:rsidRPr="0026642D">
              <w:rPr>
                <w:b/>
                <w:bCs/>
                <w:sz w:val="22"/>
                <w:szCs w:val="22"/>
                <w:lang w:val="en-US" w:eastAsia="en-US"/>
              </w:rPr>
              <w:t>Engineering Corporation</w:t>
            </w:r>
          </w:p>
        </w:tc>
        <w:tc>
          <w:tcPr>
            <w:tcW w:w="2126" w:type="dxa"/>
            <w:vAlign w:val="center"/>
          </w:tcPr>
          <w:p w:rsidR="00CB14C9" w:rsidRPr="0079144A" w:rsidRDefault="00CB14C9" w:rsidP="00150A1A">
            <w:pPr>
              <w:spacing w:line="276" w:lineRule="auto"/>
              <w:jc w:val="center"/>
              <w:rPr>
                <w:sz w:val="22"/>
                <w:szCs w:val="22"/>
                <w:rtl/>
                <w:lang w:eastAsia="en-US"/>
              </w:rPr>
            </w:pPr>
            <w:r w:rsidRPr="0079144A">
              <w:rPr>
                <w:sz w:val="22"/>
                <w:szCs w:val="22"/>
                <w:lang w:eastAsia="en-US"/>
              </w:rPr>
              <w:t>China</w:t>
            </w:r>
          </w:p>
        </w:tc>
        <w:tc>
          <w:tcPr>
            <w:tcW w:w="2157"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3.300</w:t>
            </w:r>
          </w:p>
        </w:tc>
      </w:tr>
      <w:tr w:rsidR="00CB14C9" w:rsidRPr="00162151" w:rsidTr="00150A1A">
        <w:trPr>
          <w:jc w:val="center"/>
        </w:trPr>
        <w:tc>
          <w:tcPr>
            <w:tcW w:w="3794" w:type="dxa"/>
            <w:vAlign w:val="center"/>
          </w:tcPr>
          <w:p w:rsidR="00CB14C9" w:rsidRPr="00162151" w:rsidRDefault="00CB14C9" w:rsidP="00150A1A">
            <w:pPr>
              <w:autoSpaceDE w:val="0"/>
              <w:autoSpaceDN w:val="0"/>
              <w:adjustRightInd w:val="0"/>
              <w:spacing w:line="276" w:lineRule="auto"/>
              <w:jc w:val="center"/>
              <w:rPr>
                <w:b/>
                <w:bCs/>
                <w:sz w:val="22"/>
                <w:szCs w:val="22"/>
                <w:lang w:eastAsia="en-US"/>
              </w:rPr>
            </w:pPr>
            <w:r w:rsidRPr="00162151">
              <w:rPr>
                <w:b/>
                <w:bCs/>
                <w:sz w:val="22"/>
                <w:szCs w:val="22"/>
                <w:lang w:eastAsia="en-US"/>
              </w:rPr>
              <w:t>Indorama</w:t>
            </w:r>
          </w:p>
        </w:tc>
        <w:tc>
          <w:tcPr>
            <w:tcW w:w="2126" w:type="dxa"/>
            <w:vAlign w:val="center"/>
          </w:tcPr>
          <w:p w:rsidR="00CB14C9" w:rsidRPr="0079144A" w:rsidRDefault="00CB14C9" w:rsidP="00150A1A">
            <w:pPr>
              <w:spacing w:line="276" w:lineRule="auto"/>
              <w:jc w:val="center"/>
              <w:rPr>
                <w:sz w:val="22"/>
                <w:szCs w:val="22"/>
                <w:rtl/>
                <w:lang w:eastAsia="en-US"/>
              </w:rPr>
            </w:pPr>
            <w:r w:rsidRPr="0079144A">
              <w:rPr>
                <w:sz w:val="22"/>
                <w:szCs w:val="22"/>
                <w:lang w:eastAsia="en-US"/>
              </w:rPr>
              <w:t>Singapore</w:t>
            </w:r>
          </w:p>
        </w:tc>
        <w:tc>
          <w:tcPr>
            <w:tcW w:w="2157"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3.151</w:t>
            </w:r>
          </w:p>
        </w:tc>
      </w:tr>
      <w:tr w:rsidR="00CB14C9" w:rsidRPr="00162151" w:rsidTr="00150A1A">
        <w:trPr>
          <w:jc w:val="center"/>
        </w:trPr>
        <w:tc>
          <w:tcPr>
            <w:tcW w:w="3794" w:type="dxa"/>
            <w:vAlign w:val="center"/>
          </w:tcPr>
          <w:p w:rsidR="00CB14C9" w:rsidRPr="00162151" w:rsidRDefault="00CB14C9" w:rsidP="00150A1A">
            <w:pPr>
              <w:autoSpaceDE w:val="0"/>
              <w:autoSpaceDN w:val="0"/>
              <w:adjustRightInd w:val="0"/>
              <w:spacing w:line="276" w:lineRule="auto"/>
              <w:jc w:val="center"/>
              <w:rPr>
                <w:b/>
                <w:bCs/>
                <w:sz w:val="22"/>
                <w:szCs w:val="22"/>
                <w:lang w:eastAsia="en-US"/>
              </w:rPr>
            </w:pPr>
            <w:r w:rsidRPr="00162151">
              <w:rPr>
                <w:b/>
                <w:bCs/>
                <w:sz w:val="22"/>
                <w:szCs w:val="22"/>
                <w:lang w:eastAsia="en-US"/>
              </w:rPr>
              <w:t>Grupo Ortiz Construccion y</w:t>
            </w:r>
          </w:p>
          <w:p w:rsidR="00CB14C9" w:rsidRPr="00162151" w:rsidRDefault="00CB14C9" w:rsidP="007B4B77">
            <w:pPr>
              <w:autoSpaceDE w:val="0"/>
              <w:autoSpaceDN w:val="0"/>
              <w:adjustRightInd w:val="0"/>
              <w:spacing w:line="276" w:lineRule="auto"/>
              <w:jc w:val="center"/>
              <w:rPr>
                <w:b/>
                <w:bCs/>
                <w:sz w:val="22"/>
                <w:szCs w:val="22"/>
                <w:lang w:eastAsia="en-US"/>
              </w:rPr>
            </w:pPr>
            <w:r w:rsidRPr="00162151">
              <w:rPr>
                <w:b/>
                <w:bCs/>
                <w:sz w:val="22"/>
                <w:szCs w:val="22"/>
                <w:lang w:eastAsia="en-US"/>
              </w:rPr>
              <w:t>Servicios Del Mediterraneo</w:t>
            </w:r>
          </w:p>
        </w:tc>
        <w:tc>
          <w:tcPr>
            <w:tcW w:w="2126"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Spain</w:t>
            </w:r>
          </w:p>
        </w:tc>
        <w:tc>
          <w:tcPr>
            <w:tcW w:w="2157"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2.209</w:t>
            </w:r>
          </w:p>
        </w:tc>
      </w:tr>
      <w:tr w:rsidR="00CB14C9" w:rsidRPr="00162151" w:rsidTr="00150A1A">
        <w:trPr>
          <w:jc w:val="center"/>
        </w:trPr>
        <w:tc>
          <w:tcPr>
            <w:tcW w:w="3794" w:type="dxa"/>
            <w:vAlign w:val="center"/>
          </w:tcPr>
          <w:p w:rsidR="00CB14C9" w:rsidRPr="00162151" w:rsidRDefault="00CB14C9" w:rsidP="00150A1A">
            <w:pPr>
              <w:spacing w:line="276" w:lineRule="auto"/>
              <w:jc w:val="center"/>
              <w:rPr>
                <w:b/>
                <w:bCs/>
                <w:sz w:val="22"/>
                <w:szCs w:val="22"/>
                <w:lang w:eastAsia="en-US"/>
              </w:rPr>
            </w:pPr>
            <w:r w:rsidRPr="00162151">
              <w:rPr>
                <w:b/>
                <w:bCs/>
                <w:sz w:val="22"/>
                <w:szCs w:val="22"/>
                <w:lang w:eastAsia="en-US"/>
              </w:rPr>
              <w:t>Tosyali Holding</w:t>
            </w:r>
          </w:p>
        </w:tc>
        <w:tc>
          <w:tcPr>
            <w:tcW w:w="2126"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Turkey</w:t>
            </w:r>
          </w:p>
        </w:tc>
        <w:tc>
          <w:tcPr>
            <w:tcW w:w="2157"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1.397</w:t>
            </w:r>
          </w:p>
        </w:tc>
      </w:tr>
      <w:tr w:rsidR="00CB14C9" w:rsidRPr="00162151" w:rsidTr="00150A1A">
        <w:trPr>
          <w:jc w:val="center"/>
        </w:trPr>
        <w:tc>
          <w:tcPr>
            <w:tcW w:w="3794" w:type="dxa"/>
            <w:vAlign w:val="center"/>
          </w:tcPr>
          <w:p w:rsidR="00CB14C9" w:rsidRPr="00162151" w:rsidRDefault="00CB14C9" w:rsidP="00150A1A">
            <w:pPr>
              <w:spacing w:line="276" w:lineRule="auto"/>
              <w:jc w:val="center"/>
              <w:rPr>
                <w:b/>
                <w:bCs/>
                <w:sz w:val="22"/>
                <w:szCs w:val="22"/>
                <w:lang w:eastAsia="en-US"/>
              </w:rPr>
            </w:pPr>
            <w:r w:rsidRPr="00162151">
              <w:rPr>
                <w:b/>
                <w:bCs/>
                <w:sz w:val="22"/>
                <w:szCs w:val="22"/>
                <w:lang w:eastAsia="en-US"/>
              </w:rPr>
              <w:t>TaypaTekstil</w:t>
            </w:r>
          </w:p>
        </w:tc>
        <w:tc>
          <w:tcPr>
            <w:tcW w:w="2126"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Turkey</w:t>
            </w:r>
          </w:p>
        </w:tc>
        <w:tc>
          <w:tcPr>
            <w:tcW w:w="2157" w:type="dxa"/>
            <w:vAlign w:val="center"/>
          </w:tcPr>
          <w:p w:rsidR="00CB14C9" w:rsidRPr="0079144A" w:rsidRDefault="00CB14C9" w:rsidP="00150A1A">
            <w:pPr>
              <w:spacing w:line="276" w:lineRule="auto"/>
              <w:jc w:val="center"/>
              <w:rPr>
                <w:sz w:val="22"/>
                <w:szCs w:val="22"/>
                <w:lang w:eastAsia="en-US"/>
              </w:rPr>
            </w:pPr>
            <w:r w:rsidRPr="0079144A">
              <w:rPr>
                <w:sz w:val="22"/>
                <w:szCs w:val="22"/>
                <w:lang w:eastAsia="en-US"/>
              </w:rPr>
              <w:t>900</w:t>
            </w:r>
          </w:p>
        </w:tc>
      </w:tr>
    </w:tbl>
    <w:p w:rsidR="00CB14C9" w:rsidRPr="007B4B77" w:rsidRDefault="00CB14C9" w:rsidP="00CB14C9">
      <w:pPr>
        <w:spacing w:line="276" w:lineRule="auto"/>
        <w:jc w:val="both"/>
        <w:rPr>
          <w:sz w:val="24"/>
          <w:szCs w:val="24"/>
          <w:lang w:val="en-US"/>
        </w:rPr>
      </w:pPr>
      <w:r w:rsidRPr="007B4B77">
        <w:rPr>
          <w:b/>
          <w:bCs/>
          <w:sz w:val="24"/>
          <w:szCs w:val="24"/>
          <w:lang w:val="en-US"/>
        </w:rPr>
        <w:t xml:space="preserve">Source: </w:t>
      </w:r>
      <w:r w:rsidRPr="007B4B77">
        <w:rPr>
          <w:sz w:val="24"/>
          <w:szCs w:val="24"/>
          <w:lang w:val="en-US"/>
        </w:rPr>
        <w:t>The Arab Investment and Export Credit Guarantee Corporation, Quarterly Bulletin of Investment Guarantee, Features of Foreign Direct Investment in Arab Countries2017, N</w:t>
      </w:r>
      <w:r w:rsidRPr="007B4B77">
        <w:rPr>
          <w:sz w:val="24"/>
          <w:szCs w:val="24"/>
          <w:vertAlign w:val="superscript"/>
          <w:lang w:val="en-US"/>
        </w:rPr>
        <w:t>0</w:t>
      </w:r>
      <w:r w:rsidRPr="007B4B77">
        <w:rPr>
          <w:sz w:val="24"/>
          <w:szCs w:val="24"/>
          <w:lang w:val="en-US"/>
        </w:rPr>
        <w:t>2, 2018, p13.</w:t>
      </w:r>
    </w:p>
    <w:p w:rsidR="00CB14C9" w:rsidRPr="0026642D" w:rsidRDefault="00CB14C9" w:rsidP="00CB14C9">
      <w:pPr>
        <w:spacing w:line="276" w:lineRule="auto"/>
        <w:jc w:val="both"/>
        <w:rPr>
          <w:lang w:val="en-US"/>
        </w:rPr>
      </w:pPr>
    </w:p>
    <w:p w:rsidR="00CB14C9" w:rsidRPr="007B4B77" w:rsidRDefault="00CB14C9" w:rsidP="00CB14C9">
      <w:pPr>
        <w:spacing w:line="276" w:lineRule="auto"/>
        <w:rPr>
          <w:b/>
          <w:bCs/>
          <w:sz w:val="24"/>
          <w:szCs w:val="24"/>
          <w:lang w:val="en-US"/>
        </w:rPr>
      </w:pPr>
      <w:r w:rsidRPr="007B4B77">
        <w:rPr>
          <w:b/>
          <w:bCs/>
          <w:sz w:val="24"/>
          <w:szCs w:val="24"/>
          <w:lang w:val="en-US"/>
        </w:rPr>
        <w:t>Figure N° 4 The Top Five Companies Invested in Algeria (2013 - 2017)</w:t>
      </w:r>
    </w:p>
    <w:p w:rsidR="00CB14C9" w:rsidRDefault="00CB14C9" w:rsidP="00CB14C9">
      <w:pPr>
        <w:spacing w:line="276" w:lineRule="auto"/>
        <w:rPr>
          <w:rFonts w:asciiTheme="majorBidi" w:hAnsiTheme="majorBidi" w:cstheme="majorBidi"/>
          <w:b/>
          <w:bCs/>
          <w:sz w:val="26"/>
          <w:szCs w:val="26"/>
          <w:u w:val="single"/>
          <w:lang w:bidi="ar-DZ"/>
        </w:rPr>
      </w:pPr>
      <w:r>
        <w:rPr>
          <w:rFonts w:asciiTheme="majorBidi" w:hAnsiTheme="majorBidi" w:cstheme="majorBidi"/>
          <w:b/>
          <w:bCs/>
          <w:noProof/>
          <w:sz w:val="26"/>
          <w:szCs w:val="26"/>
          <w:u w:val="single"/>
          <w:lang w:eastAsia="fr-FR"/>
        </w:rPr>
        <w:drawing>
          <wp:inline distT="0" distB="0" distL="0" distR="0">
            <wp:extent cx="4921857" cy="1701579"/>
            <wp:effectExtent l="0" t="0" r="0" b="0"/>
            <wp:docPr id="15"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B14C9" w:rsidRPr="007B4B77" w:rsidRDefault="00CB14C9" w:rsidP="007B4B77">
      <w:pPr>
        <w:spacing w:line="276" w:lineRule="auto"/>
        <w:jc w:val="center"/>
        <w:rPr>
          <w:rFonts w:asciiTheme="majorBidi" w:hAnsiTheme="majorBidi" w:cstheme="majorBidi"/>
          <w:b/>
          <w:bCs/>
          <w:sz w:val="24"/>
          <w:szCs w:val="24"/>
          <w:u w:val="single"/>
          <w:lang w:val="en-US" w:bidi="ar-DZ"/>
        </w:rPr>
      </w:pPr>
      <w:r w:rsidRPr="007B4B77">
        <w:rPr>
          <w:b/>
          <w:bCs/>
          <w:sz w:val="24"/>
          <w:szCs w:val="24"/>
          <w:lang w:val="en-US"/>
        </w:rPr>
        <w:t xml:space="preserve">Source: </w:t>
      </w:r>
      <w:r w:rsidRPr="007B4B77">
        <w:rPr>
          <w:sz w:val="24"/>
          <w:szCs w:val="24"/>
          <w:lang w:val="en-US"/>
        </w:rPr>
        <w:t>Prepared by researchers, based on data in table N°3</w:t>
      </w:r>
      <w:r w:rsidRPr="007B4B77">
        <w:rPr>
          <w:b/>
          <w:bCs/>
          <w:sz w:val="24"/>
          <w:szCs w:val="24"/>
          <w:lang w:val="en-US"/>
        </w:rPr>
        <w:t>.</w:t>
      </w:r>
    </w:p>
    <w:p w:rsidR="00CB14C9" w:rsidRPr="00B7554A" w:rsidRDefault="00CB14C9" w:rsidP="00CB14C9">
      <w:pPr>
        <w:pStyle w:val="Notedebasdepage"/>
        <w:spacing w:line="276" w:lineRule="auto"/>
        <w:ind w:firstLine="708"/>
        <w:jc w:val="both"/>
        <w:rPr>
          <w:rFonts w:asciiTheme="majorBidi" w:hAnsiTheme="majorBidi" w:cstheme="majorBidi"/>
          <w:sz w:val="26"/>
          <w:szCs w:val="26"/>
          <w:lang w:val="en-US"/>
        </w:rPr>
      </w:pPr>
      <w:r w:rsidRPr="00337440">
        <w:rPr>
          <w:sz w:val="26"/>
          <w:szCs w:val="26"/>
          <w:lang w:val="en-US"/>
        </w:rPr>
        <w:lastRenderedPageBreak/>
        <w:t>Table (03) represents the top five companies investing</w:t>
      </w:r>
      <w:r>
        <w:rPr>
          <w:sz w:val="26"/>
          <w:szCs w:val="26"/>
          <w:lang w:val="en-US"/>
        </w:rPr>
        <w:t xml:space="preserve"> in Algeria from </w:t>
      </w:r>
      <w:r w:rsidRPr="00337440">
        <w:rPr>
          <w:sz w:val="26"/>
          <w:szCs w:val="26"/>
          <w:lang w:val="en-US"/>
        </w:rPr>
        <w:t>2013-2017, China State Construction Engineering Corporation(</w:t>
      </w:r>
      <w:r w:rsidRPr="00337440">
        <w:rPr>
          <w:rFonts w:asciiTheme="majorBidi" w:hAnsiTheme="majorBidi" w:cstheme="majorBidi"/>
          <w:sz w:val="26"/>
          <w:szCs w:val="26"/>
          <w:lang w:val="en-US"/>
        </w:rPr>
        <w:t>CSCEC)</w:t>
      </w:r>
      <w:r w:rsidRPr="00337440">
        <w:rPr>
          <w:sz w:val="26"/>
          <w:szCs w:val="26"/>
          <w:lang w:val="en-US"/>
        </w:rPr>
        <w:t xml:space="preserve"> which is china’s company invests 3300 million </w:t>
      </w:r>
      <w:r w:rsidRPr="00337440">
        <w:rPr>
          <w:rFonts w:asciiTheme="majorBidi" w:hAnsiTheme="majorBidi" w:cstheme="majorBidi"/>
          <w:sz w:val="26"/>
          <w:szCs w:val="26"/>
          <w:lang w:val="en-US"/>
        </w:rPr>
        <w:t>dollars, CSCEC Algeria's business has centered on housing, public works, and infrastructure</w:t>
      </w:r>
      <w:r w:rsidRPr="00337440">
        <w:rPr>
          <w:sz w:val="26"/>
          <w:szCs w:val="26"/>
          <w:lang w:val="en-US"/>
        </w:rPr>
        <w:t>,  Indorama company from Singapore spends 3151 million dollars, Grupo Ortiz Construccion y Servicios Del Mediterraneo(in 2013 the Ortiz Group signed a memorandum of understanding (</w:t>
      </w:r>
      <w:r w:rsidRPr="00337440">
        <w:rPr>
          <w:rFonts w:asciiTheme="majorBidi" w:hAnsiTheme="majorBidi" w:cstheme="majorBidi"/>
          <w:sz w:val="26"/>
          <w:szCs w:val="26"/>
          <w:lang w:val="en-US"/>
        </w:rPr>
        <w:t>The contract includes: a train Algerian workers, an architectural and engineering contract for the housing, technology transfer of building systems, construction of concrete panels and slabs in Algiers.</w:t>
      </w:r>
      <w:r w:rsidRPr="00B7554A">
        <w:rPr>
          <w:sz w:val="26"/>
          <w:szCs w:val="26"/>
          <w:lang w:val="en-US"/>
        </w:rPr>
        <w:t>) with the Algerian public company OLA to build 5,000 homes using the INDAGSA construction system of precast concrete panels) from Spain its investment arrive</w:t>
      </w:r>
      <w:r>
        <w:rPr>
          <w:sz w:val="26"/>
          <w:szCs w:val="26"/>
          <w:lang w:val="en-US"/>
        </w:rPr>
        <w:t>s</w:t>
      </w:r>
      <w:r w:rsidRPr="00B7554A">
        <w:rPr>
          <w:sz w:val="26"/>
          <w:szCs w:val="26"/>
          <w:lang w:val="en-US"/>
        </w:rPr>
        <w:t xml:space="preserve"> at 2209 millio</w:t>
      </w:r>
      <w:r>
        <w:rPr>
          <w:sz w:val="26"/>
          <w:szCs w:val="26"/>
          <w:lang w:val="en-US"/>
        </w:rPr>
        <w:t xml:space="preserve">n dollars, and Turkish company </w:t>
      </w:r>
      <w:r w:rsidRPr="00B7554A">
        <w:rPr>
          <w:sz w:val="26"/>
          <w:szCs w:val="26"/>
          <w:lang w:val="en-US"/>
        </w:rPr>
        <w:t>Tosyali Holding invests 1397 million dollars(the ingot produced at Tosyali Algeria is used for the production of wire rod, construction steel, hollow sections</w:t>
      </w:r>
      <w:r>
        <w:rPr>
          <w:sz w:val="26"/>
          <w:szCs w:val="26"/>
          <w:lang w:val="en-US"/>
        </w:rPr>
        <w:t>,</w:t>
      </w:r>
      <w:r w:rsidRPr="00B7554A">
        <w:rPr>
          <w:sz w:val="26"/>
          <w:szCs w:val="26"/>
          <w:lang w:val="en-US"/>
        </w:rPr>
        <w:t xml:space="preserve"> and merchant bars), and Taypa Tekstil 900 million dollars(textile production facility).</w:t>
      </w:r>
    </w:p>
    <w:p w:rsidR="00CB14C9" w:rsidRPr="0026642D" w:rsidRDefault="00CB14C9" w:rsidP="00CB14C9">
      <w:pPr>
        <w:spacing w:line="276" w:lineRule="auto"/>
        <w:rPr>
          <w:b/>
          <w:bCs/>
          <w:lang w:val="en-US"/>
        </w:rPr>
      </w:pPr>
    </w:p>
    <w:p w:rsidR="00CB14C9" w:rsidRPr="007B4B77" w:rsidRDefault="00CB14C9" w:rsidP="00CB14C9">
      <w:pPr>
        <w:spacing w:line="276" w:lineRule="auto"/>
        <w:jc w:val="center"/>
        <w:rPr>
          <w:rFonts w:asciiTheme="majorBidi" w:hAnsiTheme="majorBidi" w:cstheme="majorBidi"/>
          <w:b/>
          <w:bCs/>
          <w:sz w:val="24"/>
          <w:szCs w:val="24"/>
          <w:u w:val="single"/>
          <w:lang w:val="en-US" w:bidi="ar-DZ"/>
        </w:rPr>
      </w:pPr>
      <w:r w:rsidRPr="007B4B77">
        <w:rPr>
          <w:b/>
          <w:bCs/>
          <w:sz w:val="24"/>
          <w:szCs w:val="24"/>
          <w:lang w:val="en-US"/>
        </w:rPr>
        <w:t>Table N°4. Distribution of FDI inflows to Algeria by regions invested (2013-2017)</w:t>
      </w:r>
    </w:p>
    <w:tbl>
      <w:tblPr>
        <w:tblStyle w:val="Grilledutableau"/>
        <w:tblW w:w="0" w:type="auto"/>
        <w:jc w:val="center"/>
        <w:tblLook w:val="04A0"/>
      </w:tblPr>
      <w:tblGrid>
        <w:gridCol w:w="3222"/>
        <w:gridCol w:w="3402"/>
        <w:gridCol w:w="1165"/>
      </w:tblGrid>
      <w:tr w:rsidR="00CB14C9" w:rsidRPr="001D083F" w:rsidTr="00150A1A">
        <w:trPr>
          <w:jc w:val="center"/>
        </w:trPr>
        <w:tc>
          <w:tcPr>
            <w:tcW w:w="3222" w:type="dxa"/>
            <w:vAlign w:val="center"/>
          </w:tcPr>
          <w:p w:rsidR="00CB14C9" w:rsidRPr="001D083F" w:rsidRDefault="00CB14C9" w:rsidP="00150A1A">
            <w:pPr>
              <w:spacing w:line="276" w:lineRule="auto"/>
              <w:jc w:val="center"/>
              <w:rPr>
                <w:rFonts w:asciiTheme="majorBidi" w:hAnsiTheme="majorBidi" w:cstheme="majorBidi"/>
                <w:b/>
                <w:bCs/>
                <w:lang w:bidi="ar-DZ"/>
              </w:rPr>
            </w:pPr>
            <w:r w:rsidRPr="001D083F">
              <w:rPr>
                <w:rFonts w:asciiTheme="majorBidi" w:hAnsiTheme="majorBidi" w:cstheme="majorBidi"/>
                <w:b/>
                <w:bCs/>
                <w:lang w:bidi="ar-DZ"/>
              </w:rPr>
              <w:t>Investedregions</w:t>
            </w:r>
          </w:p>
        </w:tc>
        <w:tc>
          <w:tcPr>
            <w:tcW w:w="3402" w:type="dxa"/>
            <w:vAlign w:val="center"/>
          </w:tcPr>
          <w:p w:rsidR="00CB14C9" w:rsidRPr="001D083F" w:rsidRDefault="00CB14C9" w:rsidP="00150A1A">
            <w:pPr>
              <w:spacing w:line="276" w:lineRule="auto"/>
              <w:jc w:val="center"/>
              <w:rPr>
                <w:rFonts w:asciiTheme="majorBidi" w:hAnsiTheme="majorBidi" w:cstheme="majorBidi"/>
                <w:b/>
                <w:bCs/>
                <w:lang w:bidi="ar-DZ"/>
              </w:rPr>
            </w:pPr>
            <w:r w:rsidRPr="001D083F">
              <w:rPr>
                <w:rFonts w:asciiTheme="majorBidi" w:hAnsiTheme="majorBidi" w:cstheme="majorBidi"/>
                <w:b/>
                <w:bCs/>
                <w:lang w:bidi="ar-DZ"/>
              </w:rPr>
              <w:t>Amount (million dollars)</w:t>
            </w:r>
          </w:p>
        </w:tc>
        <w:tc>
          <w:tcPr>
            <w:tcW w:w="1165" w:type="dxa"/>
            <w:vAlign w:val="center"/>
          </w:tcPr>
          <w:p w:rsidR="00CB14C9" w:rsidRPr="001D083F" w:rsidRDefault="00CB14C9" w:rsidP="00150A1A">
            <w:pPr>
              <w:spacing w:line="276" w:lineRule="auto"/>
              <w:jc w:val="center"/>
              <w:rPr>
                <w:rFonts w:asciiTheme="majorBidi" w:hAnsiTheme="majorBidi" w:cstheme="majorBidi"/>
                <w:b/>
                <w:bCs/>
                <w:lang w:bidi="ar-DZ"/>
              </w:rPr>
            </w:pPr>
            <w:r w:rsidRPr="001D083F">
              <w:rPr>
                <w:rFonts w:asciiTheme="majorBidi" w:hAnsiTheme="majorBidi" w:cstheme="majorBidi"/>
                <w:b/>
                <w:bCs/>
                <w:lang w:bidi="ar-DZ"/>
              </w:rPr>
              <w:t>%</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Asia and the Pacific</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6.965</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48.7</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Western Europe</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4.056</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28.4</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EmergingEuropean countries</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2.328</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16.3</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Africa</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554</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3.9</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Middle east</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317</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2.2</w:t>
            </w:r>
          </w:p>
        </w:tc>
      </w:tr>
      <w:tr w:rsidR="00CB14C9" w:rsidRPr="001D083F" w:rsidTr="00150A1A">
        <w:trPr>
          <w:jc w:val="center"/>
        </w:trPr>
        <w:tc>
          <w:tcPr>
            <w:tcW w:w="3222" w:type="dxa"/>
            <w:vAlign w:val="center"/>
          </w:tcPr>
          <w:p w:rsidR="00CB14C9" w:rsidRPr="001D083F" w:rsidRDefault="00CB14C9" w:rsidP="00150A1A">
            <w:pPr>
              <w:spacing w:line="276" w:lineRule="auto"/>
              <w:jc w:val="center"/>
            </w:pPr>
            <w:r w:rsidRPr="001D083F">
              <w:t>NorthAmerica</w:t>
            </w:r>
          </w:p>
        </w:tc>
        <w:tc>
          <w:tcPr>
            <w:tcW w:w="3402"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59</w:t>
            </w:r>
          </w:p>
        </w:tc>
        <w:tc>
          <w:tcPr>
            <w:tcW w:w="1165" w:type="dxa"/>
            <w:vAlign w:val="center"/>
          </w:tcPr>
          <w:p w:rsidR="00CB14C9" w:rsidRPr="001D083F" w:rsidRDefault="00CB14C9" w:rsidP="00150A1A">
            <w:pPr>
              <w:spacing w:line="276" w:lineRule="auto"/>
              <w:jc w:val="center"/>
              <w:rPr>
                <w:rFonts w:asciiTheme="majorBidi" w:hAnsiTheme="majorBidi" w:cstheme="majorBidi"/>
                <w:lang w:bidi="ar-DZ"/>
              </w:rPr>
            </w:pPr>
            <w:r w:rsidRPr="001D083F">
              <w:rPr>
                <w:rFonts w:asciiTheme="majorBidi" w:hAnsiTheme="majorBidi" w:cstheme="majorBidi"/>
                <w:lang w:bidi="ar-DZ"/>
              </w:rPr>
              <w:t>0.4</w:t>
            </w:r>
          </w:p>
        </w:tc>
      </w:tr>
      <w:tr w:rsidR="00CB14C9" w:rsidRPr="001D083F" w:rsidTr="00150A1A">
        <w:trPr>
          <w:jc w:val="center"/>
        </w:trPr>
        <w:tc>
          <w:tcPr>
            <w:tcW w:w="3222" w:type="dxa"/>
            <w:vAlign w:val="center"/>
          </w:tcPr>
          <w:p w:rsidR="00CB14C9" w:rsidRPr="0026642D" w:rsidRDefault="00CB14C9" w:rsidP="00150A1A">
            <w:pPr>
              <w:spacing w:line="276" w:lineRule="auto"/>
              <w:jc w:val="center"/>
              <w:rPr>
                <w:lang w:val="en-US"/>
              </w:rPr>
            </w:pPr>
            <w:r w:rsidRPr="0026642D">
              <w:rPr>
                <w:lang w:val="en-US"/>
              </w:rPr>
              <w:t>Latin America and the Caribbean</w:t>
            </w:r>
          </w:p>
        </w:tc>
        <w:tc>
          <w:tcPr>
            <w:tcW w:w="3402" w:type="dxa"/>
            <w:vAlign w:val="center"/>
          </w:tcPr>
          <w:p w:rsidR="00CB14C9" w:rsidRPr="001D083F" w:rsidRDefault="00CB14C9" w:rsidP="00150A1A">
            <w:pPr>
              <w:spacing w:line="276" w:lineRule="auto"/>
              <w:jc w:val="center"/>
              <w:rPr>
                <w:rFonts w:asciiTheme="majorBidi" w:hAnsiTheme="majorBidi" w:cstheme="majorBidi"/>
                <w:lang w:val="en-US" w:bidi="ar-DZ"/>
              </w:rPr>
            </w:pPr>
            <w:r w:rsidRPr="001D083F">
              <w:rPr>
                <w:rFonts w:asciiTheme="majorBidi" w:hAnsiTheme="majorBidi" w:cstheme="majorBidi"/>
                <w:lang w:val="en-US" w:bidi="ar-DZ"/>
              </w:rPr>
              <w:t>13</w:t>
            </w:r>
          </w:p>
        </w:tc>
        <w:tc>
          <w:tcPr>
            <w:tcW w:w="1165" w:type="dxa"/>
            <w:vAlign w:val="center"/>
          </w:tcPr>
          <w:p w:rsidR="00CB14C9" w:rsidRPr="001D083F" w:rsidRDefault="00CB14C9" w:rsidP="00150A1A">
            <w:pPr>
              <w:spacing w:line="276" w:lineRule="auto"/>
              <w:jc w:val="center"/>
              <w:rPr>
                <w:rFonts w:asciiTheme="majorBidi" w:hAnsiTheme="majorBidi" w:cstheme="majorBidi"/>
                <w:lang w:val="en-US" w:bidi="ar-DZ"/>
              </w:rPr>
            </w:pPr>
            <w:r w:rsidRPr="001D083F">
              <w:rPr>
                <w:rFonts w:asciiTheme="majorBidi" w:hAnsiTheme="majorBidi" w:cstheme="majorBidi"/>
                <w:lang w:val="en-US" w:bidi="ar-DZ"/>
              </w:rPr>
              <w:t>0.1</w:t>
            </w:r>
          </w:p>
        </w:tc>
      </w:tr>
    </w:tbl>
    <w:p w:rsidR="00CB14C9" w:rsidRPr="007B4B77" w:rsidRDefault="00CB14C9" w:rsidP="00CB14C9">
      <w:pPr>
        <w:spacing w:line="276" w:lineRule="auto"/>
        <w:jc w:val="both"/>
        <w:rPr>
          <w:sz w:val="24"/>
          <w:szCs w:val="24"/>
          <w:lang w:val="en-US"/>
        </w:rPr>
      </w:pPr>
      <w:r w:rsidRPr="007B4B77">
        <w:rPr>
          <w:b/>
          <w:bCs/>
          <w:sz w:val="24"/>
          <w:szCs w:val="24"/>
          <w:lang w:val="en-US"/>
        </w:rPr>
        <w:t xml:space="preserve">Source: </w:t>
      </w:r>
      <w:r w:rsidRPr="007B4B77">
        <w:rPr>
          <w:sz w:val="24"/>
          <w:szCs w:val="24"/>
          <w:lang w:val="en-US"/>
        </w:rPr>
        <w:t>The Arab Investment and Export Credit Guarantee Corporation, Quarterly Bulletin of Investment Guarantee, Features of Foreign Direct Investment in Arab Countries2017, N</w:t>
      </w:r>
      <w:r w:rsidRPr="007B4B77">
        <w:rPr>
          <w:sz w:val="24"/>
          <w:szCs w:val="24"/>
          <w:vertAlign w:val="superscript"/>
          <w:lang w:val="en-US"/>
        </w:rPr>
        <w:t>0</w:t>
      </w:r>
      <w:r w:rsidRPr="007B4B77">
        <w:rPr>
          <w:sz w:val="24"/>
          <w:szCs w:val="24"/>
          <w:lang w:val="en-US"/>
        </w:rPr>
        <w:t>2, 2018, p13.</w:t>
      </w:r>
    </w:p>
    <w:p w:rsidR="00CB14C9" w:rsidRPr="0026642D" w:rsidRDefault="00CB14C9" w:rsidP="00CB14C9">
      <w:pPr>
        <w:spacing w:line="276" w:lineRule="auto"/>
        <w:ind w:firstLine="708"/>
        <w:jc w:val="both"/>
        <w:rPr>
          <w:lang w:val="en-US"/>
        </w:rPr>
      </w:pPr>
    </w:p>
    <w:p w:rsidR="00CB14C9" w:rsidRPr="0026642D" w:rsidRDefault="00CB14C9" w:rsidP="00CB14C9">
      <w:pPr>
        <w:spacing w:line="276" w:lineRule="auto"/>
        <w:ind w:firstLine="708"/>
        <w:jc w:val="both"/>
        <w:rPr>
          <w:lang w:val="en-US"/>
        </w:rPr>
      </w:pPr>
      <w:r w:rsidRPr="0026642D">
        <w:rPr>
          <w:lang w:val="en-US"/>
        </w:rPr>
        <w:lastRenderedPageBreak/>
        <w:t>From table (04) which represents the distribution of FDI inflows to Algeria by regions invested from 2013 to 2017, note that Asia and the Pacific have the biggest part of the investment in Algeria 48.7</w:t>
      </w:r>
      <w:r w:rsidRPr="0026642D">
        <w:rPr>
          <w:rFonts w:ascii="Aparajita" w:hAnsi="Aparajita" w:cs="Aparajita"/>
          <w:lang w:val="en-US"/>
        </w:rPr>
        <w:t xml:space="preserve">% </w:t>
      </w:r>
      <w:r w:rsidRPr="0026642D">
        <w:rPr>
          <w:lang w:val="en-US"/>
        </w:rPr>
        <w:t>as well Western Europe, Emerging European countries(28.4</w:t>
      </w:r>
      <w:r w:rsidRPr="0026642D">
        <w:rPr>
          <w:rFonts w:ascii="Aparajita" w:hAnsi="Aparajita" w:cs="Aparajita"/>
          <w:lang w:val="en-US"/>
        </w:rPr>
        <w:t>%</w:t>
      </w:r>
      <w:r w:rsidRPr="0026642D">
        <w:rPr>
          <w:lang w:val="en-US"/>
        </w:rPr>
        <w:t>,16.3</w:t>
      </w:r>
      <w:r w:rsidRPr="0026642D">
        <w:rPr>
          <w:rFonts w:ascii="Aparajita" w:hAnsi="Aparajita" w:cs="Aparajita"/>
          <w:lang w:val="en-US"/>
        </w:rPr>
        <w:t>%</w:t>
      </w:r>
      <w:r w:rsidRPr="0026642D">
        <w:rPr>
          <w:lang w:val="en-US"/>
        </w:rPr>
        <w:t>). When Latin America and the Caribbean have the little part of investment 0.1</w:t>
      </w:r>
      <w:r w:rsidRPr="0026642D">
        <w:rPr>
          <w:rFonts w:ascii="Aparajita" w:hAnsi="Aparajita" w:cs="Aparajita"/>
          <w:lang w:val="en-US"/>
        </w:rPr>
        <w:t>%</w:t>
      </w:r>
      <w:r w:rsidRPr="0026642D">
        <w:rPr>
          <w:lang w:val="en-US"/>
        </w:rPr>
        <w:t>, also Africa, Middle East, North America doesn’t have a big contribution for FDI inflows (3.9</w:t>
      </w:r>
      <w:r w:rsidRPr="0026642D">
        <w:rPr>
          <w:rFonts w:ascii="Aparajita" w:hAnsi="Aparajita" w:cs="Aparajita"/>
          <w:lang w:val="en-US"/>
        </w:rPr>
        <w:t>%</w:t>
      </w:r>
      <w:r w:rsidRPr="0026642D">
        <w:rPr>
          <w:lang w:val="en-US"/>
        </w:rPr>
        <w:t>, 2.2</w:t>
      </w:r>
      <w:r w:rsidRPr="0026642D">
        <w:rPr>
          <w:rFonts w:ascii="Aparajita" w:hAnsi="Aparajita" w:cs="Aparajita"/>
          <w:lang w:val="en-US"/>
        </w:rPr>
        <w:t>%</w:t>
      </w:r>
      <w:r w:rsidRPr="0026642D">
        <w:rPr>
          <w:lang w:val="en-US"/>
        </w:rPr>
        <w:t>, and 0.4</w:t>
      </w:r>
      <w:r w:rsidRPr="0026642D">
        <w:rPr>
          <w:rFonts w:ascii="Aparajita" w:hAnsi="Aparajita" w:cs="Aparajita"/>
          <w:lang w:val="en-US"/>
        </w:rPr>
        <w:t>%</w:t>
      </w:r>
      <w:r w:rsidRPr="0026642D">
        <w:rPr>
          <w:lang w:val="en-US"/>
        </w:rPr>
        <w:t>).</w:t>
      </w:r>
    </w:p>
    <w:p w:rsidR="00CB14C9" w:rsidRPr="0026642D" w:rsidRDefault="00CB14C9" w:rsidP="00CB14C9">
      <w:pPr>
        <w:spacing w:line="276" w:lineRule="auto"/>
        <w:jc w:val="both"/>
        <w:rPr>
          <w:lang w:val="en-US"/>
        </w:rPr>
      </w:pPr>
    </w:p>
    <w:p w:rsidR="002166BA" w:rsidRDefault="002166BA" w:rsidP="00CB14C9">
      <w:pPr>
        <w:spacing w:line="276" w:lineRule="auto"/>
        <w:jc w:val="both"/>
        <w:rPr>
          <w:b/>
          <w:bCs/>
          <w:sz w:val="24"/>
          <w:szCs w:val="24"/>
          <w:lang w:val="en-US"/>
        </w:rPr>
      </w:pPr>
    </w:p>
    <w:p w:rsidR="002166BA" w:rsidRDefault="002166BA" w:rsidP="00CB14C9">
      <w:pPr>
        <w:spacing w:line="276" w:lineRule="auto"/>
        <w:jc w:val="both"/>
        <w:rPr>
          <w:b/>
          <w:bCs/>
          <w:sz w:val="24"/>
          <w:szCs w:val="24"/>
          <w:lang w:val="en-US"/>
        </w:rPr>
      </w:pPr>
    </w:p>
    <w:p w:rsidR="002166BA" w:rsidRDefault="002166BA" w:rsidP="00CB14C9">
      <w:pPr>
        <w:spacing w:line="276" w:lineRule="auto"/>
        <w:jc w:val="both"/>
        <w:rPr>
          <w:b/>
          <w:bCs/>
          <w:sz w:val="24"/>
          <w:szCs w:val="24"/>
          <w:lang w:val="en-US"/>
        </w:rPr>
      </w:pPr>
    </w:p>
    <w:p w:rsidR="002166BA" w:rsidRDefault="002166BA" w:rsidP="00CB14C9">
      <w:pPr>
        <w:spacing w:line="276" w:lineRule="auto"/>
        <w:jc w:val="both"/>
        <w:rPr>
          <w:b/>
          <w:bCs/>
          <w:sz w:val="24"/>
          <w:szCs w:val="24"/>
          <w:lang w:val="en-US"/>
        </w:rPr>
      </w:pPr>
    </w:p>
    <w:p w:rsidR="002166BA" w:rsidRDefault="002166BA" w:rsidP="00CB14C9">
      <w:pPr>
        <w:spacing w:line="276" w:lineRule="auto"/>
        <w:jc w:val="both"/>
        <w:rPr>
          <w:b/>
          <w:bCs/>
          <w:sz w:val="24"/>
          <w:szCs w:val="24"/>
          <w:lang w:val="en-US"/>
        </w:rPr>
      </w:pPr>
    </w:p>
    <w:p w:rsidR="002166BA" w:rsidRDefault="002166BA" w:rsidP="00CB14C9">
      <w:pPr>
        <w:spacing w:line="276" w:lineRule="auto"/>
        <w:jc w:val="both"/>
        <w:rPr>
          <w:b/>
          <w:bCs/>
          <w:sz w:val="24"/>
          <w:szCs w:val="24"/>
          <w:lang w:val="en-US"/>
        </w:rPr>
      </w:pPr>
    </w:p>
    <w:p w:rsidR="00CB14C9" w:rsidRPr="007B4B77" w:rsidRDefault="00CB14C9" w:rsidP="00CB14C9">
      <w:pPr>
        <w:spacing w:line="276" w:lineRule="auto"/>
        <w:jc w:val="both"/>
        <w:rPr>
          <w:rFonts w:asciiTheme="majorBidi" w:hAnsiTheme="majorBidi" w:cstheme="majorBidi"/>
          <w:b/>
          <w:bCs/>
          <w:sz w:val="24"/>
          <w:szCs w:val="24"/>
          <w:u w:val="single"/>
          <w:lang w:val="en-US" w:bidi="ar-DZ"/>
        </w:rPr>
      </w:pPr>
      <w:r w:rsidRPr="007B4B77">
        <w:rPr>
          <w:b/>
          <w:bCs/>
          <w:sz w:val="24"/>
          <w:szCs w:val="24"/>
          <w:lang w:val="en-US"/>
        </w:rPr>
        <w:t xml:space="preserve">Figure N° 5. Distribution of FDI inflows to Algeria by regions invested (2013-2017) </w:t>
      </w:r>
    </w:p>
    <w:p w:rsidR="00CB14C9" w:rsidRPr="00F36ACA" w:rsidRDefault="00CB14C9" w:rsidP="00CB14C9">
      <w:pPr>
        <w:spacing w:line="276" w:lineRule="auto"/>
        <w:jc w:val="center"/>
        <w:rPr>
          <w:b/>
          <w:bCs/>
        </w:rPr>
      </w:pPr>
      <w:r>
        <w:rPr>
          <w:b/>
          <w:bCs/>
          <w:noProof/>
          <w:lang w:eastAsia="fr-FR"/>
        </w:rPr>
        <w:drawing>
          <wp:inline distT="0" distB="0" distL="0" distR="0">
            <wp:extent cx="4397071" cy="1900362"/>
            <wp:effectExtent l="0" t="0" r="3810" b="508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B14C9" w:rsidRPr="007B4B77" w:rsidRDefault="00CB14C9" w:rsidP="00CB14C9">
      <w:pPr>
        <w:spacing w:line="276" w:lineRule="auto"/>
        <w:jc w:val="center"/>
        <w:rPr>
          <w:rFonts w:asciiTheme="majorBidi" w:hAnsiTheme="majorBidi" w:cstheme="majorBidi"/>
          <w:b/>
          <w:bCs/>
          <w:sz w:val="24"/>
          <w:szCs w:val="24"/>
          <w:u w:val="single"/>
          <w:lang w:val="en-US" w:bidi="ar-DZ"/>
        </w:rPr>
      </w:pPr>
      <w:r w:rsidRPr="007B4B77">
        <w:rPr>
          <w:b/>
          <w:bCs/>
          <w:sz w:val="24"/>
          <w:szCs w:val="24"/>
          <w:lang w:val="en-US"/>
        </w:rPr>
        <w:t xml:space="preserve">Source: </w:t>
      </w:r>
      <w:r w:rsidRPr="007B4B77">
        <w:rPr>
          <w:sz w:val="24"/>
          <w:szCs w:val="24"/>
          <w:lang w:val="en-US"/>
        </w:rPr>
        <w:t>Prepared by researchers, based on data in table N°4</w:t>
      </w:r>
      <w:r w:rsidRPr="007B4B77">
        <w:rPr>
          <w:b/>
          <w:bCs/>
          <w:sz w:val="24"/>
          <w:szCs w:val="24"/>
          <w:lang w:val="en-US"/>
        </w:rPr>
        <w:t>.</w:t>
      </w:r>
    </w:p>
    <w:p w:rsidR="00CB14C9" w:rsidRPr="0026642D" w:rsidRDefault="00CB14C9" w:rsidP="00CB14C9">
      <w:pPr>
        <w:spacing w:line="276" w:lineRule="auto"/>
        <w:rPr>
          <w:rFonts w:asciiTheme="majorBidi" w:hAnsiTheme="majorBidi" w:cstheme="majorBidi"/>
          <w:b/>
          <w:bCs/>
          <w:sz w:val="26"/>
          <w:szCs w:val="26"/>
          <w:u w:val="single"/>
          <w:lang w:val="en-US" w:bidi="ar-DZ"/>
        </w:rPr>
      </w:pPr>
    </w:p>
    <w:p w:rsidR="00CB14C9" w:rsidRPr="0026642D" w:rsidRDefault="00CB14C9" w:rsidP="00CB14C9">
      <w:pPr>
        <w:spacing w:line="276" w:lineRule="auto"/>
        <w:jc w:val="lowKashida"/>
        <w:rPr>
          <w:rFonts w:asciiTheme="majorBidi" w:hAnsiTheme="majorBidi" w:cstheme="majorBidi"/>
          <w:sz w:val="26"/>
          <w:szCs w:val="26"/>
          <w:lang w:val="en-US"/>
        </w:rPr>
      </w:pPr>
      <w:r w:rsidRPr="0026642D">
        <w:rPr>
          <w:rFonts w:asciiTheme="majorBidi" w:hAnsiTheme="majorBidi" w:cstheme="majorBidi"/>
          <w:b/>
          <w:bCs/>
          <w:sz w:val="26"/>
          <w:szCs w:val="26"/>
          <w:lang w:val="en-US"/>
        </w:rPr>
        <w:t>3. The Methodology and Data Description</w:t>
      </w:r>
    </w:p>
    <w:p w:rsidR="00CB14C9" w:rsidRPr="0026642D" w:rsidRDefault="00CB14C9" w:rsidP="00CB14C9">
      <w:pPr>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3.1Methodology</w:t>
      </w:r>
    </w:p>
    <w:p w:rsidR="00CB14C9" w:rsidRPr="0026642D" w:rsidRDefault="00CB14C9" w:rsidP="00CB14C9">
      <w:pPr>
        <w:tabs>
          <w:tab w:val="right" w:pos="7200"/>
        </w:tabs>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 xml:space="preserve">3.1. Nature and sources of data </w:t>
      </w:r>
    </w:p>
    <w:p w:rsidR="00CB14C9" w:rsidRPr="0079144A" w:rsidRDefault="00CB14C9" w:rsidP="00CB14C9">
      <w:pPr>
        <w:spacing w:line="276" w:lineRule="auto"/>
        <w:ind w:firstLine="708"/>
        <w:jc w:val="both"/>
        <w:rPr>
          <w:rFonts w:asciiTheme="majorBidi" w:hAnsiTheme="majorBidi" w:cstheme="majorBidi"/>
          <w:color w:val="000000"/>
          <w:sz w:val="26"/>
          <w:szCs w:val="26"/>
          <w:lang w:val="en-US" w:eastAsia="fr-FR"/>
        </w:rPr>
      </w:pPr>
      <w:r w:rsidRPr="0026642D">
        <w:rPr>
          <w:rFonts w:asciiTheme="majorBidi" w:hAnsiTheme="majorBidi" w:cstheme="majorBidi"/>
          <w:sz w:val="26"/>
          <w:szCs w:val="26"/>
          <w:lang w:val="en-US"/>
        </w:rPr>
        <w:t xml:space="preserve">To determine the main factors that affect foreign direct investment in Algeria  and test the hypotheses, the annual data  were collected from </w:t>
      </w:r>
      <w:r w:rsidRPr="0026642D">
        <w:rPr>
          <w:rFonts w:asciiTheme="majorBidi" w:hAnsiTheme="majorBidi" w:cstheme="majorBidi"/>
          <w:sz w:val="26"/>
          <w:szCs w:val="26"/>
          <w:lang w:val="en-US"/>
        </w:rPr>
        <w:lastRenderedPageBreak/>
        <w:t>the</w:t>
      </w:r>
      <w:hyperlink r:id="rId20" w:history="1">
        <w:r w:rsidRPr="0026642D">
          <w:rPr>
            <w:rFonts w:asciiTheme="majorBidi" w:hAnsiTheme="majorBidi" w:cstheme="majorBidi"/>
            <w:sz w:val="26"/>
            <w:szCs w:val="26"/>
            <w:lang w:val="en-US"/>
          </w:rPr>
          <w:t>National Agency of Investment Development </w:t>
        </w:r>
      </w:hyperlink>
      <w:r w:rsidRPr="0026642D">
        <w:rPr>
          <w:rFonts w:asciiTheme="majorBidi" w:hAnsiTheme="majorBidi" w:cstheme="majorBidi"/>
          <w:sz w:val="26"/>
          <w:szCs w:val="26"/>
          <w:lang w:val="en-US"/>
        </w:rPr>
        <w:t>( ANDI),United Nations Conference on Trade and Development(</w:t>
      </w:r>
      <w:r w:rsidRPr="0026642D">
        <w:rPr>
          <w:rFonts w:asciiTheme="majorBidi" w:hAnsiTheme="majorBidi" w:cstheme="majorBidi"/>
          <w:sz w:val="26"/>
          <w:szCs w:val="26"/>
          <w:lang w:val="en-US" w:bidi="ar-AE"/>
        </w:rPr>
        <w:t>UNCTAD</w:t>
      </w:r>
      <w:r w:rsidRPr="0026642D">
        <w:rPr>
          <w:rFonts w:asciiTheme="majorBidi" w:hAnsiTheme="majorBidi" w:cstheme="majorBidi"/>
          <w:sz w:val="26"/>
          <w:szCs w:val="26"/>
          <w:lang w:val="en-US"/>
        </w:rPr>
        <w:t>)</w:t>
      </w:r>
      <w:r w:rsidRPr="0026642D">
        <w:rPr>
          <w:rFonts w:asciiTheme="majorBidi" w:hAnsiTheme="majorBidi" w:cstheme="majorBidi"/>
          <w:sz w:val="26"/>
          <w:szCs w:val="26"/>
          <w:lang w:val="en-US" w:bidi="ar-AE"/>
        </w:rPr>
        <w:t xml:space="preserve">, </w:t>
      </w:r>
      <w:r w:rsidRPr="0026642D">
        <w:rPr>
          <w:rStyle w:val="lev"/>
          <w:rFonts w:asciiTheme="majorBidi" w:hAnsiTheme="majorBidi" w:cstheme="majorBidi"/>
          <w:sz w:val="26"/>
          <w:szCs w:val="26"/>
          <w:lang w:val="en-US"/>
        </w:rPr>
        <w:t>The Arab Investment &amp; Export Credit Guarantee Corporation</w:t>
      </w:r>
      <w:r w:rsidRPr="0026642D">
        <w:rPr>
          <w:rStyle w:val="lev"/>
          <w:rFonts w:asciiTheme="majorBidi" w:hAnsiTheme="majorBidi" w:cstheme="majorBidi"/>
          <w:color w:val="000000"/>
          <w:sz w:val="26"/>
          <w:szCs w:val="26"/>
          <w:shd w:val="clear" w:color="auto" w:fill="FFFFFF"/>
          <w:lang w:val="en-US"/>
        </w:rPr>
        <w:t> (Dhaman)</w:t>
      </w:r>
      <w:r w:rsidRPr="0026642D">
        <w:rPr>
          <w:rFonts w:asciiTheme="majorBidi" w:hAnsiTheme="majorBidi" w:cstheme="majorBidi"/>
          <w:sz w:val="26"/>
          <w:szCs w:val="26"/>
          <w:lang w:val="en-US"/>
        </w:rPr>
        <w:t xml:space="preserve"> for the period 1980 to 2017. The study uses annual time series data consists 38 observation, including foreign direct investment inflows, GDP per capita,  Merchandise trade, inflation,</w:t>
      </w:r>
      <w:r w:rsidRPr="00102D99">
        <w:rPr>
          <w:rFonts w:asciiTheme="majorBidi" w:hAnsiTheme="majorBidi" w:cstheme="majorBidi"/>
          <w:color w:val="000000"/>
          <w:sz w:val="26"/>
          <w:szCs w:val="26"/>
          <w:lang w:val="en-US" w:eastAsia="fr-FR"/>
        </w:rPr>
        <w:t xml:space="preserve"> credit provided by financial sector</w:t>
      </w:r>
      <w:r>
        <w:rPr>
          <w:rFonts w:asciiTheme="majorBidi" w:hAnsiTheme="majorBidi" w:cstheme="majorBidi"/>
          <w:color w:val="000000"/>
          <w:sz w:val="26"/>
          <w:szCs w:val="26"/>
          <w:lang w:val="en-US" w:eastAsia="fr-FR"/>
        </w:rPr>
        <w:t xml:space="preserve">, School enrollment secondary, </w:t>
      </w:r>
      <w:r w:rsidRPr="0026642D">
        <w:rPr>
          <w:rFonts w:asciiTheme="majorBidi" w:hAnsiTheme="majorBidi" w:cstheme="majorBidi"/>
          <w:sz w:val="26"/>
          <w:szCs w:val="26"/>
          <w:lang w:val="en-US"/>
        </w:rPr>
        <w:t xml:space="preserve"> Military expenditure, Air transport.</w:t>
      </w:r>
    </w:p>
    <w:p w:rsidR="00CB14C9" w:rsidRPr="0026642D" w:rsidRDefault="00CB14C9" w:rsidP="00CB14C9">
      <w:pPr>
        <w:spacing w:line="276" w:lineRule="auto"/>
        <w:ind w:firstLine="708"/>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 xml:space="preserve">Table (05) represents the determinants of FDI inflows, their name, definition and the expected effect on FDI inflows. </w:t>
      </w:r>
    </w:p>
    <w:p w:rsidR="00CB14C9" w:rsidRPr="0026642D" w:rsidRDefault="00CB14C9" w:rsidP="00CB14C9">
      <w:pPr>
        <w:spacing w:line="276" w:lineRule="auto"/>
        <w:jc w:val="lowKashida"/>
        <w:rPr>
          <w:rFonts w:asciiTheme="majorBidi" w:hAnsiTheme="majorBidi" w:cstheme="majorBidi"/>
          <w:sz w:val="26"/>
          <w:szCs w:val="26"/>
          <w:lang w:val="en-US"/>
        </w:rPr>
      </w:pPr>
    </w:p>
    <w:p w:rsidR="00CB14C9" w:rsidRPr="007B4B77" w:rsidRDefault="00CB14C9" w:rsidP="00CB14C9">
      <w:pPr>
        <w:spacing w:line="276" w:lineRule="auto"/>
        <w:jc w:val="center"/>
        <w:rPr>
          <w:rFonts w:asciiTheme="majorBidi" w:hAnsiTheme="majorBidi" w:cstheme="majorBidi"/>
          <w:b/>
          <w:bCs/>
          <w:sz w:val="24"/>
          <w:szCs w:val="24"/>
          <w:u w:val="single"/>
        </w:rPr>
      </w:pPr>
      <w:r w:rsidRPr="007B4B77">
        <w:rPr>
          <w:b/>
          <w:bCs/>
          <w:sz w:val="24"/>
          <w:szCs w:val="24"/>
        </w:rPr>
        <w:t xml:space="preserve">Table N°5. </w:t>
      </w:r>
      <w:r w:rsidRPr="007B4B77">
        <w:rPr>
          <w:rFonts w:asciiTheme="majorBidi" w:hAnsiTheme="majorBidi" w:cstheme="majorBidi"/>
          <w:b/>
          <w:bCs/>
          <w:sz w:val="24"/>
          <w:szCs w:val="24"/>
        </w:rPr>
        <w:t>Variables Description</w:t>
      </w:r>
    </w:p>
    <w:tbl>
      <w:tblPr>
        <w:tblStyle w:val="Grilledutableau"/>
        <w:tblW w:w="0" w:type="auto"/>
        <w:jc w:val="center"/>
        <w:tblLook w:val="04A0"/>
      </w:tblPr>
      <w:tblGrid>
        <w:gridCol w:w="3916"/>
        <w:gridCol w:w="2660"/>
        <w:gridCol w:w="1577"/>
      </w:tblGrid>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Variables name</w:t>
            </w:r>
          </w:p>
        </w:tc>
        <w:tc>
          <w:tcPr>
            <w:tcW w:w="4536"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definition</w:t>
            </w:r>
          </w:p>
        </w:tc>
        <w:tc>
          <w:tcPr>
            <w:tcW w:w="1448"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Expectedsing</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sz w:val="24"/>
                <w:szCs w:val="24"/>
                <w:lang w:val="en-US"/>
              </w:rPr>
              <w:t>GDP per capita ( market size)</w:t>
            </w:r>
          </w:p>
        </w:tc>
        <w:tc>
          <w:tcPr>
            <w:tcW w:w="4536"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color w:val="000000"/>
                <w:sz w:val="24"/>
                <w:szCs w:val="24"/>
                <w:lang w:val="en-US"/>
              </w:rPr>
              <w:t>GDP per capita is gross domestic product divided by total population.</w:t>
            </w: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Positive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sz w:val="24"/>
                <w:szCs w:val="24"/>
                <w:lang w:val="en-US"/>
              </w:rPr>
              <w:t>Merchandise trade (openness of economy)</w:t>
            </w:r>
          </w:p>
        </w:tc>
        <w:tc>
          <w:tcPr>
            <w:tcW w:w="4536"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color w:val="000000"/>
                <w:sz w:val="24"/>
                <w:szCs w:val="24"/>
                <w:lang w:val="en-US"/>
              </w:rPr>
              <w:t>Export plus import divided by the value of GDP.</w:t>
            </w: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positive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Inflation ( economicstability)</w:t>
            </w:r>
          </w:p>
        </w:tc>
        <w:tc>
          <w:tcPr>
            <w:tcW w:w="4536" w:type="dxa"/>
            <w:vAlign w:val="center"/>
          </w:tcPr>
          <w:p w:rsidR="00CB14C9" w:rsidRPr="007B4B77" w:rsidRDefault="00CB14C9" w:rsidP="00150A1A">
            <w:pPr>
              <w:spacing w:line="276" w:lineRule="auto"/>
              <w:jc w:val="center"/>
              <w:rPr>
                <w:rFonts w:asciiTheme="majorBidi" w:hAnsiTheme="majorBidi" w:cstheme="majorBidi"/>
                <w:color w:val="000000"/>
                <w:sz w:val="24"/>
                <w:szCs w:val="24"/>
                <w:lang w:val="en-US"/>
              </w:rPr>
            </w:pPr>
            <w:r w:rsidRPr="007B4B77">
              <w:rPr>
                <w:rFonts w:asciiTheme="majorBidi" w:hAnsiTheme="majorBidi" w:cstheme="majorBidi"/>
                <w:color w:val="000000"/>
                <w:sz w:val="24"/>
                <w:szCs w:val="24"/>
                <w:lang w:val="en-US"/>
              </w:rPr>
              <w:t>Inflation as measured by the consumer price index reflects the annual percentage change in the cost to the average consumer of acquiring a basket of goods and services that may be fixed or changed at specified intervals.</w:t>
            </w: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Negative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color w:val="000000"/>
                <w:sz w:val="24"/>
                <w:szCs w:val="24"/>
                <w:lang w:val="en-US"/>
              </w:rPr>
              <w:t>Domestic credit provided by financial sector</w:t>
            </w:r>
          </w:p>
        </w:tc>
        <w:tc>
          <w:tcPr>
            <w:tcW w:w="4536"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color w:val="000000"/>
                <w:sz w:val="24"/>
                <w:szCs w:val="24"/>
                <w:lang w:val="en-US"/>
              </w:rPr>
              <w:t xml:space="preserve">Domestic credit provided by the financial sector includes all credit to various sectors on a gross basis, with the exception of credit to the central government, </w:t>
            </w:r>
            <w:r w:rsidRPr="007B4B77">
              <w:rPr>
                <w:rFonts w:asciiTheme="majorBidi" w:hAnsiTheme="majorBidi" w:cstheme="majorBidi"/>
                <w:color w:val="000000"/>
                <w:sz w:val="24"/>
                <w:szCs w:val="24"/>
                <w:lang w:val="en-US"/>
              </w:rPr>
              <w:lastRenderedPageBreak/>
              <w:t>which is net.</w:t>
            </w: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lastRenderedPageBreak/>
              <w:t>Positive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lang w:val="en-US"/>
              </w:rPr>
            </w:pPr>
            <w:r w:rsidRPr="007B4B77">
              <w:rPr>
                <w:rFonts w:asciiTheme="majorBidi" w:hAnsiTheme="majorBidi" w:cstheme="majorBidi"/>
                <w:color w:val="000000"/>
                <w:sz w:val="24"/>
                <w:szCs w:val="24"/>
                <w:lang w:val="en-US"/>
              </w:rPr>
              <w:lastRenderedPageBreak/>
              <w:t>School enrollment secondary( human capital)</w:t>
            </w:r>
          </w:p>
        </w:tc>
        <w:tc>
          <w:tcPr>
            <w:tcW w:w="4536" w:type="dxa"/>
            <w:vAlign w:val="center"/>
          </w:tcPr>
          <w:p w:rsidR="00CB14C9" w:rsidRPr="007B4B77" w:rsidRDefault="00CB14C9" w:rsidP="00150A1A">
            <w:pPr>
              <w:spacing w:line="276" w:lineRule="auto"/>
              <w:jc w:val="center"/>
              <w:rPr>
                <w:rFonts w:asciiTheme="majorBidi" w:hAnsiTheme="majorBidi" w:cstheme="majorBidi"/>
                <w:color w:val="000000"/>
                <w:sz w:val="24"/>
                <w:szCs w:val="24"/>
                <w:lang w:val="en-US"/>
              </w:rPr>
            </w:pPr>
            <w:r w:rsidRPr="007B4B77">
              <w:rPr>
                <w:rFonts w:asciiTheme="majorBidi" w:hAnsiTheme="majorBidi" w:cstheme="majorBidi"/>
                <w:color w:val="000000"/>
                <w:sz w:val="24"/>
                <w:szCs w:val="24"/>
                <w:lang w:val="en-US"/>
              </w:rPr>
              <w:t>The ratio of total enrolment, regardless of age, to the population of the age group that officially corresponds to the level of education shown.</w:t>
            </w:r>
          </w:p>
          <w:p w:rsidR="00CB14C9" w:rsidRPr="007B4B77" w:rsidRDefault="00CB14C9" w:rsidP="00150A1A">
            <w:pPr>
              <w:spacing w:line="276" w:lineRule="auto"/>
              <w:jc w:val="center"/>
              <w:rPr>
                <w:rFonts w:asciiTheme="majorBidi" w:hAnsiTheme="majorBidi" w:cstheme="majorBidi"/>
                <w:sz w:val="24"/>
                <w:szCs w:val="24"/>
                <w:lang w:val="en-US"/>
              </w:rPr>
            </w:pP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Positive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Militaryexpenditure( politicalstability)</w:t>
            </w:r>
          </w:p>
        </w:tc>
        <w:tc>
          <w:tcPr>
            <w:tcW w:w="4536" w:type="dxa"/>
            <w:vAlign w:val="center"/>
          </w:tcPr>
          <w:p w:rsidR="00CB14C9" w:rsidRPr="007B4B77" w:rsidRDefault="00CB14C9" w:rsidP="00150A1A">
            <w:pPr>
              <w:spacing w:line="276" w:lineRule="auto"/>
              <w:jc w:val="center"/>
              <w:rPr>
                <w:rFonts w:asciiTheme="majorBidi" w:hAnsiTheme="majorBidi" w:cstheme="majorBidi"/>
                <w:color w:val="000000"/>
                <w:sz w:val="24"/>
                <w:szCs w:val="24"/>
                <w:lang w:val="en-US"/>
              </w:rPr>
            </w:pPr>
            <w:r w:rsidRPr="007B4B77">
              <w:rPr>
                <w:rFonts w:asciiTheme="majorBidi" w:hAnsiTheme="majorBidi" w:cstheme="majorBidi"/>
                <w:color w:val="000000"/>
                <w:sz w:val="24"/>
                <w:szCs w:val="24"/>
                <w:lang w:val="en-US"/>
              </w:rPr>
              <w:t>Military expenditures include all current and capital expenditures on the armed forces.</w:t>
            </w:r>
          </w:p>
          <w:p w:rsidR="00CB14C9" w:rsidRPr="007B4B77" w:rsidRDefault="00CB14C9" w:rsidP="00150A1A">
            <w:pPr>
              <w:spacing w:line="276" w:lineRule="auto"/>
              <w:jc w:val="center"/>
              <w:rPr>
                <w:rFonts w:asciiTheme="majorBidi" w:hAnsiTheme="majorBidi" w:cstheme="majorBidi"/>
                <w:sz w:val="24"/>
                <w:szCs w:val="24"/>
                <w:lang w:val="en-US"/>
              </w:rPr>
            </w:pP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Positive</w:t>
            </w:r>
          </w:p>
        </w:tc>
      </w:tr>
      <w:tr w:rsidR="00CB14C9" w:rsidRPr="00162151" w:rsidTr="00150A1A">
        <w:trPr>
          <w:jc w:val="center"/>
        </w:trPr>
        <w:tc>
          <w:tcPr>
            <w:tcW w:w="2093"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Air transport( quality of infrastructure)</w:t>
            </w:r>
          </w:p>
        </w:tc>
        <w:tc>
          <w:tcPr>
            <w:tcW w:w="4536" w:type="dxa"/>
            <w:vAlign w:val="center"/>
          </w:tcPr>
          <w:p w:rsidR="00CB14C9" w:rsidRPr="007B4B77" w:rsidRDefault="00CB14C9" w:rsidP="00150A1A">
            <w:pPr>
              <w:spacing w:line="276" w:lineRule="auto"/>
              <w:jc w:val="center"/>
              <w:rPr>
                <w:rFonts w:asciiTheme="majorBidi" w:hAnsiTheme="majorBidi" w:cstheme="majorBidi"/>
                <w:color w:val="000000"/>
                <w:sz w:val="24"/>
                <w:szCs w:val="24"/>
                <w:lang w:val="en-US"/>
              </w:rPr>
            </w:pPr>
            <w:r w:rsidRPr="007B4B77">
              <w:rPr>
                <w:rFonts w:asciiTheme="majorBidi" w:hAnsiTheme="majorBidi" w:cstheme="majorBidi"/>
                <w:color w:val="000000"/>
                <w:sz w:val="24"/>
                <w:szCs w:val="24"/>
                <w:lang w:val="en-US"/>
              </w:rPr>
              <w:t>Registered carrier departures worldwide are domestic takeoffs and takeoffs abroad of air carriers registered in the country.</w:t>
            </w:r>
          </w:p>
        </w:tc>
        <w:tc>
          <w:tcPr>
            <w:tcW w:w="1448"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Positive</w:t>
            </w:r>
          </w:p>
        </w:tc>
      </w:tr>
    </w:tbl>
    <w:p w:rsidR="00CB14C9" w:rsidRPr="007B4B77" w:rsidRDefault="00CB14C9" w:rsidP="00CB14C9">
      <w:pPr>
        <w:spacing w:line="276" w:lineRule="auto"/>
        <w:jc w:val="both"/>
        <w:rPr>
          <w:sz w:val="24"/>
          <w:szCs w:val="24"/>
          <w:lang w:val="en-US"/>
        </w:rPr>
      </w:pPr>
      <w:r w:rsidRPr="007B4B77">
        <w:rPr>
          <w:b/>
          <w:bCs/>
          <w:sz w:val="24"/>
          <w:szCs w:val="24"/>
          <w:lang w:val="en-US"/>
        </w:rPr>
        <w:t xml:space="preserve">Source: </w:t>
      </w:r>
      <w:r w:rsidRPr="007B4B77">
        <w:rPr>
          <w:sz w:val="24"/>
          <w:szCs w:val="24"/>
          <w:lang w:val="en-US"/>
        </w:rPr>
        <w:t xml:space="preserve">Prepared by the researchers, based on </w:t>
      </w:r>
      <w:hyperlink w:history="1">
        <w:r w:rsidRPr="007B4B77">
          <w:rPr>
            <w:rStyle w:val="Lienhypertexte"/>
            <w:sz w:val="24"/>
            <w:szCs w:val="24"/>
            <w:lang w:val="en-US"/>
          </w:rPr>
          <w:t>https://data. worldbank. org/ products/ wdi/ 25/07/2018</w:t>
        </w:r>
      </w:hyperlink>
      <w:r w:rsidRPr="007B4B77">
        <w:rPr>
          <w:sz w:val="24"/>
          <w:szCs w:val="24"/>
          <w:lang w:val="en-US"/>
        </w:rPr>
        <w:t>.</w:t>
      </w:r>
    </w:p>
    <w:p w:rsidR="00CB14C9" w:rsidRPr="0026642D" w:rsidRDefault="00CB14C9" w:rsidP="00CB14C9">
      <w:pPr>
        <w:spacing w:line="276" w:lineRule="auto"/>
        <w:jc w:val="lowKashida"/>
        <w:rPr>
          <w:rFonts w:asciiTheme="majorBidi" w:hAnsiTheme="majorBidi" w:cstheme="majorBidi"/>
          <w:sz w:val="26"/>
          <w:szCs w:val="26"/>
          <w:lang w:val="en-US"/>
        </w:rPr>
      </w:pPr>
    </w:p>
    <w:p w:rsidR="00CB14C9" w:rsidRPr="0026642D" w:rsidRDefault="00CB14C9" w:rsidP="00CB14C9">
      <w:pPr>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4. Hypothesis and model specifications</w:t>
      </w:r>
    </w:p>
    <w:p w:rsidR="00CB14C9" w:rsidRPr="0026642D" w:rsidRDefault="00CB14C9" w:rsidP="00CB14C9">
      <w:pPr>
        <w:spacing w:line="276" w:lineRule="auto"/>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The study attempts to test the following hypotheses:</w:t>
      </w:r>
    </w:p>
    <w:p w:rsidR="00CB14C9" w:rsidRPr="00374E79" w:rsidRDefault="00CB14C9" w:rsidP="00CB14C9">
      <w:pPr>
        <w:spacing w:line="276" w:lineRule="auto"/>
        <w:jc w:val="lowKashida"/>
        <w:rPr>
          <w:rFonts w:asciiTheme="majorBidi" w:hAnsiTheme="majorBidi" w:cstheme="majorBidi"/>
          <w:color w:val="000000"/>
          <w:sz w:val="26"/>
          <w:szCs w:val="26"/>
          <w:lang w:val="en-US"/>
        </w:rPr>
      </w:pPr>
    </w:p>
    <w:p w:rsidR="00CB14C9" w:rsidRPr="0026642D" w:rsidRDefault="00CB14C9" w:rsidP="00CB14C9">
      <w:pPr>
        <w:spacing w:line="276" w:lineRule="auto"/>
        <w:jc w:val="lowKashida"/>
        <w:rPr>
          <w:rFonts w:asciiTheme="majorBidi" w:hAnsiTheme="majorBidi" w:cstheme="majorBidi"/>
          <w:lang w:val="en-US"/>
        </w:rPr>
      </w:pPr>
      <w:bookmarkStart w:id="0" w:name="_GoBack"/>
      <w:bookmarkEnd w:id="0"/>
      <w:r w:rsidRPr="0026642D">
        <w:rPr>
          <w:rFonts w:asciiTheme="majorBidi" w:hAnsiTheme="majorBidi" w:cstheme="majorBidi"/>
          <w:sz w:val="26"/>
          <w:szCs w:val="26"/>
          <w:lang w:val="en-US"/>
        </w:rPr>
        <w:t xml:space="preserve">GDP per capita, Merchandise trade, Inflation, </w:t>
      </w:r>
      <w:r w:rsidRPr="00102D99">
        <w:rPr>
          <w:rFonts w:asciiTheme="majorBidi" w:hAnsiTheme="majorBidi" w:cstheme="majorBidi"/>
          <w:color w:val="000000"/>
          <w:sz w:val="26"/>
          <w:szCs w:val="26"/>
          <w:lang w:val="en-US"/>
        </w:rPr>
        <w:t>credit provided by financial secto</w:t>
      </w:r>
      <w:r>
        <w:rPr>
          <w:rFonts w:asciiTheme="majorBidi" w:hAnsiTheme="majorBidi" w:cstheme="majorBidi"/>
          <w:color w:val="000000"/>
          <w:sz w:val="26"/>
          <w:szCs w:val="26"/>
          <w:lang w:val="en-US"/>
        </w:rPr>
        <w:t xml:space="preserve">r, School enrollment secondary, </w:t>
      </w:r>
      <w:r w:rsidRPr="0026642D">
        <w:rPr>
          <w:rFonts w:asciiTheme="majorBidi" w:hAnsiTheme="majorBidi" w:cstheme="majorBidi"/>
          <w:sz w:val="26"/>
          <w:szCs w:val="26"/>
          <w:lang w:val="en-US"/>
        </w:rPr>
        <w:t>Military expenditure and Air transport are foreign direct investment determinants.</w:t>
      </w:r>
    </w:p>
    <w:p w:rsidR="00CB14C9" w:rsidRPr="0026642D" w:rsidRDefault="00CB14C9" w:rsidP="00CB14C9">
      <w:pPr>
        <w:pStyle w:val="Titre1"/>
        <w:spacing w:before="0" w:beforeAutospacing="0" w:after="0" w:afterAutospacing="0" w:line="276" w:lineRule="auto"/>
        <w:jc w:val="both"/>
        <w:rPr>
          <w:rFonts w:asciiTheme="majorBidi" w:hAnsiTheme="majorBidi" w:cstheme="majorBidi"/>
          <w:b w:val="0"/>
          <w:bCs w:val="0"/>
          <w:sz w:val="26"/>
          <w:szCs w:val="26"/>
          <w:lang w:val="en-US"/>
        </w:rPr>
      </w:pPr>
      <w:r w:rsidRPr="0026642D">
        <w:rPr>
          <w:rFonts w:asciiTheme="majorBidi" w:hAnsiTheme="majorBidi" w:cstheme="majorBidi"/>
          <w:b w:val="0"/>
          <w:bCs w:val="0"/>
          <w:sz w:val="26"/>
          <w:szCs w:val="26"/>
          <w:lang w:val="en-US"/>
        </w:rPr>
        <w:t xml:space="preserve">  Multiple regression model is used to find the main determinants of foreign direct investment inflows in Algeria, according to the prevision studies and Literature Review we develop the following basic model:</w:t>
      </w:r>
    </w:p>
    <w:p w:rsidR="00CB14C9" w:rsidRPr="0026642D" w:rsidRDefault="00CB14C9" w:rsidP="00CB14C9">
      <w:pPr>
        <w:spacing w:line="276" w:lineRule="auto"/>
        <w:jc w:val="both"/>
        <w:rPr>
          <w:rFonts w:asciiTheme="majorBidi" w:hAnsiTheme="majorBidi" w:cstheme="majorBidi"/>
          <w:sz w:val="26"/>
          <w:szCs w:val="26"/>
          <w:lang w:val="en-US"/>
        </w:rPr>
      </w:pPr>
      <w:r>
        <w:rPr>
          <w:lang w:val="en-US"/>
        </w:rPr>
        <w:lastRenderedPageBreak/>
        <w:t xml:space="preserve">FDI= </w:t>
      </w:r>
      <w:r w:rsidRPr="00C424B4">
        <w:rPr>
          <w:i/>
          <w:iCs/>
          <w:lang w:val="en-US"/>
        </w:rPr>
        <w:t>f(</w:t>
      </w:r>
      <w:r w:rsidRPr="0026642D">
        <w:rPr>
          <w:rFonts w:asciiTheme="majorBidi" w:hAnsiTheme="majorBidi" w:cstheme="majorBidi"/>
          <w:sz w:val="26"/>
          <w:szCs w:val="26"/>
          <w:lang w:val="en-US"/>
        </w:rPr>
        <w:t xml:space="preserve">market size, openness of economy, economic stability, domestic </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,human capital,</w:t>
      </w:r>
      <w:r w:rsidRPr="0026642D">
        <w:rPr>
          <w:rFonts w:asciiTheme="majorBidi" w:hAnsiTheme="majorBidi" w:cstheme="majorBidi"/>
          <w:sz w:val="26"/>
          <w:szCs w:val="26"/>
          <w:lang w:val="en-US"/>
        </w:rPr>
        <w:t xml:space="preserve"> political stability,quality of infrastructure)</w:t>
      </w:r>
    </w:p>
    <w:p w:rsidR="00CB14C9" w:rsidRDefault="00CB14C9" w:rsidP="00CB14C9">
      <w:pPr>
        <w:spacing w:line="276" w:lineRule="auto"/>
        <w:rPr>
          <w:vertAlign w:val="subscript"/>
          <w:lang w:val="en-US"/>
        </w:rPr>
      </w:pPr>
      <w:r>
        <w:rPr>
          <w:lang w:val="en-US"/>
        </w:rPr>
        <w:t>FDI= B</w:t>
      </w:r>
      <w:r>
        <w:rPr>
          <w:vertAlign w:val="subscript"/>
          <w:lang w:val="en-US"/>
        </w:rPr>
        <w:t>0</w:t>
      </w:r>
      <w:r>
        <w:rPr>
          <w:lang w:val="en-US"/>
        </w:rPr>
        <w:t>+ B</w:t>
      </w:r>
      <w:r>
        <w:rPr>
          <w:vertAlign w:val="subscript"/>
          <w:lang w:val="en-US"/>
        </w:rPr>
        <w:t>1</w:t>
      </w:r>
      <w:r>
        <w:rPr>
          <w:lang w:val="en-US"/>
        </w:rPr>
        <w:t>X</w:t>
      </w:r>
      <w:r>
        <w:rPr>
          <w:vertAlign w:val="subscript"/>
          <w:lang w:val="en-US"/>
        </w:rPr>
        <w:t>1</w:t>
      </w:r>
      <w:r>
        <w:rPr>
          <w:lang w:val="en-US"/>
        </w:rPr>
        <w:t>+B</w:t>
      </w:r>
      <w:r>
        <w:rPr>
          <w:vertAlign w:val="subscript"/>
          <w:lang w:val="en-US"/>
        </w:rPr>
        <w:t>2</w:t>
      </w:r>
      <w:r>
        <w:rPr>
          <w:lang w:val="en-US"/>
        </w:rPr>
        <w:t>X</w:t>
      </w:r>
      <w:r>
        <w:rPr>
          <w:vertAlign w:val="subscript"/>
          <w:lang w:val="en-US"/>
        </w:rPr>
        <w:t>2</w:t>
      </w:r>
      <w:r>
        <w:rPr>
          <w:lang w:val="en-US"/>
        </w:rPr>
        <w:t>+B</w:t>
      </w:r>
      <w:r>
        <w:rPr>
          <w:vertAlign w:val="subscript"/>
          <w:lang w:val="en-US"/>
        </w:rPr>
        <w:t>3</w:t>
      </w:r>
      <w:r>
        <w:rPr>
          <w:lang w:val="en-US"/>
        </w:rPr>
        <w:t>X</w:t>
      </w:r>
      <w:r>
        <w:rPr>
          <w:vertAlign w:val="subscript"/>
          <w:lang w:val="en-US"/>
        </w:rPr>
        <w:t>3</w:t>
      </w:r>
      <w:r>
        <w:rPr>
          <w:lang w:val="en-US"/>
        </w:rPr>
        <w:t>+B</w:t>
      </w:r>
      <w:r>
        <w:rPr>
          <w:vertAlign w:val="subscript"/>
          <w:lang w:val="en-US"/>
        </w:rPr>
        <w:t>4</w:t>
      </w:r>
      <w:r>
        <w:rPr>
          <w:lang w:val="en-US"/>
        </w:rPr>
        <w:t>X</w:t>
      </w:r>
      <w:r>
        <w:rPr>
          <w:vertAlign w:val="subscript"/>
          <w:lang w:val="en-US"/>
        </w:rPr>
        <w:t>4</w:t>
      </w:r>
      <w:r>
        <w:rPr>
          <w:lang w:val="en-US"/>
        </w:rPr>
        <w:t>+B</w:t>
      </w:r>
      <w:r>
        <w:rPr>
          <w:vertAlign w:val="subscript"/>
          <w:lang w:val="en-US"/>
        </w:rPr>
        <w:t>5</w:t>
      </w:r>
      <w:r>
        <w:rPr>
          <w:lang w:val="en-US"/>
        </w:rPr>
        <w:t>X</w:t>
      </w:r>
      <w:r>
        <w:rPr>
          <w:vertAlign w:val="subscript"/>
          <w:lang w:val="en-US"/>
        </w:rPr>
        <w:t>5</w:t>
      </w:r>
      <w:r>
        <w:rPr>
          <w:lang w:val="en-US"/>
        </w:rPr>
        <w:t>+B</w:t>
      </w:r>
      <w:r>
        <w:rPr>
          <w:vertAlign w:val="subscript"/>
          <w:lang w:val="en-US"/>
        </w:rPr>
        <w:t>6</w:t>
      </w:r>
      <w:r>
        <w:rPr>
          <w:lang w:val="en-US"/>
        </w:rPr>
        <w:t>X</w:t>
      </w:r>
      <w:r>
        <w:rPr>
          <w:vertAlign w:val="subscript"/>
          <w:lang w:val="en-US"/>
        </w:rPr>
        <w:t>6</w:t>
      </w:r>
      <w:r>
        <w:rPr>
          <w:lang w:val="en-US"/>
        </w:rPr>
        <w:t>+B</w:t>
      </w:r>
      <w:r>
        <w:rPr>
          <w:vertAlign w:val="subscript"/>
          <w:lang w:val="en-US"/>
        </w:rPr>
        <w:t>7</w:t>
      </w:r>
      <w:r>
        <w:rPr>
          <w:lang w:val="en-US"/>
        </w:rPr>
        <w:t>X</w:t>
      </w:r>
      <w:r>
        <w:rPr>
          <w:vertAlign w:val="subscript"/>
          <w:lang w:val="en-US"/>
        </w:rPr>
        <w:t>7</w:t>
      </w:r>
    </w:p>
    <w:p w:rsidR="00CB14C9" w:rsidRPr="00D428A8" w:rsidRDefault="00CB14C9" w:rsidP="00CB14C9">
      <w:pPr>
        <w:spacing w:line="276" w:lineRule="auto"/>
        <w:rPr>
          <w:lang w:val="en-US"/>
        </w:rPr>
      </w:pPr>
      <w:r>
        <w:rPr>
          <w:lang w:val="en-US"/>
        </w:rPr>
        <w:t>Where:</w:t>
      </w:r>
    </w:p>
    <w:p w:rsidR="00CB14C9" w:rsidRPr="008B5CCE" w:rsidRDefault="00CB14C9" w:rsidP="00CB14C9">
      <w:pPr>
        <w:spacing w:line="276" w:lineRule="auto"/>
        <w:jc w:val="lowKashida"/>
        <w:rPr>
          <w:lang w:val="en-US"/>
        </w:rPr>
      </w:pPr>
      <w:r w:rsidRPr="00FD2A83">
        <w:rPr>
          <w:b/>
          <w:bCs/>
          <w:lang w:val="en-US"/>
        </w:rPr>
        <w:t>FDI:</w:t>
      </w:r>
      <w:r>
        <w:rPr>
          <w:lang w:val="en-US"/>
        </w:rPr>
        <w:t xml:space="preserve"> foreign direct investment inflows, </w:t>
      </w:r>
      <w:r w:rsidRPr="00FD2A83">
        <w:rPr>
          <w:b/>
          <w:bCs/>
          <w:lang w:val="en-US"/>
        </w:rPr>
        <w:t>X</w:t>
      </w:r>
      <w:r w:rsidRPr="00FD2A83">
        <w:rPr>
          <w:b/>
          <w:bCs/>
          <w:vertAlign w:val="subscript"/>
          <w:lang w:val="en-US"/>
        </w:rPr>
        <w:t>1</w:t>
      </w:r>
      <w:r w:rsidRPr="00FD2A83">
        <w:rPr>
          <w:b/>
          <w:bCs/>
          <w:lang w:val="en-US"/>
        </w:rPr>
        <w:t>:</w:t>
      </w:r>
      <w:r w:rsidRPr="0026642D">
        <w:rPr>
          <w:rFonts w:asciiTheme="majorBidi" w:hAnsiTheme="majorBidi" w:cstheme="majorBidi"/>
          <w:sz w:val="26"/>
          <w:szCs w:val="26"/>
          <w:lang w:val="en-US"/>
        </w:rPr>
        <w:t xml:space="preserve"> GDP per capita (market size)</w:t>
      </w:r>
      <w:r>
        <w:rPr>
          <w:lang w:val="en-US"/>
        </w:rPr>
        <w:t xml:space="preserve">, </w:t>
      </w:r>
      <w:r w:rsidRPr="00FD2A83">
        <w:rPr>
          <w:b/>
          <w:bCs/>
          <w:lang w:val="en-US"/>
        </w:rPr>
        <w:t>X</w:t>
      </w:r>
      <w:r w:rsidRPr="00FD2A83">
        <w:rPr>
          <w:b/>
          <w:bCs/>
          <w:vertAlign w:val="subscript"/>
          <w:lang w:val="en-US"/>
        </w:rPr>
        <w:t>2</w:t>
      </w:r>
      <w:r w:rsidRPr="00FD2A83">
        <w:rPr>
          <w:b/>
          <w:bCs/>
          <w:lang w:val="en-US"/>
        </w:rPr>
        <w:t>:</w:t>
      </w:r>
      <w:r w:rsidRPr="0026642D">
        <w:rPr>
          <w:rFonts w:asciiTheme="majorBidi" w:hAnsiTheme="majorBidi" w:cstheme="majorBidi"/>
          <w:sz w:val="26"/>
          <w:szCs w:val="26"/>
          <w:lang w:val="en-US"/>
        </w:rPr>
        <w:t xml:space="preserve"> Merchandise trade (openness of economy), </w:t>
      </w:r>
      <w:r w:rsidRPr="00FD2A83">
        <w:rPr>
          <w:b/>
          <w:bCs/>
          <w:lang w:val="en-US"/>
        </w:rPr>
        <w:t>X</w:t>
      </w:r>
      <w:r w:rsidRPr="00FD2A83">
        <w:rPr>
          <w:b/>
          <w:bCs/>
          <w:vertAlign w:val="subscript"/>
          <w:lang w:val="en-US"/>
        </w:rPr>
        <w:t>3</w:t>
      </w:r>
      <w:r w:rsidRPr="00FD2A83">
        <w:rPr>
          <w:b/>
          <w:bCs/>
          <w:lang w:val="en-US"/>
        </w:rPr>
        <w:t>:</w:t>
      </w:r>
      <w:r w:rsidRPr="0026642D">
        <w:rPr>
          <w:rFonts w:asciiTheme="majorBidi" w:hAnsiTheme="majorBidi" w:cstheme="majorBidi"/>
          <w:sz w:val="26"/>
          <w:szCs w:val="26"/>
          <w:lang w:val="en-US"/>
        </w:rPr>
        <w:t>Inflation (economic stability)</w:t>
      </w:r>
      <w:r>
        <w:rPr>
          <w:lang w:val="en-US"/>
        </w:rPr>
        <w:t xml:space="preserve">, </w:t>
      </w:r>
      <w:r w:rsidRPr="00FD2A83">
        <w:rPr>
          <w:b/>
          <w:bCs/>
          <w:lang w:val="en-US"/>
        </w:rPr>
        <w:t>X</w:t>
      </w:r>
      <w:r w:rsidRPr="00FD2A83">
        <w:rPr>
          <w:b/>
          <w:bCs/>
          <w:vertAlign w:val="subscript"/>
          <w:lang w:val="en-US"/>
        </w:rPr>
        <w:t>4</w:t>
      </w:r>
      <w:r w:rsidRPr="00FD2A83">
        <w:rPr>
          <w:b/>
          <w:bCs/>
          <w:lang w:val="en-US"/>
        </w:rPr>
        <w:t>:</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w:t>
      </w:r>
      <w:r w:rsidRPr="00FD2A83">
        <w:rPr>
          <w:b/>
          <w:bCs/>
          <w:lang w:val="en-US"/>
        </w:rPr>
        <w:t>X</w:t>
      </w:r>
      <w:r w:rsidRPr="00FD2A83">
        <w:rPr>
          <w:b/>
          <w:bCs/>
          <w:vertAlign w:val="subscript"/>
          <w:lang w:val="en-US"/>
        </w:rPr>
        <w:t>5</w:t>
      </w:r>
      <w:r w:rsidRPr="00FD2A83">
        <w:rPr>
          <w:b/>
          <w:bCs/>
          <w:lang w:val="en-US"/>
        </w:rPr>
        <w:t>:</w:t>
      </w:r>
      <w:r>
        <w:rPr>
          <w:rFonts w:asciiTheme="majorBidi" w:hAnsiTheme="majorBidi" w:cstheme="majorBidi"/>
          <w:color w:val="000000"/>
          <w:sz w:val="26"/>
          <w:szCs w:val="26"/>
          <w:lang w:val="en-US"/>
        </w:rPr>
        <w:t>School enrollment secondary (human capital</w:t>
      </w:r>
      <w:r w:rsidRPr="00FD2A83">
        <w:rPr>
          <w:rFonts w:asciiTheme="majorBidi" w:hAnsiTheme="majorBidi" w:cstheme="majorBidi"/>
          <w:b/>
          <w:bCs/>
          <w:color w:val="000000"/>
          <w:sz w:val="26"/>
          <w:szCs w:val="26"/>
          <w:lang w:val="en-US"/>
        </w:rPr>
        <w:t>)</w:t>
      </w:r>
      <w:r w:rsidRPr="00FD2A83">
        <w:rPr>
          <w:b/>
          <w:bCs/>
          <w:lang w:val="en-US"/>
        </w:rPr>
        <w:t>, X</w:t>
      </w:r>
      <w:r w:rsidRPr="00FD2A83">
        <w:rPr>
          <w:b/>
          <w:bCs/>
          <w:vertAlign w:val="subscript"/>
          <w:lang w:val="en-US"/>
        </w:rPr>
        <w:t>6</w:t>
      </w:r>
      <w:r w:rsidRPr="00FD2A83">
        <w:rPr>
          <w:b/>
          <w:bCs/>
          <w:lang w:val="en-US"/>
        </w:rPr>
        <w:t>:</w:t>
      </w:r>
      <w:r w:rsidRPr="0026642D">
        <w:rPr>
          <w:rFonts w:asciiTheme="majorBidi" w:hAnsiTheme="majorBidi" w:cstheme="majorBidi"/>
          <w:sz w:val="26"/>
          <w:szCs w:val="26"/>
          <w:lang w:val="en-US"/>
        </w:rPr>
        <w:t xml:space="preserve"> Military expenditure (political stability),</w:t>
      </w:r>
    </w:p>
    <w:p w:rsidR="00CB14C9" w:rsidRDefault="00CB14C9" w:rsidP="00CB14C9">
      <w:pPr>
        <w:spacing w:line="276" w:lineRule="auto"/>
        <w:rPr>
          <w:lang w:val="en-US"/>
        </w:rPr>
      </w:pPr>
      <w:r w:rsidRPr="00FD2A83">
        <w:rPr>
          <w:b/>
          <w:bCs/>
          <w:lang w:val="en-US"/>
        </w:rPr>
        <w:t>X</w:t>
      </w:r>
      <w:r w:rsidRPr="00FD2A83">
        <w:rPr>
          <w:b/>
          <w:bCs/>
          <w:vertAlign w:val="subscript"/>
          <w:lang w:val="en-US"/>
        </w:rPr>
        <w:t>7</w:t>
      </w:r>
      <w:r w:rsidRPr="00FD2A83">
        <w:rPr>
          <w:b/>
          <w:bCs/>
          <w:lang w:val="en-US"/>
        </w:rPr>
        <w:t>:</w:t>
      </w:r>
      <w:r w:rsidRPr="0026642D">
        <w:rPr>
          <w:rFonts w:asciiTheme="majorBidi" w:hAnsiTheme="majorBidi" w:cstheme="majorBidi"/>
          <w:sz w:val="26"/>
          <w:szCs w:val="26"/>
          <w:lang w:val="en-US"/>
        </w:rPr>
        <w:t xml:space="preserve"> Air transport (quality of infrastructure)</w:t>
      </w:r>
    </w:p>
    <w:p w:rsidR="00CB14C9" w:rsidRPr="0026642D" w:rsidRDefault="00CB14C9" w:rsidP="00CB14C9">
      <w:pPr>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 xml:space="preserve">4. Results and Discussion </w:t>
      </w:r>
    </w:p>
    <w:p w:rsidR="00CB14C9" w:rsidRPr="0026642D" w:rsidRDefault="00CB14C9" w:rsidP="00CB14C9">
      <w:pPr>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4.1 unit of root test</w:t>
      </w:r>
    </w:p>
    <w:p w:rsidR="00CB14C9" w:rsidRPr="0026642D" w:rsidRDefault="00CB14C9" w:rsidP="00CB14C9">
      <w:pPr>
        <w:spacing w:line="276" w:lineRule="auto"/>
        <w:jc w:val="both"/>
        <w:rPr>
          <w:rFonts w:asciiTheme="majorBidi" w:hAnsiTheme="majorBidi" w:cstheme="majorBidi"/>
          <w:color w:val="000000"/>
          <w:sz w:val="26"/>
          <w:lang w:val="en-US"/>
        </w:rPr>
      </w:pPr>
      <w:r w:rsidRPr="0026642D">
        <w:rPr>
          <w:rFonts w:asciiTheme="majorBidi" w:hAnsiTheme="majorBidi" w:cstheme="majorBidi"/>
          <w:color w:val="000000"/>
          <w:sz w:val="26"/>
          <w:lang w:val="en-US"/>
        </w:rPr>
        <w:t>The stationary time series require that:</w:t>
      </w:r>
    </w:p>
    <w:p w:rsidR="00CB14C9" w:rsidRPr="0026642D" w:rsidRDefault="00CB14C9" w:rsidP="00CB14C9">
      <w:pPr>
        <w:spacing w:line="276" w:lineRule="auto"/>
        <w:jc w:val="both"/>
        <w:rPr>
          <w:rFonts w:asciiTheme="majorBidi" w:hAnsiTheme="majorBidi" w:cstheme="majorBidi"/>
          <w:color w:val="000000"/>
          <w:sz w:val="26"/>
          <w:lang w:val="en-US"/>
        </w:rPr>
      </w:pPr>
      <w:r w:rsidRPr="0026642D">
        <w:rPr>
          <w:rFonts w:asciiTheme="majorBidi" w:hAnsiTheme="majorBidi" w:cstheme="majorBidi"/>
          <w:color w:val="000000"/>
          <w:sz w:val="22"/>
          <w:szCs w:val="22"/>
          <w:lang w:val="en-US"/>
        </w:rPr>
        <w:t> </w:t>
      </w:r>
      <w:r w:rsidRPr="0026642D">
        <w:rPr>
          <w:rFonts w:asciiTheme="majorBidi" w:hAnsiTheme="majorBidi" w:cstheme="majorBidi"/>
          <w:color w:val="000000"/>
          <w:sz w:val="26"/>
          <w:lang w:val="en-US"/>
        </w:rPr>
        <w:t>The mean of Yt is constant over time:</w:t>
      </w:r>
    </w:p>
    <w:p w:rsidR="00CB14C9" w:rsidRPr="0026642D" w:rsidRDefault="00CB14C9" w:rsidP="00CB14C9">
      <w:pPr>
        <w:spacing w:line="276" w:lineRule="auto"/>
        <w:jc w:val="both"/>
        <w:rPr>
          <w:rFonts w:asciiTheme="majorBidi" w:hAnsiTheme="majorBidi" w:cstheme="majorBidi"/>
          <w:color w:val="000000"/>
          <w:sz w:val="26"/>
          <w:lang w:val="en-US"/>
        </w:rPr>
      </w:pPr>
      <w:r w:rsidRPr="0026642D">
        <w:rPr>
          <w:rFonts w:asciiTheme="majorBidi" w:hAnsiTheme="majorBidi" w:cstheme="majorBidi"/>
          <w:i/>
          <w:iCs/>
          <w:color w:val="000000"/>
          <w:sz w:val="26"/>
          <w:lang w:val="en-US"/>
        </w:rPr>
        <w:t>             E (Yt) = </w:t>
      </w:r>
      <w:r w:rsidRPr="000B1457">
        <w:rPr>
          <w:rFonts w:asciiTheme="majorBidi" w:hAnsiTheme="majorBidi" w:cstheme="majorBidi"/>
          <w:i/>
          <w:iCs/>
          <w:noProof/>
          <w:color w:val="000000"/>
          <w:sz w:val="26"/>
          <w:lang w:eastAsia="fr-FR"/>
        </w:rPr>
        <w:drawing>
          <wp:inline distT="0" distB="0" distL="0" distR="0">
            <wp:extent cx="180975" cy="200025"/>
            <wp:effectExtent l="19050" t="0" r="0" b="0"/>
            <wp:docPr id="34" name="Image 34" descr="C:\Users\tayeb\AppData\Local\Temp\msohtmlclip1\01\clip_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tayeb\AppData\Local\Temp\msohtmlclip1\01\clip_image002.gif"/>
                    <pic:cNvPicPr>
                      <a:picLocks noChangeAspect="1" noChangeArrowheads="1"/>
                    </pic:cNvPicPr>
                  </pic:nvPicPr>
                  <pic:blipFill>
                    <a:blip r:embed="rId21" cstate="print"/>
                    <a:srcRect/>
                    <a:stretch>
                      <a:fillRect/>
                    </a:stretch>
                  </pic:blipFill>
                  <pic:spPr bwMode="auto">
                    <a:xfrm>
                      <a:off x="0" y="0"/>
                      <a:ext cx="180975" cy="200025"/>
                    </a:xfrm>
                    <a:prstGeom prst="rect">
                      <a:avLst/>
                    </a:prstGeom>
                    <a:noFill/>
                    <a:ln w="9525">
                      <a:noFill/>
                      <a:miter lim="800000"/>
                      <a:headEnd/>
                      <a:tailEnd/>
                    </a:ln>
                  </pic:spPr>
                </pic:pic>
              </a:graphicData>
            </a:graphic>
          </wp:inline>
        </w:drawing>
      </w:r>
      <w:r w:rsidRPr="0026642D">
        <w:rPr>
          <w:rFonts w:asciiTheme="majorBidi" w:hAnsiTheme="majorBidi" w:cstheme="majorBidi"/>
          <w:i/>
          <w:iCs/>
          <w:color w:val="000000"/>
          <w:sz w:val="26"/>
          <w:lang w:val="en-US"/>
        </w:rPr>
        <w:t>Y</w:t>
      </w:r>
    </w:p>
    <w:p w:rsidR="00CB14C9" w:rsidRPr="0026642D" w:rsidRDefault="00CB14C9" w:rsidP="00CB14C9">
      <w:pPr>
        <w:spacing w:line="276" w:lineRule="auto"/>
        <w:jc w:val="both"/>
        <w:rPr>
          <w:rFonts w:asciiTheme="majorBidi" w:hAnsiTheme="majorBidi" w:cstheme="majorBidi"/>
          <w:color w:val="000000"/>
          <w:sz w:val="26"/>
          <w:lang w:val="en-US"/>
        </w:rPr>
      </w:pPr>
      <w:r w:rsidRPr="0026642D">
        <w:rPr>
          <w:rFonts w:asciiTheme="majorBidi" w:hAnsiTheme="majorBidi" w:cstheme="majorBidi"/>
          <w:color w:val="000000"/>
          <w:sz w:val="22"/>
          <w:szCs w:val="22"/>
          <w:lang w:val="en-US"/>
        </w:rPr>
        <w:t> </w:t>
      </w:r>
      <w:r w:rsidRPr="0026642D">
        <w:rPr>
          <w:rFonts w:asciiTheme="majorBidi" w:hAnsiTheme="majorBidi" w:cstheme="majorBidi"/>
          <w:color w:val="000000"/>
          <w:sz w:val="26"/>
          <w:lang w:val="en-US"/>
        </w:rPr>
        <w:t>The variance of Yt is constant over time:</w:t>
      </w:r>
    </w:p>
    <w:p w:rsidR="00CB14C9" w:rsidRPr="000B1457" w:rsidRDefault="00CB14C9" w:rsidP="00CB14C9">
      <w:pPr>
        <w:spacing w:line="276" w:lineRule="auto"/>
        <w:jc w:val="both"/>
        <w:rPr>
          <w:rFonts w:asciiTheme="majorBidi" w:hAnsiTheme="majorBidi" w:cstheme="majorBidi"/>
          <w:color w:val="000000"/>
          <w:sz w:val="26"/>
        </w:rPr>
      </w:pPr>
      <w:r w:rsidRPr="0026642D">
        <w:rPr>
          <w:rFonts w:asciiTheme="majorBidi" w:hAnsiTheme="majorBidi" w:cstheme="majorBidi"/>
          <w:color w:val="000000"/>
          <w:sz w:val="26"/>
          <w:lang w:val="en-US"/>
        </w:rPr>
        <w:t>            </w:t>
      </w:r>
      <w:r w:rsidRPr="000B1457">
        <w:rPr>
          <w:rFonts w:asciiTheme="majorBidi" w:hAnsiTheme="majorBidi" w:cstheme="majorBidi"/>
          <w:i/>
          <w:iCs/>
          <w:noProof/>
          <w:color w:val="000000"/>
          <w:sz w:val="26"/>
          <w:lang w:eastAsia="fr-FR"/>
        </w:rPr>
        <w:drawing>
          <wp:inline distT="0" distB="0" distL="0" distR="0">
            <wp:extent cx="1304925" cy="228600"/>
            <wp:effectExtent l="19050" t="0" r="9525" b="0"/>
            <wp:docPr id="35" name="Image 35" descr="C:\Users\tayeb\AppData\Local\Temp\msohtmlclip1\01\clip_image0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tayeb\AppData\Local\Temp\msohtmlclip1\01\clip_image004.gif"/>
                    <pic:cNvPicPr>
                      <a:picLocks noChangeAspect="1" noChangeArrowheads="1"/>
                    </pic:cNvPicPr>
                  </pic:nvPicPr>
                  <pic:blipFill>
                    <a:blip r:embed="rId22" cstate="print"/>
                    <a:srcRect/>
                    <a:stretch>
                      <a:fillRect/>
                    </a:stretch>
                  </pic:blipFill>
                  <pic:spPr bwMode="auto">
                    <a:xfrm>
                      <a:off x="0" y="0"/>
                      <a:ext cx="1304925" cy="228600"/>
                    </a:xfrm>
                    <a:prstGeom prst="rect">
                      <a:avLst/>
                    </a:prstGeom>
                    <a:noFill/>
                    <a:ln w="9525">
                      <a:noFill/>
                      <a:miter lim="800000"/>
                      <a:headEnd/>
                      <a:tailEnd/>
                    </a:ln>
                  </pic:spPr>
                </pic:pic>
              </a:graphicData>
            </a:graphic>
          </wp:inline>
        </w:drawing>
      </w:r>
    </w:p>
    <w:p w:rsidR="00CB14C9" w:rsidRDefault="00CB14C9" w:rsidP="00CB14C9">
      <w:pPr>
        <w:spacing w:line="276" w:lineRule="auto"/>
        <w:ind w:firstLine="708"/>
        <w:jc w:val="both"/>
        <w:rPr>
          <w:rFonts w:asciiTheme="majorBidi" w:hAnsiTheme="majorBidi" w:cstheme="majorBidi"/>
          <w:color w:val="000000"/>
          <w:sz w:val="26"/>
        </w:rPr>
      </w:pPr>
      <w:r w:rsidRPr="0026642D">
        <w:rPr>
          <w:rFonts w:asciiTheme="majorBidi" w:hAnsiTheme="majorBidi" w:cstheme="majorBidi"/>
          <w:color w:val="000000"/>
          <w:sz w:val="26"/>
          <w:lang w:val="en-US"/>
        </w:rPr>
        <w:t>The covariance of time series does not vary over time and depend on the factor of time only. But sometimes the non stationary is obtained because of the changes that face economic environment as the result of the economic fluctuations (business cycle fluctuation between expansion and recession), in this case the test statistics may often show a significant relationship between variables in the regression model even though no such relationship exists between them and this creates incorrect regression even when the value of  R</w:t>
      </w:r>
      <w:r w:rsidRPr="0026642D">
        <w:rPr>
          <w:rFonts w:asciiTheme="majorBidi" w:hAnsiTheme="majorBidi" w:cstheme="majorBidi"/>
          <w:color w:val="000000"/>
          <w:sz w:val="26"/>
          <w:vertAlign w:val="superscript"/>
          <w:lang w:val="en-US"/>
        </w:rPr>
        <w:t>2</w:t>
      </w:r>
      <w:r w:rsidRPr="0026642D">
        <w:rPr>
          <w:rFonts w:asciiTheme="majorBidi" w:hAnsiTheme="majorBidi" w:cstheme="majorBidi"/>
          <w:color w:val="000000"/>
          <w:sz w:val="26"/>
          <w:lang w:val="en-US"/>
        </w:rPr>
        <w:t xml:space="preserve"> is high. To investigate this problem, the ADF (Augmented Dickey-Fuller) test of stationary is used which is the most widely used unit root test.  After computed the value of Dickey-Fuller, we compared this value with the critical value tabulated by Dickey-Fuller (the Dickey-Fuller test), if the value of the former is greater than the value of later the null hypothesis is rejected which mean that times series is stationary, if not the null hypothesis is accepted, that is times series is </w:t>
      </w:r>
      <w:r w:rsidRPr="0026642D">
        <w:rPr>
          <w:rFonts w:asciiTheme="majorBidi" w:hAnsiTheme="majorBidi" w:cstheme="majorBidi"/>
          <w:color w:val="000000"/>
          <w:sz w:val="26"/>
          <w:lang w:val="en-US"/>
        </w:rPr>
        <w:lastRenderedPageBreak/>
        <w:t xml:space="preserve">nonstationary. In this case, the first difference of data is taken and retesting, even the times series is stationary. </w:t>
      </w:r>
      <w:sdt>
        <w:sdtPr>
          <w:rPr>
            <w:rFonts w:asciiTheme="majorBidi" w:hAnsiTheme="majorBidi" w:cstheme="majorBidi"/>
            <w:color w:val="000000"/>
            <w:sz w:val="26"/>
          </w:rPr>
          <w:id w:val="-2023385798"/>
          <w:citation/>
        </w:sdtPr>
        <w:sdtContent>
          <w:r w:rsidR="00274750">
            <w:rPr>
              <w:rFonts w:asciiTheme="majorBidi" w:hAnsiTheme="majorBidi" w:cstheme="majorBidi"/>
              <w:color w:val="000000"/>
              <w:sz w:val="26"/>
            </w:rPr>
            <w:fldChar w:fldCharType="begin"/>
          </w:r>
          <w:r>
            <w:rPr>
              <w:rFonts w:asciiTheme="majorBidi" w:hAnsiTheme="majorBidi" w:cstheme="majorBidi"/>
              <w:color w:val="000000"/>
              <w:sz w:val="26"/>
              <w:lang w:val="en-US"/>
            </w:rPr>
            <w:instrText xml:space="preserve">CITATION Dic79 \p 429 \l 1036 </w:instrText>
          </w:r>
          <w:r w:rsidR="00274750">
            <w:rPr>
              <w:rFonts w:asciiTheme="majorBidi" w:hAnsiTheme="majorBidi" w:cstheme="majorBidi"/>
              <w:color w:val="000000"/>
              <w:sz w:val="26"/>
            </w:rPr>
            <w:fldChar w:fldCharType="separate"/>
          </w:r>
          <w:r w:rsidRPr="00EF0A8D">
            <w:rPr>
              <w:rFonts w:asciiTheme="majorBidi" w:hAnsiTheme="majorBidi" w:cstheme="majorBidi"/>
              <w:noProof/>
              <w:color w:val="000000"/>
              <w:sz w:val="26"/>
            </w:rPr>
            <w:t>(Dickey, 1979, p. 429)</w:t>
          </w:r>
          <w:r w:rsidR="00274750">
            <w:rPr>
              <w:rFonts w:asciiTheme="majorBidi" w:hAnsiTheme="majorBidi" w:cstheme="majorBidi"/>
              <w:color w:val="000000"/>
              <w:sz w:val="26"/>
            </w:rPr>
            <w:fldChar w:fldCharType="end"/>
          </w:r>
        </w:sdtContent>
      </w:sdt>
      <w:r w:rsidRPr="000B1457">
        <w:rPr>
          <w:rFonts w:asciiTheme="majorBidi" w:hAnsiTheme="majorBidi" w:cstheme="majorBidi"/>
          <w:color w:val="000000"/>
          <w:sz w:val="26"/>
        </w:rPr>
        <w:t> </w:t>
      </w:r>
    </w:p>
    <w:p w:rsidR="00CB14C9" w:rsidRPr="007B4B77" w:rsidRDefault="00CB14C9" w:rsidP="00CB14C9">
      <w:pPr>
        <w:spacing w:line="276" w:lineRule="auto"/>
        <w:jc w:val="center"/>
        <w:rPr>
          <w:rFonts w:asciiTheme="majorBidi" w:hAnsiTheme="majorBidi" w:cstheme="majorBidi"/>
          <w:b/>
          <w:bCs/>
          <w:sz w:val="22"/>
          <w:szCs w:val="22"/>
          <w:lang w:val="en-US"/>
        </w:rPr>
      </w:pPr>
      <w:r w:rsidRPr="007B4B77">
        <w:rPr>
          <w:b/>
          <w:bCs/>
          <w:sz w:val="22"/>
          <w:szCs w:val="22"/>
          <w:lang w:val="en-US"/>
        </w:rPr>
        <w:t xml:space="preserve">Table N°6. </w:t>
      </w:r>
      <w:r w:rsidRPr="007B4B77">
        <w:rPr>
          <w:rFonts w:asciiTheme="majorBidi" w:hAnsiTheme="majorBidi" w:cstheme="majorBidi"/>
          <w:b/>
          <w:bCs/>
          <w:sz w:val="22"/>
          <w:szCs w:val="22"/>
          <w:lang w:val="en-US"/>
        </w:rPr>
        <w:t>Unit Root Test</w:t>
      </w:r>
    </w:p>
    <w:tbl>
      <w:tblPr>
        <w:tblStyle w:val="Grilledutableau"/>
        <w:tblW w:w="7984" w:type="dxa"/>
        <w:tblInd w:w="198" w:type="dxa"/>
        <w:tblLayout w:type="fixed"/>
        <w:tblLook w:val="04A0"/>
      </w:tblPr>
      <w:tblGrid>
        <w:gridCol w:w="1044"/>
        <w:gridCol w:w="1985"/>
        <w:gridCol w:w="1644"/>
        <w:gridCol w:w="1900"/>
        <w:gridCol w:w="1411"/>
      </w:tblGrid>
      <w:tr w:rsidR="00CB14C9" w:rsidRPr="00FD2A83" w:rsidTr="00150A1A">
        <w:trPr>
          <w:trHeight w:val="294"/>
        </w:trPr>
        <w:tc>
          <w:tcPr>
            <w:tcW w:w="1044" w:type="dxa"/>
            <w:vMerge w:val="restart"/>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b/>
                <w:bCs/>
                <w:sz w:val="22"/>
                <w:szCs w:val="22"/>
              </w:rPr>
              <w:t>variables</w:t>
            </w:r>
          </w:p>
        </w:tc>
        <w:tc>
          <w:tcPr>
            <w:tcW w:w="3629" w:type="dxa"/>
            <w:gridSpan w:val="2"/>
            <w:vAlign w:val="center"/>
          </w:tcPr>
          <w:p w:rsidR="00CB14C9" w:rsidRPr="00FD2A83" w:rsidRDefault="00CB14C9" w:rsidP="00150A1A">
            <w:pPr>
              <w:spacing w:line="276" w:lineRule="auto"/>
              <w:jc w:val="center"/>
              <w:rPr>
                <w:rFonts w:asciiTheme="majorBidi" w:hAnsiTheme="majorBidi" w:cstheme="majorBidi"/>
                <w:b/>
                <w:bCs/>
                <w:sz w:val="22"/>
                <w:szCs w:val="22"/>
              </w:rPr>
            </w:pPr>
            <w:r w:rsidRPr="00FD2A83">
              <w:rPr>
                <w:rFonts w:asciiTheme="majorBidi" w:hAnsiTheme="majorBidi" w:cstheme="majorBidi"/>
                <w:b/>
                <w:bCs/>
                <w:sz w:val="22"/>
                <w:szCs w:val="22"/>
              </w:rPr>
              <w:t>level</w:t>
            </w:r>
          </w:p>
        </w:tc>
        <w:tc>
          <w:tcPr>
            <w:tcW w:w="3311" w:type="dxa"/>
            <w:gridSpan w:val="2"/>
            <w:vAlign w:val="center"/>
          </w:tcPr>
          <w:p w:rsidR="00CB14C9" w:rsidRPr="00FD2A83" w:rsidRDefault="00CB14C9" w:rsidP="00150A1A">
            <w:pPr>
              <w:spacing w:line="276" w:lineRule="auto"/>
              <w:jc w:val="center"/>
              <w:rPr>
                <w:rFonts w:asciiTheme="majorBidi" w:hAnsiTheme="majorBidi" w:cstheme="majorBidi"/>
                <w:b/>
                <w:bCs/>
                <w:sz w:val="22"/>
                <w:szCs w:val="22"/>
              </w:rPr>
            </w:pPr>
            <w:r w:rsidRPr="00FD2A83">
              <w:rPr>
                <w:rFonts w:asciiTheme="majorBidi" w:hAnsiTheme="majorBidi" w:cstheme="majorBidi"/>
                <w:b/>
                <w:bCs/>
                <w:sz w:val="22"/>
                <w:szCs w:val="22"/>
              </w:rPr>
              <w:t>1</w:t>
            </w:r>
            <w:r w:rsidRPr="00FD2A83">
              <w:rPr>
                <w:rFonts w:asciiTheme="majorBidi" w:hAnsiTheme="majorBidi" w:cstheme="majorBidi"/>
                <w:b/>
                <w:bCs/>
                <w:sz w:val="22"/>
                <w:szCs w:val="22"/>
                <w:vertAlign w:val="superscript"/>
              </w:rPr>
              <w:t>st</w:t>
            </w:r>
            <w:r w:rsidRPr="00FD2A83">
              <w:rPr>
                <w:rFonts w:asciiTheme="majorBidi" w:hAnsiTheme="majorBidi" w:cstheme="majorBidi"/>
                <w:b/>
                <w:bCs/>
                <w:sz w:val="22"/>
                <w:szCs w:val="22"/>
              </w:rPr>
              <w:t>difference</w:t>
            </w:r>
          </w:p>
        </w:tc>
      </w:tr>
      <w:tr w:rsidR="00CB14C9" w:rsidRPr="00FD2A83" w:rsidTr="00150A1A">
        <w:trPr>
          <w:trHeight w:val="294"/>
        </w:trPr>
        <w:tc>
          <w:tcPr>
            <w:tcW w:w="1044" w:type="dxa"/>
            <w:vMerge/>
            <w:vAlign w:val="center"/>
          </w:tcPr>
          <w:p w:rsidR="00CB14C9" w:rsidRPr="00FD2A83" w:rsidRDefault="00CB14C9" w:rsidP="00150A1A">
            <w:pPr>
              <w:spacing w:line="276" w:lineRule="auto"/>
              <w:jc w:val="center"/>
              <w:rPr>
                <w:rFonts w:asciiTheme="majorBidi" w:hAnsiTheme="majorBidi" w:cstheme="majorBidi"/>
                <w:sz w:val="22"/>
                <w:szCs w:val="22"/>
              </w:rPr>
            </w:pP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b/>
                <w:bCs/>
                <w:sz w:val="22"/>
                <w:szCs w:val="22"/>
              </w:rPr>
              <w:t>ADF test statistic</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b/>
                <w:bCs/>
                <w:sz w:val="22"/>
                <w:szCs w:val="22"/>
              </w:rPr>
              <w:t>Result</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b/>
                <w:bCs/>
                <w:sz w:val="22"/>
                <w:szCs w:val="22"/>
              </w:rPr>
              <w:t>ADF test statistic</w:t>
            </w:r>
          </w:p>
        </w:tc>
        <w:tc>
          <w:tcPr>
            <w:tcW w:w="1411"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b/>
                <w:bCs/>
                <w:sz w:val="22"/>
                <w:szCs w:val="22"/>
              </w:rPr>
              <w:t>Result</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y</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-1.190294</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vertAlign w:val="superscript"/>
              </w:rPr>
            </w:pPr>
            <w:r w:rsidRPr="00FD2A83">
              <w:rPr>
                <w:rFonts w:asciiTheme="majorBidi" w:hAnsiTheme="majorBidi" w:cstheme="majorBidi"/>
                <w:b/>
                <w:bCs/>
                <w:sz w:val="22"/>
                <w:szCs w:val="22"/>
              </w:rPr>
              <w:t>-2.335862</w:t>
            </w:r>
            <w:r w:rsidRPr="00FD2A83">
              <w:rPr>
                <w:rFonts w:asciiTheme="majorBidi" w:hAnsiTheme="majorBidi" w:cstheme="majorBidi"/>
                <w:b/>
                <w:bCs/>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1</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0.311196</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vertAlign w:val="superscript"/>
              </w:rPr>
            </w:pPr>
            <w:r w:rsidRPr="00FD2A83">
              <w:rPr>
                <w:rFonts w:asciiTheme="majorBidi" w:hAnsiTheme="majorBidi" w:cstheme="majorBidi"/>
                <w:sz w:val="22"/>
                <w:szCs w:val="22"/>
              </w:rPr>
              <w:t>-5.491112</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2</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-0.639835</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b/>
                <w:bCs/>
                <w:sz w:val="22"/>
                <w:szCs w:val="22"/>
                <w:vertAlign w:val="superscript"/>
              </w:rPr>
            </w:pPr>
            <w:r w:rsidRPr="00FD2A83">
              <w:rPr>
                <w:rFonts w:asciiTheme="majorBidi" w:hAnsiTheme="majorBidi" w:cstheme="majorBidi"/>
                <w:b/>
                <w:bCs/>
                <w:sz w:val="22"/>
                <w:szCs w:val="22"/>
              </w:rPr>
              <w:t>-4.659536</w:t>
            </w:r>
            <w:r w:rsidRPr="00FD2A83">
              <w:rPr>
                <w:rFonts w:asciiTheme="majorBidi" w:hAnsiTheme="majorBidi" w:cstheme="majorBidi"/>
                <w:b/>
                <w:bCs/>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3</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-1.313836</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vertAlign w:val="superscript"/>
              </w:rPr>
            </w:pPr>
            <w:r w:rsidRPr="00FD2A83">
              <w:rPr>
                <w:rFonts w:asciiTheme="majorBidi" w:hAnsiTheme="majorBidi" w:cstheme="majorBidi"/>
                <w:sz w:val="22"/>
                <w:szCs w:val="22"/>
              </w:rPr>
              <w:t>-5.615609</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65"/>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4</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-0.935965</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vertAlign w:val="superscript"/>
              </w:rPr>
            </w:pPr>
            <w:r w:rsidRPr="00FD2A83">
              <w:rPr>
                <w:rFonts w:asciiTheme="majorBidi" w:hAnsiTheme="majorBidi" w:cstheme="majorBidi"/>
                <w:sz w:val="22"/>
                <w:szCs w:val="22"/>
              </w:rPr>
              <w:t>-6.762456</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5</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0.450111</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-5.399564</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6</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1.541792</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-4.974985</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r w:rsidR="00CB14C9" w:rsidRPr="00FD2A83" w:rsidTr="00150A1A">
        <w:trPr>
          <w:trHeight w:val="294"/>
        </w:trPr>
        <w:tc>
          <w:tcPr>
            <w:tcW w:w="1044" w:type="dxa"/>
            <w:vAlign w:val="center"/>
          </w:tcPr>
          <w:p w:rsidR="00CB14C9" w:rsidRPr="00FD2A83" w:rsidRDefault="00CB14C9" w:rsidP="00150A1A">
            <w:pPr>
              <w:spacing w:line="276" w:lineRule="auto"/>
              <w:jc w:val="center"/>
              <w:rPr>
                <w:rFonts w:asciiTheme="majorBidi" w:hAnsiTheme="majorBidi" w:cstheme="majorBidi"/>
                <w:sz w:val="22"/>
                <w:szCs w:val="22"/>
                <w:vertAlign w:val="subscript"/>
              </w:rPr>
            </w:pPr>
            <w:r w:rsidRPr="00FD2A83">
              <w:rPr>
                <w:rFonts w:asciiTheme="majorBidi" w:hAnsiTheme="majorBidi" w:cstheme="majorBidi"/>
                <w:sz w:val="22"/>
                <w:szCs w:val="22"/>
              </w:rPr>
              <w:t>X</w:t>
            </w:r>
            <w:r w:rsidRPr="00FD2A83">
              <w:rPr>
                <w:rFonts w:asciiTheme="majorBidi" w:hAnsiTheme="majorBidi" w:cstheme="majorBidi"/>
                <w:sz w:val="22"/>
                <w:szCs w:val="22"/>
                <w:vertAlign w:val="subscript"/>
              </w:rPr>
              <w:t>7</w:t>
            </w:r>
          </w:p>
        </w:tc>
        <w:tc>
          <w:tcPr>
            <w:tcW w:w="1985"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1.055931</w:t>
            </w:r>
          </w:p>
        </w:tc>
        <w:tc>
          <w:tcPr>
            <w:tcW w:w="1644"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not stationary</w:t>
            </w:r>
          </w:p>
        </w:tc>
        <w:tc>
          <w:tcPr>
            <w:tcW w:w="1900" w:type="dxa"/>
            <w:vAlign w:val="center"/>
          </w:tcPr>
          <w:p w:rsidR="00CB14C9" w:rsidRPr="00FD2A83" w:rsidRDefault="00CB14C9" w:rsidP="00150A1A">
            <w:pPr>
              <w:spacing w:line="276" w:lineRule="auto"/>
              <w:jc w:val="center"/>
              <w:rPr>
                <w:rFonts w:asciiTheme="majorBidi" w:hAnsiTheme="majorBidi" w:cstheme="majorBidi"/>
                <w:sz w:val="22"/>
                <w:szCs w:val="22"/>
              </w:rPr>
            </w:pPr>
            <w:r w:rsidRPr="00FD2A83">
              <w:rPr>
                <w:rFonts w:asciiTheme="majorBidi" w:hAnsiTheme="majorBidi" w:cstheme="majorBidi"/>
                <w:sz w:val="22"/>
                <w:szCs w:val="22"/>
              </w:rPr>
              <w:t>-7.030029</w:t>
            </w:r>
            <w:r w:rsidRPr="00FD2A83">
              <w:rPr>
                <w:rFonts w:asciiTheme="majorBidi" w:hAnsiTheme="majorBidi" w:cstheme="majorBidi"/>
                <w:sz w:val="22"/>
                <w:szCs w:val="22"/>
                <w:vertAlign w:val="superscript"/>
              </w:rPr>
              <w:t>*</w:t>
            </w:r>
          </w:p>
        </w:tc>
        <w:tc>
          <w:tcPr>
            <w:tcW w:w="1411" w:type="dxa"/>
            <w:vAlign w:val="center"/>
          </w:tcPr>
          <w:p w:rsidR="00CB14C9" w:rsidRPr="00FD2A83" w:rsidRDefault="00CB14C9" w:rsidP="00150A1A">
            <w:pPr>
              <w:spacing w:line="276" w:lineRule="auto"/>
              <w:jc w:val="center"/>
              <w:rPr>
                <w:sz w:val="22"/>
                <w:szCs w:val="22"/>
              </w:rPr>
            </w:pPr>
            <w:r w:rsidRPr="00FD2A83">
              <w:rPr>
                <w:rFonts w:asciiTheme="majorBidi" w:hAnsiTheme="majorBidi" w:cstheme="majorBidi"/>
                <w:sz w:val="22"/>
                <w:szCs w:val="22"/>
              </w:rPr>
              <w:t>stationary</w:t>
            </w:r>
          </w:p>
        </w:tc>
      </w:tr>
    </w:tbl>
    <w:p w:rsidR="00CB14C9" w:rsidRPr="007B4B77" w:rsidRDefault="00CB14C9" w:rsidP="00CB14C9">
      <w:pPr>
        <w:spacing w:line="276" w:lineRule="auto"/>
        <w:jc w:val="lowKashida"/>
        <w:rPr>
          <w:sz w:val="24"/>
          <w:szCs w:val="24"/>
          <w:lang w:val="en-US"/>
        </w:rPr>
      </w:pPr>
      <w:r w:rsidRPr="007B4B77">
        <w:rPr>
          <w:b/>
          <w:bCs/>
          <w:sz w:val="24"/>
          <w:szCs w:val="24"/>
          <w:lang w:val="en-US"/>
        </w:rPr>
        <w:t xml:space="preserve">Source: </w:t>
      </w:r>
      <w:r w:rsidRPr="007B4B77">
        <w:rPr>
          <w:sz w:val="24"/>
          <w:szCs w:val="24"/>
          <w:lang w:val="en-US"/>
        </w:rPr>
        <w:t xml:space="preserve">Prepared by the researchers, based on Eviews output. </w:t>
      </w:r>
    </w:p>
    <w:p w:rsidR="00CB14C9" w:rsidRPr="007B4B77" w:rsidRDefault="00CB14C9" w:rsidP="00CB14C9">
      <w:pPr>
        <w:autoSpaceDE w:val="0"/>
        <w:autoSpaceDN w:val="0"/>
        <w:adjustRightInd w:val="0"/>
        <w:spacing w:line="276" w:lineRule="auto"/>
        <w:rPr>
          <w:rFonts w:ascii="TimesNewRoman" w:hAnsi="TimesNewRoman" w:cs="TimesNewRoman"/>
          <w:sz w:val="24"/>
          <w:szCs w:val="24"/>
          <w:lang w:val="en-US"/>
        </w:rPr>
      </w:pPr>
      <w:r w:rsidRPr="007B4B77">
        <w:rPr>
          <w:sz w:val="24"/>
          <w:szCs w:val="24"/>
          <w:vertAlign w:val="superscript"/>
          <w:lang w:val="en-US"/>
        </w:rPr>
        <w:t>*</w:t>
      </w:r>
      <w:r w:rsidRPr="007B4B77">
        <w:rPr>
          <w:rFonts w:asciiTheme="majorBidi" w:hAnsiTheme="majorBidi" w:cstheme="majorBidi"/>
          <w:sz w:val="24"/>
          <w:szCs w:val="24"/>
          <w:lang w:val="en-US"/>
        </w:rPr>
        <w:t>1% significant level.</w:t>
      </w:r>
    </w:p>
    <w:p w:rsidR="00CB14C9" w:rsidRPr="007B4B77" w:rsidRDefault="00CB14C9" w:rsidP="00CB14C9">
      <w:pPr>
        <w:autoSpaceDE w:val="0"/>
        <w:autoSpaceDN w:val="0"/>
        <w:adjustRightInd w:val="0"/>
        <w:spacing w:line="276" w:lineRule="auto"/>
        <w:jc w:val="lowKashida"/>
        <w:rPr>
          <w:rFonts w:ascii="TimesNewRoman" w:hAnsi="TimesNewRoman" w:cs="TimesNewRoman"/>
          <w:sz w:val="24"/>
          <w:szCs w:val="24"/>
          <w:lang w:val="en-US"/>
        </w:rPr>
      </w:pPr>
      <w:r w:rsidRPr="007B4B77">
        <w:rPr>
          <w:sz w:val="24"/>
          <w:szCs w:val="24"/>
          <w:vertAlign w:val="superscript"/>
          <w:lang w:val="en-US"/>
        </w:rPr>
        <w:t>**</w:t>
      </w:r>
      <w:r w:rsidRPr="007B4B77">
        <w:rPr>
          <w:rFonts w:asciiTheme="majorBidi" w:hAnsiTheme="majorBidi" w:cstheme="majorBidi"/>
          <w:sz w:val="24"/>
          <w:szCs w:val="24"/>
          <w:lang w:val="en-US"/>
        </w:rPr>
        <w:t xml:space="preserve"> 5% significant level.</w:t>
      </w:r>
    </w:p>
    <w:p w:rsidR="00CB14C9" w:rsidRPr="0026642D" w:rsidRDefault="00CB14C9" w:rsidP="00CB14C9">
      <w:pPr>
        <w:spacing w:line="276" w:lineRule="auto"/>
        <w:jc w:val="lowKashida"/>
        <w:rPr>
          <w:rFonts w:asciiTheme="majorBidi" w:hAnsiTheme="majorBidi" w:cstheme="majorBidi"/>
          <w:sz w:val="26"/>
          <w:szCs w:val="26"/>
          <w:lang w:val="en-US"/>
        </w:rPr>
      </w:pPr>
    </w:p>
    <w:p w:rsidR="00CB14C9" w:rsidRPr="0026642D" w:rsidRDefault="00CB14C9" w:rsidP="00CB14C9">
      <w:pPr>
        <w:autoSpaceDE w:val="0"/>
        <w:autoSpaceDN w:val="0"/>
        <w:adjustRightInd w:val="0"/>
        <w:spacing w:line="276" w:lineRule="auto"/>
        <w:ind w:firstLine="708"/>
        <w:jc w:val="lowKashida"/>
        <w:rPr>
          <w:rFonts w:ascii="TimesNewRoman" w:hAnsi="TimesNewRoman" w:cs="TimesNewRoman"/>
          <w:lang w:val="en-US"/>
        </w:rPr>
      </w:pPr>
      <w:r w:rsidRPr="0026642D">
        <w:rPr>
          <w:rFonts w:asciiTheme="majorBidi" w:hAnsiTheme="majorBidi" w:cstheme="majorBidi"/>
          <w:sz w:val="26"/>
          <w:szCs w:val="26"/>
          <w:lang w:val="en-US"/>
        </w:rPr>
        <w:t xml:space="preserve">This work started with the null hypothesis that the variables of interest in the study have a unit root (that is nonstationary) against the alternative hypothesis that the variables are stationary. The test for this null hypothesis has represented in a table </w:t>
      </w:r>
      <w:r w:rsidRPr="0026642D">
        <w:rPr>
          <w:rFonts w:asciiTheme="majorBidi" w:hAnsiTheme="majorBidi" w:cstheme="majorBidi"/>
          <w:b/>
          <w:bCs/>
          <w:sz w:val="26"/>
          <w:szCs w:val="26"/>
          <w:lang w:val="en-US"/>
        </w:rPr>
        <w:t>(06),</w:t>
      </w:r>
      <w:r w:rsidRPr="0026642D">
        <w:rPr>
          <w:rFonts w:asciiTheme="majorBidi" w:hAnsiTheme="majorBidi" w:cstheme="majorBidi"/>
          <w:sz w:val="26"/>
          <w:szCs w:val="26"/>
          <w:lang w:val="en-US"/>
        </w:rPr>
        <w:t xml:space="preserve"> we can see that all variables are not stationary at the level so they have a unit root, thus we accept the null hypothesis. After taking first difference they became stationary at 1% and 5% significant level.</w:t>
      </w:r>
    </w:p>
    <w:p w:rsidR="00CB14C9" w:rsidRPr="0026642D" w:rsidRDefault="00CB14C9" w:rsidP="00CB14C9">
      <w:pPr>
        <w:spacing w:line="276" w:lineRule="auto"/>
        <w:jc w:val="lowKashida"/>
        <w:rPr>
          <w:rFonts w:asciiTheme="majorBidi" w:hAnsiTheme="majorBidi" w:cstheme="majorBidi"/>
          <w:sz w:val="14"/>
          <w:szCs w:val="14"/>
          <w:lang w:val="en-US"/>
        </w:rPr>
      </w:pPr>
    </w:p>
    <w:p w:rsidR="00CB14C9" w:rsidRPr="0026642D" w:rsidRDefault="00CB14C9" w:rsidP="00CB14C9">
      <w:pPr>
        <w:spacing w:line="276" w:lineRule="auto"/>
        <w:jc w:val="lowKashida"/>
        <w:rPr>
          <w:rFonts w:asciiTheme="majorBidi" w:hAnsiTheme="majorBidi" w:cstheme="majorBidi"/>
          <w:b/>
          <w:bCs/>
          <w:sz w:val="26"/>
          <w:szCs w:val="26"/>
          <w:lang w:val="en-US"/>
        </w:rPr>
      </w:pPr>
      <w:r w:rsidRPr="0026642D">
        <w:rPr>
          <w:rFonts w:asciiTheme="majorBidi" w:hAnsiTheme="majorBidi" w:cstheme="majorBidi"/>
          <w:b/>
          <w:bCs/>
          <w:sz w:val="26"/>
          <w:szCs w:val="26"/>
          <w:lang w:val="en-US"/>
        </w:rPr>
        <w:t xml:space="preserve">4.2 Johansen </w:t>
      </w:r>
      <w:r w:rsidRPr="00313B5C">
        <w:rPr>
          <w:rFonts w:asciiTheme="majorBidi" w:hAnsiTheme="majorBidi" w:cstheme="majorBidi"/>
          <w:b/>
          <w:bCs/>
          <w:sz w:val="26"/>
          <w:szCs w:val="26"/>
          <w:lang w:val="en-US"/>
        </w:rPr>
        <w:t>Cointegration</w:t>
      </w:r>
      <w:r w:rsidRPr="0026642D">
        <w:rPr>
          <w:rFonts w:asciiTheme="majorBidi" w:hAnsiTheme="majorBidi" w:cstheme="majorBidi"/>
          <w:b/>
          <w:bCs/>
          <w:sz w:val="26"/>
          <w:szCs w:val="26"/>
          <w:lang w:val="en-US"/>
        </w:rPr>
        <w:t xml:space="preserve"> Test </w:t>
      </w:r>
    </w:p>
    <w:p w:rsidR="00CB14C9" w:rsidRPr="005B26AE" w:rsidRDefault="00CB14C9" w:rsidP="00CB14C9">
      <w:pPr>
        <w:spacing w:line="276" w:lineRule="auto"/>
        <w:ind w:firstLine="708"/>
        <w:jc w:val="both"/>
        <w:rPr>
          <w:rFonts w:asciiTheme="majorBidi" w:hAnsiTheme="majorBidi" w:cstheme="majorBidi"/>
          <w:sz w:val="26"/>
          <w:szCs w:val="26"/>
        </w:rPr>
      </w:pPr>
      <w:r w:rsidRPr="0026642D">
        <w:rPr>
          <w:rFonts w:asciiTheme="majorBidi" w:hAnsiTheme="majorBidi" w:cstheme="majorBidi"/>
          <w:sz w:val="26"/>
          <w:szCs w:val="26"/>
          <w:lang w:val="en-US"/>
        </w:rPr>
        <w:t>Cointegration analysis is used to investigate the long-term relationship between the variables (FDI, market size, openness of economy, economic stability,</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,human capital,</w:t>
      </w:r>
      <w:r w:rsidRPr="0026642D">
        <w:rPr>
          <w:rFonts w:asciiTheme="majorBidi" w:hAnsiTheme="majorBidi" w:cstheme="majorBidi"/>
          <w:sz w:val="26"/>
          <w:szCs w:val="26"/>
          <w:lang w:val="en-US"/>
        </w:rPr>
        <w:t xml:space="preserve"> political stability, andquality of infrastructure) of the study. Economically speaking two variables will be cointegration if they have long-term or equilibrium relationship between them. To look for this relationship Johansen test is used to test the null hypothesis that says there is no cointegration between the variables of the study against the alternative that </w:t>
      </w:r>
      <w:r w:rsidRPr="0026642D">
        <w:rPr>
          <w:rFonts w:asciiTheme="majorBidi" w:hAnsiTheme="majorBidi" w:cstheme="majorBidi"/>
          <w:sz w:val="26"/>
          <w:szCs w:val="26"/>
          <w:lang w:val="en-US"/>
        </w:rPr>
        <w:lastRenderedPageBreak/>
        <w:t>says there is cointegration between the variables of the study.</w:t>
      </w:r>
      <w:sdt>
        <w:sdtPr>
          <w:rPr>
            <w:rFonts w:asciiTheme="majorBidi" w:hAnsiTheme="majorBidi" w:cstheme="majorBidi"/>
            <w:sz w:val="26"/>
            <w:szCs w:val="26"/>
          </w:rPr>
          <w:id w:val="1814139141"/>
          <w:citation/>
        </w:sdtPr>
        <w:sdtContent>
          <w:r w:rsidR="00274750">
            <w:rPr>
              <w:rFonts w:asciiTheme="majorBidi" w:hAnsiTheme="majorBidi" w:cstheme="majorBidi"/>
              <w:sz w:val="26"/>
              <w:szCs w:val="26"/>
            </w:rPr>
            <w:fldChar w:fldCharType="begin"/>
          </w:r>
          <w:r>
            <w:rPr>
              <w:rFonts w:asciiTheme="majorBidi" w:hAnsiTheme="majorBidi" w:cstheme="majorBidi"/>
              <w:sz w:val="26"/>
              <w:szCs w:val="26"/>
              <w:lang w:val="en-US"/>
            </w:rPr>
            <w:instrText xml:space="preserve">CITATION Joh92 \p 230 \l 1036 </w:instrText>
          </w:r>
          <w:r w:rsidR="00274750">
            <w:rPr>
              <w:rFonts w:asciiTheme="majorBidi" w:hAnsiTheme="majorBidi" w:cstheme="majorBidi"/>
              <w:sz w:val="26"/>
              <w:szCs w:val="26"/>
            </w:rPr>
            <w:fldChar w:fldCharType="separate"/>
          </w:r>
          <w:r w:rsidRPr="00EF0A8D">
            <w:rPr>
              <w:rFonts w:asciiTheme="majorBidi" w:hAnsiTheme="majorBidi" w:cstheme="majorBidi"/>
              <w:noProof/>
              <w:sz w:val="26"/>
              <w:szCs w:val="26"/>
            </w:rPr>
            <w:t>(Johansen, 1992, p. 230)</w:t>
          </w:r>
          <w:r w:rsidR="00274750">
            <w:rPr>
              <w:rFonts w:asciiTheme="majorBidi" w:hAnsiTheme="majorBidi" w:cstheme="majorBidi"/>
              <w:sz w:val="26"/>
              <w:szCs w:val="26"/>
            </w:rPr>
            <w:fldChar w:fldCharType="end"/>
          </w:r>
        </w:sdtContent>
      </w:sdt>
    </w:p>
    <w:p w:rsidR="00CB14C9" w:rsidRPr="007B4B77" w:rsidRDefault="00CB14C9" w:rsidP="00CB14C9">
      <w:pPr>
        <w:spacing w:line="276" w:lineRule="auto"/>
        <w:jc w:val="center"/>
        <w:rPr>
          <w:sz w:val="24"/>
          <w:szCs w:val="24"/>
          <w:lang w:bidi="ar-JO"/>
        </w:rPr>
      </w:pPr>
      <w:r w:rsidRPr="007B4B77">
        <w:rPr>
          <w:b/>
          <w:bCs/>
          <w:sz w:val="24"/>
          <w:szCs w:val="24"/>
        </w:rPr>
        <w:t>Table N°7. Cointegration</w:t>
      </w:r>
      <w:r w:rsidRPr="007B4B77">
        <w:rPr>
          <w:b/>
          <w:bCs/>
          <w:sz w:val="24"/>
          <w:szCs w:val="24"/>
          <w:lang w:bidi="ar-JO"/>
        </w:rPr>
        <w:t xml:space="preserve"> Test</w:t>
      </w:r>
    </w:p>
    <w:tbl>
      <w:tblPr>
        <w:tblStyle w:val="Grilledutableau"/>
        <w:tblW w:w="0" w:type="auto"/>
        <w:tblInd w:w="558" w:type="dxa"/>
        <w:tblLook w:val="04A0"/>
      </w:tblPr>
      <w:tblGrid>
        <w:gridCol w:w="2244"/>
        <w:gridCol w:w="1842"/>
        <w:gridCol w:w="2410"/>
        <w:gridCol w:w="1099"/>
      </w:tblGrid>
      <w:tr w:rsidR="00CB14C9" w:rsidTr="00150A1A">
        <w:trPr>
          <w:trHeight w:val="481"/>
        </w:trPr>
        <w:tc>
          <w:tcPr>
            <w:tcW w:w="2244" w:type="dxa"/>
            <w:vAlign w:val="center"/>
          </w:tcPr>
          <w:p w:rsidR="00CB14C9" w:rsidRPr="007B4B77" w:rsidRDefault="00CB14C9" w:rsidP="00150A1A">
            <w:pPr>
              <w:spacing w:line="276" w:lineRule="auto"/>
              <w:jc w:val="center"/>
              <w:rPr>
                <w:rFonts w:asciiTheme="majorBidi" w:hAnsiTheme="majorBidi" w:cstheme="majorBidi"/>
                <w:b/>
                <w:bCs/>
                <w:sz w:val="24"/>
                <w:szCs w:val="24"/>
                <w:lang w:val="en-US"/>
              </w:rPr>
            </w:pPr>
            <w:r w:rsidRPr="007B4B77">
              <w:rPr>
                <w:rFonts w:asciiTheme="majorBidi" w:hAnsiTheme="majorBidi" w:cstheme="majorBidi"/>
                <w:b/>
                <w:bCs/>
                <w:sz w:val="24"/>
                <w:szCs w:val="24"/>
                <w:lang w:val="en-US"/>
              </w:rPr>
              <w:t>Hypothesized N</w:t>
            </w:r>
            <w:r w:rsidRPr="007B4B77">
              <w:rPr>
                <w:rFonts w:asciiTheme="majorBidi" w:hAnsiTheme="majorBidi" w:cstheme="majorBidi"/>
                <w:b/>
                <w:bCs/>
                <w:sz w:val="24"/>
                <w:szCs w:val="24"/>
                <w:vertAlign w:val="subscript"/>
                <w:lang w:val="en-US"/>
              </w:rPr>
              <w:t>0.</w:t>
            </w:r>
            <w:r w:rsidRPr="007B4B77">
              <w:rPr>
                <w:rFonts w:asciiTheme="majorBidi" w:hAnsiTheme="majorBidi" w:cstheme="majorBidi"/>
                <w:b/>
                <w:bCs/>
                <w:sz w:val="24"/>
                <w:szCs w:val="24"/>
                <w:lang w:val="en-US"/>
              </w:rPr>
              <w:t>of CE</w:t>
            </w:r>
            <w:r w:rsidRPr="007B4B77">
              <w:rPr>
                <w:rFonts w:asciiTheme="majorBidi" w:hAnsiTheme="majorBidi" w:cstheme="majorBidi"/>
                <w:b/>
                <w:bCs/>
                <w:sz w:val="24"/>
                <w:szCs w:val="24"/>
                <w:vertAlign w:val="subscript"/>
                <w:lang w:val="en-US"/>
              </w:rPr>
              <w:t>(s)</w:t>
            </w:r>
          </w:p>
        </w:tc>
        <w:tc>
          <w:tcPr>
            <w:tcW w:w="1842"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Trace Statistic</w:t>
            </w:r>
          </w:p>
        </w:tc>
        <w:tc>
          <w:tcPr>
            <w:tcW w:w="2410"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0.05critical value</w:t>
            </w:r>
          </w:p>
        </w:tc>
        <w:tc>
          <w:tcPr>
            <w:tcW w:w="1099" w:type="dxa"/>
            <w:vAlign w:val="center"/>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hAnsiTheme="majorBidi" w:cstheme="majorBidi"/>
                <w:b/>
                <w:bCs/>
                <w:sz w:val="24"/>
                <w:szCs w:val="24"/>
              </w:rPr>
              <w:t>prob</w:t>
            </w:r>
          </w:p>
        </w:tc>
      </w:tr>
      <w:tr w:rsidR="00CB14C9" w:rsidRPr="00FD2A83" w:rsidTr="00150A1A">
        <w:tc>
          <w:tcPr>
            <w:tcW w:w="2244"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None</w:t>
            </w:r>
            <w:r w:rsidRPr="007B4B77">
              <w:rPr>
                <w:rFonts w:asciiTheme="majorBidi" w:hAnsiTheme="majorBidi" w:cstheme="majorBidi"/>
                <w:sz w:val="24"/>
                <w:szCs w:val="24"/>
                <w:vertAlign w:val="superscript"/>
              </w:rPr>
              <w:t>*</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199.950</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159.5297</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0.0000</w:t>
            </w:r>
          </w:p>
        </w:tc>
      </w:tr>
      <w:tr w:rsidR="00CB14C9" w:rsidRPr="00FD2A83" w:rsidTr="00150A1A">
        <w:tc>
          <w:tcPr>
            <w:tcW w:w="2244" w:type="dxa"/>
            <w:vAlign w:val="center"/>
          </w:tcPr>
          <w:p w:rsidR="00CB14C9" w:rsidRPr="007B4B77" w:rsidRDefault="00CB14C9" w:rsidP="00150A1A">
            <w:pPr>
              <w:spacing w:line="276" w:lineRule="auto"/>
              <w:jc w:val="center"/>
              <w:rPr>
                <w:rFonts w:asciiTheme="majorBidi" w:hAnsiTheme="majorBidi" w:cstheme="majorBidi"/>
                <w:sz w:val="24"/>
                <w:szCs w:val="24"/>
                <w:vertAlign w:val="superscript"/>
              </w:rPr>
            </w:pPr>
            <w:r w:rsidRPr="007B4B77">
              <w:rPr>
                <w:rFonts w:asciiTheme="majorBidi" w:hAnsiTheme="majorBidi" w:cstheme="majorBidi"/>
                <w:sz w:val="24"/>
                <w:szCs w:val="24"/>
              </w:rPr>
              <w:t>At most 1</w:t>
            </w:r>
            <w:r w:rsidRPr="007B4B77">
              <w:rPr>
                <w:rFonts w:asciiTheme="majorBidi" w:hAnsiTheme="majorBidi" w:cstheme="majorBidi"/>
                <w:sz w:val="24"/>
                <w:szCs w:val="24"/>
                <w:vertAlign w:val="superscript"/>
              </w:rPr>
              <w:t>*</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133.9974</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125.6154</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0.0139</w:t>
            </w:r>
          </w:p>
        </w:tc>
      </w:tr>
      <w:tr w:rsidR="00CB14C9" w:rsidRPr="00FD2A83" w:rsidTr="00150A1A">
        <w:tc>
          <w:tcPr>
            <w:tcW w:w="2244" w:type="dxa"/>
            <w:vAlign w:val="center"/>
          </w:tcPr>
          <w:p w:rsidR="00CB14C9" w:rsidRPr="007B4B77" w:rsidRDefault="00CB14C9" w:rsidP="00150A1A">
            <w:pPr>
              <w:spacing w:line="276" w:lineRule="auto"/>
              <w:jc w:val="center"/>
              <w:rPr>
                <w:sz w:val="24"/>
                <w:szCs w:val="24"/>
                <w:vertAlign w:val="superscript"/>
              </w:rPr>
            </w:pPr>
            <w:r w:rsidRPr="007B4B77">
              <w:rPr>
                <w:rFonts w:asciiTheme="majorBidi" w:hAnsiTheme="majorBidi" w:cstheme="majorBidi"/>
                <w:sz w:val="24"/>
                <w:szCs w:val="24"/>
              </w:rPr>
              <w:t>At most 2</w:t>
            </w:r>
            <w:r w:rsidRPr="007B4B77">
              <w:rPr>
                <w:rFonts w:asciiTheme="majorBidi" w:hAnsiTheme="majorBidi" w:cstheme="majorBidi"/>
                <w:sz w:val="24"/>
                <w:szCs w:val="24"/>
                <w:vertAlign w:val="superscript"/>
              </w:rPr>
              <w:t>*</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99.90256</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95.75366</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0.0251</w:t>
            </w:r>
          </w:p>
        </w:tc>
      </w:tr>
      <w:tr w:rsidR="00CB14C9" w:rsidRPr="00FD2A83" w:rsidTr="00150A1A">
        <w:tc>
          <w:tcPr>
            <w:tcW w:w="2244" w:type="dxa"/>
            <w:vAlign w:val="center"/>
          </w:tcPr>
          <w:p w:rsidR="00CB14C9" w:rsidRPr="007B4B77" w:rsidRDefault="00CB14C9" w:rsidP="00150A1A">
            <w:pPr>
              <w:spacing w:line="276" w:lineRule="auto"/>
              <w:jc w:val="center"/>
              <w:rPr>
                <w:sz w:val="24"/>
                <w:szCs w:val="24"/>
              </w:rPr>
            </w:pPr>
            <w:r w:rsidRPr="007B4B77">
              <w:rPr>
                <w:rFonts w:asciiTheme="majorBidi" w:hAnsiTheme="majorBidi" w:cstheme="majorBidi"/>
                <w:sz w:val="24"/>
                <w:szCs w:val="24"/>
              </w:rPr>
              <w:t>At most 3</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67.54941</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69.81889</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0.0748</w:t>
            </w:r>
          </w:p>
        </w:tc>
      </w:tr>
      <w:tr w:rsidR="00CB14C9" w:rsidRPr="00FD2A83" w:rsidTr="00150A1A">
        <w:tc>
          <w:tcPr>
            <w:tcW w:w="2244" w:type="dxa"/>
            <w:vAlign w:val="center"/>
          </w:tcPr>
          <w:p w:rsidR="00CB14C9" w:rsidRPr="007B4B77" w:rsidRDefault="00CB14C9" w:rsidP="00150A1A">
            <w:pPr>
              <w:spacing w:line="276" w:lineRule="auto"/>
              <w:jc w:val="center"/>
              <w:rPr>
                <w:sz w:val="24"/>
                <w:szCs w:val="24"/>
              </w:rPr>
            </w:pPr>
            <w:r w:rsidRPr="007B4B77">
              <w:rPr>
                <w:rFonts w:asciiTheme="majorBidi" w:hAnsiTheme="majorBidi" w:cstheme="majorBidi"/>
                <w:sz w:val="24"/>
                <w:szCs w:val="24"/>
              </w:rPr>
              <w:t>At most 4</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40.87110</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47.85613</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0.1928</w:t>
            </w:r>
          </w:p>
        </w:tc>
      </w:tr>
      <w:tr w:rsidR="00CB14C9" w:rsidRPr="00FD2A83" w:rsidTr="00150A1A">
        <w:tc>
          <w:tcPr>
            <w:tcW w:w="2244" w:type="dxa"/>
            <w:vAlign w:val="center"/>
          </w:tcPr>
          <w:p w:rsidR="00CB14C9" w:rsidRPr="007B4B77" w:rsidRDefault="00CB14C9" w:rsidP="00150A1A">
            <w:pPr>
              <w:spacing w:line="276" w:lineRule="auto"/>
              <w:jc w:val="center"/>
              <w:rPr>
                <w:sz w:val="24"/>
                <w:szCs w:val="24"/>
              </w:rPr>
            </w:pPr>
            <w:r w:rsidRPr="007B4B77">
              <w:rPr>
                <w:rFonts w:asciiTheme="majorBidi" w:hAnsiTheme="majorBidi" w:cstheme="majorBidi"/>
                <w:sz w:val="24"/>
                <w:szCs w:val="24"/>
              </w:rPr>
              <w:t>At most 5</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22.04305</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29.79707</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0.2961</w:t>
            </w:r>
          </w:p>
        </w:tc>
      </w:tr>
      <w:tr w:rsidR="00CB14C9" w:rsidRPr="00FD2A83" w:rsidTr="00150A1A">
        <w:tc>
          <w:tcPr>
            <w:tcW w:w="2244" w:type="dxa"/>
            <w:vAlign w:val="center"/>
          </w:tcPr>
          <w:p w:rsidR="00CB14C9" w:rsidRPr="007B4B77" w:rsidRDefault="00CB14C9" w:rsidP="00150A1A">
            <w:pPr>
              <w:spacing w:line="276" w:lineRule="auto"/>
              <w:jc w:val="center"/>
              <w:rPr>
                <w:sz w:val="24"/>
                <w:szCs w:val="24"/>
              </w:rPr>
            </w:pPr>
            <w:r w:rsidRPr="007B4B77">
              <w:rPr>
                <w:rFonts w:asciiTheme="majorBidi" w:hAnsiTheme="majorBidi" w:cstheme="majorBidi"/>
                <w:sz w:val="24"/>
                <w:szCs w:val="24"/>
              </w:rPr>
              <w:t>At most 6</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10.09333</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15.49471</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0.2736</w:t>
            </w:r>
          </w:p>
        </w:tc>
      </w:tr>
      <w:tr w:rsidR="00CB14C9" w:rsidRPr="00FD2A83" w:rsidTr="00150A1A">
        <w:tc>
          <w:tcPr>
            <w:tcW w:w="2244"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At most 7</w:t>
            </w:r>
          </w:p>
        </w:tc>
        <w:tc>
          <w:tcPr>
            <w:tcW w:w="1842"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0.244073</w:t>
            </w:r>
          </w:p>
        </w:tc>
        <w:tc>
          <w:tcPr>
            <w:tcW w:w="2410"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3.841466</w:t>
            </w:r>
          </w:p>
        </w:tc>
        <w:tc>
          <w:tcPr>
            <w:tcW w:w="1099" w:type="dxa"/>
            <w:vAlign w:val="center"/>
          </w:tcPr>
          <w:p w:rsidR="00CB14C9" w:rsidRPr="007B4B77" w:rsidRDefault="00CB14C9" w:rsidP="00150A1A">
            <w:pPr>
              <w:spacing w:line="276" w:lineRule="auto"/>
              <w:jc w:val="center"/>
              <w:rPr>
                <w:rFonts w:asciiTheme="majorBidi" w:hAnsiTheme="majorBidi" w:cstheme="majorBidi"/>
                <w:sz w:val="24"/>
                <w:szCs w:val="24"/>
              </w:rPr>
            </w:pPr>
            <w:r w:rsidRPr="007B4B77">
              <w:rPr>
                <w:rFonts w:asciiTheme="majorBidi" w:hAnsiTheme="majorBidi" w:cstheme="majorBidi"/>
                <w:sz w:val="24"/>
                <w:szCs w:val="24"/>
              </w:rPr>
              <w:t>0.6213</w:t>
            </w:r>
          </w:p>
        </w:tc>
      </w:tr>
    </w:tbl>
    <w:p w:rsidR="00CB14C9" w:rsidRPr="007B4B77" w:rsidRDefault="00CB14C9" w:rsidP="00CB14C9">
      <w:pPr>
        <w:spacing w:line="276" w:lineRule="auto"/>
        <w:jc w:val="lowKashida"/>
        <w:rPr>
          <w:sz w:val="24"/>
          <w:szCs w:val="24"/>
          <w:lang w:val="en-US"/>
        </w:rPr>
      </w:pPr>
      <w:r w:rsidRPr="007B4B77">
        <w:rPr>
          <w:b/>
          <w:bCs/>
          <w:sz w:val="24"/>
          <w:szCs w:val="24"/>
          <w:lang w:val="en-US"/>
        </w:rPr>
        <w:t xml:space="preserve">Source: </w:t>
      </w:r>
      <w:r w:rsidRPr="007B4B77">
        <w:rPr>
          <w:sz w:val="24"/>
          <w:szCs w:val="24"/>
          <w:lang w:val="en-US"/>
        </w:rPr>
        <w:t xml:space="preserve">Prepared by the researchers, based on Eviews output. </w:t>
      </w:r>
    </w:p>
    <w:p w:rsidR="00CB14C9" w:rsidRPr="007B4B77" w:rsidRDefault="00CB14C9" w:rsidP="00CB14C9">
      <w:pPr>
        <w:spacing w:line="276" w:lineRule="auto"/>
        <w:jc w:val="lowKashida"/>
        <w:rPr>
          <w:rFonts w:asciiTheme="majorBidi" w:hAnsiTheme="majorBidi" w:cstheme="majorBidi"/>
          <w:sz w:val="24"/>
          <w:szCs w:val="24"/>
          <w:lang w:val="en-US"/>
        </w:rPr>
      </w:pPr>
      <w:r w:rsidRPr="007B4B77">
        <w:rPr>
          <w:rFonts w:asciiTheme="majorBidi" w:hAnsiTheme="majorBidi" w:cstheme="majorBidi"/>
          <w:sz w:val="24"/>
          <w:szCs w:val="24"/>
          <w:vertAlign w:val="superscript"/>
          <w:lang w:val="en-US"/>
        </w:rPr>
        <w:t>*</w:t>
      </w:r>
      <w:r w:rsidRPr="007B4B77">
        <w:rPr>
          <w:rFonts w:asciiTheme="majorBidi" w:hAnsiTheme="majorBidi" w:cstheme="majorBidi"/>
          <w:sz w:val="24"/>
          <w:szCs w:val="24"/>
          <w:lang w:val="en-US"/>
        </w:rPr>
        <w:t>denote rejection of the hypothesis at the 0.05 level</w:t>
      </w:r>
    </w:p>
    <w:p w:rsidR="00CB14C9" w:rsidRPr="0026642D" w:rsidRDefault="00CB14C9" w:rsidP="00CB14C9">
      <w:pPr>
        <w:spacing w:line="276" w:lineRule="auto"/>
        <w:ind w:firstLine="708"/>
        <w:jc w:val="lowKashida"/>
        <w:rPr>
          <w:rFonts w:asciiTheme="majorBidi" w:hAnsiTheme="majorBidi" w:cstheme="majorBidi"/>
          <w:sz w:val="26"/>
          <w:szCs w:val="26"/>
          <w:lang w:val="en-US"/>
        </w:rPr>
      </w:pPr>
      <w:r w:rsidRPr="0026642D">
        <w:rPr>
          <w:rFonts w:asciiTheme="majorBidi" w:hAnsiTheme="majorBidi" w:cstheme="majorBidi"/>
          <w:sz w:val="26"/>
          <w:szCs w:val="26"/>
          <w:lang w:val="en-US"/>
        </w:rPr>
        <w:t>Table(07) represents the</w:t>
      </w:r>
      <w:r w:rsidRPr="0026642D">
        <w:rPr>
          <w:sz w:val="26"/>
          <w:szCs w:val="26"/>
          <w:lang w:val="en-US"/>
        </w:rPr>
        <w:t xml:space="preserve"> Cointegration</w:t>
      </w:r>
      <w:r w:rsidRPr="0026642D">
        <w:rPr>
          <w:sz w:val="26"/>
          <w:szCs w:val="26"/>
          <w:lang w:val="en-US" w:bidi="ar-JO"/>
        </w:rPr>
        <w:t xml:space="preserve"> test results, as we see there are three</w:t>
      </w:r>
      <w:r w:rsidRPr="0026642D">
        <w:rPr>
          <w:sz w:val="26"/>
          <w:szCs w:val="26"/>
          <w:lang w:val="en-US"/>
        </w:rPr>
        <w:t xml:space="preserve"> Cointegration at a level of 5</w:t>
      </w:r>
      <w:r w:rsidRPr="0026642D">
        <w:rPr>
          <w:rFonts w:ascii="Aparajita" w:hAnsi="Aparajita" w:cs="Aparajita"/>
          <w:sz w:val="26"/>
          <w:szCs w:val="26"/>
          <w:lang w:val="en-US"/>
        </w:rPr>
        <w:t>%</w:t>
      </w:r>
      <w:r w:rsidRPr="0026642D">
        <w:rPr>
          <w:sz w:val="26"/>
          <w:szCs w:val="26"/>
          <w:lang w:val="en-US" w:bidi="ar-JO"/>
        </w:rPr>
        <w:t>,</w:t>
      </w:r>
      <w:r w:rsidRPr="0026642D">
        <w:rPr>
          <w:rFonts w:asciiTheme="majorBidi" w:hAnsiTheme="majorBidi" w:cstheme="majorBidi"/>
          <w:sz w:val="26"/>
          <w:szCs w:val="26"/>
          <w:lang w:val="en-US"/>
        </w:rPr>
        <w:t xml:space="preserve"> which means there is</w:t>
      </w:r>
      <w:r w:rsidRPr="0026642D">
        <w:rPr>
          <w:sz w:val="26"/>
          <w:szCs w:val="26"/>
          <w:lang w:val="en-US" w:bidi="ar-JO"/>
        </w:rPr>
        <w:t xml:space="preserve"> a </w:t>
      </w:r>
      <w:r w:rsidRPr="0026642D">
        <w:rPr>
          <w:rFonts w:asciiTheme="majorBidi" w:hAnsiTheme="majorBidi" w:cstheme="majorBidi"/>
          <w:sz w:val="26"/>
          <w:szCs w:val="26"/>
          <w:lang w:val="en-US"/>
        </w:rPr>
        <w:t>long-term relationship between the  FDI, market size, openness of economy, economic stability,</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,human capital,</w:t>
      </w:r>
      <w:r w:rsidRPr="0026642D">
        <w:rPr>
          <w:rFonts w:asciiTheme="majorBidi" w:hAnsiTheme="majorBidi" w:cstheme="majorBidi"/>
          <w:sz w:val="26"/>
          <w:szCs w:val="26"/>
          <w:lang w:val="en-US"/>
        </w:rPr>
        <w:t xml:space="preserve"> political stability, andquality of infrastructure</w:t>
      </w:r>
      <w:r w:rsidRPr="0026642D">
        <w:rPr>
          <w:sz w:val="26"/>
          <w:szCs w:val="26"/>
          <w:lang w:val="en-US" w:bidi="ar-JO"/>
        </w:rPr>
        <w:t>. Thus we reject the null</w:t>
      </w:r>
      <w:r w:rsidRPr="0026642D">
        <w:rPr>
          <w:rFonts w:asciiTheme="majorBidi" w:hAnsiTheme="majorBidi" w:cstheme="majorBidi"/>
          <w:sz w:val="26"/>
          <w:szCs w:val="26"/>
          <w:lang w:val="en-US"/>
        </w:rPr>
        <w:t xml:space="preserve"> hypothesis that says there is no cointegration between the variables of the study, and accept the alternativehypothesis that saysthere is cointegration between the variables of the study. </w:t>
      </w:r>
    </w:p>
    <w:p w:rsidR="00CB14C9" w:rsidRPr="00896C9A" w:rsidRDefault="00CB14C9" w:rsidP="00CB14C9">
      <w:pPr>
        <w:spacing w:line="276" w:lineRule="auto"/>
        <w:jc w:val="lowKashida"/>
        <w:rPr>
          <w:rFonts w:ascii="Arial" w:eastAsiaTheme="minorHAnsi" w:hAnsi="Arial" w:cs="Arial"/>
          <w:sz w:val="18"/>
          <w:szCs w:val="18"/>
          <w:lang w:val="en-US"/>
        </w:rPr>
      </w:pPr>
    </w:p>
    <w:p w:rsidR="00CB14C9" w:rsidRPr="007B4B77" w:rsidRDefault="00CB14C9" w:rsidP="00CB14C9">
      <w:pPr>
        <w:autoSpaceDE w:val="0"/>
        <w:autoSpaceDN w:val="0"/>
        <w:adjustRightInd w:val="0"/>
        <w:spacing w:line="276" w:lineRule="auto"/>
        <w:jc w:val="center"/>
        <w:rPr>
          <w:rFonts w:asciiTheme="majorBidi" w:eastAsiaTheme="minorHAnsi" w:hAnsiTheme="majorBidi" w:cstheme="majorBidi"/>
          <w:sz w:val="24"/>
          <w:szCs w:val="24"/>
          <w:lang w:eastAsia="fr-FR"/>
        </w:rPr>
      </w:pPr>
      <w:r w:rsidRPr="007B4B77">
        <w:rPr>
          <w:b/>
          <w:bCs/>
          <w:sz w:val="24"/>
          <w:szCs w:val="24"/>
        </w:rPr>
        <w:t xml:space="preserve">Table N°8. </w:t>
      </w:r>
      <w:r w:rsidRPr="007B4B77">
        <w:rPr>
          <w:rFonts w:asciiTheme="majorBidi" w:eastAsiaTheme="minorHAnsi" w:hAnsiTheme="majorBidi" w:cstheme="majorBidi"/>
          <w:b/>
          <w:bCs/>
          <w:sz w:val="24"/>
          <w:szCs w:val="24"/>
          <w:lang w:val="en-US"/>
        </w:rPr>
        <w:t xml:space="preserve">Regression Result </w:t>
      </w:r>
      <w:r w:rsidRPr="007B4B77">
        <w:rPr>
          <w:rFonts w:asciiTheme="majorBidi" w:eastAsiaTheme="minorHAnsi" w:hAnsiTheme="majorBidi" w:cstheme="majorBidi"/>
          <w:sz w:val="24"/>
          <w:szCs w:val="24"/>
          <w:lang w:eastAsia="fr-FR"/>
        </w:rPr>
        <w:br/>
      </w:r>
    </w:p>
    <w:tbl>
      <w:tblPr>
        <w:tblStyle w:val="Grilledutableau"/>
        <w:tblW w:w="0" w:type="auto"/>
        <w:jc w:val="center"/>
        <w:tblLook w:val="04A0"/>
      </w:tblPr>
      <w:tblGrid>
        <w:gridCol w:w="1670"/>
        <w:gridCol w:w="1888"/>
        <w:gridCol w:w="2551"/>
        <w:gridCol w:w="1645"/>
      </w:tblGrid>
      <w:tr w:rsidR="00CB14C9" w:rsidRPr="00F74DBF" w:rsidTr="00150A1A">
        <w:trPr>
          <w:trHeight w:val="514"/>
          <w:jc w:val="center"/>
        </w:trPr>
        <w:tc>
          <w:tcPr>
            <w:tcW w:w="7754" w:type="dxa"/>
            <w:gridSpan w:val="4"/>
          </w:tcPr>
          <w:p w:rsidR="00CB14C9" w:rsidRPr="007B4B77" w:rsidRDefault="00CB14C9" w:rsidP="00150A1A">
            <w:pPr>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Dependent variable : y</w:t>
            </w:r>
          </w:p>
        </w:tc>
      </w:tr>
      <w:tr w:rsidR="00CB14C9" w:rsidRPr="00F74DBF" w:rsidTr="00150A1A">
        <w:trPr>
          <w:trHeight w:val="223"/>
          <w:jc w:val="center"/>
        </w:trPr>
        <w:tc>
          <w:tcPr>
            <w:tcW w:w="1670" w:type="dxa"/>
          </w:tcPr>
          <w:p w:rsidR="00CB14C9" w:rsidRPr="007B4B77" w:rsidRDefault="00CB14C9" w:rsidP="00150A1A">
            <w:pPr>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variable</w:t>
            </w:r>
          </w:p>
        </w:tc>
        <w:tc>
          <w:tcPr>
            <w:tcW w:w="1888" w:type="dxa"/>
          </w:tcPr>
          <w:p w:rsidR="00CB14C9" w:rsidRPr="007B4B77" w:rsidRDefault="00CB14C9" w:rsidP="00150A1A">
            <w:pPr>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Coefficient</w:t>
            </w:r>
          </w:p>
        </w:tc>
        <w:tc>
          <w:tcPr>
            <w:tcW w:w="2551" w:type="dxa"/>
          </w:tcPr>
          <w:p w:rsidR="00CB14C9" w:rsidRPr="007B4B77" w:rsidRDefault="00CB14C9" w:rsidP="00150A1A">
            <w:pPr>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t- statistic</w:t>
            </w:r>
          </w:p>
        </w:tc>
        <w:tc>
          <w:tcPr>
            <w:tcW w:w="1645" w:type="dxa"/>
          </w:tcPr>
          <w:p w:rsidR="00CB14C9" w:rsidRPr="007B4B77" w:rsidRDefault="00CB14C9" w:rsidP="00150A1A">
            <w:pPr>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prob</w:t>
            </w:r>
          </w:p>
        </w:tc>
      </w:tr>
      <w:tr w:rsidR="00CB14C9" w:rsidRPr="003D7662" w:rsidTr="00150A1A">
        <w:trPr>
          <w:trHeight w:val="211"/>
          <w:jc w:val="center"/>
        </w:trPr>
        <w:tc>
          <w:tcPr>
            <w:tcW w:w="1670" w:type="dxa"/>
          </w:tcPr>
          <w:p w:rsidR="00CB14C9" w:rsidRPr="007B4B77" w:rsidRDefault="00CB14C9" w:rsidP="00150A1A">
            <w:pPr>
              <w:tabs>
                <w:tab w:val="center" w:pos="901"/>
              </w:tabs>
              <w:autoSpaceDE w:val="0"/>
              <w:autoSpaceDN w:val="0"/>
              <w:adjustRightInd w:val="0"/>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c</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-2239.682</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-2.468621</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0.0195</w:t>
            </w:r>
          </w:p>
        </w:tc>
      </w:tr>
      <w:tr w:rsidR="00CB14C9" w:rsidRPr="003D7662" w:rsidTr="00150A1A">
        <w:trPr>
          <w:trHeight w:val="211"/>
          <w:jc w:val="center"/>
        </w:trPr>
        <w:tc>
          <w:tcPr>
            <w:tcW w:w="1670" w:type="dxa"/>
          </w:tcPr>
          <w:p w:rsidR="00CB14C9" w:rsidRPr="007B4B77" w:rsidRDefault="00CB14C9" w:rsidP="00150A1A">
            <w:pPr>
              <w:tabs>
                <w:tab w:val="center" w:pos="901"/>
              </w:tabs>
              <w:autoSpaceDE w:val="0"/>
              <w:autoSpaceDN w:val="0"/>
              <w:adjustRightInd w:val="0"/>
              <w:spacing w:line="276" w:lineRule="auto"/>
              <w:jc w:val="center"/>
              <w:rPr>
                <w:rFonts w:asciiTheme="majorBidi" w:eastAsiaTheme="minorHAnsi" w:hAnsiTheme="majorBidi" w:cstheme="majorBidi"/>
                <w:b/>
                <w:bCs/>
                <w:sz w:val="24"/>
                <w:szCs w:val="24"/>
                <w:vertAlign w:val="subscript"/>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1</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0.300808</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3.181898</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0.0034</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2</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34.95256</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3.145034</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0.0037</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3</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-20.85225</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-1.600169</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0.1200</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4</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-0.001734</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-0.034345</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0.9728</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5</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15.57672</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2.729320</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0.0105</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hAnsiTheme="majorBidi" w:cstheme="majorBidi"/>
                <w:b/>
                <w:bCs/>
                <w:sz w:val="24"/>
                <w:szCs w:val="24"/>
              </w:rPr>
            </w:pPr>
            <w:r w:rsidRPr="007B4B77">
              <w:rPr>
                <w:rFonts w:asciiTheme="majorBidi" w:eastAsiaTheme="minorHAnsi" w:hAnsiTheme="majorBidi" w:cstheme="majorBidi"/>
                <w:b/>
                <w:bCs/>
                <w:sz w:val="24"/>
                <w:szCs w:val="24"/>
              </w:rPr>
              <w:lastRenderedPageBreak/>
              <w:t>X</w:t>
            </w:r>
            <w:r w:rsidRPr="007B4B77">
              <w:rPr>
                <w:rFonts w:asciiTheme="majorBidi" w:eastAsiaTheme="minorHAnsi" w:hAnsiTheme="majorBidi" w:cstheme="majorBidi"/>
                <w:b/>
                <w:bCs/>
                <w:sz w:val="24"/>
                <w:szCs w:val="24"/>
                <w:vertAlign w:val="subscript"/>
              </w:rPr>
              <w:t>6</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-246.0105</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-1.685805</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0.1022</w:t>
            </w:r>
          </w:p>
        </w:tc>
      </w:tr>
      <w:tr w:rsidR="00CB14C9" w:rsidRPr="003D7662" w:rsidTr="00150A1A">
        <w:trPr>
          <w:trHeight w:val="211"/>
          <w:jc w:val="center"/>
        </w:trPr>
        <w:tc>
          <w:tcPr>
            <w:tcW w:w="1670" w:type="dxa"/>
          </w:tcPr>
          <w:p w:rsidR="00CB14C9" w:rsidRPr="007B4B77" w:rsidRDefault="00CB14C9" w:rsidP="00150A1A">
            <w:pPr>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X</w:t>
            </w:r>
            <w:r w:rsidRPr="007B4B77">
              <w:rPr>
                <w:rFonts w:asciiTheme="majorBidi" w:eastAsiaTheme="minorHAnsi" w:hAnsiTheme="majorBidi" w:cstheme="majorBidi"/>
                <w:b/>
                <w:bCs/>
                <w:sz w:val="24"/>
                <w:szCs w:val="24"/>
                <w:vertAlign w:val="subscript"/>
              </w:rPr>
              <w:t>7</w:t>
            </w:r>
          </w:p>
        </w:tc>
        <w:tc>
          <w:tcPr>
            <w:tcW w:w="1888"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0.004695</w:t>
            </w:r>
          </w:p>
        </w:tc>
        <w:tc>
          <w:tcPr>
            <w:tcW w:w="2551"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0.257049</w:t>
            </w:r>
          </w:p>
        </w:tc>
        <w:tc>
          <w:tcPr>
            <w:tcW w:w="1645" w:type="dxa"/>
            <w:vAlign w:val="bottom"/>
          </w:tcPr>
          <w:p w:rsidR="00CB14C9" w:rsidRPr="007B4B77" w:rsidRDefault="00CB14C9" w:rsidP="00150A1A">
            <w:pPr>
              <w:autoSpaceDE w:val="0"/>
              <w:autoSpaceDN w:val="0"/>
              <w:adjustRightInd w:val="0"/>
              <w:spacing w:line="276" w:lineRule="auto"/>
              <w:ind w:right="10"/>
              <w:jc w:val="center"/>
              <w:rPr>
                <w:rFonts w:asciiTheme="majorBidi" w:eastAsiaTheme="minorHAnsi" w:hAnsiTheme="majorBidi" w:cstheme="majorBidi"/>
                <w:color w:val="000000"/>
                <w:sz w:val="24"/>
                <w:szCs w:val="24"/>
              </w:rPr>
            </w:pPr>
            <w:r w:rsidRPr="007B4B77">
              <w:rPr>
                <w:rFonts w:asciiTheme="majorBidi" w:eastAsiaTheme="minorHAnsi" w:hAnsiTheme="majorBidi" w:cstheme="majorBidi"/>
                <w:color w:val="000000"/>
                <w:sz w:val="24"/>
                <w:szCs w:val="24"/>
              </w:rPr>
              <w:t>0.7989</w:t>
            </w:r>
          </w:p>
        </w:tc>
      </w:tr>
      <w:tr w:rsidR="00CB14C9" w:rsidRPr="00D31782" w:rsidTr="00150A1A">
        <w:trPr>
          <w:trHeight w:val="384"/>
          <w:jc w:val="center"/>
        </w:trPr>
        <w:tc>
          <w:tcPr>
            <w:tcW w:w="1670" w:type="dxa"/>
            <w:vAlign w:val="bottom"/>
          </w:tcPr>
          <w:p w:rsidR="00CB14C9" w:rsidRPr="007B4B77" w:rsidRDefault="00CB14C9" w:rsidP="00150A1A">
            <w:pPr>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F-statistic</w:t>
            </w:r>
          </w:p>
        </w:tc>
        <w:tc>
          <w:tcPr>
            <w:tcW w:w="1888" w:type="dxa"/>
            <w:vAlign w:val="bottom"/>
          </w:tcPr>
          <w:p w:rsidR="00CB14C9" w:rsidRPr="007B4B77" w:rsidRDefault="00CB14C9" w:rsidP="00150A1A">
            <w:pPr>
              <w:spacing w:line="276" w:lineRule="auto"/>
              <w:ind w:right="10"/>
              <w:jc w:val="center"/>
              <w:rPr>
                <w:rFonts w:asciiTheme="majorBidi" w:eastAsiaTheme="minorHAnsi" w:hAnsiTheme="majorBidi" w:cstheme="majorBidi"/>
                <w:sz w:val="24"/>
                <w:szCs w:val="24"/>
              </w:rPr>
            </w:pPr>
            <w:r w:rsidRPr="007B4B77">
              <w:rPr>
                <w:rFonts w:asciiTheme="majorBidi" w:eastAsiaTheme="minorHAnsi" w:hAnsiTheme="majorBidi" w:cstheme="majorBidi"/>
                <w:sz w:val="24"/>
                <w:szCs w:val="24"/>
              </w:rPr>
              <w:t>11.92350</w:t>
            </w:r>
          </w:p>
        </w:tc>
        <w:tc>
          <w:tcPr>
            <w:tcW w:w="2551" w:type="dxa"/>
            <w:vAlign w:val="bottom"/>
          </w:tcPr>
          <w:p w:rsidR="00CB14C9" w:rsidRPr="007B4B77" w:rsidRDefault="00CB14C9" w:rsidP="00150A1A">
            <w:pPr>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R-squared</w:t>
            </w:r>
          </w:p>
        </w:tc>
        <w:tc>
          <w:tcPr>
            <w:tcW w:w="1645" w:type="dxa"/>
            <w:vAlign w:val="bottom"/>
          </w:tcPr>
          <w:p w:rsidR="00CB14C9" w:rsidRPr="007B4B77" w:rsidRDefault="00CB14C9" w:rsidP="00150A1A">
            <w:pPr>
              <w:spacing w:line="276" w:lineRule="auto"/>
              <w:ind w:right="10"/>
              <w:jc w:val="center"/>
              <w:rPr>
                <w:rFonts w:asciiTheme="majorBidi" w:eastAsiaTheme="minorHAnsi" w:hAnsiTheme="majorBidi" w:cstheme="majorBidi"/>
                <w:sz w:val="24"/>
                <w:szCs w:val="24"/>
              </w:rPr>
            </w:pPr>
            <w:r w:rsidRPr="007B4B77">
              <w:rPr>
                <w:rFonts w:asciiTheme="majorBidi" w:eastAsiaTheme="minorHAnsi" w:hAnsiTheme="majorBidi" w:cstheme="majorBidi"/>
                <w:sz w:val="24"/>
                <w:szCs w:val="24"/>
              </w:rPr>
              <w:t>0.735600</w:t>
            </w:r>
          </w:p>
        </w:tc>
      </w:tr>
      <w:tr w:rsidR="00CB14C9" w:rsidRPr="00D31782" w:rsidTr="00150A1A">
        <w:trPr>
          <w:trHeight w:val="329"/>
          <w:jc w:val="center"/>
        </w:trPr>
        <w:tc>
          <w:tcPr>
            <w:tcW w:w="1670" w:type="dxa"/>
            <w:vAlign w:val="bottom"/>
          </w:tcPr>
          <w:p w:rsidR="00CB14C9" w:rsidRPr="007B4B77" w:rsidRDefault="00CB14C9" w:rsidP="00150A1A">
            <w:pPr>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Prob (F-statistic)</w:t>
            </w:r>
          </w:p>
        </w:tc>
        <w:tc>
          <w:tcPr>
            <w:tcW w:w="1888" w:type="dxa"/>
            <w:vAlign w:val="bottom"/>
          </w:tcPr>
          <w:p w:rsidR="00CB14C9" w:rsidRPr="007B4B77" w:rsidRDefault="00CB14C9" w:rsidP="00150A1A">
            <w:pPr>
              <w:spacing w:line="276" w:lineRule="auto"/>
              <w:ind w:right="10"/>
              <w:jc w:val="center"/>
              <w:rPr>
                <w:rFonts w:asciiTheme="majorBidi" w:eastAsiaTheme="minorHAnsi" w:hAnsiTheme="majorBidi" w:cstheme="majorBidi"/>
                <w:sz w:val="24"/>
                <w:szCs w:val="24"/>
              </w:rPr>
            </w:pPr>
            <w:r w:rsidRPr="007B4B77">
              <w:rPr>
                <w:rFonts w:asciiTheme="majorBidi" w:eastAsiaTheme="minorHAnsi" w:hAnsiTheme="majorBidi" w:cstheme="majorBidi"/>
                <w:sz w:val="24"/>
                <w:szCs w:val="24"/>
              </w:rPr>
              <w:t>0.000000</w:t>
            </w:r>
          </w:p>
        </w:tc>
        <w:tc>
          <w:tcPr>
            <w:tcW w:w="2551" w:type="dxa"/>
            <w:vAlign w:val="bottom"/>
          </w:tcPr>
          <w:p w:rsidR="00CB14C9" w:rsidRPr="007B4B77" w:rsidRDefault="00CB14C9" w:rsidP="00150A1A">
            <w:pPr>
              <w:spacing w:line="276" w:lineRule="auto"/>
              <w:jc w:val="center"/>
              <w:rPr>
                <w:rFonts w:asciiTheme="majorBidi" w:eastAsiaTheme="minorHAnsi" w:hAnsiTheme="majorBidi" w:cstheme="majorBidi"/>
                <w:b/>
                <w:bCs/>
                <w:sz w:val="24"/>
                <w:szCs w:val="24"/>
              </w:rPr>
            </w:pPr>
            <w:r w:rsidRPr="007B4B77">
              <w:rPr>
                <w:rFonts w:asciiTheme="majorBidi" w:eastAsiaTheme="minorHAnsi" w:hAnsiTheme="majorBidi" w:cstheme="majorBidi"/>
                <w:b/>
                <w:bCs/>
                <w:sz w:val="24"/>
                <w:szCs w:val="24"/>
              </w:rPr>
              <w:t>Adjusted R-squared</w:t>
            </w:r>
          </w:p>
        </w:tc>
        <w:tc>
          <w:tcPr>
            <w:tcW w:w="1645" w:type="dxa"/>
            <w:vAlign w:val="bottom"/>
          </w:tcPr>
          <w:p w:rsidR="00CB14C9" w:rsidRPr="007B4B77" w:rsidRDefault="00CB14C9" w:rsidP="00150A1A">
            <w:pPr>
              <w:spacing w:line="276" w:lineRule="auto"/>
              <w:ind w:right="10"/>
              <w:jc w:val="center"/>
              <w:rPr>
                <w:rFonts w:asciiTheme="majorBidi" w:eastAsiaTheme="minorHAnsi" w:hAnsiTheme="majorBidi" w:cstheme="majorBidi"/>
                <w:sz w:val="24"/>
                <w:szCs w:val="24"/>
              </w:rPr>
            </w:pPr>
            <w:r w:rsidRPr="007B4B77">
              <w:rPr>
                <w:rFonts w:asciiTheme="majorBidi" w:eastAsiaTheme="minorHAnsi" w:hAnsiTheme="majorBidi" w:cstheme="majorBidi"/>
                <w:sz w:val="24"/>
                <w:szCs w:val="24"/>
              </w:rPr>
              <w:t>0.673907</w:t>
            </w:r>
          </w:p>
        </w:tc>
      </w:tr>
    </w:tbl>
    <w:p w:rsidR="00CB14C9" w:rsidRPr="007B4B77" w:rsidRDefault="00CB14C9" w:rsidP="00CB14C9">
      <w:pPr>
        <w:spacing w:line="276" w:lineRule="auto"/>
        <w:jc w:val="both"/>
        <w:rPr>
          <w:sz w:val="24"/>
          <w:szCs w:val="24"/>
          <w:lang w:val="en-US"/>
        </w:rPr>
      </w:pPr>
      <w:r w:rsidRPr="007B4B77">
        <w:rPr>
          <w:b/>
          <w:bCs/>
          <w:sz w:val="24"/>
          <w:szCs w:val="24"/>
          <w:lang w:val="en-US"/>
        </w:rPr>
        <w:t xml:space="preserve">Source: </w:t>
      </w:r>
      <w:r w:rsidRPr="007B4B77">
        <w:rPr>
          <w:sz w:val="24"/>
          <w:szCs w:val="24"/>
          <w:lang w:val="en-US"/>
        </w:rPr>
        <w:t>Prepared by the researchers, based on Eviews output.</w:t>
      </w:r>
    </w:p>
    <w:p w:rsidR="00CB14C9" w:rsidRPr="0026642D" w:rsidRDefault="00CB14C9" w:rsidP="00CB14C9">
      <w:pPr>
        <w:spacing w:line="276" w:lineRule="auto"/>
        <w:jc w:val="both"/>
        <w:rPr>
          <w:rFonts w:asciiTheme="majorBidi" w:hAnsiTheme="majorBidi" w:cstheme="majorBidi"/>
          <w:sz w:val="26"/>
          <w:szCs w:val="26"/>
          <w:lang w:val="en-US"/>
        </w:rPr>
      </w:pPr>
      <w:r w:rsidRPr="00A6732E">
        <w:rPr>
          <w:rFonts w:eastAsiaTheme="minorHAnsi"/>
          <w:sz w:val="26"/>
          <w:szCs w:val="26"/>
          <w:lang w:val="en-US"/>
        </w:rPr>
        <w:br/>
      </w:r>
      <w:r>
        <w:rPr>
          <w:rFonts w:eastAsiaTheme="minorHAnsi"/>
          <w:sz w:val="26"/>
          <w:szCs w:val="26"/>
          <w:lang w:val="en-US"/>
        </w:rPr>
        <w:tab/>
        <w:t>The results show that market size, openness of economy, capital human have a positive and significant (1</w:t>
      </w:r>
      <w:r>
        <w:rPr>
          <w:rFonts w:ascii="Aparajita" w:eastAsiaTheme="minorHAnsi" w:hAnsi="Aparajita" w:cs="Aparajita"/>
          <w:sz w:val="26"/>
          <w:szCs w:val="26"/>
          <w:lang w:val="en-US"/>
        </w:rPr>
        <w:t>%</w:t>
      </w:r>
      <w:r>
        <w:rPr>
          <w:rFonts w:eastAsiaTheme="minorHAnsi"/>
          <w:sz w:val="26"/>
          <w:szCs w:val="26"/>
          <w:lang w:val="en-US"/>
        </w:rPr>
        <w:t>, 1</w:t>
      </w:r>
      <w:r>
        <w:rPr>
          <w:rFonts w:ascii="Aparajita" w:eastAsiaTheme="minorHAnsi" w:hAnsi="Aparajita" w:cs="Aparajita"/>
          <w:sz w:val="26"/>
          <w:szCs w:val="26"/>
          <w:lang w:val="en-US"/>
        </w:rPr>
        <w:t>%</w:t>
      </w:r>
      <w:r>
        <w:rPr>
          <w:rFonts w:eastAsiaTheme="minorHAnsi"/>
          <w:sz w:val="26"/>
          <w:szCs w:val="26"/>
          <w:lang w:val="en-US"/>
        </w:rPr>
        <w:t>, 5</w:t>
      </w:r>
      <w:r>
        <w:rPr>
          <w:rFonts w:ascii="Aparajita" w:eastAsiaTheme="minorHAnsi" w:hAnsi="Aparajita" w:cs="Aparajita"/>
          <w:sz w:val="26"/>
          <w:szCs w:val="26"/>
          <w:lang w:val="en-US"/>
        </w:rPr>
        <w:t>%,</w:t>
      </w:r>
      <w:r>
        <w:rPr>
          <w:rFonts w:eastAsiaTheme="minorHAnsi"/>
          <w:sz w:val="26"/>
          <w:szCs w:val="26"/>
          <w:lang w:val="en-US"/>
        </w:rPr>
        <w:t xml:space="preserve"> respectively) effects on foreign direct investment inflows in Algeria, where inflation, </w:t>
      </w:r>
      <w:r w:rsidRPr="00102D99">
        <w:rPr>
          <w:rFonts w:asciiTheme="majorBidi" w:hAnsiTheme="majorBidi" w:cstheme="majorBidi"/>
          <w:color w:val="000000"/>
          <w:sz w:val="26"/>
          <w:szCs w:val="26"/>
          <w:lang w:val="en-US"/>
        </w:rPr>
        <w:t>credit provided by financial sector</w:t>
      </w:r>
      <w:r>
        <w:rPr>
          <w:rFonts w:asciiTheme="majorBidi" w:hAnsiTheme="majorBidi" w:cstheme="majorBidi"/>
          <w:color w:val="000000"/>
          <w:sz w:val="26"/>
          <w:szCs w:val="26"/>
          <w:lang w:val="en-US"/>
        </w:rPr>
        <w:t xml:space="preserve">, </w:t>
      </w:r>
      <w:r w:rsidRPr="0026642D">
        <w:rPr>
          <w:rFonts w:asciiTheme="majorBidi" w:hAnsiTheme="majorBidi" w:cstheme="majorBidi"/>
          <w:sz w:val="26"/>
          <w:szCs w:val="26"/>
          <w:lang w:val="en-US"/>
        </w:rPr>
        <w:t xml:space="preserve">Military expenditure have negative effects on FDI inflows, but are not significant at any level, also Air transport as a proxy of infrastructure has a positive effect on FDI inflows but is not significant at any level. </w:t>
      </w:r>
      <w:r w:rsidRPr="00A6732E">
        <w:rPr>
          <w:rFonts w:eastAsiaTheme="minorHAnsi"/>
          <w:sz w:val="26"/>
          <w:szCs w:val="26"/>
          <w:lang w:val="en-US"/>
        </w:rPr>
        <w:t xml:space="preserve">GDPper capita </w:t>
      </w:r>
      <w:r>
        <w:rPr>
          <w:rFonts w:eastAsiaTheme="minorHAnsi"/>
          <w:sz w:val="26"/>
          <w:szCs w:val="26"/>
          <w:lang w:val="en-US"/>
        </w:rPr>
        <w:t>as an indicator for market size has a positive and significant effect on foreign direct investment inflows at a level of 1</w:t>
      </w:r>
      <w:r>
        <w:rPr>
          <w:rFonts w:ascii="Aparajita" w:eastAsiaTheme="minorHAnsi" w:hAnsi="Aparajita" w:cs="Aparajita"/>
          <w:sz w:val="26"/>
          <w:szCs w:val="26"/>
          <w:lang w:val="en-US"/>
        </w:rPr>
        <w:t>%</w:t>
      </w:r>
      <w:r>
        <w:rPr>
          <w:rFonts w:eastAsiaTheme="minorHAnsi"/>
          <w:sz w:val="26"/>
          <w:szCs w:val="26"/>
          <w:lang w:val="en-US"/>
        </w:rPr>
        <w:t xml:space="preserve">, this means that Algeria foreign direct investment inflows will increase by </w:t>
      </w:r>
      <w:r w:rsidRPr="00190EA6">
        <w:rPr>
          <w:rFonts w:asciiTheme="majorBidi" w:eastAsiaTheme="minorHAnsi" w:hAnsiTheme="majorBidi" w:cstheme="majorBidi"/>
          <w:color w:val="000000"/>
          <w:lang w:val="en-US"/>
        </w:rPr>
        <w:t>0.300808</w:t>
      </w:r>
      <w:r>
        <w:rPr>
          <w:rFonts w:eastAsiaTheme="minorHAnsi"/>
          <w:sz w:val="26"/>
          <w:szCs w:val="26"/>
          <w:lang w:val="en-US"/>
        </w:rPr>
        <w:t xml:space="preserve"> if </w:t>
      </w:r>
      <w:r w:rsidRPr="00A6732E">
        <w:rPr>
          <w:rFonts w:eastAsiaTheme="minorHAnsi"/>
          <w:sz w:val="26"/>
          <w:szCs w:val="26"/>
          <w:lang w:val="en-US"/>
        </w:rPr>
        <w:t>GDPper capita</w:t>
      </w:r>
      <w:r>
        <w:rPr>
          <w:rFonts w:eastAsiaTheme="minorHAnsi"/>
          <w:sz w:val="26"/>
          <w:szCs w:val="26"/>
          <w:lang w:val="en-US"/>
        </w:rPr>
        <w:t xml:space="preserve"> raises by a unit. So market size is an important determinant of FDI inflows in Algeria, a higher GDP per capita means higher effective demand and purchasing power, the literature confirms that market size is an important determinant of FDI inflows in the host country</w:t>
      </w:r>
      <w:sdt>
        <w:sdtPr>
          <w:rPr>
            <w:rFonts w:eastAsiaTheme="minorHAnsi"/>
            <w:sz w:val="26"/>
            <w:szCs w:val="26"/>
            <w:lang w:val="en-US"/>
          </w:rPr>
          <w:id w:val="-543298899"/>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Sin95 \p 14 \l 1036 </w:instrText>
          </w:r>
          <w:r w:rsidR="00274750">
            <w:rPr>
              <w:rFonts w:eastAsiaTheme="minorHAnsi"/>
              <w:sz w:val="26"/>
              <w:szCs w:val="26"/>
              <w:lang w:val="en-US"/>
            </w:rPr>
            <w:fldChar w:fldCharType="separate"/>
          </w:r>
          <w:r w:rsidRPr="00EF0A8D">
            <w:rPr>
              <w:rFonts w:eastAsiaTheme="minorHAnsi"/>
              <w:noProof/>
              <w:sz w:val="26"/>
              <w:szCs w:val="26"/>
              <w:lang w:val="en-US"/>
            </w:rPr>
            <w:t>(Singh, 1995, p. 14)</w:t>
          </w:r>
          <w:r w:rsidR="00274750">
            <w:rPr>
              <w:rFonts w:eastAsiaTheme="minorHAnsi"/>
              <w:sz w:val="26"/>
              <w:szCs w:val="26"/>
              <w:lang w:val="en-US"/>
            </w:rPr>
            <w:fldChar w:fldCharType="end"/>
          </w:r>
        </w:sdtContent>
      </w:sdt>
      <w:r>
        <w:rPr>
          <w:rFonts w:eastAsiaTheme="minorHAnsi"/>
          <w:sz w:val="26"/>
          <w:szCs w:val="26"/>
          <w:lang w:val="en-US"/>
        </w:rPr>
        <w:t>,</w:t>
      </w:r>
      <w:sdt>
        <w:sdtPr>
          <w:rPr>
            <w:rFonts w:eastAsiaTheme="minorHAnsi"/>
            <w:sz w:val="26"/>
            <w:szCs w:val="26"/>
            <w:lang w:val="en-US"/>
          </w:rPr>
          <w:id w:val="-878787456"/>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Cul88 \p 885-904 \l 1036 </w:instrText>
          </w:r>
          <w:r w:rsidR="00274750">
            <w:rPr>
              <w:rFonts w:eastAsiaTheme="minorHAnsi"/>
              <w:sz w:val="26"/>
              <w:szCs w:val="26"/>
              <w:lang w:val="en-US"/>
            </w:rPr>
            <w:fldChar w:fldCharType="separate"/>
          </w:r>
          <w:r w:rsidRPr="00EF0A8D">
            <w:rPr>
              <w:rFonts w:eastAsiaTheme="minorHAnsi"/>
              <w:noProof/>
              <w:sz w:val="26"/>
              <w:szCs w:val="26"/>
              <w:lang w:val="en-US"/>
            </w:rPr>
            <w:t>(Culem, 1988, pp. 885-904)</w:t>
          </w:r>
          <w:r w:rsidR="00274750">
            <w:rPr>
              <w:rFonts w:eastAsiaTheme="minorHAnsi"/>
              <w:sz w:val="26"/>
              <w:szCs w:val="26"/>
              <w:lang w:val="en-US"/>
            </w:rPr>
            <w:fldChar w:fldCharType="end"/>
          </w:r>
        </w:sdtContent>
      </w:sdt>
      <w:r>
        <w:rPr>
          <w:rFonts w:eastAsiaTheme="minorHAnsi"/>
          <w:sz w:val="26"/>
          <w:szCs w:val="26"/>
          <w:lang w:val="en-US"/>
        </w:rPr>
        <w:t xml:space="preserve">, </w:t>
      </w:r>
      <w:sdt>
        <w:sdtPr>
          <w:rPr>
            <w:rFonts w:eastAsiaTheme="minorHAnsi"/>
            <w:sz w:val="26"/>
            <w:szCs w:val="26"/>
            <w:lang w:val="en-US"/>
          </w:rPr>
          <w:id w:val="1780595858"/>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Lia12 \p 327 \l 1036 </w:instrText>
          </w:r>
          <w:r w:rsidR="00274750">
            <w:rPr>
              <w:rFonts w:eastAsiaTheme="minorHAnsi"/>
              <w:sz w:val="26"/>
              <w:szCs w:val="26"/>
              <w:lang w:val="en-US"/>
            </w:rPr>
            <w:fldChar w:fldCharType="separate"/>
          </w:r>
          <w:r w:rsidRPr="00EF0A8D">
            <w:rPr>
              <w:rFonts w:eastAsiaTheme="minorHAnsi"/>
              <w:noProof/>
              <w:sz w:val="26"/>
              <w:szCs w:val="26"/>
              <w:lang w:val="en-US"/>
            </w:rPr>
            <w:t>(Liargovas &amp; Skandalis, 2012, p. 327)</w:t>
          </w:r>
          <w:r w:rsidR="00274750">
            <w:rPr>
              <w:rFonts w:eastAsiaTheme="minorHAnsi"/>
              <w:sz w:val="26"/>
              <w:szCs w:val="26"/>
              <w:lang w:val="en-US"/>
            </w:rPr>
            <w:fldChar w:fldCharType="end"/>
          </w:r>
        </w:sdtContent>
      </w:sdt>
      <w:r>
        <w:rPr>
          <w:rFonts w:eastAsiaTheme="minorHAnsi"/>
          <w:sz w:val="26"/>
          <w:szCs w:val="26"/>
          <w:lang w:val="en-US"/>
        </w:rPr>
        <w:t>.</w:t>
      </w:r>
    </w:p>
    <w:p w:rsidR="00CB14C9" w:rsidRPr="00622A9C" w:rsidRDefault="00CB14C9" w:rsidP="00CB14C9">
      <w:pPr>
        <w:spacing w:line="276" w:lineRule="auto"/>
        <w:ind w:firstLine="708"/>
        <w:jc w:val="both"/>
        <w:rPr>
          <w:rFonts w:eastAsiaTheme="minorHAnsi"/>
          <w:sz w:val="26"/>
          <w:szCs w:val="26"/>
          <w:lang w:val="en-US"/>
        </w:rPr>
      </w:pPr>
      <w:r w:rsidRPr="0026642D">
        <w:rPr>
          <w:rFonts w:asciiTheme="majorBidi" w:hAnsiTheme="majorBidi" w:cstheme="majorBidi"/>
          <w:sz w:val="26"/>
          <w:szCs w:val="26"/>
          <w:lang w:val="en-US"/>
        </w:rPr>
        <w:t xml:space="preserve">Merchandise trade as proxy for openness of economy has </w:t>
      </w:r>
      <w:r>
        <w:rPr>
          <w:rFonts w:eastAsiaTheme="minorHAnsi"/>
          <w:sz w:val="26"/>
          <w:szCs w:val="26"/>
          <w:lang w:val="en-US"/>
        </w:rPr>
        <w:t>a positive and significant relationship with Algeria foreign direct investment inflows at a level of 1</w:t>
      </w:r>
      <w:r>
        <w:rPr>
          <w:rFonts w:ascii="Aparajita" w:eastAsiaTheme="minorHAnsi" w:hAnsi="Aparajita" w:cs="Aparajita"/>
          <w:sz w:val="26"/>
          <w:szCs w:val="26"/>
          <w:lang w:val="en-US"/>
        </w:rPr>
        <w:t>%</w:t>
      </w:r>
      <w:r>
        <w:rPr>
          <w:rFonts w:eastAsiaTheme="minorHAnsi"/>
          <w:sz w:val="26"/>
          <w:szCs w:val="26"/>
          <w:lang w:val="en-US"/>
        </w:rPr>
        <w:t>, this result is consistent with previous studies</w:t>
      </w:r>
      <w:sdt>
        <w:sdtPr>
          <w:rPr>
            <w:rFonts w:eastAsiaTheme="minorHAnsi"/>
            <w:sz w:val="26"/>
            <w:szCs w:val="26"/>
            <w:lang w:val="en-US"/>
          </w:rPr>
          <w:id w:val="-2091076325"/>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Moo06 \p 199-211 \l 1036 </w:instrText>
          </w:r>
          <w:r w:rsidR="00274750">
            <w:rPr>
              <w:rFonts w:eastAsiaTheme="minorHAnsi"/>
              <w:sz w:val="26"/>
              <w:szCs w:val="26"/>
              <w:lang w:val="en-US"/>
            </w:rPr>
            <w:fldChar w:fldCharType="separate"/>
          </w:r>
          <w:r w:rsidRPr="00EF0A8D">
            <w:rPr>
              <w:rFonts w:eastAsiaTheme="minorHAnsi"/>
              <w:noProof/>
              <w:sz w:val="26"/>
              <w:szCs w:val="26"/>
              <w:lang w:val="en-US"/>
            </w:rPr>
            <w:t>(Moosa, 2006, pp. 199-211)</w:t>
          </w:r>
          <w:r w:rsidR="00274750">
            <w:rPr>
              <w:rFonts w:eastAsiaTheme="minorHAnsi"/>
              <w:sz w:val="26"/>
              <w:szCs w:val="26"/>
              <w:lang w:val="en-US"/>
            </w:rPr>
            <w:fldChar w:fldCharType="end"/>
          </w:r>
        </w:sdtContent>
      </w:sdt>
      <w:r>
        <w:rPr>
          <w:rFonts w:eastAsiaTheme="minorHAnsi"/>
          <w:sz w:val="26"/>
          <w:szCs w:val="26"/>
          <w:lang w:val="en-US"/>
        </w:rPr>
        <w:t xml:space="preserve">, </w:t>
      </w:r>
      <w:sdt>
        <w:sdtPr>
          <w:rPr>
            <w:rFonts w:eastAsiaTheme="minorHAnsi"/>
            <w:sz w:val="26"/>
            <w:szCs w:val="26"/>
            <w:lang w:val="en-US"/>
          </w:rPr>
          <w:id w:val="-268471624"/>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Cha10 \p 533 \l 1036 </w:instrText>
          </w:r>
          <w:r w:rsidR="00274750">
            <w:rPr>
              <w:rFonts w:eastAsiaTheme="minorHAnsi"/>
              <w:sz w:val="26"/>
              <w:szCs w:val="26"/>
              <w:lang w:val="en-US"/>
            </w:rPr>
            <w:fldChar w:fldCharType="separate"/>
          </w:r>
          <w:r w:rsidRPr="00B319FE">
            <w:rPr>
              <w:rFonts w:eastAsiaTheme="minorHAnsi"/>
              <w:noProof/>
              <w:sz w:val="26"/>
              <w:szCs w:val="26"/>
              <w:lang w:val="en-US"/>
            </w:rPr>
            <w:t>(Chantasasawat, 2010, p. 533)</w:t>
          </w:r>
          <w:r w:rsidR="00274750">
            <w:rPr>
              <w:rFonts w:eastAsiaTheme="minorHAnsi"/>
              <w:sz w:val="26"/>
              <w:szCs w:val="26"/>
              <w:lang w:val="en-US"/>
            </w:rPr>
            <w:fldChar w:fldCharType="end"/>
          </w:r>
        </w:sdtContent>
      </w:sdt>
      <w:r>
        <w:rPr>
          <w:rFonts w:eastAsiaTheme="minorHAnsi" w:hint="cs"/>
          <w:sz w:val="26"/>
          <w:szCs w:val="26"/>
          <w:rtl/>
          <w:lang w:val="en-US" w:bidi="ar-DZ"/>
        </w:rPr>
        <w:t xml:space="preserve"> ،</w:t>
      </w:r>
      <w:sdt>
        <w:sdtPr>
          <w:rPr>
            <w:rFonts w:eastAsiaTheme="minorHAnsi" w:hint="cs"/>
            <w:sz w:val="26"/>
            <w:szCs w:val="26"/>
            <w:lang w:val="en-US" w:bidi="ar-DZ"/>
          </w:rPr>
          <w:id w:val="133685593"/>
          <w:citation/>
        </w:sdtPr>
        <w:sdtContent>
          <w:r w:rsidR="00274750">
            <w:rPr>
              <w:rFonts w:eastAsiaTheme="minorHAnsi"/>
              <w:sz w:val="26"/>
              <w:szCs w:val="26"/>
              <w:lang w:val="en-US" w:bidi="ar-DZ"/>
            </w:rPr>
            <w:fldChar w:fldCharType="begin"/>
          </w:r>
          <w:r>
            <w:rPr>
              <w:rFonts w:eastAsiaTheme="minorHAnsi"/>
              <w:sz w:val="26"/>
              <w:szCs w:val="26"/>
              <w:lang w:val="en-US"/>
            </w:rPr>
            <w:instrText xml:space="preserve">CITATION Sri11 \p 26 \l 1036 </w:instrText>
          </w:r>
          <w:r w:rsidR="00274750">
            <w:rPr>
              <w:rFonts w:eastAsiaTheme="minorHAnsi"/>
              <w:sz w:val="26"/>
              <w:szCs w:val="26"/>
              <w:lang w:val="en-US" w:bidi="ar-DZ"/>
            </w:rPr>
            <w:fldChar w:fldCharType="separate"/>
          </w:r>
          <w:r w:rsidRPr="00B319FE">
            <w:rPr>
              <w:rFonts w:eastAsiaTheme="minorHAnsi"/>
              <w:noProof/>
              <w:sz w:val="26"/>
              <w:szCs w:val="26"/>
              <w:lang w:val="en-US" w:bidi="ar-DZ"/>
            </w:rPr>
            <w:t>(Srinivasan, 2011, p. 26)</w:t>
          </w:r>
          <w:r w:rsidR="00274750">
            <w:rPr>
              <w:rFonts w:eastAsiaTheme="minorHAnsi"/>
              <w:sz w:val="26"/>
              <w:szCs w:val="26"/>
              <w:lang w:val="en-US" w:bidi="ar-DZ"/>
            </w:rPr>
            <w:fldChar w:fldCharType="end"/>
          </w:r>
        </w:sdtContent>
      </w:sdt>
      <w:r>
        <w:rPr>
          <w:rFonts w:eastAsiaTheme="minorHAnsi"/>
          <w:sz w:val="26"/>
          <w:szCs w:val="26"/>
          <w:lang w:val="en-US"/>
        </w:rPr>
        <w:t>, thus trade openness is an essential  determinant of FDI inflows in Algeria, foreign investors are more attracted to countries that opened up to the outside world, a high value indicates openness to trade, and it is a motivating factor for foreign investors.</w:t>
      </w:r>
      <w:sdt>
        <w:sdtPr>
          <w:rPr>
            <w:rFonts w:eastAsiaTheme="minorHAnsi"/>
            <w:sz w:val="26"/>
            <w:szCs w:val="26"/>
            <w:lang w:val="en-US"/>
          </w:rPr>
          <w:id w:val="-1151214358"/>
          <w:citation/>
        </w:sdtPr>
        <w:sdtContent>
          <w:r w:rsidR="00274750">
            <w:rPr>
              <w:rFonts w:eastAsiaTheme="minorHAnsi"/>
              <w:sz w:val="26"/>
              <w:szCs w:val="26"/>
              <w:lang w:val="en-US"/>
            </w:rPr>
            <w:fldChar w:fldCharType="begin"/>
          </w:r>
          <w:r w:rsidRPr="00732ABD">
            <w:rPr>
              <w:rFonts w:eastAsiaTheme="minorHAnsi"/>
              <w:sz w:val="26"/>
              <w:szCs w:val="26"/>
              <w:lang w:val="en-US"/>
            </w:rPr>
            <w:instrText xml:space="preserve"> CITATION Cav96 \l 1036 </w:instrText>
          </w:r>
          <w:r w:rsidR="00274750">
            <w:rPr>
              <w:rFonts w:eastAsiaTheme="minorHAnsi"/>
              <w:sz w:val="26"/>
              <w:szCs w:val="26"/>
              <w:lang w:val="en-US"/>
            </w:rPr>
            <w:fldChar w:fldCharType="separate"/>
          </w:r>
          <w:r w:rsidRPr="00EF0A8D">
            <w:rPr>
              <w:rFonts w:eastAsiaTheme="minorHAnsi"/>
              <w:noProof/>
              <w:sz w:val="26"/>
              <w:szCs w:val="26"/>
              <w:lang w:val="en-US"/>
            </w:rPr>
            <w:t>(Caves, 1996)</w:t>
          </w:r>
          <w:r w:rsidR="00274750">
            <w:rPr>
              <w:rFonts w:eastAsiaTheme="minorHAnsi"/>
              <w:sz w:val="26"/>
              <w:szCs w:val="26"/>
              <w:lang w:val="en-US"/>
            </w:rPr>
            <w:fldChar w:fldCharType="end"/>
          </w:r>
        </w:sdtContent>
      </w:sdt>
      <w:r>
        <w:rPr>
          <w:rFonts w:eastAsiaTheme="minorHAnsi"/>
          <w:sz w:val="26"/>
          <w:szCs w:val="26"/>
          <w:lang w:val="en-US"/>
        </w:rPr>
        <w:t xml:space="preserve">. Capital human has positive and significant relationshipswith Algeria foreign direct investment </w:t>
      </w:r>
      <w:r>
        <w:rPr>
          <w:rFonts w:eastAsiaTheme="minorHAnsi"/>
          <w:sz w:val="26"/>
          <w:szCs w:val="26"/>
          <w:lang w:val="en-US"/>
        </w:rPr>
        <w:lastRenderedPageBreak/>
        <w:t>inflows at level 5</w:t>
      </w:r>
      <w:r>
        <w:rPr>
          <w:rFonts w:ascii="Aparajita" w:eastAsiaTheme="minorHAnsi" w:hAnsi="Aparajita" w:cs="Aparajita"/>
          <w:sz w:val="26"/>
          <w:szCs w:val="26"/>
          <w:lang w:val="en-US"/>
        </w:rPr>
        <w:t>%</w:t>
      </w:r>
      <w:r>
        <w:rPr>
          <w:rFonts w:eastAsiaTheme="minorHAnsi"/>
          <w:sz w:val="26"/>
          <w:szCs w:val="26"/>
          <w:lang w:val="en-US"/>
        </w:rPr>
        <w:t>, which means that well-informed labor force in host country attracting more FDI inflows.</w:t>
      </w:r>
      <w:sdt>
        <w:sdtPr>
          <w:rPr>
            <w:rFonts w:eastAsiaTheme="minorHAnsi"/>
            <w:sz w:val="26"/>
            <w:szCs w:val="26"/>
            <w:lang w:val="en-US"/>
          </w:rPr>
          <w:id w:val="1023824818"/>
          <w:citation/>
        </w:sdtPr>
        <w:sdtContent>
          <w:r w:rsidR="00274750">
            <w:rPr>
              <w:rFonts w:eastAsiaTheme="minorHAnsi"/>
              <w:sz w:val="26"/>
              <w:szCs w:val="26"/>
              <w:lang w:val="en-US"/>
            </w:rPr>
            <w:fldChar w:fldCharType="begin"/>
          </w:r>
          <w:r>
            <w:rPr>
              <w:rFonts w:eastAsiaTheme="minorHAnsi"/>
              <w:sz w:val="26"/>
              <w:szCs w:val="26"/>
              <w:lang w:val="en-US"/>
            </w:rPr>
            <w:instrText xml:space="preserve">CITATION Asi06 \p 63 \l 1036 </w:instrText>
          </w:r>
          <w:r w:rsidR="00274750">
            <w:rPr>
              <w:rFonts w:eastAsiaTheme="minorHAnsi"/>
              <w:sz w:val="26"/>
              <w:szCs w:val="26"/>
              <w:lang w:val="en-US"/>
            </w:rPr>
            <w:fldChar w:fldCharType="separate"/>
          </w:r>
          <w:r w:rsidRPr="00B319FE">
            <w:rPr>
              <w:rFonts w:eastAsiaTheme="minorHAnsi"/>
              <w:noProof/>
              <w:sz w:val="26"/>
              <w:szCs w:val="26"/>
              <w:lang w:val="en-US"/>
            </w:rPr>
            <w:t>(Asiedu, 2006, p. 63)</w:t>
          </w:r>
          <w:r w:rsidR="00274750">
            <w:rPr>
              <w:rFonts w:eastAsiaTheme="minorHAnsi"/>
              <w:sz w:val="26"/>
              <w:szCs w:val="26"/>
              <w:lang w:val="en-US"/>
            </w:rPr>
            <w:fldChar w:fldCharType="end"/>
          </w:r>
        </w:sdtContent>
      </w:sdt>
      <w:r>
        <w:rPr>
          <w:rFonts w:eastAsiaTheme="minorHAnsi"/>
          <w:sz w:val="26"/>
          <w:szCs w:val="26"/>
          <w:lang w:val="en-US"/>
        </w:rPr>
        <w:t xml:space="preserve">. </w:t>
      </w:r>
      <w:r w:rsidRPr="000B50E1">
        <w:rPr>
          <w:rFonts w:asciiTheme="majorBidi" w:hAnsiTheme="majorBidi" w:cstheme="majorBidi"/>
          <w:sz w:val="26"/>
          <w:szCs w:val="26"/>
          <w:lang w:val="en-US"/>
        </w:rPr>
        <w:t>Air transport indicates the quality of infrastructure is found to be insignificant, this means that quality of infrastructure is not determinant of Algeria foreign direct investment inflows, this result is supported by Quazi</w:t>
      </w:r>
      <w:sdt>
        <w:sdtPr>
          <w:rPr>
            <w:rFonts w:asciiTheme="majorBidi" w:hAnsiTheme="majorBidi" w:cstheme="majorBidi"/>
            <w:sz w:val="26"/>
            <w:szCs w:val="26"/>
            <w:lang w:val="en-US"/>
          </w:rPr>
          <w:id w:val="-253285573"/>
          <w:citation/>
        </w:sdtPr>
        <w:sdtContent>
          <w:r w:rsidR="00274750">
            <w:rPr>
              <w:rFonts w:asciiTheme="majorBidi" w:hAnsiTheme="majorBidi" w:cstheme="majorBidi"/>
              <w:sz w:val="26"/>
              <w:szCs w:val="26"/>
              <w:lang w:val="en-US"/>
            </w:rPr>
            <w:fldChar w:fldCharType="begin"/>
          </w:r>
          <w:r>
            <w:rPr>
              <w:rFonts w:asciiTheme="majorBidi" w:hAnsiTheme="majorBidi" w:cstheme="majorBidi"/>
              <w:sz w:val="26"/>
              <w:szCs w:val="26"/>
              <w:lang w:val="en-US"/>
            </w:rPr>
            <w:instrText xml:space="preserve">CITATION Qua07 \p 329 \l 1036 </w:instrText>
          </w:r>
          <w:r w:rsidR="00274750">
            <w:rPr>
              <w:rFonts w:asciiTheme="majorBidi" w:hAnsiTheme="majorBidi" w:cstheme="majorBidi"/>
              <w:sz w:val="26"/>
              <w:szCs w:val="26"/>
              <w:lang w:val="en-US"/>
            </w:rPr>
            <w:fldChar w:fldCharType="separate"/>
          </w:r>
          <w:r w:rsidRPr="00B319FE">
            <w:rPr>
              <w:rFonts w:asciiTheme="majorBidi" w:hAnsiTheme="majorBidi" w:cstheme="majorBidi"/>
              <w:noProof/>
              <w:sz w:val="26"/>
              <w:szCs w:val="26"/>
              <w:lang w:val="en-US"/>
            </w:rPr>
            <w:t>(Quazi, 2007, p. 329)</w:t>
          </w:r>
          <w:r w:rsidR="00274750">
            <w:rPr>
              <w:rFonts w:asciiTheme="majorBidi" w:hAnsiTheme="majorBidi" w:cstheme="majorBidi"/>
              <w:sz w:val="26"/>
              <w:szCs w:val="26"/>
              <w:lang w:val="en-US"/>
            </w:rPr>
            <w:fldChar w:fldCharType="end"/>
          </w:r>
        </w:sdtContent>
      </w:sdt>
      <w:r w:rsidRPr="000B50E1">
        <w:rPr>
          <w:rFonts w:asciiTheme="majorBidi" w:hAnsiTheme="majorBidi" w:cstheme="majorBidi"/>
          <w:sz w:val="26"/>
          <w:szCs w:val="26"/>
          <w:lang w:val="en-US"/>
        </w:rPr>
        <w:t>, in addition inflation</w:t>
      </w:r>
      <w:sdt>
        <w:sdtPr>
          <w:rPr>
            <w:rFonts w:asciiTheme="majorBidi" w:hAnsiTheme="majorBidi" w:cstheme="majorBidi"/>
            <w:sz w:val="26"/>
            <w:szCs w:val="26"/>
            <w:lang w:val="en-US"/>
          </w:rPr>
          <w:id w:val="-1829127599"/>
          <w:citation/>
        </w:sdtPr>
        <w:sdtContent>
          <w:r w:rsidR="00274750">
            <w:rPr>
              <w:rFonts w:asciiTheme="majorBidi" w:hAnsiTheme="majorBidi" w:cstheme="majorBidi"/>
              <w:sz w:val="26"/>
              <w:szCs w:val="26"/>
              <w:lang w:val="en-US"/>
            </w:rPr>
            <w:fldChar w:fldCharType="begin"/>
          </w:r>
          <w:r>
            <w:rPr>
              <w:rFonts w:asciiTheme="majorBidi" w:hAnsiTheme="majorBidi" w:cstheme="majorBidi"/>
              <w:sz w:val="26"/>
              <w:szCs w:val="26"/>
              <w:lang w:val="en-US"/>
            </w:rPr>
            <w:instrText>CITATION Eli08 \p 22 \l 1036  \m Asi06 \m Asi06</w:instrText>
          </w:r>
          <w:r w:rsidR="00274750">
            <w:rPr>
              <w:rFonts w:asciiTheme="majorBidi" w:hAnsiTheme="majorBidi" w:cstheme="majorBidi"/>
              <w:sz w:val="26"/>
              <w:szCs w:val="26"/>
              <w:lang w:val="en-US"/>
            </w:rPr>
            <w:fldChar w:fldCharType="separate"/>
          </w:r>
          <w:r w:rsidRPr="00B319FE">
            <w:rPr>
              <w:rFonts w:asciiTheme="majorBidi" w:hAnsiTheme="majorBidi" w:cstheme="majorBidi"/>
              <w:noProof/>
              <w:sz w:val="26"/>
              <w:szCs w:val="26"/>
              <w:lang w:val="en-US"/>
            </w:rPr>
            <w:t>(Elijah, 2008, p. 22; Asiedu, 2006; Asiedu, 2006)</w:t>
          </w:r>
          <w:r w:rsidR="00274750">
            <w:rPr>
              <w:rFonts w:asciiTheme="majorBidi" w:hAnsiTheme="majorBidi" w:cstheme="majorBidi"/>
              <w:sz w:val="26"/>
              <w:szCs w:val="26"/>
              <w:lang w:val="en-US"/>
            </w:rPr>
            <w:fldChar w:fldCharType="end"/>
          </w:r>
        </w:sdtContent>
      </w:sdt>
      <w:r>
        <w:rPr>
          <w:rFonts w:asciiTheme="majorBidi" w:hAnsiTheme="majorBidi" w:cstheme="majorBidi"/>
          <w:sz w:val="26"/>
          <w:szCs w:val="26"/>
          <w:lang w:val="en-US"/>
        </w:rPr>
        <w:t>,</w:t>
      </w:r>
      <w:r w:rsidRPr="000B50E1">
        <w:rPr>
          <w:rFonts w:asciiTheme="majorBidi" w:hAnsiTheme="majorBidi" w:cstheme="majorBidi"/>
          <w:sz w:val="26"/>
          <w:szCs w:val="26"/>
          <w:lang w:val="en-US"/>
        </w:rPr>
        <w:t xml:space="preserve"> credit provided by financial sector (Yapatake kossele Thales Pacific, Riti Joshua Sunday, Anning Lucy2015) and military expenditure have negative and non-significant impact on FDI inflows in Algeria. </w:t>
      </w:r>
    </w:p>
    <w:p w:rsidR="00CB14C9" w:rsidRPr="00190EA6" w:rsidRDefault="00CB14C9" w:rsidP="00CB14C9">
      <w:pPr>
        <w:spacing w:line="276" w:lineRule="auto"/>
        <w:jc w:val="both"/>
        <w:rPr>
          <w:b/>
          <w:bCs/>
          <w:sz w:val="26"/>
          <w:szCs w:val="26"/>
          <w:lang w:val="en-US"/>
        </w:rPr>
      </w:pPr>
    </w:p>
    <w:p w:rsidR="00CB14C9" w:rsidRPr="0026642D" w:rsidRDefault="00CB14C9" w:rsidP="00CB14C9">
      <w:pPr>
        <w:spacing w:line="276" w:lineRule="auto"/>
        <w:jc w:val="lowKashida"/>
        <w:rPr>
          <w:rFonts w:asciiTheme="majorBidi" w:hAnsiTheme="majorBidi" w:cstheme="majorBidi"/>
          <w:color w:val="000000"/>
          <w:sz w:val="26"/>
          <w:szCs w:val="26"/>
          <w:lang w:val="en-US"/>
        </w:rPr>
      </w:pPr>
      <w:r w:rsidRPr="0026642D">
        <w:rPr>
          <w:rFonts w:asciiTheme="majorBidi" w:hAnsiTheme="majorBidi" w:cstheme="majorBidi"/>
          <w:b/>
          <w:bCs/>
          <w:color w:val="000000"/>
          <w:sz w:val="26"/>
          <w:szCs w:val="26"/>
          <w:lang w:val="en-US"/>
        </w:rPr>
        <w:t>5.  Conclusions</w:t>
      </w:r>
    </w:p>
    <w:p w:rsidR="00CB14C9" w:rsidRPr="0026642D" w:rsidRDefault="00CB14C9" w:rsidP="00CB14C9">
      <w:pPr>
        <w:spacing w:line="276" w:lineRule="auto"/>
        <w:ind w:firstLine="708"/>
        <w:jc w:val="lowKashida"/>
        <w:rPr>
          <w:rFonts w:asciiTheme="majorBidi" w:hAnsiTheme="majorBidi" w:cstheme="majorBidi"/>
          <w:color w:val="000000"/>
          <w:sz w:val="26"/>
          <w:szCs w:val="26"/>
          <w:lang w:val="en-US"/>
        </w:rPr>
      </w:pPr>
      <w:r w:rsidRPr="0026642D">
        <w:rPr>
          <w:rFonts w:asciiTheme="majorBidi" w:hAnsiTheme="majorBidi" w:cstheme="majorBidi"/>
          <w:color w:val="000000"/>
          <w:sz w:val="26"/>
          <w:szCs w:val="26"/>
          <w:lang w:val="en-US"/>
        </w:rPr>
        <w:t xml:space="preserve">Currently, the countries compete to attract great part of foreign investment inflows for the reason that it makes jobs, improve economic growth, provides stable finance and so. Algeria also aims to attract more foreign investment inflows by improving its investment climate. </w:t>
      </w:r>
      <w:r w:rsidRPr="009039EF">
        <w:rPr>
          <w:rFonts w:asciiTheme="majorBidi" w:hAnsiTheme="majorBidi" w:cstheme="majorBidi"/>
          <w:sz w:val="26"/>
          <w:szCs w:val="26"/>
          <w:lang w:val="en-US"/>
        </w:rPr>
        <w:t xml:space="preserve">The first part in this study </w:t>
      </w:r>
      <w:r>
        <w:rPr>
          <w:rFonts w:asciiTheme="majorBidi" w:hAnsiTheme="majorBidi" w:cstheme="majorBidi"/>
          <w:sz w:val="26"/>
          <w:szCs w:val="26"/>
          <w:lang w:val="en-US"/>
        </w:rPr>
        <w:t>was</w:t>
      </w:r>
      <w:r w:rsidRPr="009039EF">
        <w:rPr>
          <w:rFonts w:asciiTheme="majorBidi" w:hAnsiTheme="majorBidi" w:cstheme="majorBidi"/>
          <w:sz w:val="26"/>
          <w:szCs w:val="26"/>
          <w:lang w:val="en-US"/>
        </w:rPr>
        <w:t xml:space="preserve"> an overview on foreign direct investment inflows in Algeria from 1970 o 2017, during this period the FDI inflows are increasing as result of  improving its investment climate, </w:t>
      </w:r>
      <w:r>
        <w:rPr>
          <w:rFonts w:asciiTheme="majorBidi" w:hAnsiTheme="majorBidi" w:cstheme="majorBidi"/>
          <w:sz w:val="26"/>
          <w:szCs w:val="26"/>
          <w:lang w:val="en-US"/>
        </w:rPr>
        <w:t xml:space="preserve">the  </w:t>
      </w:r>
      <w:r w:rsidRPr="0026642D">
        <w:rPr>
          <w:sz w:val="26"/>
          <w:szCs w:val="26"/>
          <w:lang w:val="en-US"/>
        </w:rPr>
        <w:t xml:space="preserve">most important countries investing in Algeria from 2013 to 2017 are </w:t>
      </w:r>
      <w:r w:rsidRPr="009039EF">
        <w:rPr>
          <w:rFonts w:asciiTheme="majorBidi" w:hAnsiTheme="majorBidi" w:cstheme="majorBidi"/>
          <w:sz w:val="26"/>
          <w:szCs w:val="26"/>
          <w:lang w:val="en-US" w:bidi="ar-DZ"/>
        </w:rPr>
        <w:t xml:space="preserve">China, </w:t>
      </w:r>
      <w:r w:rsidRPr="0026642D">
        <w:rPr>
          <w:rFonts w:asciiTheme="majorBidi" w:hAnsiTheme="majorBidi" w:cstheme="majorBidi"/>
          <w:sz w:val="26"/>
          <w:szCs w:val="26"/>
          <w:lang w:val="en-US"/>
        </w:rPr>
        <w:t>Spain, Turkey, Germany,South Africa</w:t>
      </w:r>
      <w:r w:rsidRPr="0026642D">
        <w:rPr>
          <w:sz w:val="26"/>
          <w:szCs w:val="26"/>
          <w:lang w:val="en-US"/>
        </w:rPr>
        <w:t xml:space="preserve">,  </w:t>
      </w:r>
      <w:r w:rsidRPr="0026642D">
        <w:rPr>
          <w:rFonts w:asciiTheme="majorBidi" w:hAnsiTheme="majorBidi" w:cstheme="majorBidi"/>
          <w:sz w:val="26"/>
          <w:szCs w:val="26"/>
          <w:lang w:val="en-US"/>
        </w:rPr>
        <w:t>France, Switzerland, Italia, and United Kingdom,</w:t>
      </w:r>
      <w:r w:rsidRPr="0026642D">
        <w:rPr>
          <w:sz w:val="26"/>
          <w:szCs w:val="26"/>
          <w:lang w:val="en-US"/>
        </w:rPr>
        <w:t xml:space="preserve"> while the top five companies investing in Algeria from 2013-2017are China State Construction Engineering Corporation(</w:t>
      </w:r>
      <w:r w:rsidRPr="0026642D">
        <w:rPr>
          <w:rFonts w:asciiTheme="majorBidi" w:hAnsiTheme="majorBidi" w:cstheme="majorBidi"/>
          <w:sz w:val="26"/>
          <w:szCs w:val="26"/>
          <w:lang w:val="en-US"/>
        </w:rPr>
        <w:t>CSCEC</w:t>
      </w:r>
      <w:r w:rsidRPr="0026642D">
        <w:rPr>
          <w:sz w:val="26"/>
          <w:szCs w:val="26"/>
          <w:lang w:val="en-US"/>
        </w:rPr>
        <w:t>,  Indorama company from Singapore , Grupo Ortiz Construccion y Servicios Del Mediterraneo from Spain, and Turkish companies  Tosyali Holding. and Taypa Tekstil, the distribution of FDI inflows to Algeria by regions invested from 2013 to 2017, note that Asia and the Pacific have the biggest part of the investment in Algeria when North America has the lowest contribution for FDI inflows.</w:t>
      </w:r>
      <w:r w:rsidRPr="0026642D">
        <w:rPr>
          <w:rFonts w:asciiTheme="majorBidi" w:hAnsiTheme="majorBidi" w:cstheme="majorBidi"/>
          <w:color w:val="000000"/>
          <w:sz w:val="26"/>
          <w:szCs w:val="26"/>
          <w:lang w:val="en-US"/>
        </w:rPr>
        <w:t xml:space="preserve"> In the second part, we investigated whether the </w:t>
      </w:r>
      <w:r w:rsidRPr="0026642D">
        <w:rPr>
          <w:rFonts w:asciiTheme="majorBidi" w:hAnsiTheme="majorBidi" w:cstheme="majorBidi"/>
          <w:sz w:val="26"/>
          <w:szCs w:val="26"/>
          <w:lang w:val="en-US"/>
        </w:rPr>
        <w:t>GDP per capita, Merchandise trade, inflation,</w:t>
      </w:r>
      <w:r w:rsidRPr="00102D99">
        <w:rPr>
          <w:rFonts w:asciiTheme="majorBidi" w:hAnsiTheme="majorBidi" w:cstheme="majorBidi"/>
          <w:color w:val="000000"/>
          <w:sz w:val="26"/>
          <w:szCs w:val="26"/>
          <w:lang w:val="en-US" w:eastAsia="fr-FR"/>
        </w:rPr>
        <w:t xml:space="preserve"> credit provided by financial sector</w:t>
      </w:r>
      <w:r>
        <w:rPr>
          <w:rFonts w:asciiTheme="majorBidi" w:hAnsiTheme="majorBidi" w:cstheme="majorBidi"/>
          <w:color w:val="000000"/>
          <w:sz w:val="26"/>
          <w:szCs w:val="26"/>
          <w:lang w:val="en-US" w:eastAsia="fr-FR"/>
        </w:rPr>
        <w:t xml:space="preserve">, School enrollment secondary, </w:t>
      </w:r>
      <w:r w:rsidRPr="0026642D">
        <w:rPr>
          <w:rFonts w:asciiTheme="majorBidi" w:hAnsiTheme="majorBidi" w:cstheme="majorBidi"/>
          <w:sz w:val="26"/>
          <w:szCs w:val="26"/>
          <w:lang w:val="en-US"/>
        </w:rPr>
        <w:t>Military expenditure and Air transport</w:t>
      </w:r>
      <w:r w:rsidRPr="0026642D">
        <w:rPr>
          <w:rFonts w:asciiTheme="majorBidi" w:hAnsiTheme="majorBidi" w:cstheme="majorBidi"/>
          <w:color w:val="000000"/>
          <w:sz w:val="26"/>
          <w:szCs w:val="26"/>
          <w:lang w:val="en-US"/>
        </w:rPr>
        <w:t xml:space="preserve"> affect foreign direct investment inflows in Algeria, rely on time series include a sample of 38 observation from 1980 to 2017.</w:t>
      </w:r>
    </w:p>
    <w:p w:rsidR="00CB14C9" w:rsidRDefault="00CB14C9" w:rsidP="00CB14C9">
      <w:pPr>
        <w:spacing w:line="276" w:lineRule="auto"/>
        <w:jc w:val="lowKashida"/>
        <w:rPr>
          <w:rFonts w:asciiTheme="majorBidi" w:hAnsiTheme="majorBidi" w:cstheme="majorBidi"/>
          <w:color w:val="000000"/>
          <w:sz w:val="26"/>
          <w:szCs w:val="26"/>
          <w:lang w:val="en-US" w:eastAsia="fr-FR"/>
        </w:rPr>
      </w:pPr>
      <w:r w:rsidRPr="0026642D">
        <w:rPr>
          <w:rFonts w:asciiTheme="majorBidi" w:hAnsiTheme="majorBidi" w:cstheme="majorBidi"/>
          <w:color w:val="000000"/>
          <w:sz w:val="26"/>
          <w:szCs w:val="26"/>
          <w:lang w:val="en-US"/>
        </w:rPr>
        <w:lastRenderedPageBreak/>
        <w:t xml:space="preserve">Finally, the results showed that </w:t>
      </w:r>
      <w:r w:rsidRPr="0026642D">
        <w:rPr>
          <w:rFonts w:asciiTheme="majorBidi" w:hAnsiTheme="majorBidi" w:cstheme="majorBidi"/>
          <w:sz w:val="26"/>
          <w:szCs w:val="26"/>
          <w:lang w:val="en-US"/>
        </w:rPr>
        <w:t>GDP per capita as a proxy of market size, Merchandise trade as an indicator of economic openness, and</w:t>
      </w:r>
      <w:r>
        <w:rPr>
          <w:rFonts w:asciiTheme="majorBidi" w:hAnsiTheme="majorBidi" w:cstheme="majorBidi"/>
          <w:color w:val="000000"/>
          <w:sz w:val="26"/>
          <w:szCs w:val="26"/>
          <w:lang w:val="en-US" w:eastAsia="fr-FR"/>
        </w:rPr>
        <w:t>School enrollment secondary as a proxy of capital human are important attracting factors of FDI inflows in Algeria.</w:t>
      </w:r>
    </w:p>
    <w:p w:rsidR="00CB14C9" w:rsidRPr="0026642D" w:rsidRDefault="00CB14C9" w:rsidP="00CB14C9">
      <w:pPr>
        <w:spacing w:line="276" w:lineRule="auto"/>
        <w:jc w:val="lowKashida"/>
        <w:rPr>
          <w:rFonts w:asciiTheme="majorBidi" w:hAnsiTheme="majorBidi" w:cstheme="majorBidi"/>
          <w:b/>
          <w:bCs/>
          <w:color w:val="000000"/>
          <w:sz w:val="26"/>
          <w:szCs w:val="26"/>
          <w:lang w:val="en-US"/>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Pr="00CB14C9" w:rsidRDefault="00636BAC" w:rsidP="00636BAC">
      <w:pPr>
        <w:pStyle w:val="Titre1"/>
        <w:spacing w:before="0" w:beforeAutospacing="0" w:after="0" w:afterAutospacing="0" w:line="276" w:lineRule="auto"/>
        <w:jc w:val="both"/>
        <w:rPr>
          <w:rFonts w:asciiTheme="majorBidi" w:eastAsiaTheme="minorHAnsi" w:hAnsiTheme="majorBidi" w:cstheme="majorBidi"/>
          <w:sz w:val="26"/>
          <w:szCs w:val="26"/>
          <w:lang w:val="en-US"/>
        </w:rPr>
      </w:pPr>
      <w:r w:rsidRPr="00CB14C9">
        <w:rPr>
          <w:rFonts w:asciiTheme="majorBidi" w:eastAsiaTheme="minorHAnsi" w:hAnsiTheme="majorBidi" w:cstheme="majorBidi"/>
          <w:sz w:val="26"/>
          <w:szCs w:val="26"/>
          <w:lang w:val="en-US"/>
        </w:rPr>
        <w:t>Bibliography Liste:</w:t>
      </w:r>
    </w:p>
    <w:p w:rsidR="00636BAC" w:rsidRPr="00636BAC" w:rsidRDefault="00636BAC" w:rsidP="00636BAC">
      <w:pPr>
        <w:pStyle w:val="Titre1"/>
        <w:spacing w:before="0" w:beforeAutospacing="0" w:after="0" w:afterAutospacing="0" w:line="276" w:lineRule="auto"/>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sz w:val="26"/>
          <w:szCs w:val="26"/>
          <w:lang w:val="en-US"/>
        </w:rPr>
        <w:t xml:space="preserve">Asiedu, E. (2006). “Foreign Direct Investment in Africa: The Role of Natural Resources, Market Size, Government Policy, Institutions and Political Instability”. </w:t>
      </w:r>
      <w:r w:rsidRPr="00E96B36">
        <w:rPr>
          <w:rFonts w:asciiTheme="majorBidi" w:eastAsiaTheme="minorHAnsi" w:hAnsiTheme="majorBidi" w:cstheme="majorBidi"/>
          <w:b w:val="0"/>
          <w:bCs w:val="0"/>
          <w:sz w:val="26"/>
          <w:szCs w:val="26"/>
        </w:rPr>
        <w:t>World Econ, volume 29, issue (1)</w:t>
      </w:r>
    </w:p>
    <w:p w:rsid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Pr="00636BAC" w:rsidRDefault="00636BAC" w:rsidP="00636BAC">
      <w:pPr>
        <w:pStyle w:val="Titre1"/>
        <w:keepNext/>
        <w:spacing w:before="0" w:beforeAutospacing="0" w:after="0" w:afterAutospacing="0" w:line="276" w:lineRule="auto"/>
        <w:jc w:val="both"/>
        <w:rPr>
          <w:rFonts w:asciiTheme="majorBidi" w:eastAsiaTheme="minorHAnsi" w:hAnsiTheme="majorBidi" w:cstheme="majorBidi"/>
          <w:b w:val="0"/>
          <w:bCs w:val="0"/>
          <w:sz w:val="26"/>
          <w:szCs w:val="26"/>
        </w:rPr>
      </w:pPr>
    </w:p>
    <w:p w:rsidR="00636BAC" w:rsidRPr="00636BAC" w:rsidRDefault="00636BAC" w:rsidP="00636BAC">
      <w:pPr>
        <w:pStyle w:val="Titre1"/>
        <w:spacing w:before="0" w:beforeAutospacing="0" w:after="0" w:afterAutospacing="0" w:line="276" w:lineRule="auto"/>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sz w:val="26"/>
          <w:szCs w:val="26"/>
          <w:lang w:val="en-US"/>
        </w:rPr>
        <w:t xml:space="preserve">Asiedu, E. (2006). “Foreign Direct Investment in Africa: The Role of Natural Resources, Market Size, Government Policy, Institutions and Political Instability”. </w:t>
      </w:r>
      <w:r w:rsidRPr="00E96B36">
        <w:rPr>
          <w:rFonts w:asciiTheme="majorBidi" w:eastAsiaTheme="minorHAnsi" w:hAnsiTheme="majorBidi" w:cstheme="majorBidi"/>
          <w:b w:val="0"/>
          <w:bCs w:val="0"/>
          <w:sz w:val="26"/>
          <w:szCs w:val="26"/>
        </w:rPr>
        <w:t>World Econ, volume 29, issue (1)</w:t>
      </w:r>
    </w:p>
    <w:p w:rsidR="00636BAC" w:rsidRPr="00636BAC" w:rsidRDefault="00636BAC" w:rsidP="00636BAC">
      <w:pPr>
        <w:pStyle w:val="Titre1"/>
        <w:keepNext/>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636BAC" w:rsidRDefault="00CB14C9" w:rsidP="00636BAC">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hAnsiTheme="majorBidi" w:cstheme="majorBidi"/>
          <w:b w:val="0"/>
          <w:bCs w:val="0"/>
          <w:kern w:val="0"/>
          <w:sz w:val="26"/>
          <w:szCs w:val="26"/>
          <w:lang w:val="en-US" w:eastAsia="fr-FR"/>
        </w:rPr>
        <w:t>Behrooz Shahmoradi, Mostafa Baghbanyan (</w:t>
      </w:r>
      <w:r w:rsidRPr="0026642D">
        <w:rPr>
          <w:rFonts w:asciiTheme="majorBidi" w:hAnsiTheme="majorBidi" w:cstheme="majorBidi"/>
          <w:b w:val="0"/>
          <w:bCs w:val="0"/>
          <w:sz w:val="26"/>
          <w:szCs w:val="26"/>
          <w:lang w:val="en-US" w:eastAsia="fr-FR"/>
        </w:rPr>
        <w:t>2011</w:t>
      </w:r>
      <w:r w:rsidRPr="0026642D">
        <w:rPr>
          <w:rFonts w:asciiTheme="majorBidi" w:hAnsiTheme="majorBidi" w:cstheme="majorBidi"/>
          <w:b w:val="0"/>
          <w:bCs w:val="0"/>
          <w:kern w:val="0"/>
          <w:sz w:val="26"/>
          <w:szCs w:val="26"/>
          <w:lang w:val="en-US" w:eastAsia="fr-FR"/>
        </w:rPr>
        <w:t xml:space="preserve">). “Determinants of Foreign Direct Investment in Developing Countries: A Panel Data Analysis”. </w:t>
      </w:r>
      <w:hyperlink r:id="rId23" w:history="1">
        <w:r w:rsidRPr="00F92ECC">
          <w:rPr>
            <w:rFonts w:asciiTheme="majorBidi" w:hAnsiTheme="majorBidi" w:cstheme="majorBidi"/>
            <w:b w:val="0"/>
            <w:bCs w:val="0"/>
            <w:sz w:val="26"/>
            <w:szCs w:val="26"/>
            <w:lang w:eastAsia="fr-FR"/>
          </w:rPr>
          <w:t>Asian Economic and Financial Review</w:t>
        </w:r>
      </w:hyperlink>
      <w:r w:rsidRPr="00F92ECC">
        <w:rPr>
          <w:rFonts w:asciiTheme="majorBidi" w:hAnsiTheme="majorBidi" w:cstheme="majorBidi"/>
          <w:b w:val="0"/>
          <w:bCs w:val="0"/>
          <w:sz w:val="26"/>
          <w:szCs w:val="26"/>
          <w:lang w:eastAsia="fr-FR"/>
        </w:rPr>
        <w:t>, vol. 1, issue 2.</w:t>
      </w:r>
    </w:p>
    <w:p w:rsidR="00636BAC" w:rsidRPr="00636BAC" w:rsidRDefault="00636BAC" w:rsidP="00636BAC">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636BAC">
        <w:rPr>
          <w:rFonts w:asciiTheme="majorBidi" w:eastAsiaTheme="minorHAnsi" w:hAnsiTheme="majorBidi" w:cstheme="majorBidi"/>
          <w:b w:val="0"/>
          <w:bCs w:val="0"/>
          <w:sz w:val="26"/>
          <w:szCs w:val="26"/>
          <w:lang w:val="en-US"/>
        </w:rPr>
        <w:t xml:space="preserve">Asiedu, E. (2006). “Foreign Direct Investment in Africa: The Role of Natural Resources, Market Size, Government Policy, Institutions and Political Instability”. </w:t>
      </w:r>
      <w:r w:rsidRPr="00636BAC">
        <w:rPr>
          <w:rFonts w:asciiTheme="majorBidi" w:eastAsiaTheme="minorHAnsi" w:hAnsiTheme="majorBidi" w:cstheme="majorBidi"/>
          <w:b w:val="0"/>
          <w:bCs w:val="0"/>
          <w:sz w:val="26"/>
          <w:szCs w:val="26"/>
        </w:rPr>
        <w:t>World Econ, volume 29, issue (1)</w:t>
      </w:r>
    </w:p>
    <w:p w:rsidR="00636BAC" w:rsidRDefault="00636BAC"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p>
    <w:p w:rsidR="00CB14C9" w:rsidRPr="0026642D"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lang w:val="en-US"/>
        </w:rPr>
      </w:pPr>
      <w:r w:rsidRPr="0026642D">
        <w:rPr>
          <w:rFonts w:asciiTheme="majorBidi" w:hAnsiTheme="majorBidi" w:cstheme="majorBidi"/>
          <w:b w:val="0"/>
          <w:bCs w:val="0"/>
          <w:kern w:val="0"/>
          <w:sz w:val="26"/>
          <w:szCs w:val="26"/>
          <w:lang w:val="en-US" w:eastAsia="fr-FR"/>
        </w:rPr>
        <w:t>Caves, R. (1996). “ Multinational Firms and Economic Analysis”. Cambridge University Press, 2nd edition, Cambridge and New York.</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color w:val="000000"/>
          <w:sz w:val="26"/>
          <w:szCs w:val="26"/>
          <w:lang w:val="en-US"/>
        </w:rPr>
        <w:t xml:space="preserve">Chantasasawat, B., Fung, K. C., Iizaka, H., &amp; Siu, A. (2010). ” FDI flows to Latin America, East and Southeast Asia, and China: Substitutes or complements”.  </w:t>
      </w:r>
      <w:r w:rsidRPr="005E3613">
        <w:rPr>
          <w:rFonts w:asciiTheme="majorBidi" w:eastAsiaTheme="minorHAnsi" w:hAnsiTheme="majorBidi" w:cstheme="majorBidi"/>
          <w:b w:val="0"/>
          <w:bCs w:val="0"/>
          <w:color w:val="000000"/>
          <w:sz w:val="26"/>
          <w:szCs w:val="26"/>
        </w:rPr>
        <w:t>Review of DevelopmentEconomics, 14(3).</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color w:val="000000"/>
          <w:sz w:val="26"/>
          <w:szCs w:val="26"/>
          <w:lang w:val="en-US"/>
        </w:rPr>
        <w:t xml:space="preserve">Culem, C.G. (1988). “The locational determinants of direct investment among industrialized countries”.  </w:t>
      </w:r>
      <w:r w:rsidRPr="005E3613">
        <w:rPr>
          <w:rFonts w:asciiTheme="majorBidi" w:eastAsiaTheme="minorHAnsi" w:hAnsiTheme="majorBidi" w:cstheme="majorBidi"/>
          <w:b w:val="0"/>
          <w:bCs w:val="0"/>
          <w:color w:val="000000"/>
          <w:sz w:val="26"/>
          <w:szCs w:val="26"/>
        </w:rPr>
        <w:t>EuropeanEconomicReview, 32(3).</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hAnsiTheme="majorBidi" w:cstheme="majorBidi"/>
          <w:b w:val="0"/>
          <w:bCs w:val="0"/>
          <w:sz w:val="26"/>
          <w:szCs w:val="26"/>
          <w:lang w:val="en-US"/>
        </w:rPr>
        <w:t xml:space="preserve">Dickey, D., and Fuller, W. (1979), “Distributions of the Estimators for Autoregressive time Series with a Unit Root”. </w:t>
      </w:r>
      <w:r w:rsidRPr="005E3613">
        <w:rPr>
          <w:rFonts w:asciiTheme="majorBidi" w:hAnsiTheme="majorBidi" w:cstheme="majorBidi"/>
          <w:b w:val="0"/>
          <w:bCs w:val="0"/>
          <w:sz w:val="26"/>
          <w:szCs w:val="26"/>
        </w:rPr>
        <w:t>Journal of American Statistical Association,.</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sz w:val="26"/>
          <w:szCs w:val="26"/>
          <w:lang w:val="en-US"/>
        </w:rPr>
        <w:t xml:space="preserve">Elijah, U. Festus, O. (2008). “Exchange Rate Volatility, inflation uncertainty and Foreign Direct Investment in Nigeria”.  </w:t>
      </w:r>
      <w:r w:rsidRPr="005E3613">
        <w:rPr>
          <w:rFonts w:asciiTheme="majorBidi" w:eastAsiaTheme="minorHAnsi" w:hAnsiTheme="majorBidi" w:cstheme="majorBidi"/>
          <w:b w:val="0"/>
          <w:bCs w:val="0"/>
          <w:i/>
          <w:iCs/>
          <w:sz w:val="26"/>
          <w:szCs w:val="26"/>
        </w:rPr>
        <w:t>BOJE: Botswana Journal of Economic</w:t>
      </w:r>
      <w:r w:rsidRPr="005E3613">
        <w:rPr>
          <w:rFonts w:asciiTheme="majorBidi" w:eastAsiaTheme="minorHAnsi" w:hAnsiTheme="majorBidi" w:cstheme="majorBidi"/>
          <w:b w:val="0"/>
          <w:bCs w:val="0"/>
          <w:sz w:val="26"/>
          <w:szCs w:val="26"/>
        </w:rPr>
        <w:t>. Vol (5). No 7</w:t>
      </w:r>
      <w:r w:rsidRPr="005E3613">
        <w:rPr>
          <w:rFonts w:eastAsiaTheme="minorHAnsi"/>
          <w:b w:val="0"/>
          <w:bCs w:val="0"/>
          <w:sz w:val="26"/>
          <w:szCs w:val="26"/>
        </w:rPr>
        <w:t>.</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hAnsiTheme="majorBidi" w:cstheme="majorBidi"/>
          <w:b w:val="0"/>
          <w:bCs w:val="0"/>
          <w:sz w:val="26"/>
          <w:szCs w:val="26"/>
          <w:lang w:val="en-US"/>
        </w:rPr>
        <w:t xml:space="preserve">Johansen, S., and Juselius, K., (1992). “Testing Structural Hypotheses in a Multivariate Cointegration Analysis at the Purchasing Power Parity and the Uncovered Interest Parity for the UK”.  </w:t>
      </w:r>
      <w:r w:rsidRPr="005E3613">
        <w:rPr>
          <w:rFonts w:asciiTheme="majorBidi" w:hAnsiTheme="majorBidi" w:cstheme="majorBidi"/>
          <w:b w:val="0"/>
          <w:bCs w:val="0"/>
          <w:sz w:val="26"/>
          <w:szCs w:val="26"/>
        </w:rPr>
        <w:t xml:space="preserve">Journal of Econometrics, 53. </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sz w:val="26"/>
          <w:szCs w:val="26"/>
          <w:lang w:val="en-US"/>
        </w:rPr>
        <w:t xml:space="preserve">Liargovas, P.G.; Skandalis, K.S. (2012). “Foreign Direct Investment and Trade Openness: The Economies”. </w:t>
      </w:r>
      <w:r w:rsidRPr="005E3613">
        <w:rPr>
          <w:rFonts w:asciiTheme="majorBidi" w:eastAsiaTheme="minorHAnsi" w:hAnsiTheme="majorBidi" w:cstheme="majorBidi"/>
          <w:b w:val="0"/>
          <w:bCs w:val="0"/>
          <w:sz w:val="26"/>
          <w:szCs w:val="26"/>
        </w:rPr>
        <w:t>Social IndicatorsResearch, 106(2).</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color w:val="000000"/>
          <w:sz w:val="26"/>
          <w:szCs w:val="26"/>
          <w:lang w:val="en-US"/>
        </w:rPr>
        <w:t xml:space="preserve">Moosa, I. A. &amp; Cardak, B. A. (2006). “The determinants of foreign direct investment: An extreme bounds analysis”. </w:t>
      </w:r>
      <w:r w:rsidRPr="005E3613">
        <w:rPr>
          <w:rFonts w:asciiTheme="majorBidi" w:eastAsiaTheme="minorHAnsi" w:hAnsiTheme="majorBidi" w:cstheme="majorBidi"/>
          <w:b w:val="0"/>
          <w:bCs w:val="0"/>
          <w:color w:val="000000"/>
          <w:sz w:val="26"/>
          <w:szCs w:val="26"/>
        </w:rPr>
        <w:t>Journal of Multinational Financial Management, 16(2).</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eastAsiaTheme="minorHAnsi" w:hAnsiTheme="majorBidi" w:cstheme="majorBidi"/>
          <w:b w:val="0"/>
          <w:bCs w:val="0"/>
          <w:color w:val="000000"/>
          <w:sz w:val="26"/>
          <w:szCs w:val="26"/>
          <w:lang w:val="en-US"/>
        </w:rPr>
        <w:t xml:space="preserve">Quazi, R. (2007). “Economic freedom and foreign direct investment in East Asia”. </w:t>
      </w:r>
      <w:r w:rsidRPr="005E3613">
        <w:rPr>
          <w:rFonts w:asciiTheme="majorBidi" w:eastAsiaTheme="minorHAnsi" w:hAnsiTheme="majorBidi" w:cstheme="majorBidi"/>
          <w:b w:val="0"/>
          <w:bCs w:val="0"/>
          <w:color w:val="000000"/>
          <w:sz w:val="26"/>
          <w:szCs w:val="26"/>
        </w:rPr>
        <w:t>Journal of the Asia Pacific Economy, 12(3).</w:t>
      </w:r>
    </w:p>
    <w:p w:rsidR="00CB14C9" w:rsidRPr="0026642D"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lang w:val="en-US"/>
        </w:rPr>
      </w:pPr>
      <w:r w:rsidRPr="0026642D">
        <w:rPr>
          <w:rFonts w:asciiTheme="majorBidi" w:eastAsiaTheme="minorHAnsi" w:hAnsiTheme="majorBidi" w:cstheme="majorBidi"/>
          <w:b w:val="0"/>
          <w:bCs w:val="0"/>
          <w:sz w:val="26"/>
          <w:szCs w:val="26"/>
          <w:lang w:val="en-US"/>
        </w:rPr>
        <w:t xml:space="preserve">Singh, H.  &amp; Jun, K.W.  (1995).  “Some  new evidence  on  determinants  of  foreign  direct investment  in  developing  countries”.  Policy </w:t>
      </w:r>
      <w:r w:rsidRPr="0026642D">
        <w:rPr>
          <w:rFonts w:asciiTheme="majorBidi" w:eastAsiaTheme="minorHAnsi" w:hAnsiTheme="majorBidi" w:cstheme="majorBidi"/>
          <w:b w:val="0"/>
          <w:bCs w:val="0"/>
          <w:sz w:val="26"/>
          <w:szCs w:val="26"/>
          <w:lang w:val="en-US"/>
        </w:rPr>
        <w:lastRenderedPageBreak/>
        <w:t>Research working Paper N</w:t>
      </w:r>
      <w:r w:rsidRPr="0026642D">
        <w:rPr>
          <w:rFonts w:asciiTheme="majorBidi" w:eastAsiaTheme="minorHAnsi" w:hAnsiTheme="majorBidi" w:cstheme="majorBidi"/>
          <w:b w:val="0"/>
          <w:bCs w:val="0"/>
          <w:sz w:val="26"/>
          <w:szCs w:val="26"/>
          <w:vertAlign w:val="superscript"/>
          <w:lang w:val="en-US"/>
        </w:rPr>
        <w:t>0</w:t>
      </w:r>
      <w:r w:rsidRPr="0026642D">
        <w:rPr>
          <w:rFonts w:asciiTheme="majorBidi" w:eastAsiaTheme="minorHAnsi" w:hAnsiTheme="majorBidi" w:cstheme="majorBidi"/>
          <w:b w:val="0"/>
          <w:bCs w:val="0"/>
          <w:sz w:val="26"/>
          <w:szCs w:val="26"/>
          <w:lang w:val="en-US"/>
        </w:rPr>
        <w:t>1531.</w:t>
      </w:r>
      <w:r w:rsidRPr="0026642D">
        <w:rPr>
          <w:rFonts w:asciiTheme="majorBidi" w:hAnsiTheme="majorBidi" w:cstheme="majorBidi"/>
          <w:b w:val="0"/>
          <w:bCs w:val="0"/>
          <w:sz w:val="26"/>
          <w:szCs w:val="26"/>
          <w:shd w:val="clear" w:color="auto" w:fill="FFFFFF"/>
          <w:lang w:val="en-US"/>
        </w:rPr>
        <w:t xml:space="preserve"> Washington, DC: WorldBank.http</w:t>
      </w:r>
      <w:r w:rsidRPr="0026642D">
        <w:rPr>
          <w:rFonts w:asciiTheme="majorBidi" w:hAnsiTheme="majorBidi" w:cstheme="majorBidi"/>
          <w:b w:val="0"/>
          <w:bCs w:val="0"/>
          <w:sz w:val="26"/>
          <w:szCs w:val="26"/>
          <w:u w:val="single"/>
          <w:shd w:val="clear" w:color="auto" w:fill="FFFFFF"/>
          <w:lang w:val="en-US"/>
        </w:rPr>
        <w:t>://documents.worldbank.org/curated/en/266321</w:t>
      </w:r>
    </w:p>
    <w:p w:rsidR="00CB14C9" w:rsidRPr="0026642D" w:rsidRDefault="00CB14C9" w:rsidP="00CB14C9">
      <w:pPr>
        <w:pStyle w:val="Titre1"/>
        <w:spacing w:before="0" w:beforeAutospacing="0" w:after="0" w:afterAutospacing="0" w:line="276" w:lineRule="auto"/>
        <w:ind w:left="283"/>
        <w:jc w:val="both"/>
        <w:rPr>
          <w:rFonts w:asciiTheme="majorBidi" w:eastAsiaTheme="minorHAnsi" w:hAnsiTheme="majorBidi" w:cstheme="majorBidi"/>
          <w:b w:val="0"/>
          <w:bCs w:val="0"/>
          <w:sz w:val="26"/>
          <w:szCs w:val="26"/>
          <w:lang w:val="en-US"/>
        </w:rPr>
      </w:pPr>
      <w:r w:rsidRPr="0026642D">
        <w:rPr>
          <w:rFonts w:asciiTheme="majorBidi" w:hAnsiTheme="majorBidi" w:cstheme="majorBidi"/>
          <w:b w:val="0"/>
          <w:bCs w:val="0"/>
          <w:sz w:val="26"/>
          <w:szCs w:val="26"/>
          <w:u w:val="single"/>
          <w:shd w:val="clear" w:color="auto" w:fill="FFFFFF"/>
          <w:lang w:val="en-US"/>
        </w:rPr>
        <w:t>468766524774/Some-new-evidence-on-determinants-of-foreign-direct-investment-in-developing-countries</w:t>
      </w:r>
      <w:r w:rsidRPr="0026642D">
        <w:rPr>
          <w:rFonts w:asciiTheme="majorBidi" w:hAnsiTheme="majorBidi" w:cstheme="majorBidi"/>
          <w:b w:val="0"/>
          <w:bCs w:val="0"/>
          <w:sz w:val="26"/>
          <w:szCs w:val="26"/>
          <w:shd w:val="clear" w:color="auto" w:fill="FFFFFF"/>
          <w:lang w:val="en-US"/>
        </w:rPr>
        <w:t> </w:t>
      </w:r>
    </w:p>
    <w:p w:rsidR="00CB14C9"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rPr>
      </w:pPr>
      <w:r w:rsidRPr="0026642D">
        <w:rPr>
          <w:rFonts w:asciiTheme="majorBidi" w:hAnsiTheme="majorBidi" w:cstheme="majorBidi"/>
          <w:b w:val="0"/>
          <w:bCs w:val="0"/>
          <w:sz w:val="26"/>
          <w:szCs w:val="26"/>
          <w:lang w:val="en-US"/>
        </w:rPr>
        <w:t xml:space="preserve">Sobir Shukurov (2016).  “Determinants of FDI in Transition Economics: The Case of CIS Countries.” </w:t>
      </w:r>
      <w:r w:rsidRPr="005E3613">
        <w:rPr>
          <w:rFonts w:asciiTheme="majorBidi" w:hAnsiTheme="majorBidi" w:cstheme="majorBidi"/>
          <w:b w:val="0"/>
          <w:bCs w:val="0"/>
          <w:sz w:val="26"/>
          <w:szCs w:val="26"/>
        </w:rPr>
        <w:t>Journal of International and Global EconomicStudies, 9(1).</w:t>
      </w:r>
    </w:p>
    <w:p w:rsidR="00CB14C9" w:rsidRPr="0026642D" w:rsidRDefault="00CB14C9" w:rsidP="00CB14C9">
      <w:pPr>
        <w:pStyle w:val="Titre1"/>
        <w:keepNext/>
        <w:numPr>
          <w:ilvl w:val="0"/>
          <w:numId w:val="30"/>
        </w:numPr>
        <w:spacing w:before="0" w:beforeAutospacing="0" w:after="0" w:afterAutospacing="0" w:line="276" w:lineRule="auto"/>
        <w:ind w:left="283"/>
        <w:jc w:val="both"/>
        <w:rPr>
          <w:rFonts w:asciiTheme="majorBidi" w:eastAsiaTheme="minorHAnsi" w:hAnsiTheme="majorBidi" w:cstheme="majorBidi"/>
          <w:b w:val="0"/>
          <w:bCs w:val="0"/>
          <w:sz w:val="26"/>
          <w:szCs w:val="26"/>
          <w:lang w:val="en-US"/>
        </w:rPr>
      </w:pPr>
      <w:r w:rsidRPr="0026642D">
        <w:rPr>
          <w:rFonts w:asciiTheme="majorBidi" w:hAnsiTheme="majorBidi" w:cstheme="majorBidi"/>
          <w:b w:val="0"/>
          <w:bCs w:val="0"/>
          <w:sz w:val="26"/>
          <w:szCs w:val="26"/>
          <w:lang w:val="en-US"/>
        </w:rPr>
        <w:t xml:space="preserve">Yapatake kossele Thales Pacific, Riti Joshua Sunday, Anning Lucy (2015). “Determinants of Foreign Direct Investment Flows to Francophone African Countries: Panel Data Analysis”. Journal of Economics Sustainable Development, ISSN2222-1700(Paper) ISSN 2222-2855(Online), Vol.6, No.13, </w:t>
      </w:r>
      <w:hyperlink r:id="rId24" w:history="1">
        <w:r w:rsidRPr="0026642D">
          <w:rPr>
            <w:rFonts w:asciiTheme="majorBidi" w:hAnsiTheme="majorBidi" w:cstheme="majorBidi"/>
            <w:b w:val="0"/>
            <w:bCs w:val="0"/>
            <w:sz w:val="26"/>
            <w:szCs w:val="26"/>
            <w:u w:val="single"/>
            <w:lang w:val="en-US"/>
          </w:rPr>
          <w:t>www.iiste.org</w:t>
        </w:r>
      </w:hyperlink>
      <w:r w:rsidRPr="0026642D">
        <w:rPr>
          <w:rFonts w:asciiTheme="majorBidi" w:hAnsiTheme="majorBidi" w:cstheme="majorBidi"/>
          <w:sz w:val="26"/>
          <w:szCs w:val="26"/>
          <w:lang w:val="en-US"/>
        </w:rPr>
        <w:t>.</w:t>
      </w:r>
    </w:p>
    <w:p w:rsidR="00CB14C9" w:rsidRPr="00622A9C" w:rsidRDefault="00CB14C9" w:rsidP="00CB14C9">
      <w:pPr>
        <w:pStyle w:val="Notedefin"/>
        <w:spacing w:line="276" w:lineRule="auto"/>
        <w:ind w:left="283"/>
        <w:jc w:val="both"/>
        <w:rPr>
          <w:b/>
          <w:bCs/>
          <w:sz w:val="26"/>
          <w:szCs w:val="26"/>
        </w:rPr>
      </w:pPr>
      <w:r>
        <w:rPr>
          <w:b/>
          <w:bCs/>
          <w:sz w:val="26"/>
          <w:szCs w:val="26"/>
        </w:rPr>
        <w:t>Web Sites</w:t>
      </w:r>
    </w:p>
    <w:p w:rsidR="00CB14C9" w:rsidRPr="0079144A" w:rsidRDefault="00CF59E7" w:rsidP="00CB14C9">
      <w:pPr>
        <w:pStyle w:val="Notedebasdepage"/>
        <w:numPr>
          <w:ilvl w:val="0"/>
          <w:numId w:val="31"/>
        </w:numPr>
        <w:spacing w:line="276" w:lineRule="auto"/>
        <w:jc w:val="both"/>
        <w:rPr>
          <w:rStyle w:val="Lienhypertexte"/>
          <w:rFonts w:asciiTheme="majorBidi" w:hAnsiTheme="majorBidi" w:cstheme="majorBidi"/>
          <w:sz w:val="26"/>
          <w:szCs w:val="26"/>
          <w:lang w:val="en-US"/>
        </w:rPr>
      </w:pPr>
      <w:hyperlink r:id="rId25" w:history="1">
        <w:r w:rsidRPr="003059F4">
          <w:rPr>
            <w:rStyle w:val="Lienhypertexte"/>
            <w:rFonts w:asciiTheme="majorBidi" w:hAnsiTheme="majorBidi" w:cstheme="majorBidi"/>
            <w:sz w:val="26"/>
            <w:szCs w:val="26"/>
          </w:rPr>
          <w:t>http://www.andi.dz/index.php/en/raisons-pour-investir. (</w:t>
        </w:r>
        <w:r w:rsidRPr="003059F4">
          <w:rPr>
            <w:rStyle w:val="Lienhypertexte"/>
            <w:sz w:val="26"/>
            <w:szCs w:val="26"/>
            <w:lang w:val="en-US"/>
          </w:rPr>
          <w:t xml:space="preserve">consulted on </w:t>
        </w:r>
        <w:r w:rsidRPr="003059F4">
          <w:rPr>
            <w:rStyle w:val="Lienhypertexte"/>
            <w:rFonts w:asciiTheme="majorBidi" w:hAnsiTheme="majorBidi" w:cstheme="majorBidi"/>
            <w:sz w:val="26"/>
            <w:szCs w:val="26"/>
            <w:lang w:val="en-US"/>
          </w:rPr>
          <w:t>21/07/2018</w:t>
        </w:r>
      </w:hyperlink>
      <w:r>
        <w:t>)</w:t>
      </w:r>
    </w:p>
    <w:p w:rsidR="00CB14C9" w:rsidRPr="0079144A" w:rsidRDefault="00CF59E7" w:rsidP="00CF59E7">
      <w:pPr>
        <w:pStyle w:val="Notedebasdepage"/>
        <w:numPr>
          <w:ilvl w:val="0"/>
          <w:numId w:val="31"/>
        </w:numPr>
        <w:spacing w:line="276" w:lineRule="auto"/>
        <w:jc w:val="both"/>
        <w:rPr>
          <w:rStyle w:val="Lienhypertexte"/>
          <w:rFonts w:asciiTheme="majorBidi" w:hAnsiTheme="majorBidi" w:cstheme="majorBidi"/>
          <w:sz w:val="26"/>
          <w:szCs w:val="26"/>
          <w:lang w:val="en-US"/>
        </w:rPr>
      </w:pPr>
      <w:hyperlink r:id="rId26" w:history="1">
        <w:r w:rsidRPr="003059F4">
          <w:rPr>
            <w:rStyle w:val="Lienhypertexte"/>
            <w:rFonts w:asciiTheme="majorBidi" w:hAnsiTheme="majorBidi" w:cstheme="majorBidi"/>
            <w:sz w:val="26"/>
            <w:szCs w:val="26"/>
            <w:lang w:val="en-US"/>
          </w:rPr>
          <w:t>http://unctadstat.unctad.org/wds/TableViewer/tableView.asp (consulted on30/6/2018</w:t>
        </w:r>
      </w:hyperlink>
      <w:r>
        <w:rPr>
          <w:lang w:val="en-US"/>
        </w:rPr>
        <w:t>)</w:t>
      </w:r>
    </w:p>
    <w:p w:rsidR="00CF59E7" w:rsidRPr="00CF59E7" w:rsidRDefault="00CB14C9" w:rsidP="00CF59E7">
      <w:pPr>
        <w:pStyle w:val="Notedebasdepage"/>
        <w:numPr>
          <w:ilvl w:val="0"/>
          <w:numId w:val="31"/>
        </w:numPr>
        <w:spacing w:line="276" w:lineRule="auto"/>
        <w:jc w:val="both"/>
        <w:rPr>
          <w:rStyle w:val="Lienhypertexte"/>
          <w:rFonts w:asciiTheme="majorBidi" w:hAnsiTheme="majorBidi" w:cstheme="majorBidi"/>
          <w:color w:val="auto"/>
          <w:sz w:val="26"/>
          <w:szCs w:val="26"/>
          <w:u w:val="none"/>
          <w:lang w:val="en-US"/>
        </w:rPr>
      </w:pPr>
      <w:r w:rsidRPr="0079144A">
        <w:rPr>
          <w:rStyle w:val="Lienhypertexte"/>
          <w:rFonts w:asciiTheme="majorBidi" w:hAnsiTheme="majorBidi" w:cstheme="majorBidi"/>
          <w:sz w:val="26"/>
          <w:szCs w:val="26"/>
          <w:lang w:val="en-US"/>
        </w:rPr>
        <w:t xml:space="preserve">The Arab Investment  and Export Credit Guarantee Corporation, Quarterly Bulletin of  Investment Guarantee, Features of Foreign Direct Investment in Arab Countries2017, N02, </w:t>
      </w:r>
      <w:r w:rsidR="00CF59E7" w:rsidRPr="00CF59E7">
        <w:rPr>
          <w:rStyle w:val="Lienhypertexte"/>
          <w:rFonts w:asciiTheme="majorBidi" w:hAnsiTheme="majorBidi" w:cstheme="majorBidi"/>
          <w:sz w:val="26"/>
          <w:szCs w:val="26"/>
          <w:lang w:val="en-US"/>
        </w:rPr>
        <w:t xml:space="preserve">(consulted on </w:t>
      </w:r>
      <w:r w:rsidR="00CF59E7">
        <w:rPr>
          <w:rStyle w:val="Lienhypertexte"/>
          <w:rFonts w:asciiTheme="majorBidi" w:hAnsiTheme="majorBidi" w:cstheme="majorBidi"/>
          <w:sz w:val="26"/>
          <w:szCs w:val="26"/>
          <w:lang w:val="en-US"/>
        </w:rPr>
        <w:t>25/07/</w:t>
      </w:r>
      <w:r w:rsidRPr="0079144A">
        <w:rPr>
          <w:rStyle w:val="Lienhypertexte"/>
          <w:rFonts w:asciiTheme="majorBidi" w:hAnsiTheme="majorBidi" w:cstheme="majorBidi"/>
          <w:sz w:val="26"/>
          <w:szCs w:val="26"/>
          <w:lang w:val="en-US"/>
        </w:rPr>
        <w:t>2018</w:t>
      </w:r>
      <w:r w:rsidR="00CF59E7">
        <w:rPr>
          <w:rStyle w:val="Lienhypertexte"/>
          <w:rFonts w:asciiTheme="majorBidi" w:hAnsiTheme="majorBidi" w:cstheme="majorBidi"/>
          <w:sz w:val="26"/>
          <w:szCs w:val="26"/>
          <w:lang w:val="en-US"/>
        </w:rPr>
        <w:t>)</w:t>
      </w:r>
    </w:p>
    <w:p w:rsidR="00CB14C9" w:rsidRPr="003A091C" w:rsidRDefault="00274750" w:rsidP="00CF59E7">
      <w:pPr>
        <w:pStyle w:val="Notedebasdepage"/>
        <w:numPr>
          <w:ilvl w:val="0"/>
          <w:numId w:val="31"/>
        </w:numPr>
        <w:spacing w:line="276" w:lineRule="auto"/>
        <w:jc w:val="both"/>
        <w:rPr>
          <w:rFonts w:asciiTheme="majorBidi" w:hAnsiTheme="majorBidi" w:cstheme="majorBidi"/>
          <w:sz w:val="26"/>
          <w:szCs w:val="26"/>
          <w:lang w:val="en-US"/>
        </w:rPr>
      </w:pPr>
      <w:hyperlink r:id="rId27" w:history="1">
        <w:r w:rsidR="00CB14C9" w:rsidRPr="003A091C">
          <w:rPr>
            <w:rStyle w:val="Lienhypertexte"/>
            <w:rFonts w:asciiTheme="majorBidi" w:hAnsiTheme="majorBidi" w:cstheme="majorBidi"/>
            <w:color w:val="auto"/>
            <w:sz w:val="26"/>
            <w:szCs w:val="26"/>
            <w:lang w:val="en-US"/>
          </w:rPr>
          <w:t>http://dhaman.net/en/research-studies/annual-report-latest</w:t>
        </w:r>
        <w:r w:rsidR="00CF59E7" w:rsidRPr="003A091C">
          <w:rPr>
            <w:rStyle w:val="Lienhypertexte"/>
            <w:rFonts w:asciiTheme="majorBidi" w:hAnsiTheme="majorBidi" w:cstheme="majorBidi"/>
            <w:color w:val="auto"/>
            <w:sz w:val="26"/>
            <w:szCs w:val="26"/>
            <w:lang w:val="en-US"/>
          </w:rPr>
          <w:t xml:space="preserve">(consulted on </w:t>
        </w:r>
        <w:r w:rsidR="00CB14C9" w:rsidRPr="003A091C">
          <w:rPr>
            <w:rStyle w:val="Lienhypertexte"/>
            <w:rFonts w:asciiTheme="majorBidi" w:hAnsiTheme="majorBidi" w:cstheme="majorBidi"/>
            <w:color w:val="auto"/>
            <w:sz w:val="26"/>
            <w:szCs w:val="26"/>
            <w:lang w:val="en-US"/>
          </w:rPr>
          <w:t>/19/07/2018</w:t>
        </w:r>
      </w:hyperlink>
      <w:r w:rsidR="00CF59E7" w:rsidRPr="003A091C">
        <w:t>)</w:t>
      </w:r>
    </w:p>
    <w:p w:rsidR="00CB14C9" w:rsidRDefault="00CB14C9" w:rsidP="00CB14C9">
      <w:pPr>
        <w:spacing w:line="276" w:lineRule="auto"/>
        <w:jc w:val="both"/>
        <w:rPr>
          <w:b/>
          <w:bCs/>
          <w:sz w:val="26"/>
          <w:szCs w:val="26"/>
        </w:rPr>
      </w:pPr>
    </w:p>
    <w:p w:rsidR="00CB14C9" w:rsidRDefault="00CB14C9" w:rsidP="00CB14C9">
      <w:pPr>
        <w:spacing w:line="276" w:lineRule="auto"/>
        <w:rPr>
          <w:rFonts w:eastAsiaTheme="minorHAnsi"/>
          <w:lang w:val="en-US"/>
        </w:rPr>
      </w:pPr>
    </w:p>
    <w:p w:rsidR="00CB14C9" w:rsidRDefault="00CB14C9" w:rsidP="00CB14C9">
      <w:pPr>
        <w:spacing w:line="276" w:lineRule="auto"/>
        <w:rPr>
          <w:rFonts w:eastAsiaTheme="minorHAnsi"/>
          <w:lang w:val="en-US"/>
        </w:rPr>
      </w:pPr>
    </w:p>
    <w:p w:rsidR="00CB14C9" w:rsidRDefault="00CB14C9" w:rsidP="00CB14C9">
      <w:pPr>
        <w:spacing w:line="276" w:lineRule="auto"/>
        <w:rPr>
          <w:rFonts w:eastAsiaTheme="minorHAnsi"/>
          <w:lang w:val="en-US"/>
        </w:rPr>
      </w:pPr>
    </w:p>
    <w:p w:rsidR="00CB14C9" w:rsidRDefault="00CB14C9" w:rsidP="00CB14C9">
      <w:pPr>
        <w:spacing w:line="276" w:lineRule="auto"/>
        <w:rPr>
          <w:rFonts w:eastAsiaTheme="minorHAnsi"/>
          <w:lang w:val="en-US"/>
        </w:rPr>
      </w:pPr>
    </w:p>
    <w:p w:rsidR="00CB14C9" w:rsidRDefault="00CB14C9" w:rsidP="00CB14C9">
      <w:pPr>
        <w:spacing w:line="276" w:lineRule="auto"/>
        <w:rPr>
          <w:rFonts w:eastAsiaTheme="minorHAnsi"/>
          <w:lang w:val="en-US"/>
        </w:rPr>
      </w:pPr>
    </w:p>
    <w:p w:rsidR="00CB14C9" w:rsidRDefault="00CB14C9" w:rsidP="00CB14C9">
      <w:pPr>
        <w:spacing w:line="276" w:lineRule="auto"/>
        <w:rPr>
          <w:rFonts w:eastAsiaTheme="minorHAnsi"/>
          <w:lang w:val="en-US"/>
        </w:rPr>
      </w:pPr>
    </w:p>
    <w:p w:rsidR="00CB14C9" w:rsidRPr="00A74FEE" w:rsidRDefault="00CB14C9" w:rsidP="00CB14C9">
      <w:pPr>
        <w:spacing w:line="276" w:lineRule="auto"/>
        <w:rPr>
          <w:rFonts w:eastAsiaTheme="minorHAnsi"/>
          <w:lang w:val="en-US"/>
        </w:rPr>
      </w:pPr>
    </w:p>
    <w:p w:rsidR="00CB14C9" w:rsidRPr="0026642D" w:rsidRDefault="00CB14C9" w:rsidP="00CB14C9">
      <w:pPr>
        <w:spacing w:line="276" w:lineRule="auto"/>
        <w:rPr>
          <w:sz w:val="26"/>
          <w:rtl/>
        </w:rPr>
      </w:pPr>
    </w:p>
    <w:p w:rsidR="0094692F" w:rsidRPr="00CB14C9" w:rsidRDefault="0094692F" w:rsidP="00CB14C9">
      <w:pPr>
        <w:rPr>
          <w:sz w:val="26"/>
          <w:rtl/>
        </w:rPr>
      </w:pPr>
    </w:p>
    <w:sectPr w:rsidR="0094692F" w:rsidRPr="00CB14C9" w:rsidSect="00473442">
      <w:headerReference w:type="even" r:id="rId28"/>
      <w:headerReference w:type="default" r:id="rId29"/>
      <w:footerReference w:type="even" r:id="rId30"/>
      <w:footerReference w:type="default" r:id="rId31"/>
      <w:headerReference w:type="first" r:id="rId32"/>
      <w:endnotePr>
        <w:numFmt w:val="decimal"/>
      </w:endnotePr>
      <w:type w:val="continuous"/>
      <w:pgSz w:w="9639" w:h="13608" w:code="9"/>
      <w:pgMar w:top="707" w:right="851" w:bottom="851" w:left="851" w:header="0" w:footer="731" w:gutter="0"/>
      <w:pgNumType w:start="1"/>
      <w:cols w:space="708"/>
      <w:titlePg/>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00CB" w:rsidRPr="00B5001B" w:rsidRDefault="00B500CB" w:rsidP="00B5001B">
      <w:pPr>
        <w:pStyle w:val="Pieddepage"/>
        <w:rPr>
          <w:sz w:val="8"/>
          <w:szCs w:val="8"/>
        </w:rPr>
      </w:pPr>
    </w:p>
    <w:p w:rsidR="00B500CB" w:rsidRDefault="00B500CB"/>
  </w:endnote>
  <w:endnote w:type="continuationSeparator" w:id="1">
    <w:p w:rsidR="00B500CB" w:rsidRPr="00B5001B" w:rsidRDefault="00B500CB" w:rsidP="00B5001B">
      <w:pPr>
        <w:pStyle w:val="Pieddepage"/>
        <w:rPr>
          <w:sz w:val="8"/>
          <w:szCs w:val="8"/>
        </w:rPr>
      </w:pPr>
    </w:p>
    <w:p w:rsidR="00B500CB" w:rsidRDefault="00B500C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parajita">
    <w:panose1 w:val="020B0604020202020204"/>
    <w:charset w:val="00"/>
    <w:family w:val="swiss"/>
    <w:pitch w:val="variable"/>
    <w:sig w:usb0="00008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24550"/>
      <w:docPartObj>
        <w:docPartGallery w:val="Page Numbers (Bottom of Page)"/>
        <w:docPartUnique/>
      </w:docPartObj>
    </w:sdtPr>
    <w:sdtContent>
      <w:p w:rsidR="003A091C" w:rsidRDefault="003A091C">
        <w:pPr>
          <w:pStyle w:val="Pieddepage"/>
          <w:jc w:val="center"/>
        </w:pPr>
        <w:r>
          <w:rPr>
            <w:rFonts w:cs="Calibri"/>
            <w:noProof/>
            <w:lang w:val="ar-SA"/>
          </w:rPr>
          <w:fldChar w:fldCharType="begin"/>
        </w:r>
        <w:r>
          <w:rPr>
            <w:noProof/>
            <w:rtl/>
            <w:lang w:val="ar-SA"/>
          </w:rPr>
          <w:instrText xml:space="preserve"> PAGE   \* MERGEFORMAT </w:instrText>
        </w:r>
        <w:r>
          <w:rPr>
            <w:rFonts w:cs="Calibri"/>
            <w:noProof/>
            <w:lang w:val="ar-SA"/>
          </w:rPr>
          <w:fldChar w:fldCharType="separate"/>
        </w:r>
        <w:r w:rsidR="00636BAC">
          <w:rPr>
            <w:noProof/>
            <w:lang w:val="ar-SA"/>
          </w:rPr>
          <w:t>1</w:t>
        </w:r>
        <w:r>
          <w:rPr>
            <w:rFonts w:cs="Calibri"/>
            <w:noProof/>
            <w:lang w:val="ar-SA"/>
          </w:rPr>
          <w:fldChar w:fldCharType="end"/>
        </w:r>
      </w:p>
    </w:sdtContent>
  </w:sdt>
  <w:p w:rsidR="003A091C" w:rsidRDefault="003A091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pPr>
      <w:pStyle w:val="Pieddepage"/>
      <w:jc w:val="center"/>
    </w:pPr>
    <w:r>
      <w:rPr>
        <w:noProof/>
        <w:lang w:val="ar-SA"/>
      </w:rPr>
      <w:fldChar w:fldCharType="begin"/>
    </w:r>
    <w:r>
      <w:rPr>
        <w:noProof/>
        <w:rtl/>
        <w:lang w:val="ar-SA"/>
      </w:rPr>
      <w:instrText xml:space="preserve"> PAGE   \* MERGEFORMAT </w:instrText>
    </w:r>
    <w:r>
      <w:rPr>
        <w:noProof/>
        <w:lang w:val="ar-SA"/>
      </w:rPr>
      <w:fldChar w:fldCharType="separate"/>
    </w:r>
    <w:r w:rsidR="00636BAC">
      <w:rPr>
        <w:noProof/>
        <w:lang w:val="ar-SA"/>
      </w:rPr>
      <w:t>20</w:t>
    </w:r>
    <w:r>
      <w:rPr>
        <w:noProof/>
        <w:lang w:val="ar-SA"/>
      </w:rPr>
      <w:fldChar w:fldCharType="end"/>
    </w:r>
  </w:p>
  <w:p w:rsidR="003A091C" w:rsidRDefault="003A091C"/>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pPr>
      <w:pStyle w:val="Pieddepage"/>
      <w:jc w:val="center"/>
    </w:pPr>
    <w:r>
      <w:rPr>
        <w:noProof/>
        <w:lang w:val="ar-SA"/>
      </w:rPr>
      <w:fldChar w:fldCharType="begin"/>
    </w:r>
    <w:r>
      <w:rPr>
        <w:noProof/>
        <w:rtl/>
        <w:lang w:val="ar-SA"/>
      </w:rPr>
      <w:instrText xml:space="preserve"> PAGE   \* MERGEFORMAT </w:instrText>
    </w:r>
    <w:r>
      <w:rPr>
        <w:noProof/>
        <w:lang w:val="ar-SA"/>
      </w:rPr>
      <w:fldChar w:fldCharType="separate"/>
    </w:r>
    <w:r w:rsidR="00636BAC">
      <w:rPr>
        <w:noProof/>
        <w:lang w:val="ar-SA"/>
      </w:rPr>
      <w:t>19</w:t>
    </w:r>
    <w:r>
      <w:rPr>
        <w:noProof/>
        <w:lang w:val="ar-SA"/>
      </w:rPr>
      <w:fldChar w:fldCharType="end"/>
    </w:r>
  </w:p>
  <w:p w:rsidR="003A091C" w:rsidRDefault="003A091C" w:rsidP="00BF49F9">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00CB" w:rsidRDefault="00B500CB">
      <w:r>
        <w:separator/>
      </w:r>
    </w:p>
    <w:p w:rsidR="00B500CB" w:rsidRDefault="00B500CB"/>
  </w:footnote>
  <w:footnote w:type="continuationSeparator" w:id="1">
    <w:p w:rsidR="00B500CB" w:rsidRDefault="00B500CB">
      <w:r>
        <w:continuationSeparator/>
      </w:r>
    </w:p>
    <w:p w:rsidR="00B500CB" w:rsidRDefault="00B500CB"/>
  </w:footnote>
  <w:footnote w:id="2">
    <w:p w:rsidR="003A091C" w:rsidRPr="0026642D" w:rsidRDefault="003A091C" w:rsidP="00CB14C9">
      <w:pPr>
        <w:jc w:val="both"/>
        <w:rPr>
          <w:rFonts w:asciiTheme="majorBidi" w:hAnsiTheme="majorBidi" w:cstheme="majorBidi"/>
          <w:sz w:val="24"/>
          <w:szCs w:val="24"/>
          <w:lang w:val="en-US"/>
        </w:rPr>
      </w:pPr>
      <w:r w:rsidRPr="0026642D">
        <w:rPr>
          <w:sz w:val="24"/>
          <w:szCs w:val="24"/>
          <w:lang w:val="en-US"/>
        </w:rPr>
        <w:t xml:space="preserve">Corresponding author: </w:t>
      </w:r>
      <w:r w:rsidRPr="0026642D">
        <w:rPr>
          <w:rFonts w:asciiTheme="majorBidi" w:hAnsiTheme="majorBidi" w:cstheme="majorBidi"/>
          <w:sz w:val="24"/>
          <w:szCs w:val="24"/>
          <w:lang w:val="en-US"/>
        </w:rPr>
        <w:t xml:space="preserve">Benchenni Abdelkader, e-mail: </w:t>
      </w:r>
      <w:hyperlink r:id="rId1" w:history="1">
        <w:r w:rsidRPr="0026642D">
          <w:rPr>
            <w:rStyle w:val="Lienhypertexte"/>
            <w:rFonts w:asciiTheme="majorBidi" w:hAnsiTheme="majorBidi" w:cstheme="majorBidi"/>
            <w:color w:val="auto"/>
            <w:sz w:val="24"/>
            <w:szCs w:val="24"/>
            <w:u w:val="none"/>
            <w:lang w:val="en-US"/>
          </w:rPr>
          <w:t>aekkari2202@gimail.com</w:t>
        </w:r>
      </w:hyperlink>
    </w:p>
    <w:p w:rsidR="003A091C" w:rsidRPr="000C4E7B" w:rsidRDefault="003A091C" w:rsidP="00CB14C9">
      <w:pPr>
        <w:pStyle w:val="Notedebasdepage"/>
        <w:rPr>
          <w:lang w:val="en-GB"/>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rsidP="00150A1A">
    <w:pPr>
      <w:pStyle w:val="Pieddepage"/>
      <w:tabs>
        <w:tab w:val="clear" w:pos="4536"/>
        <w:tab w:val="clear" w:pos="9072"/>
        <w:tab w:val="center" w:pos="4153"/>
        <w:tab w:val="right" w:pos="8306"/>
        <w:tab w:val="right" w:pos="8917"/>
      </w:tabs>
      <w:ind w:right="-1418" w:firstLine="3540"/>
      <w:rPr>
        <w:rStyle w:val="longtext"/>
        <w:b/>
        <w:bCs/>
        <w:color w:val="000000"/>
        <w:sz w:val="24"/>
        <w:szCs w:val="24"/>
        <w:shd w:val="clear" w:color="auto" w:fill="FFFFFF"/>
        <w:rtl/>
      </w:rPr>
    </w:pPr>
    <w:r w:rsidRPr="00274750">
      <w:rPr>
        <w:b/>
        <w:bCs/>
        <w:noProof/>
        <w:color w:val="000000"/>
        <w:sz w:val="24"/>
        <w:szCs w:val="24"/>
        <w:rtl/>
        <w:lang w:val="en-US" w:eastAsia="en-US"/>
      </w:rPr>
      <w:pict>
        <v:shapetype id="_x0000_t32" coordsize="21600,21600" o:spt="32" o:oned="t" path="m,l21600,21600e" filled="f">
          <v:path arrowok="t" fillok="f" o:connecttype="none"/>
          <o:lock v:ext="edit" shapetype="t"/>
        </v:shapetype>
        <v:shape id="AutoShape 6" o:spid="_x0000_s4100" type="#_x0000_t32" style="position:absolute;left:0;text-align:left;margin-left:43.75pt;margin-top:19.9pt;width:277.8pt;height:.05pt;z-index:2516561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" strokeweight="1pt">
          <o:lock v:ext="edit" shapetype="f"/>
        </v:shape>
      </w:pict>
    </w:r>
    <w:r>
      <w:rPr>
        <w:b/>
        <w:bCs/>
        <w:i/>
        <w:iCs/>
        <w:sz w:val="24"/>
        <w:lang w:val="de-DE"/>
      </w:rPr>
      <w:t>A</w:t>
    </w:r>
    <w:r w:rsidRPr="00670CA1">
      <w:rPr>
        <w:b/>
        <w:bCs/>
        <w:i/>
        <w:iCs/>
        <w:sz w:val="24"/>
        <w:lang w:val="de-DE"/>
      </w:rPr>
      <w:t xml:space="preserve">. </w:t>
    </w:r>
    <w:r>
      <w:rPr>
        <w:b/>
        <w:bCs/>
        <w:i/>
        <w:iCs/>
        <w:sz w:val="24"/>
        <w:lang w:val="de-DE"/>
      </w:rPr>
      <w:t xml:space="preserve">BENCHENNI </w:t>
    </w:r>
    <w:r>
      <w:rPr>
        <w:b/>
        <w:bCs/>
        <w:i/>
        <w:iCs/>
        <w:sz w:val="24"/>
        <w:szCs w:val="24"/>
        <w:lang w:val="de-DE"/>
      </w:rPr>
      <w:t xml:space="preserve">andK. </w:t>
    </w:r>
    <w:r>
      <w:rPr>
        <w:b/>
        <w:bCs/>
        <w:i/>
        <w:iCs/>
        <w:sz w:val="24"/>
        <w:lang w:val="de-DE"/>
      </w:rPr>
      <w:t>BESSADET</w:t>
    </w:r>
  </w:p>
  <w:p w:rsidR="003A091C" w:rsidRPr="0026642D" w:rsidRDefault="003A091C">
    <w:pPr>
      <w:pStyle w:val="En-tte"/>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1"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4653"/>
      <w:gridCol w:w="3516"/>
    </w:tblGrid>
    <w:tr w:rsidR="003A091C" w:rsidTr="00150A1A">
      <w:trPr>
        <w:trHeight w:val="288"/>
      </w:trPr>
      <w:tc>
        <w:tcPr>
          <w:tcW w:w="4653" w:type="dxa"/>
          <w:vAlign w:val="center"/>
        </w:tcPr>
        <w:p w:rsidR="003A091C" w:rsidRPr="00A5057C" w:rsidRDefault="003A091C" w:rsidP="00150A1A">
          <w:pPr>
            <w:bidi/>
            <w:jc w:val="center"/>
            <w:rPr>
              <w:rFonts w:cs="Times New Roman"/>
              <w:b/>
              <w:bCs/>
              <w:sz w:val="22"/>
              <w:szCs w:val="22"/>
            </w:rPr>
          </w:pPr>
          <w:r w:rsidRPr="00765F8D">
            <w:rPr>
              <w:rFonts w:cs="Times New Roman"/>
              <w:b/>
              <w:bCs/>
              <w:sz w:val="22"/>
              <w:szCs w:val="22"/>
              <w:lang w:val="en-US"/>
            </w:rPr>
            <w:t>Strategy and Development Review</w:t>
          </w:r>
        </w:p>
      </w:tc>
      <w:tc>
        <w:tcPr>
          <w:tcW w:w="3516" w:type="dxa"/>
          <w:vAlign w:val="center"/>
        </w:tcPr>
        <w:p w:rsidR="003A091C" w:rsidRPr="00A5057C" w:rsidRDefault="003A091C" w:rsidP="00150A1A">
          <w:pPr>
            <w:jc w:val="center"/>
            <w:rPr>
              <w:rFonts w:eastAsia="Times New Roman" w:cs="Times New Roman"/>
              <w:sz w:val="22"/>
              <w:szCs w:val="22"/>
              <w:rtl/>
              <w:lang w:eastAsia="fr-FR" w:bidi="ar-DZ"/>
            </w:rPr>
          </w:pPr>
          <w:r w:rsidRPr="00A5057C">
            <w:rPr>
              <w:rFonts w:cs="Times New Roman"/>
              <w:b/>
              <w:bCs/>
              <w:sz w:val="22"/>
              <w:szCs w:val="22"/>
              <w:lang w:val="en-US"/>
            </w:rPr>
            <w:t xml:space="preserve">Volume: </w:t>
          </w:r>
          <w:r w:rsidRPr="00A5057C">
            <w:rPr>
              <w:rFonts w:cs="Times New Roman"/>
              <w:b/>
              <w:bCs/>
              <w:sz w:val="22"/>
              <w:szCs w:val="22"/>
              <w:rtl/>
              <w:lang w:val="en-US"/>
            </w:rPr>
            <w:t>..</w:t>
          </w:r>
          <w:r w:rsidRPr="00A5057C">
            <w:rPr>
              <w:rFonts w:cs="Times New Roman"/>
              <w:b/>
              <w:bCs/>
              <w:sz w:val="22"/>
              <w:szCs w:val="22"/>
              <w:lang w:val="en-US"/>
            </w:rPr>
            <w:t xml:space="preserve"> /  N°</w:t>
          </w:r>
          <w:r>
            <w:rPr>
              <w:rFonts w:cs="Times New Roman"/>
              <w:b/>
              <w:bCs/>
              <w:sz w:val="22"/>
              <w:szCs w:val="22"/>
              <w:lang w:val="en-US"/>
            </w:rPr>
            <w:t xml:space="preserve">: .. </w:t>
          </w:r>
          <w:r w:rsidRPr="00A5057C">
            <w:rPr>
              <w:rFonts w:cs="Times New Roman"/>
              <w:b/>
              <w:bCs/>
              <w:sz w:val="22"/>
              <w:szCs w:val="22"/>
              <w:lang w:val="en-US"/>
            </w:rPr>
            <w:t>(</w:t>
          </w:r>
          <w:r>
            <w:rPr>
              <w:rFonts w:cs="Times New Roman"/>
              <w:b/>
              <w:bCs/>
              <w:sz w:val="22"/>
              <w:szCs w:val="22"/>
              <w:lang w:val="en-US"/>
            </w:rPr>
            <w:t>2019</w:t>
          </w:r>
          <w:r w:rsidRPr="00A5057C">
            <w:rPr>
              <w:rFonts w:cs="Times New Roman"/>
              <w:b/>
              <w:bCs/>
              <w:sz w:val="22"/>
              <w:szCs w:val="22"/>
              <w:lang w:val="en-US"/>
            </w:rPr>
            <w:t>), p</w:t>
          </w:r>
          <w:r>
            <w:rPr>
              <w:rFonts w:cs="Times New Roman"/>
              <w:b/>
              <w:bCs/>
              <w:sz w:val="22"/>
              <w:szCs w:val="22"/>
              <w:lang w:val="en-US"/>
            </w:rPr>
            <w:t xml:space="preserve"> ..-..</w:t>
          </w:r>
        </w:p>
      </w:tc>
    </w:tr>
  </w:tbl>
  <w:p w:rsidR="003A091C" w:rsidRDefault="003A091C" w:rsidP="00150A1A">
    <w:pPr>
      <w:pStyle w:val="En-tte"/>
      <w:tabs>
        <w:tab w:val="clear" w:pos="4536"/>
        <w:tab w:val="clear" w:pos="9072"/>
        <w:tab w:val="left" w:pos="1110"/>
      </w:tabs>
    </w:pPr>
    <w: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1"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4653"/>
      <w:gridCol w:w="3516"/>
    </w:tblGrid>
    <w:tr w:rsidR="003A091C" w:rsidTr="00150A1A">
      <w:trPr>
        <w:trHeight w:val="288"/>
      </w:trPr>
      <w:tc>
        <w:tcPr>
          <w:tcW w:w="4653" w:type="dxa"/>
          <w:vAlign w:val="center"/>
        </w:tcPr>
        <w:p w:rsidR="003A091C" w:rsidRPr="00A5057C" w:rsidRDefault="003A091C" w:rsidP="00150A1A">
          <w:pPr>
            <w:bidi/>
            <w:jc w:val="center"/>
            <w:rPr>
              <w:rFonts w:cs="Times New Roman"/>
              <w:b/>
              <w:bCs/>
              <w:sz w:val="22"/>
              <w:szCs w:val="22"/>
            </w:rPr>
          </w:pPr>
          <w:r w:rsidRPr="00765F8D">
            <w:rPr>
              <w:rFonts w:cs="Times New Roman"/>
              <w:b/>
              <w:bCs/>
              <w:sz w:val="22"/>
              <w:szCs w:val="22"/>
              <w:lang w:val="en-US"/>
            </w:rPr>
            <w:t>Strategy and Development Review</w:t>
          </w:r>
        </w:p>
      </w:tc>
      <w:tc>
        <w:tcPr>
          <w:tcW w:w="3516" w:type="dxa"/>
          <w:vAlign w:val="center"/>
        </w:tcPr>
        <w:p w:rsidR="003A091C" w:rsidRPr="00A5057C" w:rsidRDefault="003A091C" w:rsidP="00150A1A">
          <w:pPr>
            <w:jc w:val="center"/>
            <w:rPr>
              <w:rFonts w:eastAsia="Times New Roman" w:cs="Times New Roman"/>
              <w:sz w:val="22"/>
              <w:szCs w:val="22"/>
              <w:rtl/>
              <w:lang w:eastAsia="fr-FR" w:bidi="ar-DZ"/>
            </w:rPr>
          </w:pPr>
          <w:r w:rsidRPr="00A5057C">
            <w:rPr>
              <w:rFonts w:cs="Times New Roman"/>
              <w:b/>
              <w:bCs/>
              <w:sz w:val="22"/>
              <w:szCs w:val="22"/>
              <w:lang w:val="en-US"/>
            </w:rPr>
            <w:t xml:space="preserve">Volume: </w:t>
          </w:r>
          <w:r w:rsidRPr="00A5057C">
            <w:rPr>
              <w:rFonts w:cs="Times New Roman"/>
              <w:b/>
              <w:bCs/>
              <w:sz w:val="22"/>
              <w:szCs w:val="22"/>
              <w:rtl/>
              <w:lang w:val="en-US"/>
            </w:rPr>
            <w:t>..</w:t>
          </w:r>
          <w:r w:rsidRPr="00A5057C">
            <w:rPr>
              <w:rFonts w:cs="Times New Roman"/>
              <w:b/>
              <w:bCs/>
              <w:sz w:val="22"/>
              <w:szCs w:val="22"/>
              <w:lang w:val="en-US"/>
            </w:rPr>
            <w:t xml:space="preserve"> /  N°</w:t>
          </w:r>
          <w:r>
            <w:rPr>
              <w:rFonts w:cs="Times New Roman"/>
              <w:b/>
              <w:bCs/>
              <w:sz w:val="22"/>
              <w:szCs w:val="22"/>
              <w:lang w:val="en-US"/>
            </w:rPr>
            <w:t xml:space="preserve">: .. </w:t>
          </w:r>
          <w:r w:rsidRPr="00A5057C">
            <w:rPr>
              <w:rFonts w:cs="Times New Roman"/>
              <w:b/>
              <w:bCs/>
              <w:sz w:val="22"/>
              <w:szCs w:val="22"/>
              <w:lang w:val="en-US"/>
            </w:rPr>
            <w:t>(</w:t>
          </w:r>
          <w:r>
            <w:rPr>
              <w:rFonts w:cs="Times New Roman"/>
              <w:b/>
              <w:bCs/>
              <w:sz w:val="22"/>
              <w:szCs w:val="22"/>
              <w:lang w:val="en-US"/>
            </w:rPr>
            <w:t>2019</w:t>
          </w:r>
          <w:r w:rsidRPr="00A5057C">
            <w:rPr>
              <w:rFonts w:cs="Times New Roman"/>
              <w:b/>
              <w:bCs/>
              <w:sz w:val="22"/>
              <w:szCs w:val="22"/>
              <w:lang w:val="en-US"/>
            </w:rPr>
            <w:t>), p</w:t>
          </w:r>
          <w:r>
            <w:rPr>
              <w:rFonts w:cs="Times New Roman"/>
              <w:b/>
              <w:bCs/>
              <w:sz w:val="22"/>
              <w:szCs w:val="22"/>
              <w:lang w:val="en-US"/>
            </w:rPr>
            <w:t xml:space="preserve"> ..-..</w:t>
          </w:r>
        </w:p>
      </w:tc>
    </w:tr>
  </w:tbl>
  <w:p w:rsidR="003A091C" w:rsidRDefault="003A091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rsidP="0095565D">
    <w:pPr>
      <w:pStyle w:val="Pieddepage"/>
      <w:tabs>
        <w:tab w:val="clear" w:pos="4536"/>
        <w:tab w:val="clear" w:pos="9072"/>
        <w:tab w:val="center" w:pos="4153"/>
        <w:tab w:val="right" w:pos="8306"/>
        <w:tab w:val="right" w:pos="8917"/>
      </w:tabs>
      <w:ind w:right="-1418"/>
      <w:rPr>
        <w:rStyle w:val="longtext"/>
        <w:b/>
        <w:bCs/>
        <w:color w:val="000000"/>
        <w:sz w:val="24"/>
        <w:szCs w:val="24"/>
        <w:shd w:val="clear" w:color="auto" w:fill="FFFFFF"/>
        <w:rtl/>
      </w:rPr>
    </w:pPr>
  </w:p>
  <w:p w:rsidR="003A091C" w:rsidRPr="007B4B77" w:rsidRDefault="003A091C" w:rsidP="007B4B77">
    <w:pPr>
      <w:pStyle w:val="Titre1"/>
      <w:spacing w:before="0" w:beforeAutospacing="0" w:after="0" w:afterAutospacing="0" w:line="276" w:lineRule="auto"/>
      <w:jc w:val="center"/>
      <w:rPr>
        <w:rFonts w:asciiTheme="majorBidi" w:hAnsiTheme="majorBidi" w:cstheme="majorBidi"/>
        <w:sz w:val="24"/>
        <w:szCs w:val="24"/>
        <w:lang w:val="en-US"/>
      </w:rPr>
    </w:pPr>
    <w:r w:rsidRPr="007B4B77">
      <w:rPr>
        <w:rStyle w:val="longtext"/>
        <w:i/>
        <w:iCs/>
        <w:color w:val="000000"/>
        <w:sz w:val="24"/>
        <w:szCs w:val="24"/>
        <w:shd w:val="clear" w:color="auto" w:fill="FFFFFF"/>
        <w:lang w:val="en-US"/>
      </w:rPr>
      <w:t>Title :</w:t>
    </w:r>
    <w:r w:rsidRPr="007B4B77">
      <w:rPr>
        <w:rFonts w:asciiTheme="majorBidi" w:hAnsiTheme="majorBidi" w:cstheme="majorBidi"/>
        <w:sz w:val="24"/>
        <w:szCs w:val="24"/>
        <w:lang w:val="en-US"/>
      </w:rPr>
      <w:t xml:space="preserve"> Determinants of Foreign Direct Investment Inflows in Algeria</w:t>
    </w:r>
  </w:p>
  <w:p w:rsidR="003A091C" w:rsidRPr="007B4B77" w:rsidRDefault="003A091C" w:rsidP="007B4B77">
    <w:pPr>
      <w:pStyle w:val="Pieddepage"/>
      <w:tabs>
        <w:tab w:val="clear" w:pos="4536"/>
        <w:tab w:val="clear" w:pos="9072"/>
        <w:tab w:val="center" w:pos="4153"/>
        <w:tab w:val="right" w:pos="8306"/>
        <w:tab w:val="right" w:pos="8917"/>
      </w:tabs>
      <w:ind w:right="-1418"/>
      <w:jc w:val="center"/>
      <w:rPr>
        <w:rStyle w:val="longtext"/>
        <w:b/>
        <w:bCs/>
        <w:i/>
        <w:iCs/>
        <w:color w:val="000000"/>
        <w:sz w:val="24"/>
        <w:szCs w:val="24"/>
        <w:shd w:val="clear" w:color="auto" w:fill="FFFFFF"/>
        <w:rtl/>
        <w:lang w:val="en-US"/>
      </w:rPr>
    </w:pPr>
    <w:r w:rsidRPr="007B4B77">
      <w:rPr>
        <w:rFonts w:asciiTheme="majorBidi" w:hAnsiTheme="majorBidi" w:cstheme="majorBidi"/>
        <w:b/>
        <w:bCs/>
        <w:sz w:val="24"/>
        <w:szCs w:val="24"/>
        <w:lang w:val="en-US"/>
      </w:rPr>
      <w:t>An Analytical Econometric Study (1980-2017)</w:t>
    </w:r>
    <w:r w:rsidRPr="007B4B77">
      <w:rPr>
        <w:rStyle w:val="longtext"/>
        <w:b/>
        <w:bCs/>
        <w:i/>
        <w:iCs/>
        <w:color w:val="000000"/>
        <w:sz w:val="24"/>
        <w:szCs w:val="24"/>
        <w:shd w:val="clear" w:color="auto" w:fill="FFFFFF"/>
        <w:lang w:val="en-US"/>
      </w:rPr>
      <w:t>.</w:t>
    </w:r>
  </w:p>
  <w:p w:rsidR="003A091C" w:rsidRPr="001C45CC" w:rsidRDefault="003A091C" w:rsidP="00473442">
    <w:pPr>
      <w:pStyle w:val="Pieddepage"/>
      <w:tabs>
        <w:tab w:val="clear" w:pos="4536"/>
        <w:tab w:val="clear" w:pos="9072"/>
        <w:tab w:val="center" w:pos="4153"/>
        <w:tab w:val="right" w:pos="8306"/>
        <w:tab w:val="right" w:pos="8917"/>
      </w:tabs>
      <w:ind w:right="-1418" w:firstLine="3540"/>
      <w:rPr>
        <w:b/>
        <w:bCs/>
        <w:sz w:val="22"/>
        <w:szCs w:val="22"/>
        <w:vertAlign w:val="superscript"/>
        <w:lang w:val="en-US"/>
      </w:rPr>
    </w:pPr>
    <w:r w:rsidRPr="00274750">
      <w:rPr>
        <w:b/>
        <w:bCs/>
        <w:noProof/>
        <w:color w:val="000000"/>
        <w:sz w:val="24"/>
        <w:szCs w:val="24"/>
        <w:lang w:val="en-US" w:eastAsia="en-US"/>
      </w:rPr>
      <w:pict>
        <v:shapetype id="_x0000_t32" coordsize="21600,21600" o:spt="32" o:oned="t" path="m,l21600,21600e" filled="f">
          <v:path arrowok="t" fillok="f" o:connecttype="none"/>
          <o:lock v:ext="edit" shapetype="t"/>
        </v:shapetype>
        <v:shape id="AutoShape 7" o:spid="_x0000_s4099" type="#_x0000_t32" style="position:absolute;left:0;text-align:left;margin-left:47.5pt;margin-top:6.55pt;width:277.8pt;height:.05pt;z-index:2516582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" strokeweight="1pt">
          <o:lock v:ext="edit" shapetype="f"/>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rsidP="00665788">
    <w:pPr>
      <w:pStyle w:val="En-tte"/>
      <w:tabs>
        <w:tab w:val="clear" w:pos="4536"/>
        <w:tab w:val="clear" w:pos="9072"/>
      </w:tabs>
      <w:ind w:right="-58" w:hanging="1474"/>
      <w:rPr>
        <w:sz w:val="22"/>
        <w:szCs w:val="22"/>
        <w:vertAlign w:val="superscript"/>
        <w:rtl/>
      </w:rPr>
    </w:pPr>
  </w:p>
  <w:p w:rsidR="003A091C" w:rsidRDefault="003A091C" w:rsidP="007B4B77">
    <w:pPr>
      <w:pStyle w:val="Pieddepage"/>
      <w:tabs>
        <w:tab w:val="clear" w:pos="4536"/>
        <w:tab w:val="clear" w:pos="9072"/>
        <w:tab w:val="center" w:pos="4153"/>
        <w:tab w:val="right" w:pos="8306"/>
        <w:tab w:val="right" w:pos="8917"/>
      </w:tabs>
      <w:ind w:right="-1418" w:firstLine="3540"/>
      <w:rPr>
        <w:rStyle w:val="longtext"/>
        <w:b/>
        <w:bCs/>
        <w:color w:val="000000"/>
        <w:sz w:val="24"/>
        <w:szCs w:val="24"/>
        <w:shd w:val="clear" w:color="auto" w:fill="FFFFFF"/>
        <w:rtl/>
      </w:rPr>
    </w:pPr>
    <w:r w:rsidRPr="00274750">
      <w:rPr>
        <w:b/>
        <w:bCs/>
        <w:noProof/>
        <w:color w:val="000000"/>
        <w:sz w:val="24"/>
        <w:szCs w:val="24"/>
        <w:rtl/>
        <w:lang w:val="en-US" w:eastAsia="en-US"/>
      </w:rPr>
      <w:pict>
        <v:shapetype id="_x0000_t32" coordsize="21600,21600" o:spt="32" o:oned="t" path="m,l21600,21600e" filled="f">
          <v:path arrowok="t" fillok="f" o:connecttype="none"/>
          <o:lock v:ext="edit" shapetype="t"/>
        </v:shapetype>
        <v:shape id="_x0000_s4098" type="#_x0000_t32" style="position:absolute;left:0;text-align:left;margin-left:43.75pt;margin-top:19.9pt;width:277.8pt;height:.05pt;z-index:2516592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" strokeweight="1pt">
          <o:lock v:ext="edit" shapetype="f"/>
        </v:shape>
      </w:pict>
    </w:r>
    <w:r>
      <w:rPr>
        <w:b/>
        <w:bCs/>
        <w:i/>
        <w:iCs/>
        <w:sz w:val="24"/>
        <w:lang w:val="de-DE"/>
      </w:rPr>
      <w:t>A</w:t>
    </w:r>
    <w:r w:rsidRPr="00670CA1">
      <w:rPr>
        <w:b/>
        <w:bCs/>
        <w:i/>
        <w:iCs/>
        <w:sz w:val="24"/>
        <w:lang w:val="de-DE"/>
      </w:rPr>
      <w:t xml:space="preserve">. </w:t>
    </w:r>
    <w:r>
      <w:rPr>
        <w:b/>
        <w:bCs/>
        <w:i/>
        <w:iCs/>
        <w:sz w:val="24"/>
        <w:lang w:val="de-DE"/>
      </w:rPr>
      <w:t>BENCHENNI</w:t>
    </w:r>
    <w:r>
      <w:rPr>
        <w:b/>
        <w:bCs/>
        <w:i/>
        <w:iCs/>
        <w:sz w:val="24"/>
        <w:szCs w:val="24"/>
        <w:lang w:val="de-DE"/>
      </w:rPr>
      <w:t xml:space="preserve">andK. </w:t>
    </w:r>
    <w:r>
      <w:rPr>
        <w:b/>
        <w:bCs/>
        <w:i/>
        <w:iCs/>
        <w:sz w:val="24"/>
        <w:lang w:val="de-DE"/>
      </w:rPr>
      <w:t>BESSADET</w:t>
    </w:r>
  </w:p>
  <w:p w:rsidR="003A091C" w:rsidRPr="00473442" w:rsidRDefault="003A091C" w:rsidP="007B4B77">
    <w:pPr>
      <w:pStyle w:val="Pieddepage"/>
      <w:tabs>
        <w:tab w:val="clear" w:pos="4536"/>
        <w:tab w:val="clear" w:pos="9072"/>
        <w:tab w:val="center" w:pos="4153"/>
        <w:tab w:val="right" w:pos="8306"/>
        <w:tab w:val="right" w:pos="8917"/>
      </w:tabs>
      <w:ind w:right="-1418"/>
      <w:rPr>
        <w:szCs w:val="22"/>
        <w:lang w:val="en-US"/>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091C" w:rsidRDefault="003A091C">
    <w:pPr>
      <w:pStyle w:val="En-tte"/>
      <w:rPr>
        <w:rFonts w:asciiTheme="majorBidi" w:hAnsiTheme="majorBidi" w:cstheme="majorBidi"/>
        <w:sz w:val="24"/>
        <w:szCs w:val="24"/>
        <w:lang w:val="en-US"/>
      </w:rPr>
    </w:pPr>
  </w:p>
  <w:p w:rsidR="003A091C" w:rsidRDefault="003A091C" w:rsidP="007B4B77">
    <w:pPr>
      <w:pStyle w:val="Pieddepage"/>
      <w:tabs>
        <w:tab w:val="clear" w:pos="4536"/>
        <w:tab w:val="clear" w:pos="9072"/>
        <w:tab w:val="center" w:pos="4153"/>
        <w:tab w:val="right" w:pos="8306"/>
        <w:tab w:val="right" w:pos="8917"/>
      </w:tabs>
      <w:ind w:right="-1418" w:firstLine="3540"/>
      <w:rPr>
        <w:rStyle w:val="longtext"/>
        <w:b/>
        <w:bCs/>
        <w:color w:val="000000"/>
        <w:sz w:val="24"/>
        <w:szCs w:val="24"/>
        <w:shd w:val="clear" w:color="auto" w:fill="FFFFFF"/>
        <w:rtl/>
      </w:rPr>
    </w:pPr>
    <w:r w:rsidRPr="00274750">
      <w:rPr>
        <w:b/>
        <w:bCs/>
        <w:noProof/>
        <w:color w:val="000000"/>
        <w:sz w:val="24"/>
        <w:szCs w:val="24"/>
        <w:rtl/>
        <w:lang w:val="en-US" w:eastAsia="en-US"/>
      </w:rPr>
      <w:pict>
        <v:shapetype id="_x0000_t32" coordsize="21600,21600" o:spt="32" o:oned="t" path="m,l21600,21600e" filled="f">
          <v:path arrowok="t" fillok="f" o:connecttype="none"/>
          <o:lock v:ext="edit" shapetype="t"/>
        </v:shapetype>
        <v:shape id="_x0000_s4097" type="#_x0000_t32" style="position:absolute;left:0;text-align:left;margin-left:43.75pt;margin-top:19.9pt;width:277.8pt;height:.05pt;z-index:251657216;visibility:visible" strokeweight="1pt">
          <o:lock v:ext="edit" shapetype="f"/>
        </v:shape>
      </w:pict>
    </w:r>
    <w:r>
      <w:rPr>
        <w:b/>
        <w:bCs/>
        <w:i/>
        <w:iCs/>
        <w:sz w:val="24"/>
        <w:lang w:val="de-DE"/>
      </w:rPr>
      <w:t>A</w:t>
    </w:r>
    <w:r w:rsidRPr="00670CA1">
      <w:rPr>
        <w:b/>
        <w:bCs/>
        <w:i/>
        <w:iCs/>
        <w:sz w:val="24"/>
        <w:lang w:val="de-DE"/>
      </w:rPr>
      <w:t xml:space="preserve">. </w:t>
    </w:r>
    <w:r>
      <w:rPr>
        <w:b/>
        <w:bCs/>
        <w:i/>
        <w:iCs/>
        <w:sz w:val="24"/>
        <w:lang w:val="de-DE"/>
      </w:rPr>
      <w:t>BENCHENNI</w:t>
    </w:r>
    <w:r>
      <w:rPr>
        <w:b/>
        <w:bCs/>
        <w:i/>
        <w:iCs/>
        <w:sz w:val="24"/>
        <w:szCs w:val="24"/>
        <w:lang w:val="de-DE"/>
      </w:rPr>
      <w:t xml:space="preserve">andK. </w:t>
    </w:r>
    <w:r>
      <w:rPr>
        <w:b/>
        <w:bCs/>
        <w:i/>
        <w:iCs/>
        <w:sz w:val="24"/>
        <w:lang w:val="de-DE"/>
      </w:rPr>
      <w:t>BESSADET</w:t>
    </w:r>
  </w:p>
  <w:p w:rsidR="003A091C" w:rsidRPr="001C45CC" w:rsidRDefault="003A091C" w:rsidP="007B4B77">
    <w:pPr>
      <w:pStyle w:val="Pieddepage"/>
      <w:tabs>
        <w:tab w:val="clear" w:pos="4536"/>
        <w:tab w:val="clear" w:pos="9072"/>
        <w:tab w:val="center" w:pos="4153"/>
        <w:tab w:val="right" w:pos="8306"/>
        <w:tab w:val="right" w:pos="8917"/>
      </w:tabs>
      <w:ind w:right="-1418" w:firstLine="3540"/>
      <w:rPr>
        <w:b/>
        <w:bCs/>
        <w:sz w:val="22"/>
        <w:szCs w:val="22"/>
        <w:vertAlign w:val="superscript"/>
        <w:lang w:val="en-US"/>
      </w:rPr>
    </w:pPr>
  </w:p>
  <w:p w:rsidR="003A091C" w:rsidRPr="007B4B77" w:rsidRDefault="003A091C" w:rsidP="007B4B77">
    <w:pPr>
      <w:pStyle w:val="En-tte"/>
      <w:rPr>
        <w:sz w:val="10"/>
        <w:szCs w:val="10"/>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32FAF"/>
    <w:multiLevelType w:val="multilevel"/>
    <w:tmpl w:val="E314FD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EF0717"/>
    <w:multiLevelType w:val="hybridMultilevel"/>
    <w:tmpl w:val="6D1AFA70"/>
    <w:lvl w:ilvl="0" w:tplc="2966935E">
      <w:start w:val="1"/>
      <w:numFmt w:val="decimal"/>
      <w:lvlText w:val="%1-"/>
      <w:lvlJc w:val="left"/>
      <w:pPr>
        <w:tabs>
          <w:tab w:val="num" w:pos="720"/>
        </w:tabs>
        <w:ind w:left="720" w:hanging="360"/>
      </w:pPr>
      <w:rPr>
        <w:rFonts w:hint="default"/>
        <w:lang w:bidi="ar-DZ"/>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0B404E8E"/>
    <w:multiLevelType w:val="hybridMultilevel"/>
    <w:tmpl w:val="CA5CC992"/>
    <w:lvl w:ilvl="0" w:tplc="5D2490B4">
      <w:start w:val="1"/>
      <w:numFmt w:val="decimal"/>
      <w:lvlText w:val="%1-"/>
      <w:lvlJc w:val="left"/>
      <w:pPr>
        <w:tabs>
          <w:tab w:val="num" w:pos="750"/>
        </w:tabs>
        <w:ind w:left="750" w:hanging="39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nsid w:val="175A7B29"/>
    <w:multiLevelType w:val="hybridMultilevel"/>
    <w:tmpl w:val="9D0C58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BE6067C"/>
    <w:multiLevelType w:val="hybridMultilevel"/>
    <w:tmpl w:val="CABC4576"/>
    <w:lvl w:ilvl="0" w:tplc="1BFCE0D0">
      <w:start w:val="1"/>
      <w:numFmt w:val="decimal"/>
      <w:lvlText w:val="%1."/>
      <w:lvlJc w:val="left"/>
      <w:pPr>
        <w:ind w:left="720" w:hanging="360"/>
      </w:pPr>
      <w:rPr>
        <w:rFont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581748"/>
    <w:multiLevelType w:val="hybridMultilevel"/>
    <w:tmpl w:val="A1C82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CB26A3"/>
    <w:multiLevelType w:val="hybridMultilevel"/>
    <w:tmpl w:val="E890A3C4"/>
    <w:lvl w:ilvl="0" w:tplc="625CC34C">
      <w:start w:val="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Marlett" w:hAnsi="Marlett"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Marlett" w:hAnsi="Marlett"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Marlett" w:hAnsi="Marlett" w:hint="default"/>
      </w:rPr>
    </w:lvl>
  </w:abstractNum>
  <w:abstractNum w:abstractNumId="7">
    <w:nsid w:val="21EC1FBC"/>
    <w:multiLevelType w:val="hybridMultilevel"/>
    <w:tmpl w:val="4D4AA5F4"/>
    <w:lvl w:ilvl="0" w:tplc="040C000F">
      <w:start w:val="1"/>
      <w:numFmt w:val="decimal"/>
      <w:lvlText w:val="%1."/>
      <w:lvlJc w:val="left"/>
      <w:pPr>
        <w:ind w:left="743" w:hanging="360"/>
      </w:pPr>
    </w:lvl>
    <w:lvl w:ilvl="1" w:tplc="040C0019" w:tentative="1">
      <w:start w:val="1"/>
      <w:numFmt w:val="lowerLetter"/>
      <w:lvlText w:val="%2."/>
      <w:lvlJc w:val="left"/>
      <w:pPr>
        <w:ind w:left="1463" w:hanging="360"/>
      </w:pPr>
    </w:lvl>
    <w:lvl w:ilvl="2" w:tplc="040C001B" w:tentative="1">
      <w:start w:val="1"/>
      <w:numFmt w:val="lowerRoman"/>
      <w:lvlText w:val="%3."/>
      <w:lvlJc w:val="right"/>
      <w:pPr>
        <w:ind w:left="2183" w:hanging="180"/>
      </w:pPr>
    </w:lvl>
    <w:lvl w:ilvl="3" w:tplc="040C000F" w:tentative="1">
      <w:start w:val="1"/>
      <w:numFmt w:val="decimal"/>
      <w:lvlText w:val="%4."/>
      <w:lvlJc w:val="left"/>
      <w:pPr>
        <w:ind w:left="2903" w:hanging="360"/>
      </w:pPr>
    </w:lvl>
    <w:lvl w:ilvl="4" w:tplc="040C0019" w:tentative="1">
      <w:start w:val="1"/>
      <w:numFmt w:val="lowerLetter"/>
      <w:lvlText w:val="%5."/>
      <w:lvlJc w:val="left"/>
      <w:pPr>
        <w:ind w:left="3623" w:hanging="360"/>
      </w:pPr>
    </w:lvl>
    <w:lvl w:ilvl="5" w:tplc="040C001B" w:tentative="1">
      <w:start w:val="1"/>
      <w:numFmt w:val="lowerRoman"/>
      <w:lvlText w:val="%6."/>
      <w:lvlJc w:val="right"/>
      <w:pPr>
        <w:ind w:left="4343" w:hanging="180"/>
      </w:pPr>
    </w:lvl>
    <w:lvl w:ilvl="6" w:tplc="040C000F" w:tentative="1">
      <w:start w:val="1"/>
      <w:numFmt w:val="decimal"/>
      <w:lvlText w:val="%7."/>
      <w:lvlJc w:val="left"/>
      <w:pPr>
        <w:ind w:left="5063" w:hanging="360"/>
      </w:pPr>
    </w:lvl>
    <w:lvl w:ilvl="7" w:tplc="040C0019" w:tentative="1">
      <w:start w:val="1"/>
      <w:numFmt w:val="lowerLetter"/>
      <w:lvlText w:val="%8."/>
      <w:lvlJc w:val="left"/>
      <w:pPr>
        <w:ind w:left="5783" w:hanging="360"/>
      </w:pPr>
    </w:lvl>
    <w:lvl w:ilvl="8" w:tplc="040C001B" w:tentative="1">
      <w:start w:val="1"/>
      <w:numFmt w:val="lowerRoman"/>
      <w:lvlText w:val="%9."/>
      <w:lvlJc w:val="right"/>
      <w:pPr>
        <w:ind w:left="6503" w:hanging="180"/>
      </w:pPr>
    </w:lvl>
  </w:abstractNum>
  <w:abstractNum w:abstractNumId="8">
    <w:nsid w:val="21FF5D4D"/>
    <w:multiLevelType w:val="multilevel"/>
    <w:tmpl w:val="4DCE32C8"/>
    <w:lvl w:ilvl="0">
      <w:start w:val="2"/>
      <w:numFmt w:val="decimal"/>
      <w:lvlText w:val="%1-"/>
      <w:lvlJc w:val="left"/>
      <w:pPr>
        <w:tabs>
          <w:tab w:val="num" w:pos="540"/>
        </w:tabs>
        <w:ind w:left="540" w:hanging="54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9">
    <w:nsid w:val="238C5F82"/>
    <w:multiLevelType w:val="hybridMultilevel"/>
    <w:tmpl w:val="423C6DA0"/>
    <w:lvl w:ilvl="0" w:tplc="32E6EE0A">
      <w:start w:val="1"/>
      <w:numFmt w:val="decimal"/>
      <w:lvlText w:val="%1-"/>
      <w:lvlJc w:val="left"/>
      <w:pPr>
        <w:ind w:left="358" w:hanging="360"/>
      </w:pPr>
      <w:rPr>
        <w:rFonts w:hint="default"/>
        <w:sz w:val="24"/>
        <w:szCs w:val="24"/>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
    <w:nsid w:val="296425B7"/>
    <w:multiLevelType w:val="hybridMultilevel"/>
    <w:tmpl w:val="17BA84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9D350BE"/>
    <w:multiLevelType w:val="hybridMultilevel"/>
    <w:tmpl w:val="211C72DA"/>
    <w:lvl w:ilvl="0" w:tplc="74EC1DF2">
      <w:start w:val="1"/>
      <w:numFmt w:val="decimal"/>
      <w:lvlText w:val="%1-"/>
      <w:lvlJc w:val="left"/>
      <w:pPr>
        <w:tabs>
          <w:tab w:val="num" w:pos="735"/>
        </w:tabs>
        <w:ind w:left="735" w:hanging="37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nsid w:val="2B11797A"/>
    <w:multiLevelType w:val="multilevel"/>
    <w:tmpl w:val="048CEB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C8A6CA6"/>
    <w:multiLevelType w:val="hybridMultilevel"/>
    <w:tmpl w:val="D4C04C4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12806C1"/>
    <w:multiLevelType w:val="hybridMultilevel"/>
    <w:tmpl w:val="DAE05100"/>
    <w:lvl w:ilvl="0" w:tplc="C8946B9C">
      <w:start w:val="5"/>
      <w:numFmt w:val="bullet"/>
      <w:lvlText w:val="-"/>
      <w:lvlJc w:val="left"/>
      <w:pPr>
        <w:ind w:left="643" w:hanging="360"/>
      </w:pPr>
      <w:rPr>
        <w:rFonts w:ascii="Times New Roman" w:eastAsia="Times New Roman" w:hAnsi="Times New Roman" w:cs="Times New Roman" w:hint="default"/>
        <w:sz w:val="20"/>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Marlett" w:hAnsi="Marlett"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Marlett" w:hAnsi="Marlett"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Marlett" w:hAnsi="Marlett" w:hint="default"/>
      </w:rPr>
    </w:lvl>
  </w:abstractNum>
  <w:abstractNum w:abstractNumId="15">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38A72A2A"/>
    <w:multiLevelType w:val="hybridMultilevel"/>
    <w:tmpl w:val="4146A054"/>
    <w:lvl w:ilvl="0" w:tplc="8B4A0AC4">
      <w:start w:val="1"/>
      <w:numFmt w:val="upperLetter"/>
      <w:lvlText w:val="%1."/>
      <w:lvlJc w:val="left"/>
      <w:pPr>
        <w:ind w:left="720" w:hanging="360"/>
      </w:pPr>
      <w:rPr>
        <w:rFonts w:ascii="Times New Roman" w:eastAsia="SimSun" w:hAnsi="Times New Roman" w:cs="Times New Roman" w:hint="default"/>
        <w:sz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95C421A"/>
    <w:multiLevelType w:val="hybridMultilevel"/>
    <w:tmpl w:val="EAD0B6C2"/>
    <w:lvl w:ilvl="0" w:tplc="CD7233F6">
      <w:start w:val="1"/>
      <w:numFmt w:val="bullet"/>
      <w:lvlText w:val=""/>
      <w:lvlJc w:val="left"/>
      <w:pPr>
        <w:tabs>
          <w:tab w:val="num" w:pos="474"/>
        </w:tabs>
        <w:ind w:left="474"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B130E5E"/>
    <w:multiLevelType w:val="hybridMultilevel"/>
    <w:tmpl w:val="9DE4E1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F170A86"/>
    <w:multiLevelType w:val="hybridMultilevel"/>
    <w:tmpl w:val="B942A636"/>
    <w:lvl w:ilvl="0" w:tplc="D9121A00">
      <w:start w:val="1"/>
      <w:numFmt w:val="decimal"/>
      <w:lvlText w:val="%1-"/>
      <w:lvlJc w:val="left"/>
      <w:pPr>
        <w:tabs>
          <w:tab w:val="num" w:pos="750"/>
        </w:tabs>
        <w:ind w:left="750" w:hanging="39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nsid w:val="41452D58"/>
    <w:multiLevelType w:val="hybridMultilevel"/>
    <w:tmpl w:val="F59E57AE"/>
    <w:lvl w:ilvl="0" w:tplc="8926EBAE">
      <w:start w:val="1"/>
      <w:numFmt w:val="decimal"/>
      <w:suff w:val="nothing"/>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47A71B56"/>
    <w:multiLevelType w:val="hybridMultilevel"/>
    <w:tmpl w:val="CA0822A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4EEC7BA8"/>
    <w:multiLevelType w:val="hybridMultilevel"/>
    <w:tmpl w:val="9D20825C"/>
    <w:lvl w:ilvl="0" w:tplc="B9BA9026">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3">
    <w:nsid w:val="52B93A38"/>
    <w:multiLevelType w:val="multilevel"/>
    <w:tmpl w:val="7BEC8A6E"/>
    <w:lvl w:ilvl="0">
      <w:start w:val="1"/>
      <w:numFmt w:val="decimal"/>
      <w:lvlText w:val="%1"/>
      <w:lvlJc w:val="left"/>
      <w:pPr>
        <w:ind w:left="390" w:hanging="390"/>
      </w:pPr>
      <w:rPr>
        <w:rFonts w:hint="default"/>
      </w:rPr>
    </w:lvl>
    <w:lvl w:ilvl="1">
      <w:start w:val="1"/>
      <w:numFmt w:val="decimal"/>
      <w:lvlText w:val="%1.%2"/>
      <w:lvlJc w:val="left"/>
      <w:pPr>
        <w:ind w:left="1098" w:hanging="3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4">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cs="Traditional Arabic" w:hint="default"/>
      </w:rPr>
    </w:lvl>
    <w:lvl w:ilvl="1" w:tplc="040C0003" w:tentative="1">
      <w:start w:val="1"/>
      <w:numFmt w:val="bullet"/>
      <w:lvlText w:val="o"/>
      <w:lvlJc w:val="left"/>
      <w:pPr>
        <w:tabs>
          <w:tab w:val="num" w:pos="1103"/>
        </w:tabs>
        <w:ind w:left="1103" w:hanging="360"/>
      </w:pPr>
      <w:rPr>
        <w:rFonts w:ascii="Courier New" w:hAnsi="Courier New" w:cs="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cs="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cs="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25">
    <w:nsid w:val="5BD07CF2"/>
    <w:multiLevelType w:val="multilevel"/>
    <w:tmpl w:val="2188C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lang w:bidi="ar-DZ"/>
      </w:rPr>
    </w:lvl>
    <w:lvl w:ilvl="1" w:tplc="04090003" w:tentative="1">
      <w:start w:val="1"/>
      <w:numFmt w:val="bullet"/>
      <w:lvlText w:val="o"/>
      <w:lvlJc w:val="left"/>
      <w:pPr>
        <w:tabs>
          <w:tab w:val="num" w:pos="1947"/>
        </w:tabs>
        <w:ind w:left="1947" w:hanging="360"/>
      </w:pPr>
      <w:rPr>
        <w:rFonts w:ascii="Courier New" w:hAnsi="Courier New" w:cs="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cs="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cs="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27">
    <w:nsid w:val="60131138"/>
    <w:multiLevelType w:val="hybridMultilevel"/>
    <w:tmpl w:val="36B296DC"/>
    <w:lvl w:ilvl="0" w:tplc="1ECCBAF4">
      <w:start w:val="1"/>
      <w:numFmt w:val="decimal"/>
      <w:lvlText w:val="%1-"/>
      <w:lvlJc w:val="left"/>
      <w:pPr>
        <w:ind w:left="360" w:hanging="360"/>
      </w:pPr>
      <w:rPr>
        <w:rFonts w:hint="default"/>
        <w:b/>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1833C31"/>
    <w:multiLevelType w:val="hybridMultilevel"/>
    <w:tmpl w:val="2CECE304"/>
    <w:lvl w:ilvl="0" w:tplc="C9BCBCEA">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2A21CDD"/>
    <w:multiLevelType w:val="hybridMultilevel"/>
    <w:tmpl w:val="18B2A3CC"/>
    <w:lvl w:ilvl="0" w:tplc="5768B3D8">
      <w:start w:val="1"/>
      <w:numFmt w:val="decimal"/>
      <w:lvlText w:val="%1."/>
      <w:lvlJc w:val="left"/>
      <w:pPr>
        <w:tabs>
          <w:tab w:val="num" w:pos="900"/>
        </w:tabs>
        <w:ind w:left="900" w:hanging="360"/>
      </w:pPr>
      <w:rPr>
        <w:b w:val="0"/>
        <w:bCs w:val="0"/>
        <w:sz w:val="26"/>
        <w:szCs w:val="26"/>
      </w:rPr>
    </w:lvl>
    <w:lvl w:ilvl="1" w:tplc="040C000F">
      <w:start w:val="1"/>
      <w:numFmt w:val="decimal"/>
      <w:lvlText w:val="%2."/>
      <w:lvlJc w:val="left"/>
      <w:pPr>
        <w:tabs>
          <w:tab w:val="num" w:pos="1440"/>
        </w:tabs>
        <w:ind w:left="1440" w:hanging="360"/>
      </w:pPr>
      <w:rPr>
        <w:b w:val="0"/>
        <w:bCs w:val="0"/>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0">
    <w:nsid w:val="6DED6AC6"/>
    <w:multiLevelType w:val="hybridMultilevel"/>
    <w:tmpl w:val="CE72A39E"/>
    <w:lvl w:ilvl="0" w:tplc="A6CA0A56">
      <w:numFmt w:val="bullet"/>
      <w:lvlText w:val="-"/>
      <w:lvlJc w:val="left"/>
      <w:pPr>
        <w:ind w:left="1492" w:hanging="360"/>
      </w:pPr>
      <w:rPr>
        <w:rFonts w:ascii="Traditional Arabic" w:eastAsia="Times New Roman" w:hAnsi="Traditional Arabic" w:cs="Traditional Arabic" w:hint="default"/>
      </w:rPr>
    </w:lvl>
    <w:lvl w:ilvl="1" w:tplc="04090003" w:tentative="1">
      <w:start w:val="1"/>
      <w:numFmt w:val="bullet"/>
      <w:lvlText w:val="o"/>
      <w:lvlJc w:val="left"/>
      <w:pPr>
        <w:ind w:left="2212" w:hanging="360"/>
      </w:pPr>
      <w:rPr>
        <w:rFonts w:ascii="Courier New" w:hAnsi="Courier New" w:cs="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cs="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cs="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31">
    <w:nsid w:val="7D63092B"/>
    <w:multiLevelType w:val="hybridMultilevel"/>
    <w:tmpl w:val="B7DA95E0"/>
    <w:lvl w:ilvl="0" w:tplc="85044F26">
      <w:start w:val="6"/>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7FB936A1"/>
    <w:multiLevelType w:val="hybridMultilevel"/>
    <w:tmpl w:val="DC7E7A1C"/>
    <w:lvl w:ilvl="0" w:tplc="8D80D19C">
      <w:start w:val="1"/>
      <w:numFmt w:val="upperLetter"/>
      <w:lvlText w:val="%1."/>
      <w:lvlJc w:val="left"/>
      <w:pPr>
        <w:ind w:left="765" w:hanging="360"/>
      </w:pPr>
      <w:rPr>
        <w:rFonts w:asciiTheme="majorBidi" w:eastAsia="Times New Roman" w:hAnsiTheme="majorBidi" w:hint="default"/>
        <w:b/>
        <w:sz w:val="22"/>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num w:numId="1">
    <w:abstractNumId w:val="1"/>
  </w:num>
  <w:num w:numId="2">
    <w:abstractNumId w:val="15"/>
  </w:num>
  <w:num w:numId="3">
    <w:abstractNumId w:val="19"/>
  </w:num>
  <w:num w:numId="4">
    <w:abstractNumId w:val="2"/>
  </w:num>
  <w:num w:numId="5">
    <w:abstractNumId w:val="8"/>
  </w:num>
  <w:num w:numId="6">
    <w:abstractNumId w:val="31"/>
  </w:num>
  <w:num w:numId="7">
    <w:abstractNumId w:val="11"/>
  </w:num>
  <w:num w:numId="8">
    <w:abstractNumId w:val="24"/>
  </w:num>
  <w:num w:numId="9">
    <w:abstractNumId w:val="7"/>
  </w:num>
  <w:num w:numId="10">
    <w:abstractNumId w:val="26"/>
  </w:num>
  <w:num w:numId="11">
    <w:abstractNumId w:val="30"/>
  </w:num>
  <w:num w:numId="12">
    <w:abstractNumId w:val="27"/>
  </w:num>
  <w:num w:numId="13">
    <w:abstractNumId w:val="9"/>
  </w:num>
  <w:num w:numId="14">
    <w:abstractNumId w:val="29"/>
  </w:num>
  <w:num w:numId="15">
    <w:abstractNumId w:val="28"/>
  </w:num>
  <w:num w:numId="16">
    <w:abstractNumId w:val="22"/>
  </w:num>
  <w:num w:numId="17">
    <w:abstractNumId w:val="23"/>
  </w:num>
  <w:num w:numId="18">
    <w:abstractNumId w:val="0"/>
  </w:num>
  <w:num w:numId="19">
    <w:abstractNumId w:val="5"/>
  </w:num>
  <w:num w:numId="20">
    <w:abstractNumId w:val="4"/>
  </w:num>
  <w:num w:numId="21">
    <w:abstractNumId w:val="3"/>
  </w:num>
  <w:num w:numId="22">
    <w:abstractNumId w:val="21"/>
  </w:num>
  <w:num w:numId="23">
    <w:abstractNumId w:val="25"/>
  </w:num>
  <w:num w:numId="24">
    <w:abstractNumId w:val="12"/>
  </w:num>
  <w:num w:numId="25">
    <w:abstractNumId w:val="17"/>
  </w:num>
  <w:num w:numId="26">
    <w:abstractNumId w:val="6"/>
  </w:num>
  <w:num w:numId="27">
    <w:abstractNumId w:val="13"/>
  </w:num>
  <w:num w:numId="28">
    <w:abstractNumId w:val="16"/>
  </w:num>
  <w:num w:numId="29">
    <w:abstractNumId w:val="32"/>
  </w:num>
  <w:num w:numId="30">
    <w:abstractNumId w:val="20"/>
  </w:num>
  <w:num w:numId="31">
    <w:abstractNumId w:val="14"/>
  </w:num>
  <w:num w:numId="32">
    <w:abstractNumId w:val="18"/>
  </w:num>
  <w:num w:numId="3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attachedTemplate r:id="rId1"/>
  <w:stylePaneFormatFilter w:val="3F01"/>
  <w:defaultTabStop w:val="708"/>
  <w:hyphenationZone w:val="425"/>
  <w:evenAndOddHeaders/>
  <w:drawingGridHorizontalSpacing w:val="140"/>
  <w:displayHorizontalDrawingGridEvery w:val="2"/>
  <w:noPunctuationKerning/>
  <w:characterSpacingControl w:val="doNotCompress"/>
  <w:hdrShapeDefaults>
    <o:shapedefaults v:ext="edit" spidmax="5122"/>
    <o:shapelayout v:ext="edit">
      <o:idmap v:ext="edit" data="4"/>
      <o:rules v:ext="edit">
        <o:r id="V:Rule1" type="connector" idref="#AutoShape 6"/>
        <o:r id="V:Rule2" type="connector" idref="#AutoShape 7"/>
        <o:r id="V:Rule3" type="connector" idref="#_x0000_s4098"/>
        <o:r id="V:Rule4" type="connector" idref="#_x0000_s4097"/>
      </o:rules>
    </o:shapelayout>
  </w:hdrShapeDefaults>
  <w:footnotePr>
    <w:numRestart w:val="eachPage"/>
    <w:footnote w:id="0"/>
    <w:footnote w:id="1"/>
  </w:footnotePr>
  <w:endnotePr>
    <w:numFmt w:val="decimal"/>
    <w:endnote w:id="0"/>
    <w:endnote w:id="1"/>
  </w:endnotePr>
  <w:compat>
    <w:applyBreakingRules/>
    <w:useFELayout/>
  </w:compat>
  <w:rsids>
    <w:rsidRoot w:val="00C1726F"/>
    <w:rsid w:val="0000170E"/>
    <w:rsid w:val="0000557B"/>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3027B"/>
    <w:rsid w:val="0003167E"/>
    <w:rsid w:val="00031B5F"/>
    <w:rsid w:val="00032ED9"/>
    <w:rsid w:val="000348B3"/>
    <w:rsid w:val="00034F52"/>
    <w:rsid w:val="00034FAB"/>
    <w:rsid w:val="0003541D"/>
    <w:rsid w:val="00041791"/>
    <w:rsid w:val="000418C1"/>
    <w:rsid w:val="00042688"/>
    <w:rsid w:val="00042C44"/>
    <w:rsid w:val="0004394C"/>
    <w:rsid w:val="00046534"/>
    <w:rsid w:val="000477FA"/>
    <w:rsid w:val="0004791C"/>
    <w:rsid w:val="00052DE0"/>
    <w:rsid w:val="0005742C"/>
    <w:rsid w:val="00057BDF"/>
    <w:rsid w:val="00060419"/>
    <w:rsid w:val="000608C1"/>
    <w:rsid w:val="00060BFA"/>
    <w:rsid w:val="00062E68"/>
    <w:rsid w:val="00063233"/>
    <w:rsid w:val="00063911"/>
    <w:rsid w:val="00066096"/>
    <w:rsid w:val="0006620F"/>
    <w:rsid w:val="0006725E"/>
    <w:rsid w:val="000673DE"/>
    <w:rsid w:val="00067A1B"/>
    <w:rsid w:val="0007075C"/>
    <w:rsid w:val="00071EA9"/>
    <w:rsid w:val="0007410E"/>
    <w:rsid w:val="00074678"/>
    <w:rsid w:val="00075881"/>
    <w:rsid w:val="00075E3A"/>
    <w:rsid w:val="00076020"/>
    <w:rsid w:val="000763BC"/>
    <w:rsid w:val="00077190"/>
    <w:rsid w:val="000808CC"/>
    <w:rsid w:val="000816E5"/>
    <w:rsid w:val="0008177C"/>
    <w:rsid w:val="0008319B"/>
    <w:rsid w:val="00084020"/>
    <w:rsid w:val="00084A29"/>
    <w:rsid w:val="00085A0A"/>
    <w:rsid w:val="00085EF8"/>
    <w:rsid w:val="000905EF"/>
    <w:rsid w:val="00091C35"/>
    <w:rsid w:val="00091C8F"/>
    <w:rsid w:val="000A0F1B"/>
    <w:rsid w:val="000A17AD"/>
    <w:rsid w:val="000A2631"/>
    <w:rsid w:val="000A27D1"/>
    <w:rsid w:val="000A2B3F"/>
    <w:rsid w:val="000A32D9"/>
    <w:rsid w:val="000A373E"/>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D1C1A"/>
    <w:rsid w:val="000D1E7F"/>
    <w:rsid w:val="000D2CE9"/>
    <w:rsid w:val="000D39D6"/>
    <w:rsid w:val="000D528B"/>
    <w:rsid w:val="000D53FF"/>
    <w:rsid w:val="000D6EF8"/>
    <w:rsid w:val="000D76CE"/>
    <w:rsid w:val="000E0C73"/>
    <w:rsid w:val="000E1DEA"/>
    <w:rsid w:val="000E401A"/>
    <w:rsid w:val="000E4528"/>
    <w:rsid w:val="000E5C94"/>
    <w:rsid w:val="000F1387"/>
    <w:rsid w:val="000F1FCC"/>
    <w:rsid w:val="000F24FF"/>
    <w:rsid w:val="000F2FC8"/>
    <w:rsid w:val="000F32DD"/>
    <w:rsid w:val="000F3490"/>
    <w:rsid w:val="000F39DE"/>
    <w:rsid w:val="000F3E25"/>
    <w:rsid w:val="000F4ACE"/>
    <w:rsid w:val="000F50AB"/>
    <w:rsid w:val="000F6258"/>
    <w:rsid w:val="000F62D9"/>
    <w:rsid w:val="000F7011"/>
    <w:rsid w:val="000F717E"/>
    <w:rsid w:val="000F72E8"/>
    <w:rsid w:val="000F746B"/>
    <w:rsid w:val="000F77A5"/>
    <w:rsid w:val="000F7E8B"/>
    <w:rsid w:val="0010067A"/>
    <w:rsid w:val="00101725"/>
    <w:rsid w:val="00101D8B"/>
    <w:rsid w:val="00102685"/>
    <w:rsid w:val="00103A15"/>
    <w:rsid w:val="00103D5B"/>
    <w:rsid w:val="00104EE6"/>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2592"/>
    <w:rsid w:val="001342C2"/>
    <w:rsid w:val="00134FAB"/>
    <w:rsid w:val="00135AB9"/>
    <w:rsid w:val="001363E6"/>
    <w:rsid w:val="00136407"/>
    <w:rsid w:val="0014161D"/>
    <w:rsid w:val="0014235D"/>
    <w:rsid w:val="00142CDA"/>
    <w:rsid w:val="00142EF9"/>
    <w:rsid w:val="00144D01"/>
    <w:rsid w:val="001456C3"/>
    <w:rsid w:val="00145A68"/>
    <w:rsid w:val="00145D27"/>
    <w:rsid w:val="0014653B"/>
    <w:rsid w:val="00146E29"/>
    <w:rsid w:val="00146ECD"/>
    <w:rsid w:val="00150A1A"/>
    <w:rsid w:val="00150AD7"/>
    <w:rsid w:val="001516E6"/>
    <w:rsid w:val="00154EA2"/>
    <w:rsid w:val="00155F9D"/>
    <w:rsid w:val="00155FB3"/>
    <w:rsid w:val="0015611A"/>
    <w:rsid w:val="0016072B"/>
    <w:rsid w:val="001616A0"/>
    <w:rsid w:val="00161733"/>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B0F"/>
    <w:rsid w:val="001821EB"/>
    <w:rsid w:val="00182A1A"/>
    <w:rsid w:val="00183099"/>
    <w:rsid w:val="0018615D"/>
    <w:rsid w:val="00186AB1"/>
    <w:rsid w:val="001875FD"/>
    <w:rsid w:val="00191CDD"/>
    <w:rsid w:val="001924BF"/>
    <w:rsid w:val="00192B37"/>
    <w:rsid w:val="00192FE5"/>
    <w:rsid w:val="00193134"/>
    <w:rsid w:val="0019421F"/>
    <w:rsid w:val="001945A2"/>
    <w:rsid w:val="00194635"/>
    <w:rsid w:val="00195B87"/>
    <w:rsid w:val="00195D26"/>
    <w:rsid w:val="00197851"/>
    <w:rsid w:val="001A000A"/>
    <w:rsid w:val="001A04CA"/>
    <w:rsid w:val="001A0549"/>
    <w:rsid w:val="001A2E27"/>
    <w:rsid w:val="001A3B53"/>
    <w:rsid w:val="001A58E7"/>
    <w:rsid w:val="001A5EAA"/>
    <w:rsid w:val="001A604F"/>
    <w:rsid w:val="001A6F6D"/>
    <w:rsid w:val="001A73E5"/>
    <w:rsid w:val="001B15B9"/>
    <w:rsid w:val="001B1746"/>
    <w:rsid w:val="001B2ABC"/>
    <w:rsid w:val="001B4160"/>
    <w:rsid w:val="001B69B5"/>
    <w:rsid w:val="001B709E"/>
    <w:rsid w:val="001C07E2"/>
    <w:rsid w:val="001C2E89"/>
    <w:rsid w:val="001C356E"/>
    <w:rsid w:val="001C3CD2"/>
    <w:rsid w:val="001C4470"/>
    <w:rsid w:val="001C45CC"/>
    <w:rsid w:val="001C6096"/>
    <w:rsid w:val="001C7AD2"/>
    <w:rsid w:val="001D06F9"/>
    <w:rsid w:val="001D0763"/>
    <w:rsid w:val="001D0E50"/>
    <w:rsid w:val="001D1328"/>
    <w:rsid w:val="001D2EA1"/>
    <w:rsid w:val="001D2FBD"/>
    <w:rsid w:val="001D453C"/>
    <w:rsid w:val="001D4E10"/>
    <w:rsid w:val="001D53CD"/>
    <w:rsid w:val="001D63BE"/>
    <w:rsid w:val="001E3E70"/>
    <w:rsid w:val="001E46DC"/>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CF"/>
    <w:rsid w:val="00205D26"/>
    <w:rsid w:val="00206233"/>
    <w:rsid w:val="00210562"/>
    <w:rsid w:val="00210E4D"/>
    <w:rsid w:val="00211446"/>
    <w:rsid w:val="00212DC3"/>
    <w:rsid w:val="00214B41"/>
    <w:rsid w:val="0021584C"/>
    <w:rsid w:val="002166BA"/>
    <w:rsid w:val="00216801"/>
    <w:rsid w:val="00217BBC"/>
    <w:rsid w:val="002217C6"/>
    <w:rsid w:val="00222A17"/>
    <w:rsid w:val="00223696"/>
    <w:rsid w:val="00225B83"/>
    <w:rsid w:val="00225CBB"/>
    <w:rsid w:val="00227964"/>
    <w:rsid w:val="00230C8D"/>
    <w:rsid w:val="002328A4"/>
    <w:rsid w:val="00232D92"/>
    <w:rsid w:val="00233E1E"/>
    <w:rsid w:val="00233F1A"/>
    <w:rsid w:val="00234658"/>
    <w:rsid w:val="00235AC0"/>
    <w:rsid w:val="00235DEA"/>
    <w:rsid w:val="002376F0"/>
    <w:rsid w:val="0023795C"/>
    <w:rsid w:val="00241196"/>
    <w:rsid w:val="0024254C"/>
    <w:rsid w:val="00242C8F"/>
    <w:rsid w:val="0024423D"/>
    <w:rsid w:val="002452F9"/>
    <w:rsid w:val="00247715"/>
    <w:rsid w:val="00251585"/>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758F"/>
    <w:rsid w:val="00267EA7"/>
    <w:rsid w:val="0027032A"/>
    <w:rsid w:val="00271FEB"/>
    <w:rsid w:val="002733C4"/>
    <w:rsid w:val="002738E5"/>
    <w:rsid w:val="00273E0C"/>
    <w:rsid w:val="00274750"/>
    <w:rsid w:val="00274B99"/>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3E2A"/>
    <w:rsid w:val="00296AF4"/>
    <w:rsid w:val="0029752A"/>
    <w:rsid w:val="00297D5B"/>
    <w:rsid w:val="002A057D"/>
    <w:rsid w:val="002A329C"/>
    <w:rsid w:val="002A543E"/>
    <w:rsid w:val="002A65E7"/>
    <w:rsid w:val="002A6624"/>
    <w:rsid w:val="002B092A"/>
    <w:rsid w:val="002B093C"/>
    <w:rsid w:val="002B19CA"/>
    <w:rsid w:val="002B2902"/>
    <w:rsid w:val="002B3DB2"/>
    <w:rsid w:val="002B4725"/>
    <w:rsid w:val="002B495A"/>
    <w:rsid w:val="002B541F"/>
    <w:rsid w:val="002B679E"/>
    <w:rsid w:val="002B70A1"/>
    <w:rsid w:val="002C1FEC"/>
    <w:rsid w:val="002C20C7"/>
    <w:rsid w:val="002C34A6"/>
    <w:rsid w:val="002C4437"/>
    <w:rsid w:val="002C5053"/>
    <w:rsid w:val="002C5C73"/>
    <w:rsid w:val="002C6988"/>
    <w:rsid w:val="002D0BC0"/>
    <w:rsid w:val="002D1E39"/>
    <w:rsid w:val="002D1E86"/>
    <w:rsid w:val="002D2118"/>
    <w:rsid w:val="002D3F9F"/>
    <w:rsid w:val="002D4F4B"/>
    <w:rsid w:val="002D7009"/>
    <w:rsid w:val="002D756E"/>
    <w:rsid w:val="002D7BEB"/>
    <w:rsid w:val="002E099A"/>
    <w:rsid w:val="002E166B"/>
    <w:rsid w:val="002E17F5"/>
    <w:rsid w:val="002E2019"/>
    <w:rsid w:val="002E40F4"/>
    <w:rsid w:val="002E45D9"/>
    <w:rsid w:val="002E49A3"/>
    <w:rsid w:val="002E5ABC"/>
    <w:rsid w:val="002E613D"/>
    <w:rsid w:val="002E7A9D"/>
    <w:rsid w:val="002F0EED"/>
    <w:rsid w:val="002F1EE3"/>
    <w:rsid w:val="002F20DA"/>
    <w:rsid w:val="002F297A"/>
    <w:rsid w:val="002F2AB3"/>
    <w:rsid w:val="002F3166"/>
    <w:rsid w:val="002F3A6C"/>
    <w:rsid w:val="002F4015"/>
    <w:rsid w:val="002F485B"/>
    <w:rsid w:val="002F523D"/>
    <w:rsid w:val="002F6739"/>
    <w:rsid w:val="00300D19"/>
    <w:rsid w:val="00301F06"/>
    <w:rsid w:val="00303040"/>
    <w:rsid w:val="00303122"/>
    <w:rsid w:val="0030460F"/>
    <w:rsid w:val="0030596B"/>
    <w:rsid w:val="0030627B"/>
    <w:rsid w:val="00306C45"/>
    <w:rsid w:val="003076FF"/>
    <w:rsid w:val="00310979"/>
    <w:rsid w:val="00310B43"/>
    <w:rsid w:val="00311424"/>
    <w:rsid w:val="003124E3"/>
    <w:rsid w:val="00313FBD"/>
    <w:rsid w:val="00314EF5"/>
    <w:rsid w:val="00315098"/>
    <w:rsid w:val="0031538A"/>
    <w:rsid w:val="0031555F"/>
    <w:rsid w:val="00315946"/>
    <w:rsid w:val="00317AA2"/>
    <w:rsid w:val="00320F3F"/>
    <w:rsid w:val="00321A0C"/>
    <w:rsid w:val="00323BA1"/>
    <w:rsid w:val="00323F6C"/>
    <w:rsid w:val="003245EC"/>
    <w:rsid w:val="00326242"/>
    <w:rsid w:val="00326A19"/>
    <w:rsid w:val="00327918"/>
    <w:rsid w:val="00327C50"/>
    <w:rsid w:val="00330788"/>
    <w:rsid w:val="00331705"/>
    <w:rsid w:val="0033191E"/>
    <w:rsid w:val="003319D6"/>
    <w:rsid w:val="00331DF1"/>
    <w:rsid w:val="00332489"/>
    <w:rsid w:val="0033336C"/>
    <w:rsid w:val="0033365A"/>
    <w:rsid w:val="0033409A"/>
    <w:rsid w:val="003343A8"/>
    <w:rsid w:val="00335F1F"/>
    <w:rsid w:val="00336A04"/>
    <w:rsid w:val="00336D3E"/>
    <w:rsid w:val="00336ECC"/>
    <w:rsid w:val="00340677"/>
    <w:rsid w:val="00340C8B"/>
    <w:rsid w:val="00340E83"/>
    <w:rsid w:val="0034353E"/>
    <w:rsid w:val="003441F6"/>
    <w:rsid w:val="003447AA"/>
    <w:rsid w:val="00344810"/>
    <w:rsid w:val="00344D9A"/>
    <w:rsid w:val="003455C7"/>
    <w:rsid w:val="00345A73"/>
    <w:rsid w:val="003465FD"/>
    <w:rsid w:val="00346E2B"/>
    <w:rsid w:val="003471B1"/>
    <w:rsid w:val="00347BE4"/>
    <w:rsid w:val="003501DF"/>
    <w:rsid w:val="003515B3"/>
    <w:rsid w:val="00351652"/>
    <w:rsid w:val="00351FCE"/>
    <w:rsid w:val="00353A34"/>
    <w:rsid w:val="00353A80"/>
    <w:rsid w:val="00354CEC"/>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129"/>
    <w:rsid w:val="00382652"/>
    <w:rsid w:val="00382C4A"/>
    <w:rsid w:val="00386238"/>
    <w:rsid w:val="00386533"/>
    <w:rsid w:val="00386669"/>
    <w:rsid w:val="00387B00"/>
    <w:rsid w:val="0039001A"/>
    <w:rsid w:val="0039096D"/>
    <w:rsid w:val="00391801"/>
    <w:rsid w:val="0039238F"/>
    <w:rsid w:val="00395269"/>
    <w:rsid w:val="003967C9"/>
    <w:rsid w:val="00397B4C"/>
    <w:rsid w:val="003A01D1"/>
    <w:rsid w:val="003A091C"/>
    <w:rsid w:val="003A0A08"/>
    <w:rsid w:val="003A2060"/>
    <w:rsid w:val="003A27E6"/>
    <w:rsid w:val="003A34A4"/>
    <w:rsid w:val="003A389F"/>
    <w:rsid w:val="003A44C0"/>
    <w:rsid w:val="003A488D"/>
    <w:rsid w:val="003A56C7"/>
    <w:rsid w:val="003A6842"/>
    <w:rsid w:val="003A73DC"/>
    <w:rsid w:val="003B1A14"/>
    <w:rsid w:val="003B2429"/>
    <w:rsid w:val="003B248D"/>
    <w:rsid w:val="003B376A"/>
    <w:rsid w:val="003B3C6D"/>
    <w:rsid w:val="003B43CE"/>
    <w:rsid w:val="003B49F5"/>
    <w:rsid w:val="003B619C"/>
    <w:rsid w:val="003B66D5"/>
    <w:rsid w:val="003B6BC0"/>
    <w:rsid w:val="003C0D67"/>
    <w:rsid w:val="003C187F"/>
    <w:rsid w:val="003C1A03"/>
    <w:rsid w:val="003C2764"/>
    <w:rsid w:val="003C5438"/>
    <w:rsid w:val="003D1E31"/>
    <w:rsid w:val="003D2CD8"/>
    <w:rsid w:val="003D5B35"/>
    <w:rsid w:val="003E05EA"/>
    <w:rsid w:val="003E0CF8"/>
    <w:rsid w:val="003E327F"/>
    <w:rsid w:val="003E356C"/>
    <w:rsid w:val="003E4D7E"/>
    <w:rsid w:val="003E5368"/>
    <w:rsid w:val="003E5A00"/>
    <w:rsid w:val="003E661C"/>
    <w:rsid w:val="003E7492"/>
    <w:rsid w:val="003F0057"/>
    <w:rsid w:val="003F0136"/>
    <w:rsid w:val="003F0DEB"/>
    <w:rsid w:val="003F103A"/>
    <w:rsid w:val="003F1BC3"/>
    <w:rsid w:val="003F269C"/>
    <w:rsid w:val="003F3591"/>
    <w:rsid w:val="003F367E"/>
    <w:rsid w:val="003F3EF4"/>
    <w:rsid w:val="003F4231"/>
    <w:rsid w:val="003F5BA3"/>
    <w:rsid w:val="003F6C8F"/>
    <w:rsid w:val="003F7FF3"/>
    <w:rsid w:val="004008BC"/>
    <w:rsid w:val="00400A4C"/>
    <w:rsid w:val="00401473"/>
    <w:rsid w:val="00401E34"/>
    <w:rsid w:val="0040250F"/>
    <w:rsid w:val="004061C4"/>
    <w:rsid w:val="00406B14"/>
    <w:rsid w:val="00406C0E"/>
    <w:rsid w:val="004076BF"/>
    <w:rsid w:val="004078F1"/>
    <w:rsid w:val="00407E52"/>
    <w:rsid w:val="00410CA7"/>
    <w:rsid w:val="00411C3A"/>
    <w:rsid w:val="00412694"/>
    <w:rsid w:val="00412890"/>
    <w:rsid w:val="0041321F"/>
    <w:rsid w:val="00413715"/>
    <w:rsid w:val="00413A4D"/>
    <w:rsid w:val="00413D67"/>
    <w:rsid w:val="00413D9F"/>
    <w:rsid w:val="0042045E"/>
    <w:rsid w:val="004207CA"/>
    <w:rsid w:val="00421817"/>
    <w:rsid w:val="00421CE0"/>
    <w:rsid w:val="00422100"/>
    <w:rsid w:val="00422AB8"/>
    <w:rsid w:val="004231DF"/>
    <w:rsid w:val="00423D31"/>
    <w:rsid w:val="004249D3"/>
    <w:rsid w:val="00424EC1"/>
    <w:rsid w:val="00426383"/>
    <w:rsid w:val="00426437"/>
    <w:rsid w:val="00430618"/>
    <w:rsid w:val="00430DFE"/>
    <w:rsid w:val="00430DFF"/>
    <w:rsid w:val="0043116F"/>
    <w:rsid w:val="004324D6"/>
    <w:rsid w:val="004329D3"/>
    <w:rsid w:val="0043479E"/>
    <w:rsid w:val="00434E64"/>
    <w:rsid w:val="00434E72"/>
    <w:rsid w:val="00436702"/>
    <w:rsid w:val="00441499"/>
    <w:rsid w:val="00441A8C"/>
    <w:rsid w:val="00441D4E"/>
    <w:rsid w:val="00442C4A"/>
    <w:rsid w:val="004443DC"/>
    <w:rsid w:val="00445DCE"/>
    <w:rsid w:val="00447854"/>
    <w:rsid w:val="00447B9A"/>
    <w:rsid w:val="00453407"/>
    <w:rsid w:val="00453F33"/>
    <w:rsid w:val="00454036"/>
    <w:rsid w:val="0045713D"/>
    <w:rsid w:val="00460126"/>
    <w:rsid w:val="004605EA"/>
    <w:rsid w:val="004623D4"/>
    <w:rsid w:val="00462A0B"/>
    <w:rsid w:val="004639D6"/>
    <w:rsid w:val="00465504"/>
    <w:rsid w:val="00465EF1"/>
    <w:rsid w:val="004670A7"/>
    <w:rsid w:val="00470BE9"/>
    <w:rsid w:val="00471221"/>
    <w:rsid w:val="00473019"/>
    <w:rsid w:val="0047327A"/>
    <w:rsid w:val="00473442"/>
    <w:rsid w:val="00474B13"/>
    <w:rsid w:val="00474B6E"/>
    <w:rsid w:val="0047697F"/>
    <w:rsid w:val="004769E9"/>
    <w:rsid w:val="00476C97"/>
    <w:rsid w:val="00476D3F"/>
    <w:rsid w:val="004770A1"/>
    <w:rsid w:val="00480A6B"/>
    <w:rsid w:val="00481A47"/>
    <w:rsid w:val="00483809"/>
    <w:rsid w:val="00486CD1"/>
    <w:rsid w:val="00486F53"/>
    <w:rsid w:val="00487C3B"/>
    <w:rsid w:val="00490C8A"/>
    <w:rsid w:val="004914C4"/>
    <w:rsid w:val="00493685"/>
    <w:rsid w:val="00493CAB"/>
    <w:rsid w:val="00494378"/>
    <w:rsid w:val="004945F1"/>
    <w:rsid w:val="00494770"/>
    <w:rsid w:val="00494A49"/>
    <w:rsid w:val="00494FEF"/>
    <w:rsid w:val="00496E0C"/>
    <w:rsid w:val="0049703A"/>
    <w:rsid w:val="00497432"/>
    <w:rsid w:val="004A0DAA"/>
    <w:rsid w:val="004A18CF"/>
    <w:rsid w:val="004A1E8C"/>
    <w:rsid w:val="004A3A2E"/>
    <w:rsid w:val="004A4824"/>
    <w:rsid w:val="004A5B3B"/>
    <w:rsid w:val="004A613F"/>
    <w:rsid w:val="004A6A41"/>
    <w:rsid w:val="004B13C9"/>
    <w:rsid w:val="004B1510"/>
    <w:rsid w:val="004B2D2A"/>
    <w:rsid w:val="004B2EB6"/>
    <w:rsid w:val="004B3154"/>
    <w:rsid w:val="004B39ED"/>
    <w:rsid w:val="004B3AE3"/>
    <w:rsid w:val="004B3B12"/>
    <w:rsid w:val="004B4635"/>
    <w:rsid w:val="004B4941"/>
    <w:rsid w:val="004B5074"/>
    <w:rsid w:val="004B51D4"/>
    <w:rsid w:val="004B5EFF"/>
    <w:rsid w:val="004B6460"/>
    <w:rsid w:val="004B682B"/>
    <w:rsid w:val="004B6B25"/>
    <w:rsid w:val="004B7543"/>
    <w:rsid w:val="004C17B8"/>
    <w:rsid w:val="004C197A"/>
    <w:rsid w:val="004C664C"/>
    <w:rsid w:val="004C76EE"/>
    <w:rsid w:val="004D1972"/>
    <w:rsid w:val="004D6044"/>
    <w:rsid w:val="004D6244"/>
    <w:rsid w:val="004D6649"/>
    <w:rsid w:val="004E0139"/>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77BC"/>
    <w:rsid w:val="00511221"/>
    <w:rsid w:val="00511224"/>
    <w:rsid w:val="00511312"/>
    <w:rsid w:val="00511811"/>
    <w:rsid w:val="005160AE"/>
    <w:rsid w:val="00516F9C"/>
    <w:rsid w:val="00517C3A"/>
    <w:rsid w:val="00522338"/>
    <w:rsid w:val="00523A1D"/>
    <w:rsid w:val="00524560"/>
    <w:rsid w:val="0052481B"/>
    <w:rsid w:val="0052519A"/>
    <w:rsid w:val="0052697C"/>
    <w:rsid w:val="00526D30"/>
    <w:rsid w:val="0052779D"/>
    <w:rsid w:val="00527F03"/>
    <w:rsid w:val="00530EF5"/>
    <w:rsid w:val="005325B4"/>
    <w:rsid w:val="00533760"/>
    <w:rsid w:val="0053408F"/>
    <w:rsid w:val="00535364"/>
    <w:rsid w:val="005378B6"/>
    <w:rsid w:val="005406F3"/>
    <w:rsid w:val="00541153"/>
    <w:rsid w:val="0054230D"/>
    <w:rsid w:val="0054445E"/>
    <w:rsid w:val="00544DAF"/>
    <w:rsid w:val="00544F31"/>
    <w:rsid w:val="00545064"/>
    <w:rsid w:val="005470D6"/>
    <w:rsid w:val="0055138B"/>
    <w:rsid w:val="0055340F"/>
    <w:rsid w:val="0055520B"/>
    <w:rsid w:val="00555CD7"/>
    <w:rsid w:val="0055675C"/>
    <w:rsid w:val="0056086A"/>
    <w:rsid w:val="00560C8B"/>
    <w:rsid w:val="00562A46"/>
    <w:rsid w:val="00563637"/>
    <w:rsid w:val="00563814"/>
    <w:rsid w:val="0056711D"/>
    <w:rsid w:val="00571A60"/>
    <w:rsid w:val="005732B3"/>
    <w:rsid w:val="00576185"/>
    <w:rsid w:val="005773FB"/>
    <w:rsid w:val="00581F0F"/>
    <w:rsid w:val="00585CF3"/>
    <w:rsid w:val="005866A5"/>
    <w:rsid w:val="00586819"/>
    <w:rsid w:val="0059291D"/>
    <w:rsid w:val="00592926"/>
    <w:rsid w:val="00592A74"/>
    <w:rsid w:val="00593A21"/>
    <w:rsid w:val="00593C92"/>
    <w:rsid w:val="00593F83"/>
    <w:rsid w:val="0059453B"/>
    <w:rsid w:val="0059716C"/>
    <w:rsid w:val="00597FC8"/>
    <w:rsid w:val="005A1E6C"/>
    <w:rsid w:val="005A1FA1"/>
    <w:rsid w:val="005A2244"/>
    <w:rsid w:val="005A2911"/>
    <w:rsid w:val="005A4491"/>
    <w:rsid w:val="005A47C5"/>
    <w:rsid w:val="005A492B"/>
    <w:rsid w:val="005A5831"/>
    <w:rsid w:val="005A61FB"/>
    <w:rsid w:val="005A7051"/>
    <w:rsid w:val="005A7A17"/>
    <w:rsid w:val="005A7DDD"/>
    <w:rsid w:val="005B18CF"/>
    <w:rsid w:val="005B361B"/>
    <w:rsid w:val="005B3ADC"/>
    <w:rsid w:val="005B46A9"/>
    <w:rsid w:val="005B4C09"/>
    <w:rsid w:val="005B5F89"/>
    <w:rsid w:val="005B6C2D"/>
    <w:rsid w:val="005B73DD"/>
    <w:rsid w:val="005C0786"/>
    <w:rsid w:val="005C4190"/>
    <w:rsid w:val="005C4FDD"/>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455A"/>
    <w:rsid w:val="005F6AE8"/>
    <w:rsid w:val="005F71FD"/>
    <w:rsid w:val="0060176D"/>
    <w:rsid w:val="00601F17"/>
    <w:rsid w:val="00601FBF"/>
    <w:rsid w:val="00602474"/>
    <w:rsid w:val="006049D7"/>
    <w:rsid w:val="00607F39"/>
    <w:rsid w:val="006103DB"/>
    <w:rsid w:val="00611E78"/>
    <w:rsid w:val="00611F77"/>
    <w:rsid w:val="00612D29"/>
    <w:rsid w:val="006146AF"/>
    <w:rsid w:val="00615055"/>
    <w:rsid w:val="00615117"/>
    <w:rsid w:val="006152A3"/>
    <w:rsid w:val="00615824"/>
    <w:rsid w:val="00615909"/>
    <w:rsid w:val="006218E5"/>
    <w:rsid w:val="006223A9"/>
    <w:rsid w:val="00622DEE"/>
    <w:rsid w:val="0063042C"/>
    <w:rsid w:val="00631556"/>
    <w:rsid w:val="00631B25"/>
    <w:rsid w:val="00631E94"/>
    <w:rsid w:val="006338A4"/>
    <w:rsid w:val="00634237"/>
    <w:rsid w:val="00635CAF"/>
    <w:rsid w:val="00636BAC"/>
    <w:rsid w:val="00637202"/>
    <w:rsid w:val="00637BF2"/>
    <w:rsid w:val="00640287"/>
    <w:rsid w:val="006403F5"/>
    <w:rsid w:val="006410EB"/>
    <w:rsid w:val="0064143F"/>
    <w:rsid w:val="00641DCD"/>
    <w:rsid w:val="00643BC6"/>
    <w:rsid w:val="00645551"/>
    <w:rsid w:val="00645657"/>
    <w:rsid w:val="00645E9B"/>
    <w:rsid w:val="006503CB"/>
    <w:rsid w:val="00650B5D"/>
    <w:rsid w:val="00651C68"/>
    <w:rsid w:val="0065310D"/>
    <w:rsid w:val="006545AD"/>
    <w:rsid w:val="00655B45"/>
    <w:rsid w:val="00655D34"/>
    <w:rsid w:val="00657B4B"/>
    <w:rsid w:val="006615F0"/>
    <w:rsid w:val="00661C16"/>
    <w:rsid w:val="00662475"/>
    <w:rsid w:val="00662E70"/>
    <w:rsid w:val="006634C6"/>
    <w:rsid w:val="00663F36"/>
    <w:rsid w:val="00664010"/>
    <w:rsid w:val="006655AF"/>
    <w:rsid w:val="00665788"/>
    <w:rsid w:val="00665A70"/>
    <w:rsid w:val="00665DB7"/>
    <w:rsid w:val="006668FF"/>
    <w:rsid w:val="00666B1F"/>
    <w:rsid w:val="006676B2"/>
    <w:rsid w:val="00670CA1"/>
    <w:rsid w:val="006714F8"/>
    <w:rsid w:val="006722FB"/>
    <w:rsid w:val="00672668"/>
    <w:rsid w:val="006731F8"/>
    <w:rsid w:val="006739D1"/>
    <w:rsid w:val="00675212"/>
    <w:rsid w:val="00676BE7"/>
    <w:rsid w:val="00677171"/>
    <w:rsid w:val="006771F1"/>
    <w:rsid w:val="00677F1E"/>
    <w:rsid w:val="006801D0"/>
    <w:rsid w:val="00680EE2"/>
    <w:rsid w:val="00681835"/>
    <w:rsid w:val="0068202D"/>
    <w:rsid w:val="006823C2"/>
    <w:rsid w:val="00682EA6"/>
    <w:rsid w:val="00686110"/>
    <w:rsid w:val="00686442"/>
    <w:rsid w:val="0068647C"/>
    <w:rsid w:val="00686E03"/>
    <w:rsid w:val="006925C0"/>
    <w:rsid w:val="006928FE"/>
    <w:rsid w:val="00694216"/>
    <w:rsid w:val="00694502"/>
    <w:rsid w:val="00695A93"/>
    <w:rsid w:val="00696651"/>
    <w:rsid w:val="006977A1"/>
    <w:rsid w:val="00697BC8"/>
    <w:rsid w:val="006A02B1"/>
    <w:rsid w:val="006A0C55"/>
    <w:rsid w:val="006A1064"/>
    <w:rsid w:val="006A47C3"/>
    <w:rsid w:val="006A481B"/>
    <w:rsid w:val="006A664D"/>
    <w:rsid w:val="006A6F14"/>
    <w:rsid w:val="006A70C1"/>
    <w:rsid w:val="006B107B"/>
    <w:rsid w:val="006B247E"/>
    <w:rsid w:val="006B3E65"/>
    <w:rsid w:val="006B5778"/>
    <w:rsid w:val="006B59EA"/>
    <w:rsid w:val="006B5B53"/>
    <w:rsid w:val="006B7FA4"/>
    <w:rsid w:val="006C0C24"/>
    <w:rsid w:val="006C532B"/>
    <w:rsid w:val="006C5C9C"/>
    <w:rsid w:val="006D0EFF"/>
    <w:rsid w:val="006D1313"/>
    <w:rsid w:val="006D2233"/>
    <w:rsid w:val="006D2870"/>
    <w:rsid w:val="006D2EBC"/>
    <w:rsid w:val="006D375F"/>
    <w:rsid w:val="006D3D11"/>
    <w:rsid w:val="006D3EB7"/>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43BD"/>
    <w:rsid w:val="0070681C"/>
    <w:rsid w:val="007103A7"/>
    <w:rsid w:val="00710F80"/>
    <w:rsid w:val="00711EAC"/>
    <w:rsid w:val="007131EA"/>
    <w:rsid w:val="00720BC2"/>
    <w:rsid w:val="00722670"/>
    <w:rsid w:val="00723F6F"/>
    <w:rsid w:val="00725729"/>
    <w:rsid w:val="00727060"/>
    <w:rsid w:val="0072724F"/>
    <w:rsid w:val="0073250D"/>
    <w:rsid w:val="00733436"/>
    <w:rsid w:val="007346A0"/>
    <w:rsid w:val="00734777"/>
    <w:rsid w:val="007348CC"/>
    <w:rsid w:val="0073502C"/>
    <w:rsid w:val="00735490"/>
    <w:rsid w:val="007359D0"/>
    <w:rsid w:val="00736541"/>
    <w:rsid w:val="0073792A"/>
    <w:rsid w:val="00740412"/>
    <w:rsid w:val="0074242C"/>
    <w:rsid w:val="0074386A"/>
    <w:rsid w:val="0074534C"/>
    <w:rsid w:val="00746583"/>
    <w:rsid w:val="00747A1C"/>
    <w:rsid w:val="00747D1F"/>
    <w:rsid w:val="00750C4F"/>
    <w:rsid w:val="00750DFF"/>
    <w:rsid w:val="00754475"/>
    <w:rsid w:val="007547C9"/>
    <w:rsid w:val="00754808"/>
    <w:rsid w:val="007552E9"/>
    <w:rsid w:val="0075608E"/>
    <w:rsid w:val="0075789C"/>
    <w:rsid w:val="00762E5B"/>
    <w:rsid w:val="007630EB"/>
    <w:rsid w:val="00765F8D"/>
    <w:rsid w:val="00766087"/>
    <w:rsid w:val="00766225"/>
    <w:rsid w:val="007704DD"/>
    <w:rsid w:val="00770BB7"/>
    <w:rsid w:val="00770C95"/>
    <w:rsid w:val="00771609"/>
    <w:rsid w:val="00774907"/>
    <w:rsid w:val="00774998"/>
    <w:rsid w:val="00776356"/>
    <w:rsid w:val="007763CD"/>
    <w:rsid w:val="0077724A"/>
    <w:rsid w:val="0077733E"/>
    <w:rsid w:val="0078176C"/>
    <w:rsid w:val="007819D5"/>
    <w:rsid w:val="00783A8E"/>
    <w:rsid w:val="0078419C"/>
    <w:rsid w:val="007857DB"/>
    <w:rsid w:val="00786137"/>
    <w:rsid w:val="00786428"/>
    <w:rsid w:val="007877BA"/>
    <w:rsid w:val="007878A8"/>
    <w:rsid w:val="00791A6D"/>
    <w:rsid w:val="00792176"/>
    <w:rsid w:val="0079680F"/>
    <w:rsid w:val="0079709D"/>
    <w:rsid w:val="007A0902"/>
    <w:rsid w:val="007A0D23"/>
    <w:rsid w:val="007A1879"/>
    <w:rsid w:val="007A1EF8"/>
    <w:rsid w:val="007A325D"/>
    <w:rsid w:val="007A4096"/>
    <w:rsid w:val="007A45FD"/>
    <w:rsid w:val="007A4FE1"/>
    <w:rsid w:val="007A6C27"/>
    <w:rsid w:val="007A6E34"/>
    <w:rsid w:val="007A778D"/>
    <w:rsid w:val="007B251D"/>
    <w:rsid w:val="007B2F05"/>
    <w:rsid w:val="007B326C"/>
    <w:rsid w:val="007B44F0"/>
    <w:rsid w:val="007B4B77"/>
    <w:rsid w:val="007B7645"/>
    <w:rsid w:val="007C0C14"/>
    <w:rsid w:val="007C2004"/>
    <w:rsid w:val="007C4199"/>
    <w:rsid w:val="007C41C9"/>
    <w:rsid w:val="007C4D5F"/>
    <w:rsid w:val="007C5EC4"/>
    <w:rsid w:val="007C7AE6"/>
    <w:rsid w:val="007C7DFC"/>
    <w:rsid w:val="007D1050"/>
    <w:rsid w:val="007D1809"/>
    <w:rsid w:val="007D4987"/>
    <w:rsid w:val="007D4DB1"/>
    <w:rsid w:val="007D5B11"/>
    <w:rsid w:val="007D6077"/>
    <w:rsid w:val="007D6C28"/>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5DAE"/>
    <w:rsid w:val="007F6DDE"/>
    <w:rsid w:val="008009BF"/>
    <w:rsid w:val="00800D6D"/>
    <w:rsid w:val="00801C56"/>
    <w:rsid w:val="00802259"/>
    <w:rsid w:val="00803E10"/>
    <w:rsid w:val="00804AE8"/>
    <w:rsid w:val="00804E18"/>
    <w:rsid w:val="00806474"/>
    <w:rsid w:val="00807AF2"/>
    <w:rsid w:val="008100BE"/>
    <w:rsid w:val="00810589"/>
    <w:rsid w:val="00811C24"/>
    <w:rsid w:val="008131D3"/>
    <w:rsid w:val="00813EFE"/>
    <w:rsid w:val="00814548"/>
    <w:rsid w:val="00814A38"/>
    <w:rsid w:val="00814DF4"/>
    <w:rsid w:val="008160BB"/>
    <w:rsid w:val="008166AB"/>
    <w:rsid w:val="008179F0"/>
    <w:rsid w:val="00820E8B"/>
    <w:rsid w:val="008217E2"/>
    <w:rsid w:val="008219F4"/>
    <w:rsid w:val="00825666"/>
    <w:rsid w:val="00825D4F"/>
    <w:rsid w:val="00827DDA"/>
    <w:rsid w:val="00827F34"/>
    <w:rsid w:val="00830DAF"/>
    <w:rsid w:val="00831BCA"/>
    <w:rsid w:val="008348B0"/>
    <w:rsid w:val="00834ECB"/>
    <w:rsid w:val="00835C30"/>
    <w:rsid w:val="008400BB"/>
    <w:rsid w:val="00840B82"/>
    <w:rsid w:val="00841C87"/>
    <w:rsid w:val="00842610"/>
    <w:rsid w:val="00842AF0"/>
    <w:rsid w:val="00844E91"/>
    <w:rsid w:val="008451F7"/>
    <w:rsid w:val="008457AC"/>
    <w:rsid w:val="0084655D"/>
    <w:rsid w:val="0084698F"/>
    <w:rsid w:val="0084733E"/>
    <w:rsid w:val="00850321"/>
    <w:rsid w:val="008505A5"/>
    <w:rsid w:val="008509EF"/>
    <w:rsid w:val="008545D5"/>
    <w:rsid w:val="008560E8"/>
    <w:rsid w:val="00856771"/>
    <w:rsid w:val="00860504"/>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80FB2"/>
    <w:rsid w:val="008816E5"/>
    <w:rsid w:val="00883540"/>
    <w:rsid w:val="00883BC8"/>
    <w:rsid w:val="008868F4"/>
    <w:rsid w:val="008901B8"/>
    <w:rsid w:val="008945A1"/>
    <w:rsid w:val="00895175"/>
    <w:rsid w:val="008951EE"/>
    <w:rsid w:val="00895950"/>
    <w:rsid w:val="008970B2"/>
    <w:rsid w:val="00897E79"/>
    <w:rsid w:val="008A476F"/>
    <w:rsid w:val="008A59C1"/>
    <w:rsid w:val="008A5AAE"/>
    <w:rsid w:val="008A5F35"/>
    <w:rsid w:val="008A7EB5"/>
    <w:rsid w:val="008B0A8D"/>
    <w:rsid w:val="008B232D"/>
    <w:rsid w:val="008B3030"/>
    <w:rsid w:val="008B45D7"/>
    <w:rsid w:val="008B561D"/>
    <w:rsid w:val="008B5DE3"/>
    <w:rsid w:val="008B73D3"/>
    <w:rsid w:val="008C3975"/>
    <w:rsid w:val="008C3E15"/>
    <w:rsid w:val="008C439F"/>
    <w:rsid w:val="008C4F2C"/>
    <w:rsid w:val="008C6B72"/>
    <w:rsid w:val="008C6FA3"/>
    <w:rsid w:val="008D1A0A"/>
    <w:rsid w:val="008D2322"/>
    <w:rsid w:val="008D2478"/>
    <w:rsid w:val="008D39EF"/>
    <w:rsid w:val="008D3B98"/>
    <w:rsid w:val="008D5856"/>
    <w:rsid w:val="008D7D4A"/>
    <w:rsid w:val="008E0226"/>
    <w:rsid w:val="008E0977"/>
    <w:rsid w:val="008E1C1B"/>
    <w:rsid w:val="008E2722"/>
    <w:rsid w:val="008E3066"/>
    <w:rsid w:val="008E32E1"/>
    <w:rsid w:val="008E4AA9"/>
    <w:rsid w:val="008E4C24"/>
    <w:rsid w:val="008E5293"/>
    <w:rsid w:val="008E5C9E"/>
    <w:rsid w:val="008E5F3D"/>
    <w:rsid w:val="008E6325"/>
    <w:rsid w:val="008E63D6"/>
    <w:rsid w:val="008E6F1A"/>
    <w:rsid w:val="008E7D81"/>
    <w:rsid w:val="008F0EAA"/>
    <w:rsid w:val="008F14CE"/>
    <w:rsid w:val="008F210C"/>
    <w:rsid w:val="008F235D"/>
    <w:rsid w:val="008F343F"/>
    <w:rsid w:val="008F39AA"/>
    <w:rsid w:val="008F6A83"/>
    <w:rsid w:val="00902104"/>
    <w:rsid w:val="00902E45"/>
    <w:rsid w:val="00905BA7"/>
    <w:rsid w:val="00905E61"/>
    <w:rsid w:val="009062B6"/>
    <w:rsid w:val="0090659C"/>
    <w:rsid w:val="0090700C"/>
    <w:rsid w:val="00910241"/>
    <w:rsid w:val="0091036A"/>
    <w:rsid w:val="00910A6F"/>
    <w:rsid w:val="00910E19"/>
    <w:rsid w:val="0091119C"/>
    <w:rsid w:val="00912F98"/>
    <w:rsid w:val="00913C0C"/>
    <w:rsid w:val="0091435B"/>
    <w:rsid w:val="00914734"/>
    <w:rsid w:val="00914F01"/>
    <w:rsid w:val="009154DE"/>
    <w:rsid w:val="0091592F"/>
    <w:rsid w:val="009165EB"/>
    <w:rsid w:val="009179D0"/>
    <w:rsid w:val="00920778"/>
    <w:rsid w:val="00921C49"/>
    <w:rsid w:val="0092255F"/>
    <w:rsid w:val="00922C8B"/>
    <w:rsid w:val="00923DC6"/>
    <w:rsid w:val="00923F72"/>
    <w:rsid w:val="009240CC"/>
    <w:rsid w:val="00924B19"/>
    <w:rsid w:val="00925144"/>
    <w:rsid w:val="009254D7"/>
    <w:rsid w:val="00925D93"/>
    <w:rsid w:val="0092747A"/>
    <w:rsid w:val="009275FA"/>
    <w:rsid w:val="0092789D"/>
    <w:rsid w:val="00927AC9"/>
    <w:rsid w:val="00927DD0"/>
    <w:rsid w:val="00927FDA"/>
    <w:rsid w:val="00930610"/>
    <w:rsid w:val="009366F7"/>
    <w:rsid w:val="0093688F"/>
    <w:rsid w:val="0093792E"/>
    <w:rsid w:val="0094020E"/>
    <w:rsid w:val="009407C4"/>
    <w:rsid w:val="009408CC"/>
    <w:rsid w:val="00940B9E"/>
    <w:rsid w:val="00940D0F"/>
    <w:rsid w:val="00940D94"/>
    <w:rsid w:val="00940FBC"/>
    <w:rsid w:val="00941521"/>
    <w:rsid w:val="00941676"/>
    <w:rsid w:val="00943402"/>
    <w:rsid w:val="0094378A"/>
    <w:rsid w:val="009437B9"/>
    <w:rsid w:val="00943F9F"/>
    <w:rsid w:val="009449CC"/>
    <w:rsid w:val="00944A4F"/>
    <w:rsid w:val="00944CB9"/>
    <w:rsid w:val="00945D03"/>
    <w:rsid w:val="0094692F"/>
    <w:rsid w:val="00946D22"/>
    <w:rsid w:val="00947672"/>
    <w:rsid w:val="00947E16"/>
    <w:rsid w:val="00950E66"/>
    <w:rsid w:val="00952AD0"/>
    <w:rsid w:val="00952CDD"/>
    <w:rsid w:val="009531E8"/>
    <w:rsid w:val="00953980"/>
    <w:rsid w:val="0095565D"/>
    <w:rsid w:val="00955A0C"/>
    <w:rsid w:val="00955D38"/>
    <w:rsid w:val="00956638"/>
    <w:rsid w:val="00960CD0"/>
    <w:rsid w:val="0096299B"/>
    <w:rsid w:val="00962E0F"/>
    <w:rsid w:val="00963702"/>
    <w:rsid w:val="00965CEB"/>
    <w:rsid w:val="00966A88"/>
    <w:rsid w:val="00966C4D"/>
    <w:rsid w:val="009672D4"/>
    <w:rsid w:val="009703D5"/>
    <w:rsid w:val="009712FE"/>
    <w:rsid w:val="0097286E"/>
    <w:rsid w:val="00972C52"/>
    <w:rsid w:val="00972FD3"/>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6CC"/>
    <w:rsid w:val="009916F9"/>
    <w:rsid w:val="00993EC7"/>
    <w:rsid w:val="00994C65"/>
    <w:rsid w:val="00995246"/>
    <w:rsid w:val="009A0190"/>
    <w:rsid w:val="009A04F2"/>
    <w:rsid w:val="009A0A54"/>
    <w:rsid w:val="009A14D2"/>
    <w:rsid w:val="009A1DA0"/>
    <w:rsid w:val="009A3C1D"/>
    <w:rsid w:val="009A3E57"/>
    <w:rsid w:val="009A4572"/>
    <w:rsid w:val="009A523A"/>
    <w:rsid w:val="009A5C61"/>
    <w:rsid w:val="009A5DE4"/>
    <w:rsid w:val="009A7B35"/>
    <w:rsid w:val="009B010B"/>
    <w:rsid w:val="009B1FCC"/>
    <w:rsid w:val="009B2EA0"/>
    <w:rsid w:val="009B34FE"/>
    <w:rsid w:val="009B5962"/>
    <w:rsid w:val="009B5C22"/>
    <w:rsid w:val="009C3170"/>
    <w:rsid w:val="009C376A"/>
    <w:rsid w:val="009C6BDD"/>
    <w:rsid w:val="009C6F08"/>
    <w:rsid w:val="009C72F7"/>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5BAB"/>
    <w:rsid w:val="009F60CA"/>
    <w:rsid w:val="009F6147"/>
    <w:rsid w:val="00A001C2"/>
    <w:rsid w:val="00A019A2"/>
    <w:rsid w:val="00A044EE"/>
    <w:rsid w:val="00A04630"/>
    <w:rsid w:val="00A1026B"/>
    <w:rsid w:val="00A11137"/>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BD6"/>
    <w:rsid w:val="00A3322B"/>
    <w:rsid w:val="00A3396F"/>
    <w:rsid w:val="00A35B05"/>
    <w:rsid w:val="00A35D30"/>
    <w:rsid w:val="00A367EF"/>
    <w:rsid w:val="00A3787C"/>
    <w:rsid w:val="00A37B5F"/>
    <w:rsid w:val="00A37F82"/>
    <w:rsid w:val="00A40896"/>
    <w:rsid w:val="00A42587"/>
    <w:rsid w:val="00A4266E"/>
    <w:rsid w:val="00A430CC"/>
    <w:rsid w:val="00A44647"/>
    <w:rsid w:val="00A44AD5"/>
    <w:rsid w:val="00A45B02"/>
    <w:rsid w:val="00A462EB"/>
    <w:rsid w:val="00A50158"/>
    <w:rsid w:val="00A50ABE"/>
    <w:rsid w:val="00A50BB6"/>
    <w:rsid w:val="00A51215"/>
    <w:rsid w:val="00A512E1"/>
    <w:rsid w:val="00A51311"/>
    <w:rsid w:val="00A51BC6"/>
    <w:rsid w:val="00A522F0"/>
    <w:rsid w:val="00A529AB"/>
    <w:rsid w:val="00A53E02"/>
    <w:rsid w:val="00A567F1"/>
    <w:rsid w:val="00A56A28"/>
    <w:rsid w:val="00A56DDA"/>
    <w:rsid w:val="00A57810"/>
    <w:rsid w:val="00A60805"/>
    <w:rsid w:val="00A60A5E"/>
    <w:rsid w:val="00A6274E"/>
    <w:rsid w:val="00A6398D"/>
    <w:rsid w:val="00A639ED"/>
    <w:rsid w:val="00A63F5A"/>
    <w:rsid w:val="00A64CD6"/>
    <w:rsid w:val="00A65087"/>
    <w:rsid w:val="00A66106"/>
    <w:rsid w:val="00A66826"/>
    <w:rsid w:val="00A712BA"/>
    <w:rsid w:val="00A73CC4"/>
    <w:rsid w:val="00A751E1"/>
    <w:rsid w:val="00A75C23"/>
    <w:rsid w:val="00A7737B"/>
    <w:rsid w:val="00A77569"/>
    <w:rsid w:val="00A77986"/>
    <w:rsid w:val="00A77D8A"/>
    <w:rsid w:val="00A8006B"/>
    <w:rsid w:val="00A8098C"/>
    <w:rsid w:val="00A81AFD"/>
    <w:rsid w:val="00A81CE5"/>
    <w:rsid w:val="00A82CF7"/>
    <w:rsid w:val="00A8372A"/>
    <w:rsid w:val="00A854B7"/>
    <w:rsid w:val="00A905AB"/>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7763"/>
    <w:rsid w:val="00AD10AD"/>
    <w:rsid w:val="00AD261F"/>
    <w:rsid w:val="00AD284B"/>
    <w:rsid w:val="00AD3175"/>
    <w:rsid w:val="00AD3373"/>
    <w:rsid w:val="00AD4C91"/>
    <w:rsid w:val="00AD75AF"/>
    <w:rsid w:val="00AE02C4"/>
    <w:rsid w:val="00AE1096"/>
    <w:rsid w:val="00AE1119"/>
    <w:rsid w:val="00AE131E"/>
    <w:rsid w:val="00AE3B6A"/>
    <w:rsid w:val="00AE3C74"/>
    <w:rsid w:val="00AE54BD"/>
    <w:rsid w:val="00AE56A5"/>
    <w:rsid w:val="00AE64B4"/>
    <w:rsid w:val="00AE65E0"/>
    <w:rsid w:val="00AF16DF"/>
    <w:rsid w:val="00AF2201"/>
    <w:rsid w:val="00AF3240"/>
    <w:rsid w:val="00AF41A2"/>
    <w:rsid w:val="00AF4E2A"/>
    <w:rsid w:val="00AF640D"/>
    <w:rsid w:val="00AF6AEA"/>
    <w:rsid w:val="00B000DB"/>
    <w:rsid w:val="00B00D6E"/>
    <w:rsid w:val="00B00F4C"/>
    <w:rsid w:val="00B014E4"/>
    <w:rsid w:val="00B01893"/>
    <w:rsid w:val="00B02227"/>
    <w:rsid w:val="00B02299"/>
    <w:rsid w:val="00B02457"/>
    <w:rsid w:val="00B026A4"/>
    <w:rsid w:val="00B02F53"/>
    <w:rsid w:val="00B06953"/>
    <w:rsid w:val="00B0784C"/>
    <w:rsid w:val="00B07E5A"/>
    <w:rsid w:val="00B11219"/>
    <w:rsid w:val="00B1187E"/>
    <w:rsid w:val="00B12DF3"/>
    <w:rsid w:val="00B1574A"/>
    <w:rsid w:val="00B17086"/>
    <w:rsid w:val="00B171E9"/>
    <w:rsid w:val="00B17F56"/>
    <w:rsid w:val="00B21B9F"/>
    <w:rsid w:val="00B23E22"/>
    <w:rsid w:val="00B27CE5"/>
    <w:rsid w:val="00B33E38"/>
    <w:rsid w:val="00B35B82"/>
    <w:rsid w:val="00B3695C"/>
    <w:rsid w:val="00B375E9"/>
    <w:rsid w:val="00B40A41"/>
    <w:rsid w:val="00B43F21"/>
    <w:rsid w:val="00B44BB8"/>
    <w:rsid w:val="00B45034"/>
    <w:rsid w:val="00B46DD5"/>
    <w:rsid w:val="00B5001B"/>
    <w:rsid w:val="00B500CB"/>
    <w:rsid w:val="00B5122A"/>
    <w:rsid w:val="00B53F60"/>
    <w:rsid w:val="00B53FB3"/>
    <w:rsid w:val="00B54015"/>
    <w:rsid w:val="00B54E10"/>
    <w:rsid w:val="00B55715"/>
    <w:rsid w:val="00B5687C"/>
    <w:rsid w:val="00B5741C"/>
    <w:rsid w:val="00B61237"/>
    <w:rsid w:val="00B61DE7"/>
    <w:rsid w:val="00B634DB"/>
    <w:rsid w:val="00B637E8"/>
    <w:rsid w:val="00B6408B"/>
    <w:rsid w:val="00B65E92"/>
    <w:rsid w:val="00B6630A"/>
    <w:rsid w:val="00B6666B"/>
    <w:rsid w:val="00B667F6"/>
    <w:rsid w:val="00B67AA0"/>
    <w:rsid w:val="00B74815"/>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7BAE"/>
    <w:rsid w:val="00BE0A6F"/>
    <w:rsid w:val="00BE0E71"/>
    <w:rsid w:val="00BE11BA"/>
    <w:rsid w:val="00BE23BD"/>
    <w:rsid w:val="00BE2C26"/>
    <w:rsid w:val="00BE4A19"/>
    <w:rsid w:val="00BE68D2"/>
    <w:rsid w:val="00BE7391"/>
    <w:rsid w:val="00BE788B"/>
    <w:rsid w:val="00BF07FA"/>
    <w:rsid w:val="00BF155B"/>
    <w:rsid w:val="00BF22E3"/>
    <w:rsid w:val="00BF30CB"/>
    <w:rsid w:val="00BF49F9"/>
    <w:rsid w:val="00BF4B5D"/>
    <w:rsid w:val="00BF549D"/>
    <w:rsid w:val="00BF54B1"/>
    <w:rsid w:val="00BF7AD8"/>
    <w:rsid w:val="00BF7ECE"/>
    <w:rsid w:val="00C00BE7"/>
    <w:rsid w:val="00C04092"/>
    <w:rsid w:val="00C05EC5"/>
    <w:rsid w:val="00C06772"/>
    <w:rsid w:val="00C070D1"/>
    <w:rsid w:val="00C11CF5"/>
    <w:rsid w:val="00C12A2E"/>
    <w:rsid w:val="00C12B74"/>
    <w:rsid w:val="00C14193"/>
    <w:rsid w:val="00C14678"/>
    <w:rsid w:val="00C157A7"/>
    <w:rsid w:val="00C168CF"/>
    <w:rsid w:val="00C1726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03B8"/>
    <w:rsid w:val="00C41D14"/>
    <w:rsid w:val="00C428DF"/>
    <w:rsid w:val="00C445EE"/>
    <w:rsid w:val="00C44A4C"/>
    <w:rsid w:val="00C44C30"/>
    <w:rsid w:val="00C44E90"/>
    <w:rsid w:val="00C46816"/>
    <w:rsid w:val="00C50F2A"/>
    <w:rsid w:val="00C52F51"/>
    <w:rsid w:val="00C53AF7"/>
    <w:rsid w:val="00C54CAF"/>
    <w:rsid w:val="00C55BFA"/>
    <w:rsid w:val="00C55F6C"/>
    <w:rsid w:val="00C61E6E"/>
    <w:rsid w:val="00C62E61"/>
    <w:rsid w:val="00C64A3F"/>
    <w:rsid w:val="00C64EB6"/>
    <w:rsid w:val="00C6534F"/>
    <w:rsid w:val="00C6546F"/>
    <w:rsid w:val="00C703D2"/>
    <w:rsid w:val="00C70D02"/>
    <w:rsid w:val="00C71301"/>
    <w:rsid w:val="00C72130"/>
    <w:rsid w:val="00C73AF9"/>
    <w:rsid w:val="00C75B43"/>
    <w:rsid w:val="00C75B89"/>
    <w:rsid w:val="00C772DE"/>
    <w:rsid w:val="00C80508"/>
    <w:rsid w:val="00C80E4F"/>
    <w:rsid w:val="00C81227"/>
    <w:rsid w:val="00C813FC"/>
    <w:rsid w:val="00C819A5"/>
    <w:rsid w:val="00C842CB"/>
    <w:rsid w:val="00C8481B"/>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4C9"/>
    <w:rsid w:val="00CB18C9"/>
    <w:rsid w:val="00CB39EB"/>
    <w:rsid w:val="00CB4537"/>
    <w:rsid w:val="00CB4A4E"/>
    <w:rsid w:val="00CB513E"/>
    <w:rsid w:val="00CB6961"/>
    <w:rsid w:val="00CB7577"/>
    <w:rsid w:val="00CB764C"/>
    <w:rsid w:val="00CC0576"/>
    <w:rsid w:val="00CC062A"/>
    <w:rsid w:val="00CC06A6"/>
    <w:rsid w:val="00CC0AD5"/>
    <w:rsid w:val="00CC0B74"/>
    <w:rsid w:val="00CC1702"/>
    <w:rsid w:val="00CC2AE4"/>
    <w:rsid w:val="00CC2D19"/>
    <w:rsid w:val="00CC3883"/>
    <w:rsid w:val="00CC4686"/>
    <w:rsid w:val="00CC730C"/>
    <w:rsid w:val="00CC745B"/>
    <w:rsid w:val="00CC7EFA"/>
    <w:rsid w:val="00CD0EE7"/>
    <w:rsid w:val="00CD10FE"/>
    <w:rsid w:val="00CD14EF"/>
    <w:rsid w:val="00CD1A9B"/>
    <w:rsid w:val="00CD2539"/>
    <w:rsid w:val="00CD281A"/>
    <w:rsid w:val="00CD443C"/>
    <w:rsid w:val="00CD4595"/>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5E93"/>
    <w:rsid w:val="00CE7821"/>
    <w:rsid w:val="00CE7849"/>
    <w:rsid w:val="00CE7A6B"/>
    <w:rsid w:val="00CF0882"/>
    <w:rsid w:val="00CF1B39"/>
    <w:rsid w:val="00CF4763"/>
    <w:rsid w:val="00CF5199"/>
    <w:rsid w:val="00CF59E7"/>
    <w:rsid w:val="00CF5C4E"/>
    <w:rsid w:val="00CF6298"/>
    <w:rsid w:val="00D00133"/>
    <w:rsid w:val="00D00CDB"/>
    <w:rsid w:val="00D01C7C"/>
    <w:rsid w:val="00D026DE"/>
    <w:rsid w:val="00D03321"/>
    <w:rsid w:val="00D037D3"/>
    <w:rsid w:val="00D04598"/>
    <w:rsid w:val="00D0465A"/>
    <w:rsid w:val="00D05714"/>
    <w:rsid w:val="00D1054A"/>
    <w:rsid w:val="00D1197A"/>
    <w:rsid w:val="00D11E68"/>
    <w:rsid w:val="00D1536C"/>
    <w:rsid w:val="00D20093"/>
    <w:rsid w:val="00D2086D"/>
    <w:rsid w:val="00D22D02"/>
    <w:rsid w:val="00D24E26"/>
    <w:rsid w:val="00D25DDC"/>
    <w:rsid w:val="00D271CB"/>
    <w:rsid w:val="00D27912"/>
    <w:rsid w:val="00D27B1C"/>
    <w:rsid w:val="00D30085"/>
    <w:rsid w:val="00D304FF"/>
    <w:rsid w:val="00D319CF"/>
    <w:rsid w:val="00D32D9D"/>
    <w:rsid w:val="00D338F8"/>
    <w:rsid w:val="00D35005"/>
    <w:rsid w:val="00D35F33"/>
    <w:rsid w:val="00D36F72"/>
    <w:rsid w:val="00D40101"/>
    <w:rsid w:val="00D41B35"/>
    <w:rsid w:val="00D43E07"/>
    <w:rsid w:val="00D44627"/>
    <w:rsid w:val="00D44DD0"/>
    <w:rsid w:val="00D45C9C"/>
    <w:rsid w:val="00D47788"/>
    <w:rsid w:val="00D51943"/>
    <w:rsid w:val="00D52B8E"/>
    <w:rsid w:val="00D552F0"/>
    <w:rsid w:val="00D55A3E"/>
    <w:rsid w:val="00D55EE6"/>
    <w:rsid w:val="00D60B72"/>
    <w:rsid w:val="00D60DFA"/>
    <w:rsid w:val="00D612EC"/>
    <w:rsid w:val="00D61CC8"/>
    <w:rsid w:val="00D6321E"/>
    <w:rsid w:val="00D6369B"/>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3EE9"/>
    <w:rsid w:val="00D75980"/>
    <w:rsid w:val="00D82182"/>
    <w:rsid w:val="00D82928"/>
    <w:rsid w:val="00D83BF1"/>
    <w:rsid w:val="00D84948"/>
    <w:rsid w:val="00D84D0E"/>
    <w:rsid w:val="00D879A6"/>
    <w:rsid w:val="00D90936"/>
    <w:rsid w:val="00D9252E"/>
    <w:rsid w:val="00D925C2"/>
    <w:rsid w:val="00D945B9"/>
    <w:rsid w:val="00D95B31"/>
    <w:rsid w:val="00DA13F2"/>
    <w:rsid w:val="00DA1D13"/>
    <w:rsid w:val="00DA230F"/>
    <w:rsid w:val="00DA2378"/>
    <w:rsid w:val="00DA3994"/>
    <w:rsid w:val="00DA4873"/>
    <w:rsid w:val="00DA66B2"/>
    <w:rsid w:val="00DB0836"/>
    <w:rsid w:val="00DB1281"/>
    <w:rsid w:val="00DB201D"/>
    <w:rsid w:val="00DB45A2"/>
    <w:rsid w:val="00DB63D8"/>
    <w:rsid w:val="00DB6EE5"/>
    <w:rsid w:val="00DB7207"/>
    <w:rsid w:val="00DB7D4A"/>
    <w:rsid w:val="00DC0C2F"/>
    <w:rsid w:val="00DC2086"/>
    <w:rsid w:val="00DC58C4"/>
    <w:rsid w:val="00DD1122"/>
    <w:rsid w:val="00DD121D"/>
    <w:rsid w:val="00DD1704"/>
    <w:rsid w:val="00DD21F5"/>
    <w:rsid w:val="00DD4864"/>
    <w:rsid w:val="00DD5211"/>
    <w:rsid w:val="00DD5C83"/>
    <w:rsid w:val="00DD731F"/>
    <w:rsid w:val="00DD7637"/>
    <w:rsid w:val="00DE06ED"/>
    <w:rsid w:val="00DE099E"/>
    <w:rsid w:val="00DE0C56"/>
    <w:rsid w:val="00DE40A9"/>
    <w:rsid w:val="00DE53D2"/>
    <w:rsid w:val="00DE7082"/>
    <w:rsid w:val="00DE79AD"/>
    <w:rsid w:val="00DE7C98"/>
    <w:rsid w:val="00DF4EB7"/>
    <w:rsid w:val="00DF738D"/>
    <w:rsid w:val="00DF74A7"/>
    <w:rsid w:val="00E00D97"/>
    <w:rsid w:val="00E00EBA"/>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301D"/>
    <w:rsid w:val="00E245D6"/>
    <w:rsid w:val="00E25078"/>
    <w:rsid w:val="00E2554B"/>
    <w:rsid w:val="00E2676E"/>
    <w:rsid w:val="00E327BA"/>
    <w:rsid w:val="00E32E97"/>
    <w:rsid w:val="00E35BEA"/>
    <w:rsid w:val="00E35D9D"/>
    <w:rsid w:val="00E36645"/>
    <w:rsid w:val="00E414D0"/>
    <w:rsid w:val="00E41E52"/>
    <w:rsid w:val="00E4475B"/>
    <w:rsid w:val="00E452E2"/>
    <w:rsid w:val="00E47770"/>
    <w:rsid w:val="00E477E7"/>
    <w:rsid w:val="00E50959"/>
    <w:rsid w:val="00E52742"/>
    <w:rsid w:val="00E5296A"/>
    <w:rsid w:val="00E52D2F"/>
    <w:rsid w:val="00E5391C"/>
    <w:rsid w:val="00E547C0"/>
    <w:rsid w:val="00E562A1"/>
    <w:rsid w:val="00E568A7"/>
    <w:rsid w:val="00E56FD4"/>
    <w:rsid w:val="00E602DD"/>
    <w:rsid w:val="00E613C1"/>
    <w:rsid w:val="00E62073"/>
    <w:rsid w:val="00E6222A"/>
    <w:rsid w:val="00E63246"/>
    <w:rsid w:val="00E632F8"/>
    <w:rsid w:val="00E655E1"/>
    <w:rsid w:val="00E66566"/>
    <w:rsid w:val="00E70C82"/>
    <w:rsid w:val="00E70CCE"/>
    <w:rsid w:val="00E70E8C"/>
    <w:rsid w:val="00E729AA"/>
    <w:rsid w:val="00E734A8"/>
    <w:rsid w:val="00E735CC"/>
    <w:rsid w:val="00E750E0"/>
    <w:rsid w:val="00E77AF5"/>
    <w:rsid w:val="00E77BF3"/>
    <w:rsid w:val="00E8006F"/>
    <w:rsid w:val="00E803C7"/>
    <w:rsid w:val="00E80A7B"/>
    <w:rsid w:val="00E81F8A"/>
    <w:rsid w:val="00E82319"/>
    <w:rsid w:val="00E82D61"/>
    <w:rsid w:val="00E8531A"/>
    <w:rsid w:val="00E85EA8"/>
    <w:rsid w:val="00E863ED"/>
    <w:rsid w:val="00E907A0"/>
    <w:rsid w:val="00E92198"/>
    <w:rsid w:val="00E922CC"/>
    <w:rsid w:val="00E9344B"/>
    <w:rsid w:val="00E94176"/>
    <w:rsid w:val="00E9493B"/>
    <w:rsid w:val="00E960F1"/>
    <w:rsid w:val="00EA03ED"/>
    <w:rsid w:val="00EA062A"/>
    <w:rsid w:val="00EA0C9D"/>
    <w:rsid w:val="00EA1D32"/>
    <w:rsid w:val="00EA269A"/>
    <w:rsid w:val="00EA2E8C"/>
    <w:rsid w:val="00EA4EAC"/>
    <w:rsid w:val="00EA6D08"/>
    <w:rsid w:val="00EA7D8A"/>
    <w:rsid w:val="00EA7F4D"/>
    <w:rsid w:val="00EB2D1D"/>
    <w:rsid w:val="00EB32F9"/>
    <w:rsid w:val="00EB403C"/>
    <w:rsid w:val="00EB614B"/>
    <w:rsid w:val="00EB6B91"/>
    <w:rsid w:val="00EC0F29"/>
    <w:rsid w:val="00EC1A3F"/>
    <w:rsid w:val="00EC2235"/>
    <w:rsid w:val="00EC2C1A"/>
    <w:rsid w:val="00EC3612"/>
    <w:rsid w:val="00EC613C"/>
    <w:rsid w:val="00ED1792"/>
    <w:rsid w:val="00ED2239"/>
    <w:rsid w:val="00ED2283"/>
    <w:rsid w:val="00ED2609"/>
    <w:rsid w:val="00ED28D0"/>
    <w:rsid w:val="00ED38B8"/>
    <w:rsid w:val="00ED3D42"/>
    <w:rsid w:val="00ED3F47"/>
    <w:rsid w:val="00ED4AA8"/>
    <w:rsid w:val="00ED6002"/>
    <w:rsid w:val="00ED6338"/>
    <w:rsid w:val="00ED6B5F"/>
    <w:rsid w:val="00EE0A74"/>
    <w:rsid w:val="00EE1334"/>
    <w:rsid w:val="00EE2CAF"/>
    <w:rsid w:val="00EE31B1"/>
    <w:rsid w:val="00EE33CF"/>
    <w:rsid w:val="00EE3FFC"/>
    <w:rsid w:val="00EE429E"/>
    <w:rsid w:val="00EE4E18"/>
    <w:rsid w:val="00EE52B3"/>
    <w:rsid w:val="00EE60A5"/>
    <w:rsid w:val="00EE746C"/>
    <w:rsid w:val="00EF12D6"/>
    <w:rsid w:val="00EF5898"/>
    <w:rsid w:val="00EF5F57"/>
    <w:rsid w:val="00EF72DB"/>
    <w:rsid w:val="00EF7FA2"/>
    <w:rsid w:val="00F04B4F"/>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7C"/>
    <w:rsid w:val="00F1779E"/>
    <w:rsid w:val="00F177EE"/>
    <w:rsid w:val="00F17876"/>
    <w:rsid w:val="00F2028D"/>
    <w:rsid w:val="00F211CF"/>
    <w:rsid w:val="00F22CEA"/>
    <w:rsid w:val="00F24FE8"/>
    <w:rsid w:val="00F30737"/>
    <w:rsid w:val="00F30C21"/>
    <w:rsid w:val="00F32C9B"/>
    <w:rsid w:val="00F32DF2"/>
    <w:rsid w:val="00F34B76"/>
    <w:rsid w:val="00F35167"/>
    <w:rsid w:val="00F352B0"/>
    <w:rsid w:val="00F374A9"/>
    <w:rsid w:val="00F4157A"/>
    <w:rsid w:val="00F42EA6"/>
    <w:rsid w:val="00F46572"/>
    <w:rsid w:val="00F475E2"/>
    <w:rsid w:val="00F478FF"/>
    <w:rsid w:val="00F5010C"/>
    <w:rsid w:val="00F505D6"/>
    <w:rsid w:val="00F51E42"/>
    <w:rsid w:val="00F5346F"/>
    <w:rsid w:val="00F537B3"/>
    <w:rsid w:val="00F53AB3"/>
    <w:rsid w:val="00F54AF0"/>
    <w:rsid w:val="00F550E8"/>
    <w:rsid w:val="00F55698"/>
    <w:rsid w:val="00F55D31"/>
    <w:rsid w:val="00F56B9B"/>
    <w:rsid w:val="00F5713B"/>
    <w:rsid w:val="00F60089"/>
    <w:rsid w:val="00F60DBD"/>
    <w:rsid w:val="00F613A7"/>
    <w:rsid w:val="00F61928"/>
    <w:rsid w:val="00F63A5B"/>
    <w:rsid w:val="00F643AC"/>
    <w:rsid w:val="00F6457B"/>
    <w:rsid w:val="00F65298"/>
    <w:rsid w:val="00F6549D"/>
    <w:rsid w:val="00F66C44"/>
    <w:rsid w:val="00F72821"/>
    <w:rsid w:val="00F7282F"/>
    <w:rsid w:val="00F7333F"/>
    <w:rsid w:val="00F73884"/>
    <w:rsid w:val="00F738C0"/>
    <w:rsid w:val="00F73D88"/>
    <w:rsid w:val="00F7411B"/>
    <w:rsid w:val="00F7434E"/>
    <w:rsid w:val="00F74813"/>
    <w:rsid w:val="00F74A59"/>
    <w:rsid w:val="00F74D09"/>
    <w:rsid w:val="00F751CE"/>
    <w:rsid w:val="00F77323"/>
    <w:rsid w:val="00F829B9"/>
    <w:rsid w:val="00F82A40"/>
    <w:rsid w:val="00F835F0"/>
    <w:rsid w:val="00F84ECE"/>
    <w:rsid w:val="00F8559D"/>
    <w:rsid w:val="00F85E6E"/>
    <w:rsid w:val="00F8681A"/>
    <w:rsid w:val="00F87110"/>
    <w:rsid w:val="00F92908"/>
    <w:rsid w:val="00F93B3B"/>
    <w:rsid w:val="00F93DC3"/>
    <w:rsid w:val="00F94434"/>
    <w:rsid w:val="00F94700"/>
    <w:rsid w:val="00F9472A"/>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C9D"/>
    <w:rsid w:val="00FB7753"/>
    <w:rsid w:val="00FB7C2E"/>
    <w:rsid w:val="00FC2D55"/>
    <w:rsid w:val="00FC3F61"/>
    <w:rsid w:val="00FC728F"/>
    <w:rsid w:val="00FC796A"/>
    <w:rsid w:val="00FD17A0"/>
    <w:rsid w:val="00FD3B79"/>
    <w:rsid w:val="00FD3C4D"/>
    <w:rsid w:val="00FD422C"/>
    <w:rsid w:val="00FD4818"/>
    <w:rsid w:val="00FD5633"/>
    <w:rsid w:val="00FE0D54"/>
    <w:rsid w:val="00FE0EDA"/>
    <w:rsid w:val="00FE11B3"/>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able of figures" w:uiPriority="99"/>
    <w:lsdException w:name="endnote reference" w:uiPriority="99"/>
    <w:lsdException w:name="endnote text"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HTML Cite" w:uiPriority="99"/>
    <w:lsdException w:name="No List" w:uiPriority="99"/>
    <w:lsdException w:name="Table Web 3" w:semiHidden="0" w:unhideWhenUsed="0"/>
    <w:lsdException w:name="Balloon Text" w:semiHidden="0" w:uiPriority="99"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1E7F"/>
    <w:rPr>
      <w:rFonts w:cs="Traditional Arabic"/>
      <w:sz w:val="28"/>
      <w:szCs w:val="28"/>
      <w:lang w:val="fr-FR" w:eastAsia="zh-CN"/>
    </w:rPr>
  </w:style>
  <w:style w:type="paragraph" w:styleId="Titre1">
    <w:name w:val="heading 1"/>
    <w:basedOn w:val="Normal"/>
    <w:link w:val="Titre1Car"/>
    <w:qFormat/>
    <w:rsid w:val="005F06F1"/>
    <w:pPr>
      <w:spacing w:before="100" w:beforeAutospacing="1" w:after="100" w:afterAutospacing="1"/>
      <w:outlineLvl w:val="0"/>
    </w:pPr>
    <w:rPr>
      <w:b/>
      <w:bCs/>
      <w:kern w:val="36"/>
      <w:sz w:val="48"/>
      <w:szCs w:val="48"/>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bCs/>
      <w:sz w:val="27"/>
      <w:szCs w:val="27"/>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77986"/>
    <w:pPr>
      <w:tabs>
        <w:tab w:val="center" w:pos="4536"/>
        <w:tab w:val="right" w:pos="9072"/>
      </w:tabs>
    </w:pPr>
    <w:rPr>
      <w:rFonts w:cs="Times New Roman"/>
      <w:sz w:val="20"/>
      <w:szCs w:val="20"/>
    </w:rPr>
  </w:style>
  <w:style w:type="character" w:styleId="Numrodepage">
    <w:name w:val="page number"/>
    <w:basedOn w:val="Policepardfaut"/>
    <w:rsid w:val="00A77986"/>
  </w:style>
  <w:style w:type="table" w:styleId="Grilledutableau">
    <w:name w:val="Table Grid"/>
    <w:basedOn w:val="TableauNormal"/>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aliases w:val="Char Char Char,Char Char, Car"/>
    <w:basedOn w:val="Normal"/>
    <w:link w:val="NotedebasdepageCar"/>
    <w:rsid w:val="001516E6"/>
  </w:style>
  <w:style w:type="character" w:styleId="Appelnotedebasdep">
    <w:name w:val="footnote reference"/>
    <w:rsid w:val="001516E6"/>
    <w:rPr>
      <w:vertAlign w:val="superscript"/>
    </w:rPr>
  </w:style>
  <w:style w:type="paragraph" w:styleId="En-tte">
    <w:name w:val="header"/>
    <w:basedOn w:val="Normal"/>
    <w:link w:val="En-tteCar"/>
    <w:uiPriority w:val="99"/>
    <w:rsid w:val="0070070C"/>
    <w:pPr>
      <w:tabs>
        <w:tab w:val="center" w:pos="4536"/>
        <w:tab w:val="right" w:pos="9072"/>
      </w:tabs>
    </w:pPr>
    <w:rPr>
      <w:rFonts w:cs="Times New Roman"/>
      <w:sz w:val="20"/>
      <w:szCs w:val="20"/>
    </w:rPr>
  </w:style>
  <w:style w:type="character" w:styleId="Lienhypertexte">
    <w:name w:val="Hyperlink"/>
    <w:uiPriority w:val="99"/>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uiPriority w:val="34"/>
    <w:qFormat/>
    <w:rsid w:val="005C0786"/>
    <w:pPr>
      <w:ind w:left="708"/>
    </w:pPr>
  </w:style>
  <w:style w:type="paragraph" w:styleId="Explorateurdedocuments">
    <w:name w:val="Document Map"/>
    <w:basedOn w:val="Normal"/>
    <w:link w:val="ExplorateurdedocumentsCar"/>
    <w:rsid w:val="00952AD0"/>
    <w:rPr>
      <w:rFonts w:ascii="Tahoma" w:hAnsi="Tahoma" w:cs="Times New Roman"/>
      <w:sz w:val="16"/>
      <w:szCs w:val="16"/>
    </w:rPr>
  </w:style>
  <w:style w:type="character" w:customStyle="1" w:styleId="ExplorateurdedocumentsCar">
    <w:name w:val="Explorateur de documents Car"/>
    <w:link w:val="Explorateurdedocuments"/>
    <w:rsid w:val="00952AD0"/>
    <w:rPr>
      <w:rFonts w:ascii="Tahoma" w:hAnsi="Tahoma" w:cs="Tahoma"/>
      <w:sz w:val="16"/>
      <w:szCs w:val="16"/>
      <w:lang w:eastAsia="zh-CN"/>
    </w:rPr>
  </w:style>
  <w:style w:type="paragraph" w:styleId="Textedebulles">
    <w:name w:val="Balloon Text"/>
    <w:basedOn w:val="Normal"/>
    <w:link w:val="TextedebullesCar"/>
    <w:uiPriority w:val="99"/>
    <w:rsid w:val="00470BE9"/>
    <w:rPr>
      <w:rFonts w:ascii="Tahoma" w:hAnsi="Tahoma" w:cs="Times New Roman"/>
      <w:sz w:val="16"/>
      <w:szCs w:val="16"/>
    </w:rPr>
  </w:style>
  <w:style w:type="character" w:customStyle="1" w:styleId="TextedebullesCar">
    <w:name w:val="Texte de bulles Car"/>
    <w:link w:val="Textedebulles"/>
    <w:uiPriority w:val="99"/>
    <w:rsid w:val="00470BE9"/>
    <w:rPr>
      <w:rFonts w:ascii="Tahoma" w:hAnsi="Tahoma" w:cs="Tahoma"/>
      <w:sz w:val="16"/>
      <w:szCs w:val="16"/>
      <w:lang w:eastAsia="zh-CN"/>
    </w:rPr>
  </w:style>
  <w:style w:type="character" w:customStyle="1" w:styleId="En-tteCar">
    <w:name w:val="En-tête Car"/>
    <w:link w:val="En-tte"/>
    <w:uiPriority w:val="99"/>
    <w:rsid w:val="006D5286"/>
    <w:rPr>
      <w:lang w:eastAsia="zh-CN"/>
    </w:rPr>
  </w:style>
  <w:style w:type="character" w:customStyle="1" w:styleId="PieddepageCar">
    <w:name w:val="Pied de page Car"/>
    <w:link w:val="Pieddepage"/>
    <w:uiPriority w:val="99"/>
    <w:rsid w:val="006D5286"/>
    <w:rPr>
      <w:lang w:eastAsia="zh-CN"/>
    </w:rPr>
  </w:style>
  <w:style w:type="character" w:customStyle="1" w:styleId="Titre3Car">
    <w:name w:val="Titre 3 Car"/>
    <w:link w:val="Titre3"/>
    <w:uiPriority w:val="9"/>
    <w:rsid w:val="00A255F4"/>
    <w:rPr>
      <w:rFonts w:eastAsia="Times New Roman"/>
      <w:b/>
      <w:bCs/>
      <w:sz w:val="27"/>
      <w:szCs w:val="27"/>
    </w:rPr>
  </w:style>
  <w:style w:type="paragraph" w:styleId="Corpsdetexte">
    <w:name w:val="Body Text"/>
    <w:basedOn w:val="Normal"/>
    <w:link w:val="CorpsdetexteCar"/>
    <w:rsid w:val="00A255F4"/>
    <w:pPr>
      <w:bidi/>
      <w:jc w:val="center"/>
    </w:pPr>
    <w:rPr>
      <w:rFonts w:eastAsia="Times New Roman" w:cs="Arabic Transparent"/>
      <w:b/>
      <w:bCs/>
      <w:sz w:val="96"/>
      <w:szCs w:val="96"/>
      <w:lang w:eastAsia="fr-FR" w:bidi="ar-DZ"/>
    </w:rPr>
  </w:style>
  <w:style w:type="character" w:customStyle="1" w:styleId="CorpsdetexteCar">
    <w:name w:val="Corps de texte Car"/>
    <w:link w:val="Corpsdetexte"/>
    <w:rsid w:val="00A255F4"/>
    <w:rPr>
      <w:rFonts w:eastAsia="Times New Roman" w:cs="Arabic Transparent"/>
      <w:b/>
      <w:bCs/>
      <w:sz w:val="96"/>
      <w:szCs w:val="96"/>
      <w:lang w:val="fr-FR" w:eastAsia="fr-FR" w:bidi="ar-DZ"/>
    </w:rPr>
  </w:style>
  <w:style w:type="character" w:customStyle="1" w:styleId="u">
    <w:name w:val="u"/>
    <w:basedOn w:val="Policepardfaut"/>
    <w:rsid w:val="00A255F4"/>
  </w:style>
  <w:style w:type="character" w:customStyle="1" w:styleId="apple-style-span">
    <w:name w:val="apple-style-span"/>
    <w:basedOn w:val="Policepardfaut"/>
    <w:rsid w:val="00A255F4"/>
  </w:style>
  <w:style w:type="character" w:customStyle="1" w:styleId="shorttext1">
    <w:name w:val="short_text1"/>
    <w:rsid w:val="00A255F4"/>
    <w:rPr>
      <w:sz w:val="22"/>
      <w:szCs w:val="22"/>
    </w:rPr>
  </w:style>
  <w:style w:type="character" w:customStyle="1" w:styleId="mediumtext1">
    <w:name w:val="medium_text1"/>
    <w:rsid w:val="00A255F4"/>
    <w:rPr>
      <w:sz w:val="24"/>
      <w:szCs w:val="24"/>
    </w:rPr>
  </w:style>
  <w:style w:type="character" w:styleId="CitationHTML">
    <w:name w:val="HTML Cite"/>
    <w:uiPriority w:val="99"/>
    <w:unhideWhenUsed/>
    <w:rsid w:val="00A255F4"/>
    <w:rPr>
      <w:i/>
      <w:iCs/>
    </w:rPr>
  </w:style>
  <w:style w:type="character" w:styleId="Textedelespacerserv">
    <w:name w:val="Placeholder Text"/>
    <w:uiPriority w:val="99"/>
    <w:semiHidden/>
    <w:rsid w:val="00A255F4"/>
    <w:rPr>
      <w:color w:val="808080"/>
    </w:rPr>
  </w:style>
  <w:style w:type="paragraph" w:styleId="Lgende">
    <w:name w:val="caption"/>
    <w:basedOn w:val="Normal"/>
    <w:next w:val="Normal"/>
    <w:unhideWhenUsed/>
    <w:qFormat/>
    <w:rsid w:val="003471B1"/>
    <w:rPr>
      <w:b/>
      <w:bCs/>
    </w:rPr>
  </w:style>
  <w:style w:type="paragraph" w:styleId="Tabledesillustrations">
    <w:name w:val="table of figures"/>
    <w:basedOn w:val="Normal"/>
    <w:next w:val="Normal"/>
    <w:uiPriority w:val="99"/>
    <w:rsid w:val="008509EF"/>
  </w:style>
  <w:style w:type="character" w:customStyle="1" w:styleId="hps">
    <w:name w:val="hps"/>
    <w:basedOn w:val="Policepardfaut"/>
    <w:rsid w:val="001F7A47"/>
  </w:style>
  <w:style w:type="character" w:customStyle="1" w:styleId="longtext">
    <w:name w:val="long_text"/>
    <w:basedOn w:val="Policepardfaut"/>
    <w:rsid w:val="001F7A47"/>
  </w:style>
  <w:style w:type="character" w:customStyle="1" w:styleId="Titre1Car">
    <w:name w:val="Titre 1 Car"/>
    <w:basedOn w:val="Policepardfaut"/>
    <w:link w:val="Titre1"/>
    <w:rsid w:val="00CB14C9"/>
    <w:rPr>
      <w:rFonts w:cs="Traditional Arabic"/>
      <w:b/>
      <w:bCs/>
      <w:kern w:val="36"/>
      <w:sz w:val="48"/>
      <w:szCs w:val="48"/>
      <w:lang w:val="fr-FR" w:eastAsia="zh-CN"/>
    </w:rPr>
  </w:style>
  <w:style w:type="paragraph" w:styleId="Corpsdetexte2">
    <w:name w:val="Body Text 2"/>
    <w:basedOn w:val="Normal"/>
    <w:link w:val="Corpsdetexte2Car"/>
    <w:rsid w:val="00CB14C9"/>
    <w:pPr>
      <w:jc w:val="both"/>
    </w:pPr>
    <w:rPr>
      <w:rFonts w:eastAsia="Times New Roman" w:cs="Times New Roman"/>
      <w:sz w:val="24"/>
      <w:szCs w:val="24"/>
      <w:lang w:val="en-GB" w:eastAsia="en-US"/>
    </w:rPr>
  </w:style>
  <w:style w:type="character" w:customStyle="1" w:styleId="Corpsdetexte2Car">
    <w:name w:val="Corps de texte 2 Car"/>
    <w:basedOn w:val="Policepardfaut"/>
    <w:link w:val="Corpsdetexte2"/>
    <w:rsid w:val="00CB14C9"/>
    <w:rPr>
      <w:rFonts w:eastAsia="Times New Roman"/>
      <w:sz w:val="24"/>
      <w:szCs w:val="24"/>
      <w:lang w:val="en-GB"/>
    </w:rPr>
  </w:style>
  <w:style w:type="character" w:styleId="lev">
    <w:name w:val="Strong"/>
    <w:basedOn w:val="Policepardfaut"/>
    <w:uiPriority w:val="22"/>
    <w:qFormat/>
    <w:rsid w:val="00CB14C9"/>
    <w:rPr>
      <w:b/>
      <w:bCs/>
    </w:rPr>
  </w:style>
  <w:style w:type="character" w:customStyle="1" w:styleId="NotedebasdepageCar">
    <w:name w:val="Note de bas de page Car"/>
    <w:aliases w:val="Char Char Char Car,Char Char Car, Car Car"/>
    <w:basedOn w:val="Policepardfaut"/>
    <w:link w:val="Notedebasdepage"/>
    <w:rsid w:val="00CB14C9"/>
    <w:rPr>
      <w:rFonts w:cs="Traditional Arabic"/>
      <w:sz w:val="28"/>
      <w:szCs w:val="28"/>
      <w:lang w:val="fr-FR" w:eastAsia="zh-CN"/>
    </w:rPr>
  </w:style>
  <w:style w:type="paragraph" w:styleId="NormalWeb">
    <w:name w:val="Normal (Web)"/>
    <w:basedOn w:val="Normal"/>
    <w:uiPriority w:val="99"/>
    <w:unhideWhenUsed/>
    <w:rsid w:val="00CB14C9"/>
    <w:pPr>
      <w:spacing w:before="100" w:beforeAutospacing="1" w:after="100" w:afterAutospacing="1"/>
    </w:pPr>
    <w:rPr>
      <w:rFonts w:eastAsia="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36244128">
      <w:bodyDiv w:val="1"/>
      <w:marLeft w:val="0"/>
      <w:marRight w:val="0"/>
      <w:marTop w:val="0"/>
      <w:marBottom w:val="0"/>
      <w:divBdr>
        <w:top w:val="none" w:sz="0" w:space="0" w:color="auto"/>
        <w:left w:val="none" w:sz="0" w:space="0" w:color="auto"/>
        <w:bottom w:val="none" w:sz="0" w:space="0" w:color="auto"/>
        <w:right w:val="none" w:sz="0" w:space="0" w:color="auto"/>
      </w:divBdr>
    </w:div>
    <w:div w:id="70592220">
      <w:bodyDiv w:val="1"/>
      <w:marLeft w:val="0"/>
      <w:marRight w:val="0"/>
      <w:marTop w:val="0"/>
      <w:marBottom w:val="0"/>
      <w:divBdr>
        <w:top w:val="none" w:sz="0" w:space="0" w:color="auto"/>
        <w:left w:val="none" w:sz="0" w:space="0" w:color="auto"/>
        <w:bottom w:val="none" w:sz="0" w:space="0" w:color="auto"/>
        <w:right w:val="none" w:sz="0" w:space="0" w:color="auto"/>
      </w:divBdr>
    </w:div>
    <w:div w:id="139425631">
      <w:bodyDiv w:val="1"/>
      <w:marLeft w:val="0"/>
      <w:marRight w:val="0"/>
      <w:marTop w:val="0"/>
      <w:marBottom w:val="0"/>
      <w:divBdr>
        <w:top w:val="none" w:sz="0" w:space="0" w:color="auto"/>
        <w:left w:val="none" w:sz="0" w:space="0" w:color="auto"/>
        <w:bottom w:val="none" w:sz="0" w:space="0" w:color="auto"/>
        <w:right w:val="none" w:sz="0" w:space="0" w:color="auto"/>
      </w:divBdr>
    </w:div>
    <w:div w:id="175584823">
      <w:bodyDiv w:val="1"/>
      <w:marLeft w:val="0"/>
      <w:marRight w:val="0"/>
      <w:marTop w:val="0"/>
      <w:marBottom w:val="0"/>
      <w:divBdr>
        <w:top w:val="none" w:sz="0" w:space="0" w:color="auto"/>
        <w:left w:val="none" w:sz="0" w:space="0" w:color="auto"/>
        <w:bottom w:val="none" w:sz="0" w:space="0" w:color="auto"/>
        <w:right w:val="none" w:sz="0" w:space="0" w:color="auto"/>
      </w:divBdr>
    </w:div>
    <w:div w:id="205679859">
      <w:bodyDiv w:val="1"/>
      <w:marLeft w:val="0"/>
      <w:marRight w:val="0"/>
      <w:marTop w:val="0"/>
      <w:marBottom w:val="0"/>
      <w:divBdr>
        <w:top w:val="none" w:sz="0" w:space="0" w:color="auto"/>
        <w:left w:val="none" w:sz="0" w:space="0" w:color="auto"/>
        <w:bottom w:val="none" w:sz="0" w:space="0" w:color="auto"/>
        <w:right w:val="none" w:sz="0" w:space="0" w:color="auto"/>
      </w:divBdr>
    </w:div>
    <w:div w:id="231239518">
      <w:bodyDiv w:val="1"/>
      <w:marLeft w:val="0"/>
      <w:marRight w:val="0"/>
      <w:marTop w:val="0"/>
      <w:marBottom w:val="0"/>
      <w:divBdr>
        <w:top w:val="none" w:sz="0" w:space="0" w:color="auto"/>
        <w:left w:val="none" w:sz="0" w:space="0" w:color="auto"/>
        <w:bottom w:val="none" w:sz="0" w:space="0" w:color="auto"/>
        <w:right w:val="none" w:sz="0" w:space="0" w:color="auto"/>
      </w:divBdr>
    </w:div>
    <w:div w:id="242380547">
      <w:bodyDiv w:val="1"/>
      <w:marLeft w:val="0"/>
      <w:marRight w:val="0"/>
      <w:marTop w:val="0"/>
      <w:marBottom w:val="0"/>
      <w:divBdr>
        <w:top w:val="none" w:sz="0" w:space="0" w:color="auto"/>
        <w:left w:val="none" w:sz="0" w:space="0" w:color="auto"/>
        <w:bottom w:val="none" w:sz="0" w:space="0" w:color="auto"/>
        <w:right w:val="none" w:sz="0" w:space="0" w:color="auto"/>
      </w:divBdr>
    </w:div>
    <w:div w:id="248537901">
      <w:bodyDiv w:val="1"/>
      <w:marLeft w:val="0"/>
      <w:marRight w:val="0"/>
      <w:marTop w:val="0"/>
      <w:marBottom w:val="0"/>
      <w:divBdr>
        <w:top w:val="none" w:sz="0" w:space="0" w:color="auto"/>
        <w:left w:val="none" w:sz="0" w:space="0" w:color="auto"/>
        <w:bottom w:val="none" w:sz="0" w:space="0" w:color="auto"/>
        <w:right w:val="none" w:sz="0" w:space="0" w:color="auto"/>
      </w:divBdr>
    </w:div>
    <w:div w:id="322660686">
      <w:bodyDiv w:val="1"/>
      <w:marLeft w:val="0"/>
      <w:marRight w:val="0"/>
      <w:marTop w:val="0"/>
      <w:marBottom w:val="0"/>
      <w:divBdr>
        <w:top w:val="none" w:sz="0" w:space="0" w:color="auto"/>
        <w:left w:val="none" w:sz="0" w:space="0" w:color="auto"/>
        <w:bottom w:val="none" w:sz="0" w:space="0" w:color="auto"/>
        <w:right w:val="none" w:sz="0" w:space="0" w:color="auto"/>
      </w:divBdr>
    </w:div>
    <w:div w:id="366218821">
      <w:bodyDiv w:val="1"/>
      <w:marLeft w:val="0"/>
      <w:marRight w:val="0"/>
      <w:marTop w:val="0"/>
      <w:marBottom w:val="0"/>
      <w:divBdr>
        <w:top w:val="none" w:sz="0" w:space="0" w:color="auto"/>
        <w:left w:val="none" w:sz="0" w:space="0" w:color="auto"/>
        <w:bottom w:val="none" w:sz="0" w:space="0" w:color="auto"/>
        <w:right w:val="none" w:sz="0" w:space="0" w:color="auto"/>
      </w:divBdr>
    </w:div>
    <w:div w:id="451679497">
      <w:bodyDiv w:val="1"/>
      <w:marLeft w:val="0"/>
      <w:marRight w:val="0"/>
      <w:marTop w:val="0"/>
      <w:marBottom w:val="0"/>
      <w:divBdr>
        <w:top w:val="none" w:sz="0" w:space="0" w:color="auto"/>
        <w:left w:val="none" w:sz="0" w:space="0" w:color="auto"/>
        <w:bottom w:val="none" w:sz="0" w:space="0" w:color="auto"/>
        <w:right w:val="none" w:sz="0" w:space="0" w:color="auto"/>
      </w:divBdr>
    </w:div>
    <w:div w:id="459956969">
      <w:bodyDiv w:val="1"/>
      <w:marLeft w:val="0"/>
      <w:marRight w:val="0"/>
      <w:marTop w:val="0"/>
      <w:marBottom w:val="0"/>
      <w:divBdr>
        <w:top w:val="none" w:sz="0" w:space="0" w:color="auto"/>
        <w:left w:val="none" w:sz="0" w:space="0" w:color="auto"/>
        <w:bottom w:val="none" w:sz="0" w:space="0" w:color="auto"/>
        <w:right w:val="none" w:sz="0" w:space="0" w:color="auto"/>
      </w:divBdr>
    </w:div>
    <w:div w:id="480196290">
      <w:bodyDiv w:val="1"/>
      <w:marLeft w:val="0"/>
      <w:marRight w:val="0"/>
      <w:marTop w:val="0"/>
      <w:marBottom w:val="0"/>
      <w:divBdr>
        <w:top w:val="none" w:sz="0" w:space="0" w:color="auto"/>
        <w:left w:val="none" w:sz="0" w:space="0" w:color="auto"/>
        <w:bottom w:val="none" w:sz="0" w:space="0" w:color="auto"/>
        <w:right w:val="none" w:sz="0" w:space="0" w:color="auto"/>
      </w:divBdr>
    </w:div>
    <w:div w:id="489908382">
      <w:bodyDiv w:val="1"/>
      <w:marLeft w:val="0"/>
      <w:marRight w:val="0"/>
      <w:marTop w:val="0"/>
      <w:marBottom w:val="0"/>
      <w:divBdr>
        <w:top w:val="none" w:sz="0" w:space="0" w:color="auto"/>
        <w:left w:val="none" w:sz="0" w:space="0" w:color="auto"/>
        <w:bottom w:val="none" w:sz="0" w:space="0" w:color="auto"/>
        <w:right w:val="none" w:sz="0" w:space="0" w:color="auto"/>
      </w:divBdr>
    </w:div>
    <w:div w:id="523791402">
      <w:bodyDiv w:val="1"/>
      <w:marLeft w:val="0"/>
      <w:marRight w:val="0"/>
      <w:marTop w:val="0"/>
      <w:marBottom w:val="0"/>
      <w:divBdr>
        <w:top w:val="none" w:sz="0" w:space="0" w:color="auto"/>
        <w:left w:val="none" w:sz="0" w:space="0" w:color="auto"/>
        <w:bottom w:val="none" w:sz="0" w:space="0" w:color="auto"/>
        <w:right w:val="none" w:sz="0" w:space="0" w:color="auto"/>
      </w:divBdr>
    </w:div>
    <w:div w:id="567115502">
      <w:bodyDiv w:val="1"/>
      <w:marLeft w:val="0"/>
      <w:marRight w:val="0"/>
      <w:marTop w:val="0"/>
      <w:marBottom w:val="0"/>
      <w:divBdr>
        <w:top w:val="none" w:sz="0" w:space="0" w:color="auto"/>
        <w:left w:val="none" w:sz="0" w:space="0" w:color="auto"/>
        <w:bottom w:val="none" w:sz="0" w:space="0" w:color="auto"/>
        <w:right w:val="none" w:sz="0" w:space="0" w:color="auto"/>
      </w:divBdr>
    </w:div>
    <w:div w:id="648285333">
      <w:bodyDiv w:val="1"/>
      <w:marLeft w:val="0"/>
      <w:marRight w:val="0"/>
      <w:marTop w:val="0"/>
      <w:marBottom w:val="0"/>
      <w:divBdr>
        <w:top w:val="none" w:sz="0" w:space="0" w:color="auto"/>
        <w:left w:val="none" w:sz="0" w:space="0" w:color="auto"/>
        <w:bottom w:val="none" w:sz="0" w:space="0" w:color="auto"/>
        <w:right w:val="none" w:sz="0" w:space="0" w:color="auto"/>
      </w:divBdr>
    </w:div>
    <w:div w:id="723524392">
      <w:bodyDiv w:val="1"/>
      <w:marLeft w:val="0"/>
      <w:marRight w:val="0"/>
      <w:marTop w:val="0"/>
      <w:marBottom w:val="0"/>
      <w:divBdr>
        <w:top w:val="none" w:sz="0" w:space="0" w:color="auto"/>
        <w:left w:val="none" w:sz="0" w:space="0" w:color="auto"/>
        <w:bottom w:val="none" w:sz="0" w:space="0" w:color="auto"/>
        <w:right w:val="none" w:sz="0" w:space="0" w:color="auto"/>
      </w:divBdr>
    </w:div>
    <w:div w:id="781220700">
      <w:bodyDiv w:val="1"/>
      <w:marLeft w:val="0"/>
      <w:marRight w:val="0"/>
      <w:marTop w:val="0"/>
      <w:marBottom w:val="0"/>
      <w:divBdr>
        <w:top w:val="none" w:sz="0" w:space="0" w:color="auto"/>
        <w:left w:val="none" w:sz="0" w:space="0" w:color="auto"/>
        <w:bottom w:val="none" w:sz="0" w:space="0" w:color="auto"/>
        <w:right w:val="none" w:sz="0" w:space="0" w:color="auto"/>
      </w:divBdr>
    </w:div>
    <w:div w:id="802847944">
      <w:bodyDiv w:val="1"/>
      <w:marLeft w:val="0"/>
      <w:marRight w:val="0"/>
      <w:marTop w:val="0"/>
      <w:marBottom w:val="0"/>
      <w:divBdr>
        <w:top w:val="none" w:sz="0" w:space="0" w:color="auto"/>
        <w:left w:val="none" w:sz="0" w:space="0" w:color="auto"/>
        <w:bottom w:val="none" w:sz="0" w:space="0" w:color="auto"/>
        <w:right w:val="none" w:sz="0" w:space="0" w:color="auto"/>
      </w:divBdr>
    </w:div>
    <w:div w:id="850725077">
      <w:bodyDiv w:val="1"/>
      <w:marLeft w:val="0"/>
      <w:marRight w:val="0"/>
      <w:marTop w:val="0"/>
      <w:marBottom w:val="0"/>
      <w:divBdr>
        <w:top w:val="none" w:sz="0" w:space="0" w:color="auto"/>
        <w:left w:val="none" w:sz="0" w:space="0" w:color="auto"/>
        <w:bottom w:val="none" w:sz="0" w:space="0" w:color="auto"/>
        <w:right w:val="none" w:sz="0" w:space="0" w:color="auto"/>
      </w:divBdr>
    </w:div>
    <w:div w:id="878514630">
      <w:bodyDiv w:val="1"/>
      <w:marLeft w:val="0"/>
      <w:marRight w:val="0"/>
      <w:marTop w:val="0"/>
      <w:marBottom w:val="0"/>
      <w:divBdr>
        <w:top w:val="none" w:sz="0" w:space="0" w:color="auto"/>
        <w:left w:val="none" w:sz="0" w:space="0" w:color="auto"/>
        <w:bottom w:val="none" w:sz="0" w:space="0" w:color="auto"/>
        <w:right w:val="none" w:sz="0" w:space="0" w:color="auto"/>
      </w:divBdr>
    </w:div>
    <w:div w:id="918832957">
      <w:bodyDiv w:val="1"/>
      <w:marLeft w:val="0"/>
      <w:marRight w:val="0"/>
      <w:marTop w:val="0"/>
      <w:marBottom w:val="0"/>
      <w:divBdr>
        <w:top w:val="none" w:sz="0" w:space="0" w:color="auto"/>
        <w:left w:val="none" w:sz="0" w:space="0" w:color="auto"/>
        <w:bottom w:val="none" w:sz="0" w:space="0" w:color="auto"/>
        <w:right w:val="none" w:sz="0" w:space="0" w:color="auto"/>
      </w:divBdr>
    </w:div>
    <w:div w:id="944924152">
      <w:bodyDiv w:val="1"/>
      <w:marLeft w:val="0"/>
      <w:marRight w:val="0"/>
      <w:marTop w:val="0"/>
      <w:marBottom w:val="0"/>
      <w:divBdr>
        <w:top w:val="none" w:sz="0" w:space="0" w:color="auto"/>
        <w:left w:val="none" w:sz="0" w:space="0" w:color="auto"/>
        <w:bottom w:val="none" w:sz="0" w:space="0" w:color="auto"/>
        <w:right w:val="none" w:sz="0" w:space="0" w:color="auto"/>
      </w:divBdr>
    </w:div>
    <w:div w:id="967007331">
      <w:bodyDiv w:val="1"/>
      <w:marLeft w:val="0"/>
      <w:marRight w:val="0"/>
      <w:marTop w:val="0"/>
      <w:marBottom w:val="0"/>
      <w:divBdr>
        <w:top w:val="none" w:sz="0" w:space="0" w:color="auto"/>
        <w:left w:val="none" w:sz="0" w:space="0" w:color="auto"/>
        <w:bottom w:val="none" w:sz="0" w:space="0" w:color="auto"/>
        <w:right w:val="none" w:sz="0" w:space="0" w:color="auto"/>
      </w:divBdr>
    </w:div>
    <w:div w:id="1042679024">
      <w:bodyDiv w:val="1"/>
      <w:marLeft w:val="0"/>
      <w:marRight w:val="0"/>
      <w:marTop w:val="0"/>
      <w:marBottom w:val="0"/>
      <w:divBdr>
        <w:top w:val="none" w:sz="0" w:space="0" w:color="auto"/>
        <w:left w:val="none" w:sz="0" w:space="0" w:color="auto"/>
        <w:bottom w:val="none" w:sz="0" w:space="0" w:color="auto"/>
        <w:right w:val="none" w:sz="0" w:space="0" w:color="auto"/>
      </w:divBdr>
    </w:div>
    <w:div w:id="1044713012">
      <w:bodyDiv w:val="1"/>
      <w:marLeft w:val="0"/>
      <w:marRight w:val="0"/>
      <w:marTop w:val="0"/>
      <w:marBottom w:val="0"/>
      <w:divBdr>
        <w:top w:val="none" w:sz="0" w:space="0" w:color="auto"/>
        <w:left w:val="none" w:sz="0" w:space="0" w:color="auto"/>
        <w:bottom w:val="none" w:sz="0" w:space="0" w:color="auto"/>
        <w:right w:val="none" w:sz="0" w:space="0" w:color="auto"/>
      </w:divBdr>
    </w:div>
    <w:div w:id="1045955901">
      <w:bodyDiv w:val="1"/>
      <w:marLeft w:val="0"/>
      <w:marRight w:val="0"/>
      <w:marTop w:val="0"/>
      <w:marBottom w:val="0"/>
      <w:divBdr>
        <w:top w:val="none" w:sz="0" w:space="0" w:color="auto"/>
        <w:left w:val="none" w:sz="0" w:space="0" w:color="auto"/>
        <w:bottom w:val="none" w:sz="0" w:space="0" w:color="auto"/>
        <w:right w:val="none" w:sz="0" w:space="0" w:color="auto"/>
      </w:divBdr>
    </w:div>
    <w:div w:id="1058283022">
      <w:bodyDiv w:val="1"/>
      <w:marLeft w:val="0"/>
      <w:marRight w:val="0"/>
      <w:marTop w:val="0"/>
      <w:marBottom w:val="0"/>
      <w:divBdr>
        <w:top w:val="none" w:sz="0" w:space="0" w:color="auto"/>
        <w:left w:val="none" w:sz="0" w:space="0" w:color="auto"/>
        <w:bottom w:val="none" w:sz="0" w:space="0" w:color="auto"/>
        <w:right w:val="none" w:sz="0" w:space="0" w:color="auto"/>
      </w:divBdr>
    </w:div>
    <w:div w:id="1063139572">
      <w:bodyDiv w:val="1"/>
      <w:marLeft w:val="0"/>
      <w:marRight w:val="0"/>
      <w:marTop w:val="0"/>
      <w:marBottom w:val="0"/>
      <w:divBdr>
        <w:top w:val="none" w:sz="0" w:space="0" w:color="auto"/>
        <w:left w:val="none" w:sz="0" w:space="0" w:color="auto"/>
        <w:bottom w:val="none" w:sz="0" w:space="0" w:color="auto"/>
        <w:right w:val="none" w:sz="0" w:space="0" w:color="auto"/>
      </w:divBdr>
    </w:div>
    <w:div w:id="1179730622">
      <w:bodyDiv w:val="1"/>
      <w:marLeft w:val="0"/>
      <w:marRight w:val="0"/>
      <w:marTop w:val="0"/>
      <w:marBottom w:val="0"/>
      <w:divBdr>
        <w:top w:val="none" w:sz="0" w:space="0" w:color="auto"/>
        <w:left w:val="none" w:sz="0" w:space="0" w:color="auto"/>
        <w:bottom w:val="none" w:sz="0" w:space="0" w:color="auto"/>
        <w:right w:val="none" w:sz="0" w:space="0" w:color="auto"/>
      </w:divBdr>
    </w:div>
    <w:div w:id="1183520839">
      <w:bodyDiv w:val="1"/>
      <w:marLeft w:val="0"/>
      <w:marRight w:val="0"/>
      <w:marTop w:val="0"/>
      <w:marBottom w:val="0"/>
      <w:divBdr>
        <w:top w:val="none" w:sz="0" w:space="0" w:color="auto"/>
        <w:left w:val="none" w:sz="0" w:space="0" w:color="auto"/>
        <w:bottom w:val="none" w:sz="0" w:space="0" w:color="auto"/>
        <w:right w:val="none" w:sz="0" w:space="0" w:color="auto"/>
      </w:divBdr>
    </w:div>
    <w:div w:id="1269194326">
      <w:bodyDiv w:val="1"/>
      <w:marLeft w:val="0"/>
      <w:marRight w:val="0"/>
      <w:marTop w:val="0"/>
      <w:marBottom w:val="0"/>
      <w:divBdr>
        <w:top w:val="none" w:sz="0" w:space="0" w:color="auto"/>
        <w:left w:val="none" w:sz="0" w:space="0" w:color="auto"/>
        <w:bottom w:val="none" w:sz="0" w:space="0" w:color="auto"/>
        <w:right w:val="none" w:sz="0" w:space="0" w:color="auto"/>
      </w:divBdr>
    </w:div>
    <w:div w:id="1279333286">
      <w:bodyDiv w:val="1"/>
      <w:marLeft w:val="0"/>
      <w:marRight w:val="0"/>
      <w:marTop w:val="0"/>
      <w:marBottom w:val="0"/>
      <w:divBdr>
        <w:top w:val="none" w:sz="0" w:space="0" w:color="auto"/>
        <w:left w:val="none" w:sz="0" w:space="0" w:color="auto"/>
        <w:bottom w:val="none" w:sz="0" w:space="0" w:color="auto"/>
        <w:right w:val="none" w:sz="0" w:space="0" w:color="auto"/>
      </w:divBdr>
    </w:div>
    <w:div w:id="1301299155">
      <w:bodyDiv w:val="1"/>
      <w:marLeft w:val="0"/>
      <w:marRight w:val="0"/>
      <w:marTop w:val="0"/>
      <w:marBottom w:val="0"/>
      <w:divBdr>
        <w:top w:val="none" w:sz="0" w:space="0" w:color="auto"/>
        <w:left w:val="none" w:sz="0" w:space="0" w:color="auto"/>
        <w:bottom w:val="none" w:sz="0" w:space="0" w:color="auto"/>
        <w:right w:val="none" w:sz="0" w:space="0" w:color="auto"/>
      </w:divBdr>
    </w:div>
    <w:div w:id="1329215805">
      <w:bodyDiv w:val="1"/>
      <w:marLeft w:val="0"/>
      <w:marRight w:val="0"/>
      <w:marTop w:val="0"/>
      <w:marBottom w:val="0"/>
      <w:divBdr>
        <w:top w:val="none" w:sz="0" w:space="0" w:color="auto"/>
        <w:left w:val="none" w:sz="0" w:space="0" w:color="auto"/>
        <w:bottom w:val="none" w:sz="0" w:space="0" w:color="auto"/>
        <w:right w:val="none" w:sz="0" w:space="0" w:color="auto"/>
      </w:divBdr>
    </w:div>
    <w:div w:id="1372341233">
      <w:bodyDiv w:val="1"/>
      <w:marLeft w:val="0"/>
      <w:marRight w:val="0"/>
      <w:marTop w:val="0"/>
      <w:marBottom w:val="0"/>
      <w:divBdr>
        <w:top w:val="none" w:sz="0" w:space="0" w:color="auto"/>
        <w:left w:val="none" w:sz="0" w:space="0" w:color="auto"/>
        <w:bottom w:val="none" w:sz="0" w:space="0" w:color="auto"/>
        <w:right w:val="none" w:sz="0" w:space="0" w:color="auto"/>
      </w:divBdr>
    </w:div>
    <w:div w:id="1386758522">
      <w:bodyDiv w:val="1"/>
      <w:marLeft w:val="0"/>
      <w:marRight w:val="0"/>
      <w:marTop w:val="0"/>
      <w:marBottom w:val="0"/>
      <w:divBdr>
        <w:top w:val="none" w:sz="0" w:space="0" w:color="auto"/>
        <w:left w:val="none" w:sz="0" w:space="0" w:color="auto"/>
        <w:bottom w:val="none" w:sz="0" w:space="0" w:color="auto"/>
        <w:right w:val="none" w:sz="0" w:space="0" w:color="auto"/>
      </w:divBdr>
    </w:div>
    <w:div w:id="1419061343">
      <w:bodyDiv w:val="1"/>
      <w:marLeft w:val="0"/>
      <w:marRight w:val="0"/>
      <w:marTop w:val="0"/>
      <w:marBottom w:val="0"/>
      <w:divBdr>
        <w:top w:val="none" w:sz="0" w:space="0" w:color="auto"/>
        <w:left w:val="none" w:sz="0" w:space="0" w:color="auto"/>
        <w:bottom w:val="none" w:sz="0" w:space="0" w:color="auto"/>
        <w:right w:val="none" w:sz="0" w:space="0" w:color="auto"/>
      </w:divBdr>
    </w:div>
    <w:div w:id="1456826625">
      <w:bodyDiv w:val="1"/>
      <w:marLeft w:val="0"/>
      <w:marRight w:val="0"/>
      <w:marTop w:val="0"/>
      <w:marBottom w:val="0"/>
      <w:divBdr>
        <w:top w:val="none" w:sz="0" w:space="0" w:color="auto"/>
        <w:left w:val="none" w:sz="0" w:space="0" w:color="auto"/>
        <w:bottom w:val="none" w:sz="0" w:space="0" w:color="auto"/>
        <w:right w:val="none" w:sz="0" w:space="0" w:color="auto"/>
      </w:divBdr>
    </w:div>
    <w:div w:id="1499037173">
      <w:bodyDiv w:val="1"/>
      <w:marLeft w:val="0"/>
      <w:marRight w:val="0"/>
      <w:marTop w:val="0"/>
      <w:marBottom w:val="0"/>
      <w:divBdr>
        <w:top w:val="none" w:sz="0" w:space="0" w:color="auto"/>
        <w:left w:val="none" w:sz="0" w:space="0" w:color="auto"/>
        <w:bottom w:val="none" w:sz="0" w:space="0" w:color="auto"/>
        <w:right w:val="none" w:sz="0" w:space="0" w:color="auto"/>
      </w:divBdr>
    </w:div>
    <w:div w:id="1514606376">
      <w:bodyDiv w:val="1"/>
      <w:marLeft w:val="0"/>
      <w:marRight w:val="0"/>
      <w:marTop w:val="0"/>
      <w:marBottom w:val="0"/>
      <w:divBdr>
        <w:top w:val="none" w:sz="0" w:space="0" w:color="auto"/>
        <w:left w:val="none" w:sz="0" w:space="0" w:color="auto"/>
        <w:bottom w:val="none" w:sz="0" w:space="0" w:color="auto"/>
        <w:right w:val="none" w:sz="0" w:space="0" w:color="auto"/>
      </w:divBdr>
    </w:div>
    <w:div w:id="1626038443">
      <w:bodyDiv w:val="1"/>
      <w:marLeft w:val="0"/>
      <w:marRight w:val="0"/>
      <w:marTop w:val="0"/>
      <w:marBottom w:val="0"/>
      <w:divBdr>
        <w:top w:val="none" w:sz="0" w:space="0" w:color="auto"/>
        <w:left w:val="none" w:sz="0" w:space="0" w:color="auto"/>
        <w:bottom w:val="none" w:sz="0" w:space="0" w:color="auto"/>
        <w:right w:val="none" w:sz="0" w:space="0" w:color="auto"/>
      </w:divBdr>
    </w:div>
    <w:div w:id="1675646234">
      <w:bodyDiv w:val="1"/>
      <w:marLeft w:val="0"/>
      <w:marRight w:val="0"/>
      <w:marTop w:val="0"/>
      <w:marBottom w:val="0"/>
      <w:divBdr>
        <w:top w:val="none" w:sz="0" w:space="0" w:color="auto"/>
        <w:left w:val="none" w:sz="0" w:space="0" w:color="auto"/>
        <w:bottom w:val="none" w:sz="0" w:space="0" w:color="auto"/>
        <w:right w:val="none" w:sz="0" w:space="0" w:color="auto"/>
      </w:divBdr>
    </w:div>
    <w:div w:id="1731684220">
      <w:bodyDiv w:val="1"/>
      <w:marLeft w:val="0"/>
      <w:marRight w:val="0"/>
      <w:marTop w:val="0"/>
      <w:marBottom w:val="0"/>
      <w:divBdr>
        <w:top w:val="none" w:sz="0" w:space="0" w:color="auto"/>
        <w:left w:val="none" w:sz="0" w:space="0" w:color="auto"/>
        <w:bottom w:val="none" w:sz="0" w:space="0" w:color="auto"/>
        <w:right w:val="none" w:sz="0" w:space="0" w:color="auto"/>
      </w:divBdr>
    </w:div>
    <w:div w:id="1800294343">
      <w:bodyDiv w:val="1"/>
      <w:marLeft w:val="0"/>
      <w:marRight w:val="0"/>
      <w:marTop w:val="0"/>
      <w:marBottom w:val="0"/>
      <w:divBdr>
        <w:top w:val="none" w:sz="0" w:space="0" w:color="auto"/>
        <w:left w:val="none" w:sz="0" w:space="0" w:color="auto"/>
        <w:bottom w:val="none" w:sz="0" w:space="0" w:color="auto"/>
        <w:right w:val="none" w:sz="0" w:space="0" w:color="auto"/>
      </w:divBdr>
    </w:div>
    <w:div w:id="1978873109">
      <w:bodyDiv w:val="1"/>
      <w:marLeft w:val="0"/>
      <w:marRight w:val="0"/>
      <w:marTop w:val="0"/>
      <w:marBottom w:val="0"/>
      <w:divBdr>
        <w:top w:val="none" w:sz="0" w:space="0" w:color="auto"/>
        <w:left w:val="none" w:sz="0" w:space="0" w:color="auto"/>
        <w:bottom w:val="none" w:sz="0" w:space="0" w:color="auto"/>
        <w:right w:val="none" w:sz="0" w:space="0" w:color="auto"/>
      </w:divBdr>
    </w:div>
    <w:div w:id="2005862240">
      <w:bodyDiv w:val="1"/>
      <w:marLeft w:val="0"/>
      <w:marRight w:val="0"/>
      <w:marTop w:val="0"/>
      <w:marBottom w:val="0"/>
      <w:divBdr>
        <w:top w:val="none" w:sz="0" w:space="0" w:color="auto"/>
        <w:left w:val="none" w:sz="0" w:space="0" w:color="auto"/>
        <w:bottom w:val="none" w:sz="0" w:space="0" w:color="auto"/>
        <w:right w:val="none" w:sz="0" w:space="0" w:color="auto"/>
      </w:divBdr>
    </w:div>
    <w:div w:id="2028828930">
      <w:bodyDiv w:val="1"/>
      <w:marLeft w:val="0"/>
      <w:marRight w:val="0"/>
      <w:marTop w:val="0"/>
      <w:marBottom w:val="0"/>
      <w:divBdr>
        <w:top w:val="none" w:sz="0" w:space="0" w:color="auto"/>
        <w:left w:val="none" w:sz="0" w:space="0" w:color="auto"/>
        <w:bottom w:val="none" w:sz="0" w:space="0" w:color="auto"/>
        <w:right w:val="none" w:sz="0" w:space="0" w:color="auto"/>
      </w:divBdr>
    </w:div>
    <w:div w:id="2034725191">
      <w:bodyDiv w:val="1"/>
      <w:marLeft w:val="0"/>
      <w:marRight w:val="0"/>
      <w:marTop w:val="0"/>
      <w:marBottom w:val="0"/>
      <w:divBdr>
        <w:top w:val="none" w:sz="0" w:space="0" w:color="auto"/>
        <w:left w:val="none" w:sz="0" w:space="0" w:color="auto"/>
        <w:bottom w:val="none" w:sz="0" w:space="0" w:color="auto"/>
        <w:right w:val="none" w:sz="0" w:space="0" w:color="auto"/>
      </w:divBdr>
    </w:div>
    <w:div w:id="213143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ekkari2202@gimail.com" TargetMode="External"/><Relationship Id="rId13" Type="http://schemas.openxmlformats.org/officeDocument/2006/relationships/footer" Target="footer1.xml"/><Relationship Id="rId18" Type="http://schemas.openxmlformats.org/officeDocument/2006/relationships/chart" Target="charts/chart4.xml"/><Relationship Id="rId26" Type="http://schemas.openxmlformats.org/officeDocument/2006/relationships/hyperlink" Target="http://unctadstat.unctad.org/wds/TableViewer/tableView.asp%20(consulted%20on30/6/2018" TargetMode="External"/><Relationship Id="rId3" Type="http://schemas.openxmlformats.org/officeDocument/2006/relationships/styles" Target="styles.xml"/><Relationship Id="rId21" Type="http://schemas.openxmlformats.org/officeDocument/2006/relationships/image" Target="media/image1.gi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3.xml"/><Relationship Id="rId25" Type="http://schemas.openxmlformats.org/officeDocument/2006/relationships/hyperlink" Target="http://www.andi.dz/index.php/en/raisons-pour-investir.%20(consulted%20on%2021/07/2018"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www.andi.dz/index.php/en/"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iiste.org" TargetMode="External"/><Relationship Id="rId32"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yperlink" Target="http://unctadstat.unctad.org/wds/TableViewer/tableView.asp%20/30-6-2018" TargetMode="External"/><Relationship Id="rId23" Type="http://schemas.openxmlformats.org/officeDocument/2006/relationships/hyperlink" Target="https://econpapers.repec.org/article/asiaeafrj/" TargetMode="External"/><Relationship Id="rId28" Type="http://schemas.openxmlformats.org/officeDocument/2006/relationships/header" Target="header4.xml"/><Relationship Id="rId10" Type="http://schemas.openxmlformats.org/officeDocument/2006/relationships/header" Target="header1.xml"/><Relationship Id="rId19" Type="http://schemas.openxmlformats.org/officeDocument/2006/relationships/chart" Target="charts/chart5.xm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karimaaek@yahoo.fr" TargetMode="External"/><Relationship Id="rId14" Type="http://schemas.openxmlformats.org/officeDocument/2006/relationships/chart" Target="charts/chart1.xml"/><Relationship Id="rId22" Type="http://schemas.openxmlformats.org/officeDocument/2006/relationships/image" Target="media/image2.gif"/><Relationship Id="rId27" Type="http://schemas.openxmlformats.org/officeDocument/2006/relationships/hyperlink" Target="http://dhaman.net/en/research-studies/annual-report-latest/19/07/2018" TargetMode="External"/><Relationship Id="rId3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mailto:aekkari2202@gimai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1575;&#1604;&#1578;&#1617;&#1606;&#1586;&#1610;&#1604;&#1575;&#1578;\Article_Ang(1).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2015393223160822"/>
          <c:y val="6.2540981563193404E-2"/>
          <c:w val="0.78953063141354862"/>
          <c:h val="0.88603038451282856"/>
        </c:manualLayout>
      </c:layout>
      <c:barChart>
        <c:barDir val="bar"/>
        <c:grouping val="clustered"/>
        <c:ser>
          <c:idx val="0"/>
          <c:order val="0"/>
          <c:tx>
            <c:strRef>
              <c:f>Feuil1!$B$1</c:f>
              <c:strCache>
                <c:ptCount val="1"/>
                <c:pt idx="0">
                  <c:v>الجزائر</c:v>
                </c:pt>
              </c:strCache>
            </c:strRef>
          </c:tx>
          <c:cat>
            <c:numRef>
              <c:f>Feuil1!$A$2:$A$48</c:f>
              <c:numCache>
                <c:formatCode>General</c:formatCode>
                <c:ptCount val="47"/>
                <c:pt idx="0">
                  <c:v>1970</c:v>
                </c:pt>
                <c:pt idx="1">
                  <c:v>1971</c:v>
                </c:pt>
                <c:pt idx="2">
                  <c:v>1972</c:v>
                </c:pt>
                <c:pt idx="3">
                  <c:v>1973</c:v>
                </c:pt>
                <c:pt idx="4">
                  <c:v>1974</c:v>
                </c:pt>
                <c:pt idx="5">
                  <c:v>1975</c:v>
                </c:pt>
                <c:pt idx="6">
                  <c:v>1976</c:v>
                </c:pt>
                <c:pt idx="7">
                  <c:v>1977</c:v>
                </c:pt>
                <c:pt idx="8">
                  <c:v>1978</c:v>
                </c:pt>
                <c:pt idx="9">
                  <c:v>1979</c:v>
                </c:pt>
                <c:pt idx="10">
                  <c:v>1980</c:v>
                </c:pt>
                <c:pt idx="11">
                  <c:v>1981</c:v>
                </c:pt>
                <c:pt idx="12">
                  <c:v>1982</c:v>
                </c:pt>
                <c:pt idx="13">
                  <c:v>1983</c:v>
                </c:pt>
                <c:pt idx="14">
                  <c:v>1984</c:v>
                </c:pt>
                <c:pt idx="15">
                  <c:v>1985</c:v>
                </c:pt>
                <c:pt idx="16">
                  <c:v>1986</c:v>
                </c:pt>
                <c:pt idx="17">
                  <c:v>1987</c:v>
                </c:pt>
                <c:pt idx="18">
                  <c:v>1988</c:v>
                </c:pt>
                <c:pt idx="19">
                  <c:v>1989</c:v>
                </c:pt>
                <c:pt idx="20">
                  <c:v>1990</c:v>
                </c:pt>
                <c:pt idx="21">
                  <c:v>1991</c:v>
                </c:pt>
                <c:pt idx="22">
                  <c:v>1992</c:v>
                </c:pt>
                <c:pt idx="23">
                  <c:v>1993</c:v>
                </c:pt>
                <c:pt idx="24">
                  <c:v>1994</c:v>
                </c:pt>
                <c:pt idx="25">
                  <c:v>1995</c:v>
                </c:pt>
                <c:pt idx="26">
                  <c:v>1996</c:v>
                </c:pt>
                <c:pt idx="27">
                  <c:v>1997</c:v>
                </c:pt>
                <c:pt idx="28">
                  <c:v>1998</c:v>
                </c:pt>
                <c:pt idx="29">
                  <c:v>1999</c:v>
                </c:pt>
                <c:pt idx="30">
                  <c:v>2000</c:v>
                </c:pt>
                <c:pt idx="31">
                  <c:v>2001</c:v>
                </c:pt>
                <c:pt idx="32">
                  <c:v>2002</c:v>
                </c:pt>
                <c:pt idx="33">
                  <c:v>2003</c:v>
                </c:pt>
                <c:pt idx="34">
                  <c:v>2004</c:v>
                </c:pt>
                <c:pt idx="35">
                  <c:v>2005</c:v>
                </c:pt>
                <c:pt idx="36">
                  <c:v>2006</c:v>
                </c:pt>
                <c:pt idx="37">
                  <c:v>2007</c:v>
                </c:pt>
                <c:pt idx="38">
                  <c:v>2008</c:v>
                </c:pt>
                <c:pt idx="39">
                  <c:v>2009</c:v>
                </c:pt>
                <c:pt idx="40">
                  <c:v>2010</c:v>
                </c:pt>
                <c:pt idx="41">
                  <c:v>2011</c:v>
                </c:pt>
                <c:pt idx="42">
                  <c:v>2012</c:v>
                </c:pt>
                <c:pt idx="43">
                  <c:v>2013</c:v>
                </c:pt>
                <c:pt idx="44">
                  <c:v>2014</c:v>
                </c:pt>
                <c:pt idx="45">
                  <c:v>2015</c:v>
                </c:pt>
                <c:pt idx="46">
                  <c:v>2016</c:v>
                </c:pt>
              </c:numCache>
            </c:numRef>
          </c:cat>
          <c:val>
            <c:numRef>
              <c:f>Feuil1!$B$2:$B$48</c:f>
              <c:numCache>
                <c:formatCode>General</c:formatCode>
                <c:ptCount val="47"/>
                <c:pt idx="0">
                  <c:v>80.11999999999999</c:v>
                </c:pt>
                <c:pt idx="1">
                  <c:v>0.60000000000000064</c:v>
                </c:pt>
                <c:pt idx="2">
                  <c:v>41.49</c:v>
                </c:pt>
                <c:pt idx="3">
                  <c:v>51</c:v>
                </c:pt>
                <c:pt idx="4">
                  <c:v>358</c:v>
                </c:pt>
                <c:pt idx="5">
                  <c:v>119</c:v>
                </c:pt>
                <c:pt idx="6">
                  <c:v>187</c:v>
                </c:pt>
                <c:pt idx="7">
                  <c:v>178.45000000000007</c:v>
                </c:pt>
                <c:pt idx="8">
                  <c:v>135.15</c:v>
                </c:pt>
                <c:pt idx="9">
                  <c:v>25.959999999999987</c:v>
                </c:pt>
                <c:pt idx="10">
                  <c:v>348.67</c:v>
                </c:pt>
                <c:pt idx="11">
                  <c:v>13.209999999999999</c:v>
                </c:pt>
                <c:pt idx="12">
                  <c:v>-53.57</c:v>
                </c:pt>
                <c:pt idx="13">
                  <c:v>0.42000000000000032</c:v>
                </c:pt>
                <c:pt idx="14">
                  <c:v>0.8</c:v>
                </c:pt>
                <c:pt idx="15">
                  <c:v>0.4</c:v>
                </c:pt>
                <c:pt idx="16">
                  <c:v>5.3199999999999985</c:v>
                </c:pt>
                <c:pt idx="17">
                  <c:v>3.71</c:v>
                </c:pt>
                <c:pt idx="18">
                  <c:v>13.02</c:v>
                </c:pt>
                <c:pt idx="19">
                  <c:v>12.09</c:v>
                </c:pt>
                <c:pt idx="20">
                  <c:v>40</c:v>
                </c:pt>
                <c:pt idx="21">
                  <c:v>80</c:v>
                </c:pt>
                <c:pt idx="22">
                  <c:v>30</c:v>
                </c:pt>
                <c:pt idx="23">
                  <c:v>0</c:v>
                </c:pt>
                <c:pt idx="24">
                  <c:v>0</c:v>
                </c:pt>
                <c:pt idx="25">
                  <c:v>0</c:v>
                </c:pt>
                <c:pt idx="26">
                  <c:v>270</c:v>
                </c:pt>
                <c:pt idx="27">
                  <c:v>260</c:v>
                </c:pt>
                <c:pt idx="28">
                  <c:v>606.6</c:v>
                </c:pt>
                <c:pt idx="29">
                  <c:v>291.60000000000002</c:v>
                </c:pt>
                <c:pt idx="30">
                  <c:v>280.10000000000002</c:v>
                </c:pt>
                <c:pt idx="31">
                  <c:v>1107.9000000000001</c:v>
                </c:pt>
                <c:pt idx="32">
                  <c:v>1065</c:v>
                </c:pt>
                <c:pt idx="33">
                  <c:v>633.70000000000005</c:v>
                </c:pt>
                <c:pt idx="34">
                  <c:v>881.9</c:v>
                </c:pt>
                <c:pt idx="35">
                  <c:v>1081.0999999999999</c:v>
                </c:pt>
                <c:pt idx="36">
                  <c:v>1795.4</c:v>
                </c:pt>
                <c:pt idx="37">
                  <c:v>1661.8</c:v>
                </c:pt>
                <c:pt idx="38">
                  <c:v>2593.6</c:v>
                </c:pt>
                <c:pt idx="39">
                  <c:v>2746.4</c:v>
                </c:pt>
                <c:pt idx="40">
                  <c:v>2264</c:v>
                </c:pt>
                <c:pt idx="41">
                  <c:v>2571</c:v>
                </c:pt>
                <c:pt idx="42">
                  <c:v>1499.21</c:v>
                </c:pt>
                <c:pt idx="43">
                  <c:v>1684</c:v>
                </c:pt>
                <c:pt idx="44">
                  <c:v>1506.7329999999999</c:v>
                </c:pt>
                <c:pt idx="45">
                  <c:v>-584</c:v>
                </c:pt>
                <c:pt idx="46">
                  <c:v>1546</c:v>
                </c:pt>
              </c:numCache>
            </c:numRef>
          </c:val>
          <c:extLst xmlns:c16r2="http://schemas.microsoft.com/office/drawing/2015/06/chart">
            <c:ext xmlns:c16="http://schemas.microsoft.com/office/drawing/2014/chart" uri="{C3380CC4-5D6E-409C-BE32-E72D297353CC}">
              <c16:uniqueId val="{00000000-80E5-2A49-BB55-6FFD67BE6D4F}"/>
            </c:ext>
          </c:extLst>
        </c:ser>
        <c:axId val="81606528"/>
        <c:axId val="81608064"/>
      </c:barChart>
      <c:catAx>
        <c:axId val="81606528"/>
        <c:scaling>
          <c:orientation val="minMax"/>
        </c:scaling>
        <c:axPos val="l"/>
        <c:numFmt formatCode="General" sourceLinked="1"/>
        <c:tickLblPos val="nextTo"/>
        <c:txPr>
          <a:bodyPr/>
          <a:lstStyle/>
          <a:p>
            <a:pPr>
              <a:defRPr lang="en-US"/>
            </a:pPr>
            <a:endParaRPr lang="fr-FR"/>
          </a:p>
        </c:txPr>
        <c:crossAx val="81608064"/>
        <c:crosses val="autoZero"/>
        <c:auto val="1"/>
        <c:lblAlgn val="ctr"/>
        <c:lblOffset val="100"/>
      </c:catAx>
      <c:valAx>
        <c:axId val="81608064"/>
        <c:scaling>
          <c:orientation val="minMax"/>
        </c:scaling>
        <c:axPos val="b"/>
        <c:majorGridlines/>
        <c:numFmt formatCode="General" sourceLinked="1"/>
        <c:tickLblPos val="nextTo"/>
        <c:txPr>
          <a:bodyPr/>
          <a:lstStyle/>
          <a:p>
            <a:pPr>
              <a:defRPr lang="en-US"/>
            </a:pPr>
            <a:endParaRPr lang="fr-FR"/>
          </a:p>
        </c:txPr>
        <c:crossAx val="8160652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perspective val="30"/>
    </c:view3D>
    <c:plotArea>
      <c:layout/>
      <c:bar3DChart>
        <c:barDir val="col"/>
        <c:grouping val="standard"/>
        <c:ser>
          <c:idx val="0"/>
          <c:order val="0"/>
          <c:tx>
            <c:strRef>
              <c:f>Feuil1!$B$1</c:f>
              <c:strCache>
                <c:ptCount val="1"/>
                <c:pt idx="0">
                  <c:v>Amount (million dollars)</c:v>
                </c:pt>
              </c:strCache>
            </c:strRef>
          </c:tx>
          <c:cat>
            <c:strRef>
              <c:f>Feuil1!$A$2:$A$12</c:f>
              <c:strCache>
                <c:ptCount val="11"/>
                <c:pt idx="0">
                  <c:v>China</c:v>
                </c:pt>
                <c:pt idx="1">
                  <c:v>Singapore </c:v>
                </c:pt>
                <c:pt idx="2">
                  <c:v>Spain</c:v>
                </c:pt>
                <c:pt idx="3">
                  <c:v>Turkey</c:v>
                </c:pt>
                <c:pt idx="4">
                  <c:v>Germany</c:v>
                </c:pt>
                <c:pt idx="5">
                  <c:v>South Africa</c:v>
                </c:pt>
                <c:pt idx="6">
                  <c:v>France</c:v>
                </c:pt>
                <c:pt idx="7">
                  <c:v>Switzerland</c:v>
                </c:pt>
                <c:pt idx="8">
                  <c:v>Italia</c:v>
                </c:pt>
                <c:pt idx="9">
                  <c:v>United kingdom</c:v>
                </c:pt>
                <c:pt idx="10">
                  <c:v>Other</c:v>
                </c:pt>
              </c:strCache>
            </c:strRef>
          </c:cat>
          <c:val>
            <c:numRef>
              <c:f>Feuil1!$B$2:$B$12</c:f>
              <c:numCache>
                <c:formatCode>General</c:formatCode>
                <c:ptCount val="11"/>
                <c:pt idx="0">
                  <c:v>3539</c:v>
                </c:pt>
                <c:pt idx="1">
                  <c:v>3151</c:v>
                </c:pt>
                <c:pt idx="2">
                  <c:v>2565</c:v>
                </c:pt>
                <c:pt idx="3">
                  <c:v>2313</c:v>
                </c:pt>
                <c:pt idx="4">
                  <c:v>380</c:v>
                </c:pt>
                <c:pt idx="5">
                  <c:v>350</c:v>
                </c:pt>
                <c:pt idx="6">
                  <c:v>330</c:v>
                </c:pt>
                <c:pt idx="7">
                  <c:v>330</c:v>
                </c:pt>
                <c:pt idx="8">
                  <c:v>232</c:v>
                </c:pt>
                <c:pt idx="9">
                  <c:v>212</c:v>
                </c:pt>
                <c:pt idx="10">
                  <c:v>892</c:v>
                </c:pt>
              </c:numCache>
            </c:numRef>
          </c:val>
          <c:extLst xmlns:c16r2="http://schemas.microsoft.com/office/drawing/2015/06/chart">
            <c:ext xmlns:c16="http://schemas.microsoft.com/office/drawing/2014/chart" uri="{C3380CC4-5D6E-409C-BE32-E72D297353CC}">
              <c16:uniqueId val="{00000000-73C9-2545-9047-EAA04F2E7AF1}"/>
            </c:ext>
          </c:extLst>
        </c:ser>
        <c:shape val="cylinder"/>
        <c:axId val="82209408"/>
        <c:axId val="82215296"/>
        <c:axId val="77226432"/>
      </c:bar3DChart>
      <c:catAx>
        <c:axId val="82209408"/>
        <c:scaling>
          <c:orientation val="minMax"/>
        </c:scaling>
        <c:axPos val="b"/>
        <c:numFmt formatCode="General" sourceLinked="1"/>
        <c:tickLblPos val="nextTo"/>
        <c:txPr>
          <a:bodyPr/>
          <a:lstStyle/>
          <a:p>
            <a:pPr>
              <a:defRPr lang="en-US"/>
            </a:pPr>
            <a:endParaRPr lang="fr-FR"/>
          </a:p>
        </c:txPr>
        <c:crossAx val="82215296"/>
        <c:crosses val="autoZero"/>
        <c:auto val="1"/>
        <c:lblAlgn val="ctr"/>
        <c:lblOffset val="100"/>
      </c:catAx>
      <c:valAx>
        <c:axId val="82215296"/>
        <c:scaling>
          <c:orientation val="minMax"/>
        </c:scaling>
        <c:axPos val="l"/>
        <c:majorGridlines/>
        <c:numFmt formatCode="General" sourceLinked="1"/>
        <c:tickLblPos val="nextTo"/>
        <c:txPr>
          <a:bodyPr/>
          <a:lstStyle/>
          <a:p>
            <a:pPr>
              <a:defRPr lang="en-US"/>
            </a:pPr>
            <a:endParaRPr lang="fr-FR"/>
          </a:p>
        </c:txPr>
        <c:crossAx val="82209408"/>
        <c:crosses val="autoZero"/>
        <c:crossBetween val="between"/>
      </c:valAx>
      <c:serAx>
        <c:axId val="77226432"/>
        <c:scaling>
          <c:orientation val="minMax"/>
        </c:scaling>
        <c:delete val="1"/>
        <c:axPos val="b"/>
        <c:tickLblPos val="none"/>
        <c:crossAx val="82215296"/>
        <c:crosses val="autoZero"/>
      </c:serAx>
    </c:plotArea>
    <c:legend>
      <c:legendPos val="r"/>
      <c:txPr>
        <a:bodyPr/>
        <a:lstStyle/>
        <a:p>
          <a:pPr>
            <a:defRPr lang="en-US"/>
          </a:pPr>
          <a:endParaRPr lang="fr-FR"/>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Number of projects </c:v>
                </c:pt>
              </c:strCache>
            </c:strRef>
          </c:tx>
          <c:cat>
            <c:strRef>
              <c:f>'Feuil1'!$A$2:$A$12</c:f>
              <c:strCache>
                <c:ptCount val="11"/>
                <c:pt idx="0">
                  <c:v>China</c:v>
                </c:pt>
                <c:pt idx="1">
                  <c:v>Singapore </c:v>
                </c:pt>
                <c:pt idx="2">
                  <c:v>Spain</c:v>
                </c:pt>
                <c:pt idx="3">
                  <c:v>Turkey</c:v>
                </c:pt>
                <c:pt idx="4">
                  <c:v>Germany</c:v>
                </c:pt>
                <c:pt idx="5">
                  <c:v>South Africa</c:v>
                </c:pt>
                <c:pt idx="6">
                  <c:v>France</c:v>
                </c:pt>
                <c:pt idx="7">
                  <c:v>Switzerland</c:v>
                </c:pt>
                <c:pt idx="8">
                  <c:v>Italia</c:v>
                </c:pt>
                <c:pt idx="9">
                  <c:v>United kingdom</c:v>
                </c:pt>
                <c:pt idx="10">
                  <c:v>Other</c:v>
                </c:pt>
              </c:strCache>
            </c:strRef>
          </c:cat>
          <c:val>
            <c:numRef>
              <c:f>'Feuil1'!$B$2:$B$12</c:f>
              <c:numCache>
                <c:formatCode>General</c:formatCode>
                <c:ptCount val="11"/>
                <c:pt idx="0">
                  <c:v>10</c:v>
                </c:pt>
                <c:pt idx="1">
                  <c:v>3</c:v>
                </c:pt>
                <c:pt idx="2">
                  <c:v>10</c:v>
                </c:pt>
                <c:pt idx="3">
                  <c:v>4</c:v>
                </c:pt>
                <c:pt idx="4">
                  <c:v>7</c:v>
                </c:pt>
                <c:pt idx="5">
                  <c:v>1</c:v>
                </c:pt>
                <c:pt idx="6">
                  <c:v>12</c:v>
                </c:pt>
                <c:pt idx="7">
                  <c:v>4</c:v>
                </c:pt>
                <c:pt idx="8">
                  <c:v>1</c:v>
                </c:pt>
                <c:pt idx="9">
                  <c:v>2</c:v>
                </c:pt>
                <c:pt idx="10">
                  <c:v>28</c:v>
                </c:pt>
              </c:numCache>
            </c:numRef>
          </c:val>
          <c:extLst xmlns:c16r2="http://schemas.microsoft.com/office/drawing/2015/06/chart">
            <c:ext xmlns:c16="http://schemas.microsoft.com/office/drawing/2014/chart" uri="{C3380CC4-5D6E-409C-BE32-E72D297353CC}">
              <c16:uniqueId val="{00000000-1853-4C42-8280-5FE75799C937}"/>
            </c:ext>
          </c:extLst>
        </c:ser>
        <c:ser>
          <c:idx val="1"/>
          <c:order val="1"/>
          <c:tx>
            <c:strRef>
              <c:f>'Feuil1'!$C$1</c:f>
              <c:strCache>
                <c:ptCount val="1"/>
                <c:pt idx="0">
                  <c:v>Number of companies </c:v>
                </c:pt>
              </c:strCache>
            </c:strRef>
          </c:tx>
          <c:cat>
            <c:strRef>
              <c:f>'Feuil1'!$A$2:$A$12</c:f>
              <c:strCache>
                <c:ptCount val="11"/>
                <c:pt idx="0">
                  <c:v>China</c:v>
                </c:pt>
                <c:pt idx="1">
                  <c:v>Singapore </c:v>
                </c:pt>
                <c:pt idx="2">
                  <c:v>Spain</c:v>
                </c:pt>
                <c:pt idx="3">
                  <c:v>Turkey</c:v>
                </c:pt>
                <c:pt idx="4">
                  <c:v>Germany</c:v>
                </c:pt>
                <c:pt idx="5">
                  <c:v>South Africa</c:v>
                </c:pt>
                <c:pt idx="6">
                  <c:v>France</c:v>
                </c:pt>
                <c:pt idx="7">
                  <c:v>Switzerland</c:v>
                </c:pt>
                <c:pt idx="8">
                  <c:v>Italia</c:v>
                </c:pt>
                <c:pt idx="9">
                  <c:v>United kingdom</c:v>
                </c:pt>
                <c:pt idx="10">
                  <c:v>Other</c:v>
                </c:pt>
              </c:strCache>
            </c:strRef>
          </c:cat>
          <c:val>
            <c:numRef>
              <c:f>'Feuil1'!$C$2:$C$12</c:f>
              <c:numCache>
                <c:formatCode>General</c:formatCode>
                <c:ptCount val="11"/>
                <c:pt idx="0">
                  <c:v>5</c:v>
                </c:pt>
                <c:pt idx="1">
                  <c:v>1</c:v>
                </c:pt>
                <c:pt idx="2">
                  <c:v>6</c:v>
                </c:pt>
                <c:pt idx="3">
                  <c:v>4</c:v>
                </c:pt>
                <c:pt idx="4">
                  <c:v>7</c:v>
                </c:pt>
                <c:pt idx="5">
                  <c:v>1</c:v>
                </c:pt>
                <c:pt idx="6">
                  <c:v>10</c:v>
                </c:pt>
                <c:pt idx="7">
                  <c:v>4</c:v>
                </c:pt>
                <c:pt idx="8">
                  <c:v>1</c:v>
                </c:pt>
                <c:pt idx="9">
                  <c:v>2</c:v>
                </c:pt>
                <c:pt idx="10">
                  <c:v>28</c:v>
                </c:pt>
              </c:numCache>
            </c:numRef>
          </c:val>
          <c:extLst xmlns:c16r2="http://schemas.microsoft.com/office/drawing/2015/06/chart">
            <c:ext xmlns:c16="http://schemas.microsoft.com/office/drawing/2014/chart" uri="{C3380CC4-5D6E-409C-BE32-E72D297353CC}">
              <c16:uniqueId val="{00000001-1853-4C42-8280-5FE75799C937}"/>
            </c:ext>
          </c:extLst>
        </c:ser>
        <c:axId val="77039872"/>
        <c:axId val="77144064"/>
      </c:barChart>
      <c:catAx>
        <c:axId val="77039872"/>
        <c:scaling>
          <c:orientation val="minMax"/>
        </c:scaling>
        <c:axPos val="b"/>
        <c:numFmt formatCode="General" sourceLinked="0"/>
        <c:tickLblPos val="nextTo"/>
        <c:txPr>
          <a:bodyPr/>
          <a:lstStyle/>
          <a:p>
            <a:pPr>
              <a:defRPr lang="en-US"/>
            </a:pPr>
            <a:endParaRPr lang="fr-FR"/>
          </a:p>
        </c:txPr>
        <c:crossAx val="77144064"/>
        <c:crosses val="autoZero"/>
        <c:auto val="1"/>
        <c:lblAlgn val="ctr"/>
        <c:lblOffset val="100"/>
      </c:catAx>
      <c:valAx>
        <c:axId val="77144064"/>
        <c:scaling>
          <c:orientation val="minMax"/>
        </c:scaling>
        <c:axPos val="l"/>
        <c:majorGridlines/>
        <c:numFmt formatCode="General" sourceLinked="1"/>
        <c:tickLblPos val="nextTo"/>
        <c:txPr>
          <a:bodyPr/>
          <a:lstStyle/>
          <a:p>
            <a:pPr>
              <a:defRPr lang="en-US"/>
            </a:pPr>
            <a:endParaRPr lang="fr-FR"/>
          </a:p>
        </c:txPr>
        <c:crossAx val="77039872"/>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Cost( Million Dollars)</c:v>
                </c:pt>
              </c:strCache>
            </c:strRef>
          </c:tx>
          <c:explosion val="25"/>
          <c:dLbls>
            <c:dLbl>
              <c:idx val="1"/>
              <c:layout>
                <c:manualLayout>
                  <c:x val="3.0678949289700379E-2"/>
                  <c:y val="-0.33397595454183882"/>
                </c:manualLayout>
              </c:layout>
              <c:tx>
                <c:rich>
                  <a:bodyPr/>
                  <a:lstStyle/>
                  <a:p>
                    <a:r>
                      <a:rPr lang="en-US" sz="900"/>
                      <a:t>Indorama(Singapore)</a:t>
                    </a:r>
                  </a:p>
                </c:rich>
              </c:tx>
              <c:showCatName val="1"/>
              <c:extLst xmlns:c16r2="http://schemas.microsoft.com/office/drawing/2015/06/chart">
                <c:ext xmlns:c15="http://schemas.microsoft.com/office/drawing/2012/chart" uri="{CE6537A1-D6FC-4f65-9D91-7224C49458BB}"/>
              </c:extLst>
            </c:dLbl>
            <c:spPr>
              <a:noFill/>
              <a:ln>
                <a:noFill/>
              </a:ln>
              <a:effectLst/>
            </c:spPr>
            <c:txPr>
              <a:bodyPr/>
              <a:lstStyle/>
              <a:p>
                <a:pPr>
                  <a:defRPr lang="en-US" sz="900">
                    <a:latin typeface="Times New Roman" pitchFamily="18" charset="0"/>
                    <a:cs typeface="Times New Roman" pitchFamily="18" charset="0"/>
                  </a:defRPr>
                </a:pPr>
                <a:endParaRPr lang="fr-FR"/>
              </a:p>
            </c:txPr>
            <c:showCatName val="1"/>
            <c:showLeaderLines val="1"/>
            <c:extLst xmlns:c16r2="http://schemas.microsoft.com/office/drawing/2015/06/chart">
              <c:ext xmlns:c15="http://schemas.microsoft.com/office/drawing/2012/chart" uri="{CE6537A1-D6FC-4f65-9D91-7224C49458BB}"/>
            </c:extLst>
          </c:dLbls>
          <c:cat>
            <c:strRef>
              <c:f>Feuil1!$A$2:$A$6</c:f>
              <c:strCache>
                <c:ptCount val="5"/>
                <c:pt idx="0">
                  <c:v>China State Construction Engineering Corporation(China)</c:v>
                </c:pt>
                <c:pt idx="1">
                  <c:v>Indorama(Singapore)</c:v>
                </c:pt>
                <c:pt idx="2">
                  <c:v>Grupo Ortiz Construccion y Servicios Del Mediterraneo( Spain)</c:v>
                </c:pt>
                <c:pt idx="3">
                  <c:v>Tosyali Holding(Turkey)</c:v>
                </c:pt>
                <c:pt idx="4">
                  <c:v>Taypa Tekstil(Turkey)</c:v>
                </c:pt>
              </c:strCache>
            </c:strRef>
          </c:cat>
          <c:val>
            <c:numRef>
              <c:f>Feuil1!$B$2:$B$6</c:f>
              <c:numCache>
                <c:formatCode>General</c:formatCode>
                <c:ptCount val="5"/>
                <c:pt idx="0">
                  <c:v>3300</c:v>
                </c:pt>
                <c:pt idx="1">
                  <c:v>3151</c:v>
                </c:pt>
                <c:pt idx="2">
                  <c:v>2209</c:v>
                </c:pt>
                <c:pt idx="3">
                  <c:v>0</c:v>
                </c:pt>
                <c:pt idx="4">
                  <c:v>900</c:v>
                </c:pt>
              </c:numCache>
            </c:numRef>
          </c:val>
          <c:extLst xmlns:c16r2="http://schemas.microsoft.com/office/drawing/2015/06/chart">
            <c:ext xmlns:c16="http://schemas.microsoft.com/office/drawing/2014/chart" uri="{C3380CC4-5D6E-409C-BE32-E72D297353CC}">
              <c16:uniqueId val="{00000000-F95C-D744-8203-96849916725A}"/>
            </c:ext>
          </c:extLst>
        </c:ser>
        <c:dLbls>
          <c:showCatName val="1"/>
        </c:dLbls>
      </c:pie3DChart>
    </c:plotArea>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hPercent val="100"/>
      <c:depthPercent val="100"/>
      <c:perspective val="30"/>
    </c:view3D>
    <c:plotArea>
      <c:layout>
        <c:manualLayout>
          <c:layoutTarget val="inner"/>
          <c:xMode val="edge"/>
          <c:yMode val="edge"/>
          <c:x val="2.7538315120328911E-2"/>
          <c:y val="7.3206020186415963E-2"/>
          <c:w val="0.97246172558636546"/>
          <c:h val="0.60602782152230972"/>
        </c:manualLayout>
      </c:layout>
      <c:pie3DChart>
        <c:varyColors val="1"/>
        <c:ser>
          <c:idx val="0"/>
          <c:order val="0"/>
          <c:tx>
            <c:strRef>
              <c:f>Feuil1!$B$1</c:f>
              <c:strCache>
                <c:ptCount val="1"/>
                <c:pt idx="0">
                  <c:v>Ventes</c:v>
                </c:pt>
              </c:strCache>
            </c:strRef>
          </c:tx>
          <c:explosion val="25"/>
          <c:cat>
            <c:strRef>
              <c:f>Feuil1!$A$2:$A$8</c:f>
              <c:strCache>
                <c:ptCount val="7"/>
                <c:pt idx="0">
                  <c:v>Asia and the Pacific</c:v>
                </c:pt>
                <c:pt idx="1">
                  <c:v>Western Europe</c:v>
                </c:pt>
                <c:pt idx="2">
                  <c:v>Emerging European countries</c:v>
                </c:pt>
                <c:pt idx="3">
                  <c:v>Africa</c:v>
                </c:pt>
                <c:pt idx="4">
                  <c:v>Middle east</c:v>
                </c:pt>
                <c:pt idx="5">
                  <c:v>North Amarica</c:v>
                </c:pt>
                <c:pt idx="6">
                  <c:v>Latin America and the Caribbean</c:v>
                </c:pt>
              </c:strCache>
            </c:strRef>
          </c:cat>
          <c:val>
            <c:numRef>
              <c:f>Feuil1!$B$2:$B$8</c:f>
              <c:numCache>
                <c:formatCode>General</c:formatCode>
                <c:ptCount val="7"/>
                <c:pt idx="0">
                  <c:v>0.48700000000000032</c:v>
                </c:pt>
                <c:pt idx="1">
                  <c:v>0.28400000000000031</c:v>
                </c:pt>
                <c:pt idx="2">
                  <c:v>0.16300000000000001</c:v>
                </c:pt>
                <c:pt idx="3">
                  <c:v>3.9000000000000014E-2</c:v>
                </c:pt>
                <c:pt idx="4">
                  <c:v>2.1999999999999999E-2</c:v>
                </c:pt>
                <c:pt idx="5">
                  <c:v>4.0000000000000114E-3</c:v>
                </c:pt>
                <c:pt idx="6">
                  <c:v>1.0000000000000041E-3</c:v>
                </c:pt>
              </c:numCache>
            </c:numRef>
          </c:val>
          <c:extLst xmlns:c16r2="http://schemas.microsoft.com/office/drawing/2015/06/chart">
            <c:ext xmlns:c16="http://schemas.microsoft.com/office/drawing/2014/chart" uri="{C3380CC4-5D6E-409C-BE32-E72D297353CC}">
              <c16:uniqueId val="{00000000-C918-824D-ADF5-644A587AF085}"/>
            </c:ext>
          </c:extLst>
        </c:ser>
      </c:pie3DChart>
    </c:plotArea>
    <c:legend>
      <c:legendPos val="b"/>
      <c:layout>
        <c:manualLayout>
          <c:xMode val="edge"/>
          <c:yMode val="edge"/>
          <c:x val="0"/>
          <c:y val="9.8621138146625098E-2"/>
          <c:w val="0.35352119839177831"/>
          <c:h val="0.79564201470094253"/>
        </c:manualLayout>
      </c:layout>
    </c:legend>
    <c:plotVisOnly val="1"/>
    <c:dispBlanksAs val="zero"/>
  </c:chart>
  <c:externalData r:id="rId1"/>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xmlns:b="http://schemas.openxmlformats.org/officeDocument/2006/bibliography">
    <b:Tag>Beh11</b:Tag>
    <b:SourceType>JournalArticle</b:SourceType>
    <b:Guid>{CF2F49EA-E596-4145-8789-D14A388AFC22}</b:Guid>
    <b:Author>
      <b:Author>
        <b:NameList>
          <b:Person>
            <b:Last>Behrooz Shahmoradi</b:Last>
            <b:First>Mostafa</b:First>
            <b:Middle>Baghbanyan</b:Middle>
          </b:Person>
        </b:NameList>
      </b:Author>
    </b:Author>
    <b:Title>Determinants of Foreign Direct Investment in Developing Countries: A Panel Data Analysis</b:Title>
    <b:JournalName>Asian Economic and Financial Review</b:JournalName>
    <b:Year>2011</b:Year>
    <b:Pages>49-56</b:Pages>
    <b:LCID>en-US</b:LCID>
    <b:Volume>1</b:Volume>
    <b:Issue>2</b:Issue>
    <b:RefOrder>1</b:RefOrder>
  </b:Source>
  <b:Source>
    <b:Tag>Yap15</b:Tag>
    <b:SourceType>JournalArticle</b:SourceType>
    <b:Guid>{4E65CEAC-68A2-476A-8BC3-B89D8BC6431B}</b:Guid>
    <b:Author>
      <b:Author>
        <b:NameList>
          <b:Person>
            <b:Last>Yapatake kossele Thales Pacific</b:Last>
            <b:First>Riti</b:First>
            <b:Middle>Joshua Sunday, Anning Lucy</b:Middle>
          </b:Person>
        </b:NameList>
      </b:Author>
    </b:Author>
    <b:Title>Determinants of Foreign Direct Investment Flows to Francophone African Countries: Panel Data Analysis</b:Title>
    <b:JournalName>Journal of Economics Sustainable Development</b:JournalName>
    <b:Year>2015</b:Year>
    <b:Pages>4-9</b:Pages>
    <b:Volume>6</b:Volume>
    <b:Issue>13</b:Issue>
    <b:LCID>en-US</b:LCID>
    <b:RefOrder>2</b:RefOrder>
  </b:Source>
  <b:Source>
    <b:Tag>Shu16</b:Tag>
    <b:SourceType>JournalArticle</b:SourceType>
    <b:Guid>{0BDDAE9B-A874-4FCE-A266-DB6068C3F1DA}</b:Guid>
    <b:LCID>en-US</b:LCID>
    <b:Author>
      <b:Author>
        <b:NameList>
          <b:Person>
            <b:Last>Shukurov</b:Last>
            <b:First>Sobir</b:First>
          </b:Person>
        </b:NameList>
      </b:Author>
    </b:Author>
    <b:Title>Determinants of FDI in Transition  Economics: The  Case of CIS Countries.</b:Title>
    <b:JournalName>Journal of International and Global Economic Studies</b:JournalName>
    <b:Year>2016</b:Year>
    <b:Pages>75-94</b:Pages>
    <b:Volume>9</b:Volume>
    <b:Issue>1</b:Issue>
    <b:RefOrder>3</b:RefOrder>
  </b:Source>
  <b:Source>
    <b:Tag>htt18</b:Tag>
    <b:SourceType>InternetSite</b:SourceType>
    <b:Guid>{2B417A88-7BF9-4D8A-8E21-06BD295364EA}</b:Guid>
    <b:LCID>en-US</b:LCID>
    <b:InternetSiteTitle>http://www.andi.dz/index.php/en/raisons-pour-investir.</b:InternetSiteTitle>
    <b:YearAccessed>2018</b:YearAccessed>
    <b:MonthAccessed>07</b:MonthAccessed>
    <b:DayAccessed>21</b:DayAccessed>
    <b:RefOrder>4</b:RefOrder>
  </b:Source>
  <b:Source>
    <b:Tag>htt181</b:Tag>
    <b:SourceType>InternetSite</b:SourceType>
    <b:Guid>{CBC67424-1E35-4E8F-850F-71272569E90C}</b:Guid>
    <b:InternetSiteTitle>http://www.andi.dz/index.php/en/raisons-pour-investir.</b:InternetSiteTitle>
    <b:YearAccessed>2018</b:YearAccessed>
    <b:MonthAccessed>07</b:MonthAccessed>
    <b:DayAccessed>21</b:DayAccessed>
    <b:RefOrder>5</b:RefOrder>
  </b:Source>
  <b:Source>
    <b:Tag>Dic79</b:Tag>
    <b:SourceType>JournalArticle</b:SourceType>
    <b:Guid>{784DB270-9338-4A4C-BC94-8AE57F64AABB}</b:Guid>
    <b:Author>
      <b:Author>
        <b:NameList>
          <b:Person>
            <b:Last>Dickey</b:Last>
            <b:First>D.,</b:First>
            <b:Middle>and Fuller, W</b:Middle>
          </b:Person>
        </b:NameList>
      </b:Author>
    </b:Author>
    <b:Title>Distributions of the Estimators for Autoregressive time Series with a Unit Root</b:Title>
    <b:Year>1979</b:Year>
    <b:LCID>en-US</b:LCID>
    <b:JournalName>Journal of American Statistical Association</b:JournalName>
    <b:Pages>429</b:Pages>
    <b:RefOrder>6</b:RefOrder>
  </b:Source>
  <b:Source>
    <b:Tag>Joh92</b:Tag>
    <b:SourceType>JournalArticle</b:SourceType>
    <b:Guid>{98C88F68-585A-4333-9610-1B2219ABC037}</b:Guid>
    <b:Author>
      <b:Author>
        <b:NameList>
          <b:Person>
            <b:Last>Johansen</b:Last>
            <b:First>S.,</b:First>
            <b:Middle>and Juselius, K</b:Middle>
          </b:Person>
        </b:NameList>
      </b:Author>
    </b:Author>
    <b:Title>Testing Structural Hypotheses in a Multivariate Cointegration Analysis at the Purchasing Power Parity and the Uncovered Interest Parity for the UK</b:Title>
    <b:JournalName>Journal of Econometrics</b:JournalName>
    <b:Year>1992</b:Year>
    <b:Pages>230</b:Pages>
    <b:RefOrder>7</b:RefOrder>
  </b:Source>
  <b:Source>
    <b:Tag>Sin95</b:Tag>
    <b:SourceType>JournalArticle</b:SourceType>
    <b:Guid>{B03CD4A7-3B28-4BA6-A2F5-DA52CAF5BB01}</b:Guid>
    <b:Author>
      <b:Author>
        <b:NameList>
          <b:Person>
            <b:Last>Singh</b:Last>
            <b:First>H.</b:First>
            <b:Middle>&amp; Jun, K.W</b:Middle>
          </b:Person>
        </b:NameList>
      </b:Author>
    </b:Author>
    <b:Title>Some  new evidence  on  determinants  of  foreign  direct investment  in  developing  countries</b:Title>
    <b:JournalName>Policy Research working Paper</b:JournalName>
    <b:Year>1995</b:Year>
    <b:Pages>14</b:Pages>
    <b:City>Washington</b:City>
    <b:Issue>1531</b:Issue>
    <b:RefOrder>8</b:RefOrder>
  </b:Source>
  <b:Source>
    <b:Tag>Cul88</b:Tag>
    <b:SourceType>JournalArticle</b:SourceType>
    <b:Guid>{ED370D4F-6C0C-43E4-ABD3-3BE5855C1961}</b:Guid>
    <b:Author>
      <b:Author>
        <b:NameList>
          <b:Person>
            <b:Last>Culem</b:Last>
            <b:First>C.G</b:First>
          </b:Person>
        </b:NameList>
      </b:Author>
    </b:Author>
    <b:Title>The locational determinants of  direct  investment  among  industrialized</b:Title>
    <b:JournalName>European  Economic  Review</b:JournalName>
    <b:Year>1988</b:Year>
    <b:Pages>885-904</b:Pages>
    <b:Volume>32</b:Volume>
    <b:Issue>3</b:Issue>
    <b:RefOrder>9</b:RefOrder>
  </b:Source>
  <b:Source>
    <b:Tag>Lia12</b:Tag>
    <b:SourceType>JournalArticle</b:SourceType>
    <b:Guid>{1C9B54F0-9D8B-4120-B375-B2F8B6595A33}</b:Guid>
    <b:Author>
      <b:Author>
        <b:NameList>
          <b:Person>
            <b:Last>Liargovas</b:Last>
            <b:First>P.G.</b:First>
          </b:Person>
          <b:Person>
            <b:Last>Skandalis</b:Last>
            <b:First>K.S</b:First>
          </b:Person>
        </b:NameList>
      </b:Author>
    </b:Author>
    <b:Title>Foreign Direct Investment and Trade Openness: The Economies</b:Title>
    <b:JournalName>Social Indicators Research</b:JournalName>
    <b:Year>2012</b:Year>
    <b:Pages>327</b:Pages>
    <b:Volume>106</b:Volume>
    <b:Issue>2</b:Issue>
    <b:RefOrder>10</b:RefOrder>
  </b:Source>
  <b:Source>
    <b:Tag>Moo06</b:Tag>
    <b:SourceType>JournalArticle</b:SourceType>
    <b:Guid>{A75A2009-A275-4803-A006-4295C4105FCC}</b:Guid>
    <b:Author>
      <b:Author>
        <b:NameList>
          <b:Person>
            <b:Last>Moosa</b:Last>
            <b:First>I.</b:First>
            <b:Middle>A. &amp; Cardak, B. A</b:Middle>
          </b:Person>
        </b:NameList>
      </b:Author>
    </b:Author>
    <b:Title>The determinants of foreign direct investment: An extreme bounds analysis</b:Title>
    <b:JournalName>Journal of Multinational Financial</b:JournalName>
    <b:Year>2006</b:Year>
    <b:Pages>199-211</b:Pages>
    <b:Volume>16</b:Volume>
    <b:Issue>2</b:Issue>
    <b:RefOrder>11</b:RefOrder>
  </b:Source>
  <b:Source>
    <b:Tag>Cha10</b:Tag>
    <b:SourceType>JournalArticle</b:SourceType>
    <b:Guid>{30EBB721-E46A-4F0F-A662-7DFCD2286AF7}</b:Guid>
    <b:Author>
      <b:Author>
        <b:NameList>
          <b:Person>
            <b:Last>Chantasasawat</b:Last>
            <b:First>B.,</b:First>
            <b:Middle>Fung, K. C., Iizaka, H., &amp; Siu, A</b:Middle>
          </b:Person>
        </b:NameList>
      </b:Author>
    </b:Author>
    <b:Title>FDI flows to Latin America, East and Southeast Asia, and China: Substitutes or complements</b:Title>
    <b:JournalName>Review of Development Economics</b:JournalName>
    <b:Year>2010</b:Year>
    <b:Pages>533-546</b:Pages>
    <b:Volume>14</b:Volume>
    <b:Issue>3</b:Issue>
    <b:RefOrder>12</b:RefOrder>
  </b:Source>
  <b:Source>
    <b:Tag>Sri11</b:Tag>
    <b:SourceType>JournalArticle</b:SourceType>
    <b:Guid>{08754B8E-B572-4110-B731-DC39A7924D6A}</b:Guid>
    <b:Author>
      <b:Author>
        <b:NameList>
          <b:Person>
            <b:Last>Srinivasan</b:Last>
            <b:First>P</b:First>
          </b:Person>
        </b:NameList>
      </b:Author>
    </b:Author>
    <b:Title>Determinants of foreign direct investment in SAARC nations: An econometric investigation</b:Title>
    <b:JournalName>IUP Journal of Managerial Economics</b:JournalName>
    <b:Year>2011</b:Year>
    <b:Pages>26-7</b:Pages>
    <b:LCID>en-US</b:LCID>
    <b:Volume>9</b:Volume>
    <b:Issue>3</b:Issue>
    <b:RefOrder>13</b:RefOrder>
  </b:Source>
  <b:Source>
    <b:Tag>Cav96</b:Tag>
    <b:SourceType>Book</b:SourceType>
    <b:Guid>{289755E9-E1B6-4838-A6F3-C421B5AECBCE}</b:Guid>
    <b:Author>
      <b:Author>
        <b:NameList>
          <b:Person>
            <b:Last>Caves</b:Last>
            <b:First>R</b:First>
          </b:Person>
        </b:NameList>
      </b:Author>
    </b:Author>
    <b:Title>Multinational Firms and Economic Analysis</b:Title>
    <b:Year>1996</b:Year>
    <b:City>Cambridge and New York</b:City>
    <b:Publisher>Cambridge University Press</b:Publisher>
    <b:Edition>2nd edition</b:Edition>
    <b:RefOrder>14</b:RefOrder>
  </b:Source>
  <b:Source>
    <b:Tag>Asi06</b:Tag>
    <b:SourceType>JournalArticle</b:SourceType>
    <b:Guid>{C11A32BE-CFF1-46DD-B66D-51059598947D}</b:Guid>
    <b:Author>
      <b:Author>
        <b:NameList>
          <b:Person>
            <b:Last>Asiedu</b:Last>
            <b:First>E</b:First>
          </b:Person>
        </b:NameList>
      </b:Author>
    </b:Author>
    <b:Title>Foreign Direct Investment in Africa: The Role of Natural Resources, Market Size, Government Policy, Institutions and Political Instability</b:Title>
    <b:Year>2006</b:Year>
    <b:JournalName>World Econ</b:JournalName>
    <b:Pages>63-77</b:Pages>
    <b:LCID>en-US</b:LCID>
    <b:RefOrder>15</b:RefOrder>
  </b:Source>
  <b:Source>
    <b:Tag>Qua07</b:Tag>
    <b:SourceType>JournalArticle</b:SourceType>
    <b:Guid>{7ED35413-4076-4B23-80EB-601CE2660A53}</b:Guid>
    <b:LCID>en-US</b:LCID>
    <b:Author>
      <b:Author>
        <b:NameList>
          <b:Person>
            <b:Last>Quazi</b:Last>
            <b:First>R</b:First>
          </b:Person>
        </b:NameList>
      </b:Author>
    </b:Author>
    <b:Title>Economic freedom and foreign direct investment in East Asia</b:Title>
    <b:JournalName>Journal of the Asia Pacific Economy</b:JournalName>
    <b:Year>2007</b:Year>
    <b:Pages>392-34</b:Pages>
    <b:Volume>12</b:Volume>
    <b:Issue>3</b:Issue>
    <b:RefOrder>16</b:RefOrder>
  </b:Source>
  <b:Source>
    <b:Tag>Eli08</b:Tag>
    <b:SourceType>JournalArticle</b:SourceType>
    <b:Guid>{30DA4458-4226-4315-975A-21532CB4F298}</b:Guid>
    <b:Author>
      <b:Author>
        <b:NameList>
          <b:Person>
            <b:Last>Elijah</b:Last>
            <b:First>U</b:First>
            <b:Middle>and Festus, O</b:Middle>
          </b:Person>
        </b:NameList>
      </b:Author>
    </b:Author>
    <b:Title>Exchange Rate Volatility, inflation uncertainty and Foreign Direct Investment in Nigeria</b:Title>
    <b:JournalName>BOJE: Botswana Journal of Economic</b:JournalName>
    <b:Year>2008</b:Year>
    <b:Volume>5</b:Volume>
    <b:Issue>7</b:Issue>
    <b:Pages>22</b:Pages>
    <b:RefOrder>17</b:RefOrder>
  </b:Source>
</b:Sources>
</file>

<file path=customXml/itemProps1.xml><?xml version="1.0" encoding="utf-8"?>
<ds:datastoreItem xmlns:ds="http://schemas.openxmlformats.org/officeDocument/2006/customXml" ds:itemID="{038C7AD5-8380-4BD4-8ED3-68BE1CD8B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Article_Ang(1)</Template>
  <TotalTime>90</TotalTime>
  <Pages>23</Pages>
  <Words>4934</Words>
  <Characters>27143</Characters>
  <Application>Microsoft Office Word</Application>
  <DocSecurity>0</DocSecurity>
  <Lines>226</Lines>
  <Paragraphs>64</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Article_Standard</vt:lpstr>
      <vt:lpstr>Article_Standard</vt:lpstr>
      <vt:lpstr>Article_Standard</vt:lpstr>
    </vt:vector>
  </TitlesOfParts>
  <Company/>
  <LinksUpToDate>false</LinksUpToDate>
  <CharactersWithSpaces>32013</CharactersWithSpaces>
  <SharedDoc>false</SharedDoc>
  <HLinks>
    <vt:vector size="18" baseType="variant">
      <vt:variant>
        <vt:i4>3276917</vt:i4>
      </vt:variant>
      <vt:variant>
        <vt:i4>6</vt:i4>
      </vt:variant>
      <vt:variant>
        <vt:i4>0</vt:i4>
      </vt:variant>
      <vt:variant>
        <vt:i4>5</vt:i4>
      </vt:variant>
      <vt:variant>
        <vt:lpwstr>http://fulladdress/</vt:lpwstr>
      </vt:variant>
      <vt:variant>
        <vt:lpwstr/>
      </vt:variant>
      <vt:variant>
        <vt:i4>6881330</vt:i4>
      </vt:variant>
      <vt:variant>
        <vt:i4>3</vt:i4>
      </vt:variant>
      <vt:variant>
        <vt:i4>0</vt:i4>
      </vt:variant>
      <vt:variant>
        <vt:i4>5</vt:i4>
      </vt:variant>
      <vt:variant>
        <vt:lpwstr>https://support.office.com/fr-fr/article/APA-MLA-Chicago-%E2%80%93-Mise-en-forme-automatique-de-bibliographies-405c207c-7070-42fa-91e7-eaf064b14dbb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TOSHIBA</cp:lastModifiedBy>
  <cp:revision>34</cp:revision>
  <cp:lastPrinted>2013-01-29T06:14:00Z</cp:lastPrinted>
  <dcterms:created xsi:type="dcterms:W3CDTF">2019-03-20T22:10:00Z</dcterms:created>
  <dcterms:modified xsi:type="dcterms:W3CDTF">2019-08-08T21:13:00Z</dcterms:modified>
</cp:coreProperties>
</file>