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086A" w:rsidRPr="00CF4DF4" w:rsidRDefault="00D27910" w:rsidP="00BC086A">
      <w:pPr>
        <w:spacing w:after="0" w:line="360" w:lineRule="auto"/>
        <w:jc w:val="center"/>
        <w:rPr>
          <w:rFonts w:asciiTheme="majorBidi" w:hAnsiTheme="majorBidi" w:cstheme="majorBidi"/>
          <w:b/>
          <w:bCs/>
          <w:sz w:val="28"/>
          <w:szCs w:val="28"/>
        </w:rPr>
      </w:pPr>
      <w:bookmarkStart w:id="0" w:name="_Toc401981414"/>
      <w:r w:rsidRPr="00D27910">
        <w:rPr>
          <w:rFonts w:asciiTheme="majorBidi" w:eastAsiaTheme="minorHAnsi" w:hAnsiTheme="majorBidi" w:cstheme="majorBidi"/>
          <w:b/>
          <w:bCs/>
          <w:noProof/>
          <w:sz w:val="24"/>
          <w:szCs w:val="24"/>
          <w:lang w:eastAsia="fr-FR"/>
        </w:rPr>
        <w:pict>
          <v:group id="_x0000_s1112" style="position:absolute;left:0;text-align:left;margin-left:-.65pt;margin-top:-32.55pt;width:596.55pt;height:841.95pt;z-index:-251619328;mso-position-horizontal-relative:page;mso-position-vertical-relative:page" coordsize="12240,15840" o:allowincell="f">
            <v:rect id="Rectangle 16" o:spid="_x0000_s1113" style="position:absolute;width:12240;height:15840;visibility:visible" fillcolor="white [3212]" stroked="f">
              <v:fill color2="black [3213]" rotate="t" focus="50%" type="gradient"/>
            </v:rect>
            <v:rect id="_x0000_s1114" style="position:absolute;left:612;top:638;width:11016;height:14564;visibility:visible" fillcolor="white [3212]" stroked="f">
              <v:fill color2="white [3212]" rotate="t" focus="50%" type="gradient"/>
              <v:textbox style="mso-next-textbox:#_x0000_s1114">
                <w:txbxContent>
                  <w:p w:rsidR="006C092A" w:rsidRDefault="006C092A" w:rsidP="00BC086A">
                    <w:pPr>
                      <w:jc w:val="center"/>
                      <w:rPr>
                        <w:rFonts w:ascii="Times New Roman" w:hAnsi="Times New Roman"/>
                        <w:b/>
                        <w:bCs/>
                        <w:sz w:val="28"/>
                        <w:szCs w:val="28"/>
                      </w:rPr>
                    </w:pPr>
                  </w:p>
                  <w:p w:rsidR="006C092A" w:rsidRDefault="006C092A" w:rsidP="00BC086A">
                    <w:pPr>
                      <w:jc w:val="center"/>
                      <w:rPr>
                        <w:rFonts w:asciiTheme="majorBidi" w:hAnsiTheme="majorBidi" w:cstheme="majorBidi"/>
                        <w:b/>
                        <w:bCs/>
                        <w:sz w:val="28"/>
                        <w:szCs w:val="28"/>
                      </w:rPr>
                    </w:pPr>
                    <w:r w:rsidRPr="00B57559">
                      <w:rPr>
                        <w:rFonts w:ascii="Times New Roman" w:hAnsi="Times New Roman"/>
                        <w:b/>
                        <w:bCs/>
                        <w:sz w:val="28"/>
                        <w:szCs w:val="28"/>
                      </w:rPr>
                      <w:t>R</w:t>
                    </w:r>
                    <w:r w:rsidRPr="00B57559">
                      <w:rPr>
                        <w:rFonts w:asciiTheme="majorBidi" w:hAnsiTheme="majorBidi" w:cstheme="majorBidi"/>
                        <w:b/>
                        <w:bCs/>
                        <w:sz w:val="28"/>
                        <w:szCs w:val="28"/>
                      </w:rPr>
                      <w:t>É</w:t>
                    </w:r>
                    <w:r>
                      <w:rPr>
                        <w:rFonts w:asciiTheme="majorBidi" w:hAnsiTheme="majorBidi" w:cstheme="majorBidi"/>
                        <w:b/>
                        <w:bCs/>
                        <w:sz w:val="28"/>
                        <w:szCs w:val="28"/>
                      </w:rPr>
                      <w:t>PUBLIQUE  ALG</w:t>
                    </w:r>
                    <w:r w:rsidRPr="00B57559">
                      <w:rPr>
                        <w:rFonts w:asciiTheme="majorBidi" w:hAnsiTheme="majorBidi" w:cstheme="majorBidi"/>
                        <w:b/>
                        <w:bCs/>
                        <w:sz w:val="28"/>
                        <w:szCs w:val="28"/>
                      </w:rPr>
                      <w:t>É</w:t>
                    </w:r>
                    <w:r>
                      <w:rPr>
                        <w:rFonts w:asciiTheme="majorBidi" w:hAnsiTheme="majorBidi" w:cstheme="majorBidi"/>
                        <w:b/>
                        <w:bCs/>
                        <w:sz w:val="28"/>
                        <w:szCs w:val="28"/>
                      </w:rPr>
                      <w:t>RIENNE  D</w:t>
                    </w:r>
                    <w:r w:rsidRPr="00B57559">
                      <w:rPr>
                        <w:rFonts w:asciiTheme="majorBidi" w:hAnsiTheme="majorBidi" w:cstheme="majorBidi"/>
                        <w:b/>
                        <w:bCs/>
                        <w:sz w:val="28"/>
                        <w:szCs w:val="28"/>
                      </w:rPr>
                      <w:t>É</w:t>
                    </w:r>
                    <w:r>
                      <w:rPr>
                        <w:rFonts w:asciiTheme="majorBidi" w:hAnsiTheme="majorBidi" w:cstheme="majorBidi"/>
                        <w:b/>
                        <w:bCs/>
                        <w:sz w:val="28"/>
                        <w:szCs w:val="28"/>
                      </w:rPr>
                      <w:t>MOCRATIQUE ET POPULAIRE</w:t>
                    </w:r>
                  </w:p>
                  <w:p w:rsidR="006C092A" w:rsidRDefault="006C092A" w:rsidP="00BC086A">
                    <w:pPr>
                      <w:jc w:val="center"/>
                      <w:rPr>
                        <w:rFonts w:asciiTheme="majorBidi" w:hAnsiTheme="majorBidi" w:cstheme="majorBidi"/>
                        <w:b/>
                        <w:bCs/>
                        <w:sz w:val="28"/>
                        <w:szCs w:val="28"/>
                      </w:rPr>
                    </w:pPr>
                    <w:r>
                      <w:rPr>
                        <w:rFonts w:asciiTheme="majorBidi" w:hAnsiTheme="majorBidi" w:cstheme="majorBidi"/>
                        <w:b/>
                        <w:bCs/>
                        <w:sz w:val="28"/>
                        <w:szCs w:val="28"/>
                      </w:rPr>
                      <w:t>Ministère de l’Enseignement Supérieur et de la Recherche Scientifique</w:t>
                    </w:r>
                  </w:p>
                  <w:p w:rsidR="006C092A" w:rsidRPr="00B57559" w:rsidRDefault="006C092A" w:rsidP="00BC086A">
                    <w:pPr>
                      <w:jc w:val="center"/>
                      <w:rPr>
                        <w:rFonts w:ascii="Times New Roman" w:hAnsi="Times New Roman"/>
                        <w:b/>
                        <w:bCs/>
                        <w:sz w:val="40"/>
                        <w:szCs w:val="40"/>
                      </w:rPr>
                    </w:pPr>
                  </w:p>
                </w:txbxContent>
              </v:textbox>
            </v:rect>
            <w10:wrap anchorx="page" anchory="page"/>
          </v:group>
        </w:pict>
      </w:r>
      <w:r w:rsidR="00BC086A" w:rsidRPr="00CF4DF4">
        <w:rPr>
          <w:rFonts w:asciiTheme="majorBidi" w:hAnsiTheme="majorBidi" w:cstheme="majorBidi"/>
          <w:b/>
          <w:bCs/>
          <w:sz w:val="28"/>
          <w:szCs w:val="28"/>
        </w:rPr>
        <w:t>Université Ibn Badis de Mostaganem</w:t>
      </w:r>
    </w:p>
    <w:p w:rsidR="00173FD6" w:rsidRPr="00CF4DF4" w:rsidRDefault="00173FD6" w:rsidP="00173FD6">
      <w:pPr>
        <w:spacing w:after="0" w:line="360" w:lineRule="auto"/>
        <w:jc w:val="center"/>
        <w:rPr>
          <w:rFonts w:asciiTheme="majorBidi" w:hAnsiTheme="majorBidi" w:cstheme="majorBidi"/>
          <w:b/>
          <w:bCs/>
          <w:sz w:val="24"/>
          <w:szCs w:val="24"/>
        </w:rPr>
      </w:pPr>
      <w:r w:rsidRPr="00CF4DF4">
        <w:rPr>
          <w:rFonts w:asciiTheme="majorBidi" w:hAnsiTheme="majorBidi" w:cstheme="majorBidi"/>
          <w:b/>
          <w:bCs/>
          <w:sz w:val="24"/>
          <w:szCs w:val="24"/>
        </w:rPr>
        <w:t>Faculté des L</w:t>
      </w:r>
      <w:r>
        <w:rPr>
          <w:rFonts w:asciiTheme="majorBidi" w:hAnsiTheme="majorBidi" w:cstheme="majorBidi"/>
          <w:b/>
          <w:bCs/>
          <w:sz w:val="24"/>
          <w:szCs w:val="24"/>
        </w:rPr>
        <w:t>angues</w:t>
      </w:r>
      <w:r w:rsidRPr="00CF4DF4">
        <w:rPr>
          <w:rFonts w:asciiTheme="majorBidi" w:hAnsiTheme="majorBidi" w:cstheme="majorBidi"/>
          <w:b/>
          <w:bCs/>
          <w:sz w:val="24"/>
          <w:szCs w:val="24"/>
        </w:rPr>
        <w:t xml:space="preserve"> </w:t>
      </w:r>
      <w:r>
        <w:rPr>
          <w:rFonts w:asciiTheme="majorBidi" w:hAnsiTheme="majorBidi" w:cstheme="majorBidi"/>
          <w:b/>
          <w:bCs/>
          <w:sz w:val="24"/>
          <w:szCs w:val="24"/>
        </w:rPr>
        <w:t>Etrangères</w:t>
      </w:r>
    </w:p>
    <w:p w:rsidR="00BC086A" w:rsidRPr="00CF4DF4" w:rsidRDefault="00BC086A" w:rsidP="00BC086A">
      <w:pPr>
        <w:autoSpaceDE w:val="0"/>
        <w:autoSpaceDN w:val="0"/>
        <w:adjustRightInd w:val="0"/>
        <w:spacing w:after="0" w:line="360" w:lineRule="auto"/>
        <w:jc w:val="center"/>
        <w:rPr>
          <w:rFonts w:ascii="Times New Roman" w:hAnsi="Times New Roman"/>
          <w:b/>
          <w:bCs/>
          <w:sz w:val="24"/>
          <w:szCs w:val="24"/>
        </w:rPr>
      </w:pPr>
      <w:r w:rsidRPr="00CF4DF4">
        <w:rPr>
          <w:rFonts w:ascii="Times New Roman" w:hAnsi="Times New Roman"/>
          <w:b/>
          <w:bCs/>
          <w:sz w:val="24"/>
          <w:szCs w:val="24"/>
        </w:rPr>
        <w:t>Département de Français</w:t>
      </w:r>
    </w:p>
    <w:p w:rsidR="00BC086A" w:rsidRPr="00CF4DF4" w:rsidRDefault="00BC086A" w:rsidP="00BC086A">
      <w:pPr>
        <w:spacing w:after="0" w:line="360" w:lineRule="auto"/>
        <w:jc w:val="center"/>
      </w:pPr>
      <w:r w:rsidRPr="00CF4DF4">
        <w:rPr>
          <w:rFonts w:ascii="Times New Roman" w:hAnsi="Times New Roman"/>
          <w:b/>
          <w:bCs/>
          <w:sz w:val="24"/>
          <w:szCs w:val="24"/>
        </w:rPr>
        <w:t>École Doctorale de Français</w:t>
      </w:r>
    </w:p>
    <w:p w:rsidR="006A4EED" w:rsidRPr="00CF4DF4" w:rsidRDefault="00BC086A" w:rsidP="00BC086A">
      <w:pPr>
        <w:spacing w:after="0" w:line="360" w:lineRule="auto"/>
        <w:jc w:val="center"/>
        <w:rPr>
          <w:rFonts w:ascii="Times New Roman" w:hAnsi="Times New Roman"/>
          <w:sz w:val="2"/>
          <w:szCs w:val="2"/>
        </w:rPr>
      </w:pPr>
      <w:r w:rsidRPr="00BC086A">
        <w:rPr>
          <w:noProof/>
          <w:lang w:eastAsia="fr-FR"/>
        </w:rPr>
        <w:drawing>
          <wp:inline distT="0" distB="0" distL="0" distR="0">
            <wp:extent cx="1743075" cy="1205668"/>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746797" cy="1208242"/>
                    </a:xfrm>
                    <a:prstGeom prst="rect">
                      <a:avLst/>
                    </a:prstGeom>
                    <a:noFill/>
                    <a:ln w="9525">
                      <a:noFill/>
                      <a:miter lim="800000"/>
                      <a:headEnd/>
                      <a:tailEnd/>
                    </a:ln>
                  </pic:spPr>
                </pic:pic>
              </a:graphicData>
            </a:graphic>
          </wp:inline>
        </w:drawing>
      </w:r>
      <w:r w:rsidR="00D27910" w:rsidRPr="00D27910">
        <w:rPr>
          <w:rFonts w:ascii="Times New Roman" w:hAnsi="Times New Roman"/>
          <w:b/>
          <w:bCs/>
          <w:noProof/>
          <w:sz w:val="24"/>
          <w:szCs w:val="24"/>
          <w:lang w:eastAsia="fr-FR"/>
        </w:rPr>
        <w:pict>
          <v:group id="Group 15" o:spid="_x0000_s1108" style="position:absolute;left:0;text-align:left;margin-left:-.65pt;margin-top:-32.55pt;width:596.55pt;height:841.95pt;z-index:-251622400;mso-position-horizontal-relative:page;mso-position-vertical-relative:page" coordsize="12240,15840" o:allowincell="f">
            <v:rect id="Rectangle 16" o:spid="_x0000_s1109" style="position:absolute;width:12240;height:15840;visibility:visible" stroked="f">
              <v:fill color2="black" rotate="t" focus="50%" type="gradient"/>
            </v:rect>
            <v:rect id="_x0000_s1110" style="position:absolute;left:612;top:638;width:11016;height:14564;visibility:visible" stroked="f">
              <v:fill rotate="t" focus="50%" type="gradient"/>
              <v:textbox style="mso-next-textbox:#_x0000_s1110">
                <w:txbxContent>
                  <w:p w:rsidR="006C092A" w:rsidRDefault="006C092A" w:rsidP="00B57559">
                    <w:pPr>
                      <w:jc w:val="center"/>
                      <w:rPr>
                        <w:rFonts w:ascii="Times New Roman" w:hAnsi="Times New Roman"/>
                        <w:b/>
                        <w:bCs/>
                        <w:sz w:val="28"/>
                        <w:szCs w:val="28"/>
                      </w:rPr>
                    </w:pPr>
                  </w:p>
                  <w:p w:rsidR="006C092A" w:rsidRPr="00F43629" w:rsidRDefault="006C092A" w:rsidP="00B57559">
                    <w:pPr>
                      <w:jc w:val="center"/>
                      <w:rPr>
                        <w:rFonts w:ascii="Times New Roman" w:hAnsi="Times New Roman"/>
                        <w:b/>
                        <w:bCs/>
                        <w:sz w:val="28"/>
                        <w:szCs w:val="28"/>
                      </w:rPr>
                    </w:pPr>
                    <w:r w:rsidRPr="00B57559">
                      <w:rPr>
                        <w:rFonts w:ascii="Times New Roman" w:hAnsi="Times New Roman"/>
                        <w:b/>
                        <w:bCs/>
                        <w:sz w:val="28"/>
                        <w:szCs w:val="28"/>
                      </w:rPr>
                      <w:t>R</w:t>
                    </w:r>
                    <w:r w:rsidRPr="00F43629">
                      <w:rPr>
                        <w:rFonts w:ascii="Times New Roman" w:hAnsi="Times New Roman"/>
                        <w:b/>
                        <w:bCs/>
                        <w:sz w:val="28"/>
                        <w:szCs w:val="28"/>
                      </w:rPr>
                      <w:t>ÉPUBLIQUE  ALGÉRIENNE  DÉMOCRATIQUE ET POPULAIRE</w:t>
                    </w:r>
                  </w:p>
                  <w:p w:rsidR="006C092A" w:rsidRPr="00F43629" w:rsidRDefault="006C092A" w:rsidP="00B57559">
                    <w:pPr>
                      <w:jc w:val="center"/>
                      <w:rPr>
                        <w:rFonts w:ascii="Times New Roman" w:hAnsi="Times New Roman"/>
                        <w:b/>
                        <w:bCs/>
                        <w:sz w:val="28"/>
                        <w:szCs w:val="28"/>
                      </w:rPr>
                    </w:pPr>
                    <w:r w:rsidRPr="00F43629">
                      <w:rPr>
                        <w:rFonts w:ascii="Times New Roman" w:hAnsi="Times New Roman"/>
                        <w:b/>
                        <w:bCs/>
                        <w:sz w:val="28"/>
                        <w:szCs w:val="28"/>
                      </w:rPr>
                      <w:t>Ministère de l’Enseignement Supérieur et de la Recherche Scientifique</w:t>
                    </w:r>
                  </w:p>
                  <w:p w:rsidR="006C092A" w:rsidRPr="00B57559" w:rsidRDefault="006C092A" w:rsidP="00B57559">
                    <w:pPr>
                      <w:jc w:val="center"/>
                      <w:rPr>
                        <w:rFonts w:ascii="Times New Roman" w:hAnsi="Times New Roman"/>
                        <w:b/>
                        <w:bCs/>
                        <w:sz w:val="40"/>
                        <w:szCs w:val="40"/>
                      </w:rPr>
                    </w:pPr>
                  </w:p>
                </w:txbxContent>
              </v:textbox>
            </v:rect>
            <w10:wrap anchorx="page" anchory="page"/>
          </v:group>
        </w:pict>
      </w:r>
    </w:p>
    <w:p w:rsidR="002C381D" w:rsidRDefault="002C381D" w:rsidP="006A4EED">
      <w:pPr>
        <w:spacing w:after="0" w:line="240" w:lineRule="auto"/>
        <w:jc w:val="center"/>
        <w:rPr>
          <w:rFonts w:ascii="Times New Roman" w:hAnsi="Times New Roman"/>
        </w:rPr>
      </w:pPr>
    </w:p>
    <w:p w:rsidR="00B57559" w:rsidRDefault="00B57559" w:rsidP="006A4EED">
      <w:pPr>
        <w:spacing w:after="0" w:line="240" w:lineRule="auto"/>
        <w:jc w:val="center"/>
        <w:rPr>
          <w:rFonts w:ascii="Times New Roman" w:hAnsi="Times New Roman"/>
        </w:rPr>
      </w:pPr>
    </w:p>
    <w:p w:rsidR="006A4EED" w:rsidRPr="005732FC" w:rsidRDefault="006A4EED" w:rsidP="006A4EED">
      <w:pPr>
        <w:spacing w:after="0" w:line="240" w:lineRule="auto"/>
        <w:jc w:val="center"/>
        <w:rPr>
          <w:rFonts w:ascii="Times New Roman" w:hAnsi="Times New Roman"/>
          <w:b/>
          <w:sz w:val="36"/>
          <w:szCs w:val="36"/>
        </w:rPr>
      </w:pPr>
      <w:r w:rsidRPr="005732FC">
        <w:rPr>
          <w:rFonts w:ascii="Times New Roman" w:hAnsi="Times New Roman"/>
          <w:b/>
          <w:sz w:val="36"/>
          <w:szCs w:val="36"/>
        </w:rPr>
        <w:t xml:space="preserve">THÈSE DE DOCTORAT </w:t>
      </w:r>
    </w:p>
    <w:p w:rsidR="006A4EED" w:rsidRPr="005732FC" w:rsidRDefault="006A4EED" w:rsidP="006A4EED">
      <w:pPr>
        <w:spacing w:after="0" w:line="240" w:lineRule="auto"/>
        <w:jc w:val="center"/>
        <w:rPr>
          <w:rFonts w:ascii="Times New Roman" w:hAnsi="Times New Roman"/>
          <w:sz w:val="12"/>
          <w:szCs w:val="12"/>
        </w:rPr>
      </w:pPr>
    </w:p>
    <w:p w:rsidR="006A4EED" w:rsidRPr="00B57559" w:rsidRDefault="006A4EED" w:rsidP="006A4EED">
      <w:pPr>
        <w:spacing w:after="0" w:line="240" w:lineRule="auto"/>
        <w:jc w:val="center"/>
        <w:rPr>
          <w:rFonts w:ascii="Times New Roman" w:hAnsi="Times New Roman"/>
          <w:sz w:val="2"/>
          <w:szCs w:val="2"/>
        </w:rPr>
      </w:pPr>
    </w:p>
    <w:p w:rsidR="006A4EED" w:rsidRPr="005732FC" w:rsidRDefault="006A4EED" w:rsidP="006A4EED">
      <w:pPr>
        <w:spacing w:after="0" w:line="240" w:lineRule="auto"/>
        <w:jc w:val="center"/>
        <w:rPr>
          <w:rFonts w:ascii="Times New Roman" w:hAnsi="Times New Roman"/>
          <w:b/>
          <w:bCs/>
        </w:rPr>
      </w:pPr>
      <w:r w:rsidRPr="005732FC">
        <w:rPr>
          <w:rFonts w:ascii="Times New Roman" w:hAnsi="Times New Roman"/>
          <w:b/>
          <w:bCs/>
        </w:rPr>
        <w:t>Option : Sciences des textes littéraires</w:t>
      </w:r>
    </w:p>
    <w:p w:rsidR="006A4EED" w:rsidRPr="005732FC" w:rsidRDefault="006A4EED" w:rsidP="006A4EED">
      <w:pPr>
        <w:spacing w:after="0" w:line="240" w:lineRule="auto"/>
        <w:rPr>
          <w:rFonts w:ascii="Times New Roman" w:hAnsi="Times New Roman"/>
        </w:rPr>
      </w:pPr>
    </w:p>
    <w:p w:rsidR="004B302D" w:rsidRDefault="004B302D" w:rsidP="006A4EED">
      <w:pPr>
        <w:shd w:val="clear" w:color="auto" w:fill="D9D9D9"/>
        <w:spacing w:after="0"/>
        <w:jc w:val="center"/>
        <w:rPr>
          <w:rFonts w:ascii="Arial" w:eastAsia="Times New Roman" w:hAnsi="Arial" w:cs="Arial"/>
          <w:b/>
          <w:sz w:val="32"/>
          <w:szCs w:val="32"/>
        </w:rPr>
      </w:pPr>
    </w:p>
    <w:p w:rsidR="006A4EED" w:rsidRPr="005732FC" w:rsidRDefault="004B302D" w:rsidP="00EF0E37">
      <w:pPr>
        <w:shd w:val="clear" w:color="auto" w:fill="D9D9D9"/>
        <w:spacing w:after="0"/>
        <w:jc w:val="center"/>
        <w:rPr>
          <w:rFonts w:ascii="Times New Roman" w:eastAsia="Times New Roman" w:hAnsi="Times New Roman"/>
          <w:b/>
          <w:smallCaps/>
          <w:sz w:val="32"/>
          <w:szCs w:val="32"/>
        </w:rPr>
      </w:pPr>
      <w:r>
        <w:rPr>
          <w:rFonts w:ascii="Times New Roman" w:eastAsia="Times New Roman" w:hAnsi="Times New Roman"/>
          <w:b/>
          <w:smallCaps/>
          <w:sz w:val="32"/>
          <w:szCs w:val="32"/>
        </w:rPr>
        <w:t>APPORTS NARRATOLOGI</w:t>
      </w:r>
      <w:r w:rsidRPr="000A68A7">
        <w:rPr>
          <w:rFonts w:ascii="Times New Roman" w:eastAsia="Times New Roman" w:hAnsi="Times New Roman"/>
          <w:b/>
          <w:smallCaps/>
          <w:sz w:val="32"/>
          <w:szCs w:val="32"/>
        </w:rPr>
        <w:t>QUE</w:t>
      </w:r>
      <w:r>
        <w:rPr>
          <w:rFonts w:ascii="Times New Roman" w:eastAsia="Times New Roman" w:hAnsi="Times New Roman"/>
          <w:b/>
          <w:smallCaps/>
          <w:sz w:val="32"/>
          <w:szCs w:val="32"/>
        </w:rPr>
        <w:t xml:space="preserve"> ET S</w:t>
      </w:r>
      <w:r w:rsidR="00EF0E37">
        <w:rPr>
          <w:rFonts w:ascii="Times New Roman" w:eastAsia="Times New Roman" w:hAnsi="Times New Roman"/>
          <w:b/>
          <w:smallCaps/>
          <w:sz w:val="32"/>
          <w:szCs w:val="32"/>
        </w:rPr>
        <w:t>É</w:t>
      </w:r>
      <w:r>
        <w:rPr>
          <w:rFonts w:ascii="Times New Roman" w:eastAsia="Times New Roman" w:hAnsi="Times New Roman"/>
          <w:b/>
          <w:smallCaps/>
          <w:sz w:val="32"/>
          <w:szCs w:val="32"/>
        </w:rPr>
        <w:t>MIOT</w:t>
      </w:r>
      <w:r w:rsidRPr="00EB7333">
        <w:rPr>
          <w:rFonts w:ascii="Times New Roman" w:eastAsia="Times New Roman" w:hAnsi="Times New Roman"/>
          <w:b/>
          <w:smallCaps/>
          <w:sz w:val="32"/>
          <w:szCs w:val="32"/>
        </w:rPr>
        <w:t>IQUE</w:t>
      </w:r>
      <w:r w:rsidR="006A4EED" w:rsidRPr="005732FC">
        <w:rPr>
          <w:rFonts w:ascii="Times New Roman" w:eastAsia="Times New Roman" w:hAnsi="Times New Roman"/>
          <w:b/>
          <w:smallCaps/>
          <w:sz w:val="32"/>
          <w:szCs w:val="32"/>
        </w:rPr>
        <w:t xml:space="preserve"> DANS L’ÉCRITURE DRAMATIQUE</w:t>
      </w:r>
    </w:p>
    <w:p w:rsidR="004B302D" w:rsidRDefault="004B302D" w:rsidP="008401A3">
      <w:pPr>
        <w:shd w:val="clear" w:color="auto" w:fill="D9D9D9"/>
        <w:spacing w:after="0"/>
        <w:jc w:val="center"/>
        <w:rPr>
          <w:rFonts w:ascii="Times New Roman" w:eastAsia="Times New Roman" w:hAnsi="Times New Roman"/>
          <w:sz w:val="32"/>
          <w:szCs w:val="32"/>
        </w:rPr>
      </w:pPr>
      <w:r>
        <w:rPr>
          <w:rFonts w:ascii="Times New Roman" w:eastAsia="Times New Roman" w:hAnsi="Times New Roman"/>
          <w:sz w:val="32"/>
          <w:szCs w:val="32"/>
        </w:rPr>
        <w:t xml:space="preserve">Le cas de </w:t>
      </w:r>
    </w:p>
    <w:p w:rsidR="004B302D" w:rsidRDefault="004B302D" w:rsidP="008401A3">
      <w:pPr>
        <w:shd w:val="clear" w:color="auto" w:fill="D9D9D9"/>
        <w:spacing w:after="0"/>
        <w:jc w:val="center"/>
        <w:rPr>
          <w:rFonts w:ascii="Times New Roman" w:eastAsia="Times New Roman" w:hAnsi="Times New Roman"/>
          <w:sz w:val="32"/>
          <w:szCs w:val="32"/>
        </w:rPr>
      </w:pPr>
      <w:r>
        <w:rPr>
          <w:rFonts w:ascii="Times New Roman" w:eastAsia="Times New Roman" w:hAnsi="Times New Roman"/>
          <w:i/>
          <w:iCs/>
          <w:sz w:val="32"/>
          <w:szCs w:val="32"/>
        </w:rPr>
        <w:t>B</w:t>
      </w:r>
      <w:r w:rsidRPr="004B302D">
        <w:rPr>
          <w:rFonts w:ascii="Times New Roman" w:eastAsia="Times New Roman" w:hAnsi="Times New Roman"/>
          <w:i/>
          <w:iCs/>
          <w:sz w:val="32"/>
          <w:szCs w:val="32"/>
        </w:rPr>
        <w:t>arabbas</w:t>
      </w:r>
      <w:r w:rsidR="006A4EED" w:rsidRPr="005732FC">
        <w:rPr>
          <w:rFonts w:ascii="Times New Roman" w:eastAsia="Times New Roman" w:hAnsi="Times New Roman"/>
          <w:sz w:val="32"/>
          <w:szCs w:val="32"/>
        </w:rPr>
        <w:t xml:space="preserve"> de Michel de </w:t>
      </w:r>
      <w:r w:rsidRPr="005732FC">
        <w:rPr>
          <w:rFonts w:ascii="Times New Roman" w:eastAsia="Times New Roman" w:hAnsi="Times New Roman"/>
          <w:sz w:val="32"/>
          <w:szCs w:val="32"/>
        </w:rPr>
        <w:t xml:space="preserve">GHELDERODE </w:t>
      </w:r>
    </w:p>
    <w:p w:rsidR="004B302D" w:rsidRDefault="004B302D" w:rsidP="004B302D">
      <w:pPr>
        <w:shd w:val="clear" w:color="auto" w:fill="D9D9D9"/>
        <w:spacing w:after="0"/>
        <w:jc w:val="center"/>
        <w:rPr>
          <w:rFonts w:ascii="Times New Roman" w:eastAsia="Times New Roman" w:hAnsi="Times New Roman"/>
          <w:sz w:val="32"/>
          <w:szCs w:val="32"/>
        </w:rPr>
      </w:pPr>
      <w:proofErr w:type="gramStart"/>
      <w:r>
        <w:rPr>
          <w:rFonts w:ascii="Times New Roman" w:eastAsia="Times New Roman" w:hAnsi="Times New Roman"/>
          <w:sz w:val="32"/>
          <w:szCs w:val="32"/>
        </w:rPr>
        <w:t>e</w:t>
      </w:r>
      <w:r w:rsidR="006A4EED" w:rsidRPr="005732FC">
        <w:rPr>
          <w:rFonts w:ascii="Times New Roman" w:eastAsia="Times New Roman" w:hAnsi="Times New Roman"/>
          <w:sz w:val="32"/>
          <w:szCs w:val="32"/>
        </w:rPr>
        <w:t>t</w:t>
      </w:r>
      <w:proofErr w:type="gramEnd"/>
      <w:r>
        <w:rPr>
          <w:rFonts w:ascii="Times New Roman" w:eastAsia="Times New Roman" w:hAnsi="Times New Roman"/>
          <w:sz w:val="32"/>
          <w:szCs w:val="32"/>
        </w:rPr>
        <w:t xml:space="preserve"> </w:t>
      </w:r>
    </w:p>
    <w:p w:rsidR="006A4EED" w:rsidRPr="004B302D" w:rsidRDefault="004B302D" w:rsidP="004B302D">
      <w:pPr>
        <w:shd w:val="clear" w:color="auto" w:fill="D9D9D9"/>
        <w:spacing w:after="0"/>
        <w:jc w:val="center"/>
        <w:rPr>
          <w:rFonts w:ascii="Times New Roman" w:eastAsia="Times New Roman" w:hAnsi="Times New Roman"/>
          <w:sz w:val="32"/>
          <w:szCs w:val="32"/>
        </w:rPr>
      </w:pPr>
      <w:r>
        <w:rPr>
          <w:rFonts w:ascii="Times New Roman" w:eastAsia="Times New Roman" w:hAnsi="Times New Roman"/>
          <w:i/>
          <w:iCs/>
          <w:sz w:val="32"/>
          <w:szCs w:val="32"/>
        </w:rPr>
        <w:t>L</w:t>
      </w:r>
      <w:r w:rsidRPr="004B302D">
        <w:rPr>
          <w:rFonts w:ascii="Times New Roman" w:eastAsia="Times New Roman" w:hAnsi="Times New Roman"/>
          <w:i/>
          <w:iCs/>
          <w:sz w:val="32"/>
          <w:szCs w:val="32"/>
        </w:rPr>
        <w:t>e porteur d’eau et les marabouts</w:t>
      </w:r>
      <w:r>
        <w:rPr>
          <w:rFonts w:ascii="Times New Roman" w:eastAsia="Times New Roman" w:hAnsi="Times New Roman"/>
          <w:sz w:val="32"/>
          <w:szCs w:val="32"/>
        </w:rPr>
        <w:t xml:space="preserve"> </w:t>
      </w:r>
      <w:proofErr w:type="gramStart"/>
      <w:r w:rsidR="006A4EED" w:rsidRPr="005732FC">
        <w:rPr>
          <w:rFonts w:ascii="Times New Roman" w:eastAsia="Times New Roman" w:hAnsi="Times New Roman"/>
          <w:sz w:val="32"/>
          <w:szCs w:val="32"/>
        </w:rPr>
        <w:t>de Ould</w:t>
      </w:r>
      <w:proofErr w:type="gramEnd"/>
      <w:r w:rsidR="006A4EED" w:rsidRPr="005732FC">
        <w:rPr>
          <w:rFonts w:ascii="Times New Roman" w:eastAsia="Times New Roman" w:hAnsi="Times New Roman"/>
          <w:sz w:val="32"/>
          <w:szCs w:val="32"/>
        </w:rPr>
        <w:t xml:space="preserve"> Abderahmane K</w:t>
      </w:r>
      <w:r>
        <w:rPr>
          <w:rFonts w:ascii="Times New Roman" w:eastAsia="Times New Roman" w:hAnsi="Times New Roman"/>
          <w:sz w:val="32"/>
          <w:szCs w:val="32"/>
        </w:rPr>
        <w:t>AKI</w:t>
      </w:r>
      <w:r w:rsidR="006A4EED" w:rsidRPr="005E58D9">
        <w:rPr>
          <w:rFonts w:ascii="Arial Gras" w:eastAsia="Times New Roman" w:hAnsi="Arial Gras" w:cs="Arial"/>
          <w:sz w:val="28"/>
          <w:szCs w:val="28"/>
        </w:rPr>
        <w:t xml:space="preserve"> </w:t>
      </w:r>
    </w:p>
    <w:p w:rsidR="00B57559" w:rsidRPr="001D7484" w:rsidRDefault="00B57559" w:rsidP="001D7484">
      <w:pPr>
        <w:spacing w:after="0" w:line="360" w:lineRule="auto"/>
        <w:jc w:val="center"/>
        <w:rPr>
          <w:rFonts w:ascii="Times New Roman" w:eastAsia="Times New Roman" w:hAnsi="Times New Roman"/>
          <w:b/>
          <w:sz w:val="20"/>
          <w:szCs w:val="20"/>
        </w:rPr>
      </w:pPr>
    </w:p>
    <w:p w:rsidR="00C31E24" w:rsidRDefault="00B57559" w:rsidP="00650A3A">
      <w:pPr>
        <w:spacing w:after="0" w:line="240" w:lineRule="auto"/>
        <w:jc w:val="center"/>
        <w:rPr>
          <w:rFonts w:ascii="Times New Roman" w:eastAsia="Times New Roman" w:hAnsi="Times New Roman"/>
          <w:b/>
          <w:sz w:val="24"/>
          <w:szCs w:val="24"/>
        </w:rPr>
      </w:pPr>
      <w:r w:rsidRPr="00650A3A">
        <w:rPr>
          <w:rFonts w:ascii="Times New Roman" w:eastAsia="Times New Roman" w:hAnsi="Times New Roman"/>
          <w:b/>
          <w:sz w:val="24"/>
          <w:szCs w:val="24"/>
        </w:rPr>
        <w:t>Présentée par KHELFAOUI Benaoumeur</w:t>
      </w:r>
    </w:p>
    <w:p w:rsidR="001D7484" w:rsidRPr="001D7484" w:rsidRDefault="001D7484" w:rsidP="00650A3A">
      <w:pPr>
        <w:spacing w:after="0" w:line="240" w:lineRule="auto"/>
        <w:jc w:val="center"/>
        <w:rPr>
          <w:rFonts w:ascii="Times New Roman" w:eastAsia="Times New Roman" w:hAnsi="Times New Roman"/>
          <w:b/>
          <w:sz w:val="14"/>
          <w:szCs w:val="14"/>
        </w:rPr>
      </w:pPr>
    </w:p>
    <w:p w:rsidR="001D7484" w:rsidRPr="00650A3A" w:rsidRDefault="001D7484" w:rsidP="00650A3A">
      <w:pPr>
        <w:spacing w:after="0" w:line="240" w:lineRule="auto"/>
        <w:jc w:val="center"/>
        <w:rPr>
          <w:rFonts w:ascii="Times New Roman" w:eastAsia="Times New Roman" w:hAnsi="Times New Roman"/>
          <w:b/>
          <w:sz w:val="24"/>
          <w:szCs w:val="24"/>
        </w:rPr>
      </w:pPr>
      <w:r w:rsidRPr="00FB5E4F">
        <w:rPr>
          <w:rFonts w:ascii="Times New Roman" w:eastAsia="Times New Roman" w:hAnsi="Times New Roman"/>
          <w:b/>
          <w:sz w:val="26"/>
          <w:szCs w:val="26"/>
        </w:rPr>
        <w:t xml:space="preserve">Sous la direction du </w:t>
      </w:r>
      <w:r>
        <w:rPr>
          <w:rFonts w:ascii="Times New Roman" w:eastAsia="Times New Roman" w:hAnsi="Times New Roman"/>
          <w:b/>
          <w:sz w:val="26"/>
          <w:szCs w:val="26"/>
        </w:rPr>
        <w:t>Pr.</w:t>
      </w:r>
      <w:r w:rsidRPr="00FB5E4F">
        <w:rPr>
          <w:rFonts w:ascii="Times New Roman" w:eastAsia="Times New Roman" w:hAnsi="Times New Roman"/>
          <w:b/>
          <w:sz w:val="26"/>
          <w:szCs w:val="26"/>
        </w:rPr>
        <w:t xml:space="preserve"> SARI Mohamed Latifa,</w:t>
      </w:r>
      <w:r>
        <w:rPr>
          <w:rFonts w:ascii="Times New Roman" w:eastAsia="Times New Roman" w:hAnsi="Times New Roman"/>
          <w:b/>
          <w:sz w:val="26"/>
          <w:szCs w:val="26"/>
        </w:rPr>
        <w:t xml:space="preserve"> </w:t>
      </w:r>
      <w:r w:rsidRPr="00FB5E4F">
        <w:rPr>
          <w:rFonts w:ascii="Times New Roman" w:eastAsia="Times New Roman" w:hAnsi="Times New Roman"/>
          <w:b/>
          <w:sz w:val="26"/>
          <w:szCs w:val="26"/>
        </w:rPr>
        <w:t>Université Abou Bakr Belkaid Tlemcen</w:t>
      </w:r>
    </w:p>
    <w:p w:rsidR="00EF0E37" w:rsidRDefault="00EF0E37" w:rsidP="00FB5E4F">
      <w:pPr>
        <w:spacing w:after="0" w:line="240" w:lineRule="auto"/>
        <w:rPr>
          <w:rFonts w:ascii="Times New Roman" w:eastAsia="Times New Roman" w:hAnsi="Times New Roman"/>
          <w:b/>
          <w:sz w:val="26"/>
          <w:szCs w:val="26"/>
        </w:rPr>
      </w:pPr>
    </w:p>
    <w:p w:rsidR="00C31E24" w:rsidRPr="00C31E24" w:rsidRDefault="001D7484" w:rsidP="006C092A">
      <w:pPr>
        <w:tabs>
          <w:tab w:val="center" w:pos="4251"/>
        </w:tabs>
        <w:spacing w:after="0" w:line="240" w:lineRule="auto"/>
        <w:rPr>
          <w:rFonts w:ascii="Times New Roman" w:eastAsia="Times New Roman" w:hAnsi="Times New Roman"/>
          <w:b/>
          <w:sz w:val="6"/>
          <w:szCs w:val="6"/>
          <w:u w:val="single"/>
        </w:rPr>
      </w:pPr>
      <w:r>
        <w:rPr>
          <w:rFonts w:ascii="Arial" w:eastAsia="Times New Roman" w:hAnsi="Arial" w:cs="Arial"/>
          <w:b/>
          <w:sz w:val="28"/>
          <w:szCs w:val="28"/>
        </w:rPr>
        <w:tab/>
      </w:r>
    </w:p>
    <w:tbl>
      <w:tblPr>
        <w:tblW w:w="8613" w:type="dxa"/>
        <w:tblLayout w:type="fixed"/>
        <w:tblLook w:val="04A0"/>
      </w:tblPr>
      <w:tblGrid>
        <w:gridCol w:w="1898"/>
        <w:gridCol w:w="6715"/>
      </w:tblGrid>
      <w:tr w:rsidR="005553EA" w:rsidRPr="00B01A0F" w:rsidTr="005553EA">
        <w:trPr>
          <w:trHeight w:val="800"/>
        </w:trPr>
        <w:tc>
          <w:tcPr>
            <w:tcW w:w="8613" w:type="dxa"/>
            <w:gridSpan w:val="2"/>
          </w:tcPr>
          <w:p w:rsidR="005553EA" w:rsidRPr="005553EA" w:rsidRDefault="005553EA" w:rsidP="005553EA">
            <w:pPr>
              <w:spacing w:after="0"/>
              <w:rPr>
                <w:rFonts w:ascii="Times New Roman" w:eastAsia="Times New Roman" w:hAnsi="Times New Roman"/>
                <w:b/>
                <w:u w:val="single"/>
              </w:rPr>
            </w:pPr>
            <w:r w:rsidRPr="005553EA">
              <w:rPr>
                <w:rFonts w:ascii="Times New Roman" w:eastAsia="Times New Roman" w:hAnsi="Times New Roman"/>
                <w:b/>
                <w:u w:val="single"/>
              </w:rPr>
              <w:t>Membres du jury :</w:t>
            </w:r>
          </w:p>
          <w:p w:rsidR="005553EA" w:rsidRPr="005553EA" w:rsidRDefault="005553EA" w:rsidP="005553EA">
            <w:pPr>
              <w:spacing w:after="0"/>
              <w:rPr>
                <w:rFonts w:ascii="Times New Roman" w:eastAsia="Times New Roman" w:hAnsi="Times New Roman"/>
                <w:b/>
                <w:sz w:val="16"/>
                <w:szCs w:val="16"/>
                <w:u w:val="single"/>
              </w:rPr>
            </w:pPr>
          </w:p>
          <w:p w:rsidR="005553EA" w:rsidRDefault="005553EA" w:rsidP="005553EA">
            <w:pPr>
              <w:spacing w:after="0"/>
              <w:rPr>
                <w:rFonts w:ascii="Times New Roman" w:eastAsia="Times New Roman" w:hAnsi="Times New Roman"/>
                <w:b/>
              </w:rPr>
            </w:pPr>
            <w:r w:rsidRPr="005553EA">
              <w:rPr>
                <w:rFonts w:ascii="Times New Roman" w:eastAsia="Times New Roman" w:hAnsi="Times New Roman"/>
                <w:b/>
              </w:rPr>
              <w:t xml:space="preserve">Président : </w:t>
            </w:r>
            <w:r w:rsidRPr="005553EA">
              <w:rPr>
                <w:rFonts w:ascii="Times New Roman" w:eastAsia="Times New Roman" w:hAnsi="Times New Roman"/>
                <w:bCs/>
              </w:rPr>
              <w:t>.........</w:t>
            </w:r>
            <w:r>
              <w:rPr>
                <w:rFonts w:ascii="Times New Roman" w:eastAsia="Times New Roman" w:hAnsi="Times New Roman"/>
                <w:bCs/>
              </w:rPr>
              <w:t>.....</w:t>
            </w:r>
            <w:r w:rsidRPr="005553EA">
              <w:rPr>
                <w:rFonts w:ascii="Times New Roman" w:eastAsia="Times New Roman" w:hAnsi="Times New Roman"/>
                <w:bCs/>
              </w:rPr>
              <w:t>.</w:t>
            </w:r>
            <w:r w:rsidRPr="005553EA">
              <w:rPr>
                <w:rFonts w:ascii="Times New Roman" w:eastAsia="Times New Roman" w:hAnsi="Times New Roman"/>
                <w:b/>
              </w:rPr>
              <w:t>BECHELAGHEM Samira</w:t>
            </w:r>
            <w:r>
              <w:rPr>
                <w:rFonts w:ascii="Times New Roman" w:eastAsia="Times New Roman" w:hAnsi="Times New Roman"/>
                <w:b/>
              </w:rPr>
              <w:t xml:space="preserve">               Pr       Université de Mostaganem</w:t>
            </w:r>
          </w:p>
          <w:p w:rsidR="005553EA" w:rsidRDefault="005553EA" w:rsidP="005553EA">
            <w:pPr>
              <w:spacing w:after="0"/>
              <w:rPr>
                <w:rFonts w:ascii="Times New Roman" w:eastAsia="Times New Roman" w:hAnsi="Times New Roman"/>
                <w:b/>
              </w:rPr>
            </w:pPr>
            <w:r>
              <w:rPr>
                <w:rFonts w:ascii="Times New Roman" w:eastAsia="Times New Roman" w:hAnsi="Times New Roman"/>
                <w:b/>
              </w:rPr>
              <w:t>Rapporteur :</w:t>
            </w:r>
            <w:r w:rsidRPr="005553EA">
              <w:rPr>
                <w:rFonts w:ascii="Times New Roman" w:eastAsia="Times New Roman" w:hAnsi="Times New Roman"/>
                <w:bCs/>
              </w:rPr>
              <w:t>........</w:t>
            </w:r>
            <w:r>
              <w:rPr>
                <w:rFonts w:ascii="Times New Roman" w:eastAsia="Times New Roman" w:hAnsi="Times New Roman"/>
                <w:bCs/>
              </w:rPr>
              <w:t>...</w:t>
            </w:r>
            <w:r w:rsidRPr="005553EA">
              <w:rPr>
                <w:rFonts w:ascii="Times New Roman" w:eastAsia="Times New Roman" w:hAnsi="Times New Roman"/>
                <w:bCs/>
              </w:rPr>
              <w:t>.</w:t>
            </w:r>
            <w:r>
              <w:rPr>
                <w:rFonts w:ascii="Times New Roman" w:eastAsia="Times New Roman" w:hAnsi="Times New Roman"/>
                <w:b/>
              </w:rPr>
              <w:t>SARI Mohamed Latifa                      Pr       Université de Tlemcen</w:t>
            </w:r>
          </w:p>
          <w:p w:rsidR="005553EA" w:rsidRDefault="005553EA" w:rsidP="005553EA">
            <w:pPr>
              <w:spacing w:after="0"/>
              <w:rPr>
                <w:rFonts w:ascii="Times New Roman" w:eastAsia="Times New Roman" w:hAnsi="Times New Roman"/>
                <w:b/>
              </w:rPr>
            </w:pPr>
            <w:r>
              <w:rPr>
                <w:rFonts w:ascii="Times New Roman" w:eastAsia="Times New Roman" w:hAnsi="Times New Roman"/>
                <w:b/>
              </w:rPr>
              <w:t>Examinateur 1 :</w:t>
            </w:r>
            <w:r w:rsidRPr="005553EA">
              <w:rPr>
                <w:rFonts w:ascii="Times New Roman" w:eastAsia="Times New Roman" w:hAnsi="Times New Roman"/>
                <w:bCs/>
              </w:rPr>
              <w:t>.......</w:t>
            </w:r>
            <w:r>
              <w:rPr>
                <w:rFonts w:ascii="Times New Roman" w:eastAsia="Times New Roman" w:hAnsi="Times New Roman"/>
                <w:b/>
              </w:rPr>
              <w:t>BENDJELID Fawzia                         Pr       Université d’Oran</w:t>
            </w:r>
          </w:p>
          <w:p w:rsidR="005553EA" w:rsidRDefault="005553EA" w:rsidP="005553EA">
            <w:pPr>
              <w:spacing w:after="0"/>
              <w:rPr>
                <w:rFonts w:ascii="Times New Roman" w:hAnsi="Times New Roman"/>
                <w:b/>
                <w:bCs/>
              </w:rPr>
            </w:pPr>
            <w:r>
              <w:rPr>
                <w:rFonts w:ascii="Times New Roman" w:eastAsia="Times New Roman" w:hAnsi="Times New Roman"/>
                <w:b/>
              </w:rPr>
              <w:t>Examinateur 2 :</w:t>
            </w:r>
            <w:r w:rsidRPr="005553EA">
              <w:rPr>
                <w:rFonts w:ascii="Times New Roman" w:eastAsia="Times New Roman" w:hAnsi="Times New Roman"/>
                <w:bCs/>
              </w:rPr>
              <w:t>.......</w:t>
            </w:r>
            <w:r w:rsidRPr="00C4078E">
              <w:rPr>
                <w:rFonts w:ascii="Times New Roman" w:hAnsi="Times New Roman"/>
                <w:b/>
                <w:bCs/>
              </w:rPr>
              <w:t xml:space="preserve">SAYAD ELBACHIR Hanane </w:t>
            </w:r>
            <w:r>
              <w:rPr>
                <w:rFonts w:ascii="Times New Roman" w:hAnsi="Times New Roman"/>
                <w:b/>
                <w:bCs/>
              </w:rPr>
              <w:t xml:space="preserve">          </w:t>
            </w:r>
            <w:r w:rsidRPr="00C4078E">
              <w:rPr>
                <w:rFonts w:ascii="Times New Roman" w:hAnsi="Times New Roman"/>
                <w:b/>
                <w:bCs/>
              </w:rPr>
              <w:t>MCA Université d’Oran</w:t>
            </w:r>
          </w:p>
          <w:p w:rsidR="005553EA" w:rsidRDefault="005553EA" w:rsidP="005553EA">
            <w:pPr>
              <w:spacing w:after="0"/>
              <w:rPr>
                <w:rFonts w:ascii="Times New Roman" w:hAnsi="Times New Roman"/>
                <w:b/>
                <w:bCs/>
              </w:rPr>
            </w:pPr>
            <w:r>
              <w:rPr>
                <w:rFonts w:ascii="Times New Roman" w:hAnsi="Times New Roman"/>
                <w:b/>
                <w:bCs/>
              </w:rPr>
              <w:t>Examinateur 3 :</w:t>
            </w:r>
            <w:r w:rsidRPr="005553EA">
              <w:rPr>
                <w:rFonts w:ascii="Times New Roman" w:hAnsi="Times New Roman"/>
              </w:rPr>
              <w:t>.....</w:t>
            </w:r>
            <w:r w:rsidRPr="005553EA">
              <w:rPr>
                <w:rFonts w:ascii="Times New Roman" w:eastAsia="Times New Roman" w:hAnsi="Times New Roman"/>
                <w:bCs/>
              </w:rPr>
              <w:t>.</w:t>
            </w:r>
            <w:r w:rsidRPr="00C4078E">
              <w:rPr>
                <w:rFonts w:ascii="Times New Roman" w:eastAsia="Times New Roman" w:hAnsi="Times New Roman"/>
                <w:b/>
                <w:bCs/>
                <w:sz w:val="20"/>
                <w:szCs w:val="20"/>
              </w:rPr>
              <w:t>ROBAI CHORFI Mohamed El</w:t>
            </w:r>
            <w:r>
              <w:rPr>
                <w:rFonts w:ascii="Times New Roman" w:eastAsia="Times New Roman" w:hAnsi="Times New Roman"/>
                <w:b/>
                <w:bCs/>
                <w:sz w:val="20"/>
                <w:szCs w:val="20"/>
              </w:rPr>
              <w:t xml:space="preserve"> </w:t>
            </w:r>
            <w:r w:rsidRPr="00C4078E">
              <w:rPr>
                <w:rFonts w:ascii="Times New Roman" w:eastAsia="Times New Roman" w:hAnsi="Times New Roman"/>
                <w:b/>
                <w:bCs/>
                <w:sz w:val="20"/>
                <w:szCs w:val="20"/>
              </w:rPr>
              <w:t>Amine</w:t>
            </w:r>
            <w:r w:rsidRPr="00C4078E">
              <w:rPr>
                <w:rFonts w:ascii="Arial" w:eastAsia="Times New Roman" w:hAnsi="Arial" w:cs="Arial"/>
                <w:b/>
                <w:bCs/>
                <w:sz w:val="20"/>
                <w:szCs w:val="20"/>
              </w:rPr>
              <w:t xml:space="preserve"> </w:t>
            </w:r>
            <w:r>
              <w:rPr>
                <w:rFonts w:ascii="Arial" w:eastAsia="Times New Roman" w:hAnsi="Arial" w:cs="Arial"/>
                <w:b/>
                <w:bCs/>
                <w:sz w:val="20"/>
                <w:szCs w:val="20"/>
              </w:rPr>
              <w:t xml:space="preserve">  </w:t>
            </w:r>
            <w:r w:rsidRPr="00C4078E">
              <w:rPr>
                <w:rFonts w:ascii="Times New Roman" w:hAnsi="Times New Roman"/>
                <w:b/>
                <w:bCs/>
              </w:rPr>
              <w:t>MCA</w:t>
            </w:r>
            <w:r w:rsidRPr="00343323">
              <w:rPr>
                <w:rFonts w:ascii="Times New Roman" w:hAnsi="Times New Roman"/>
                <w:b/>
                <w:bCs/>
              </w:rPr>
              <w:t xml:space="preserve"> </w:t>
            </w:r>
            <w:r w:rsidRPr="00D0647C">
              <w:rPr>
                <w:rFonts w:ascii="Times New Roman" w:hAnsi="Times New Roman"/>
                <w:b/>
                <w:bCs/>
              </w:rPr>
              <w:t xml:space="preserve">Université </w:t>
            </w:r>
            <w:r>
              <w:rPr>
                <w:rFonts w:ascii="Times New Roman" w:hAnsi="Times New Roman"/>
                <w:b/>
                <w:bCs/>
              </w:rPr>
              <w:t>de Mostaganem</w:t>
            </w:r>
          </w:p>
          <w:p w:rsidR="006C092A" w:rsidRDefault="006C092A" w:rsidP="005553EA">
            <w:pPr>
              <w:spacing w:after="0"/>
              <w:rPr>
                <w:rFonts w:ascii="Times New Roman" w:hAnsi="Times New Roman"/>
                <w:b/>
                <w:bCs/>
              </w:rPr>
            </w:pPr>
          </w:p>
          <w:p w:rsidR="006C092A" w:rsidRPr="005553EA" w:rsidRDefault="006C092A" w:rsidP="005553EA">
            <w:pPr>
              <w:spacing w:after="0"/>
              <w:rPr>
                <w:rFonts w:ascii="Constantia" w:hAnsi="Constantia" w:cs="Bookman Old Style"/>
              </w:rPr>
            </w:pPr>
          </w:p>
        </w:tc>
      </w:tr>
      <w:tr w:rsidR="005553EA" w:rsidRPr="00B01A0F" w:rsidTr="005553EA">
        <w:tc>
          <w:tcPr>
            <w:tcW w:w="1898" w:type="dxa"/>
          </w:tcPr>
          <w:p w:rsidR="005553EA" w:rsidRPr="00EF0E37" w:rsidRDefault="005553EA" w:rsidP="00EF0E37">
            <w:pPr>
              <w:widowControl w:val="0"/>
              <w:adjustRightInd w:val="0"/>
              <w:spacing w:after="0"/>
              <w:rPr>
                <w:rFonts w:ascii="Times New Roman" w:hAnsi="Times New Roman"/>
                <w:b/>
                <w:bCs/>
                <w:sz w:val="24"/>
                <w:szCs w:val="24"/>
              </w:rPr>
            </w:pPr>
          </w:p>
        </w:tc>
        <w:tc>
          <w:tcPr>
            <w:tcW w:w="6715" w:type="dxa"/>
          </w:tcPr>
          <w:p w:rsidR="005553EA" w:rsidRDefault="006C092A" w:rsidP="006C092A">
            <w:pPr>
              <w:spacing w:after="0"/>
              <w:rPr>
                <w:rFonts w:ascii="Times New Roman" w:eastAsia="Times New Roman" w:hAnsi="Times New Roman"/>
                <w:b/>
              </w:rPr>
            </w:pPr>
            <w:r>
              <w:rPr>
                <w:rFonts w:ascii="Times New Roman" w:eastAsia="Times New Roman" w:hAnsi="Times New Roman"/>
                <w:b/>
              </w:rPr>
              <w:t xml:space="preserve">                    Année universitaire</w:t>
            </w:r>
          </w:p>
          <w:p w:rsidR="006C092A" w:rsidRPr="005553EA" w:rsidRDefault="006C092A" w:rsidP="006C092A">
            <w:pPr>
              <w:spacing w:after="0"/>
              <w:rPr>
                <w:rFonts w:ascii="Times New Roman" w:eastAsia="Times New Roman" w:hAnsi="Times New Roman"/>
                <w:b/>
              </w:rPr>
            </w:pPr>
            <w:r>
              <w:rPr>
                <w:rFonts w:ascii="Times New Roman" w:eastAsia="Times New Roman" w:hAnsi="Times New Roman"/>
                <w:b/>
              </w:rPr>
              <w:t xml:space="preserve">                           2016-2017</w:t>
            </w:r>
          </w:p>
        </w:tc>
      </w:tr>
      <w:tr w:rsidR="005553EA" w:rsidRPr="00B01A0F" w:rsidTr="005553EA">
        <w:tc>
          <w:tcPr>
            <w:tcW w:w="1898" w:type="dxa"/>
          </w:tcPr>
          <w:p w:rsidR="005553EA" w:rsidRPr="00EF0E37" w:rsidRDefault="006C092A" w:rsidP="006C092A">
            <w:pPr>
              <w:widowControl w:val="0"/>
              <w:adjustRightInd w:val="0"/>
              <w:spacing w:after="0"/>
              <w:jc w:val="both"/>
              <w:rPr>
                <w:rFonts w:ascii="Times New Roman" w:hAnsi="Times New Roman"/>
                <w:b/>
                <w:bCs/>
                <w:sz w:val="24"/>
                <w:szCs w:val="24"/>
              </w:rPr>
            </w:pPr>
            <w:r>
              <w:rPr>
                <w:rFonts w:ascii="Times New Roman" w:hAnsi="Times New Roman"/>
                <w:b/>
                <w:bCs/>
                <w:sz w:val="24"/>
                <w:szCs w:val="24"/>
              </w:rPr>
              <w:lastRenderedPageBreak/>
              <w:t xml:space="preserve">          </w:t>
            </w:r>
          </w:p>
        </w:tc>
        <w:tc>
          <w:tcPr>
            <w:tcW w:w="6715" w:type="dxa"/>
          </w:tcPr>
          <w:p w:rsidR="005553EA" w:rsidRPr="00DC714A" w:rsidRDefault="005553EA" w:rsidP="006C092A">
            <w:pPr>
              <w:spacing w:after="0" w:line="360" w:lineRule="auto"/>
              <w:jc w:val="center"/>
              <w:rPr>
                <w:rFonts w:ascii="Times New Roman" w:hAnsi="Times New Roman"/>
                <w:b/>
                <w:bCs/>
              </w:rPr>
            </w:pPr>
          </w:p>
        </w:tc>
      </w:tr>
      <w:tr w:rsidR="005553EA" w:rsidRPr="00B01A0F" w:rsidTr="005553EA">
        <w:tc>
          <w:tcPr>
            <w:tcW w:w="1898" w:type="dxa"/>
          </w:tcPr>
          <w:p w:rsidR="005553EA" w:rsidRPr="00EF0E37" w:rsidRDefault="005553EA" w:rsidP="00EF0E37">
            <w:pPr>
              <w:widowControl w:val="0"/>
              <w:adjustRightInd w:val="0"/>
              <w:spacing w:after="0"/>
              <w:rPr>
                <w:rFonts w:ascii="Times New Roman" w:hAnsi="Times New Roman"/>
                <w:b/>
                <w:bCs/>
                <w:sz w:val="24"/>
                <w:szCs w:val="24"/>
              </w:rPr>
            </w:pPr>
          </w:p>
        </w:tc>
        <w:tc>
          <w:tcPr>
            <w:tcW w:w="6715" w:type="dxa"/>
          </w:tcPr>
          <w:p w:rsidR="005553EA" w:rsidRPr="00DC714A" w:rsidRDefault="005553EA" w:rsidP="005553EA">
            <w:pPr>
              <w:spacing w:after="0" w:line="360" w:lineRule="auto"/>
              <w:jc w:val="center"/>
              <w:rPr>
                <w:rFonts w:ascii="Times New Roman" w:hAnsi="Times New Roman"/>
                <w:b/>
                <w:bCs/>
              </w:rPr>
            </w:pPr>
          </w:p>
        </w:tc>
      </w:tr>
      <w:tr w:rsidR="005553EA" w:rsidRPr="00B01A0F" w:rsidTr="005553EA">
        <w:tc>
          <w:tcPr>
            <w:tcW w:w="1898" w:type="dxa"/>
          </w:tcPr>
          <w:p w:rsidR="005553EA" w:rsidRPr="00EF0E37" w:rsidRDefault="005553EA" w:rsidP="00EF0E37">
            <w:pPr>
              <w:widowControl w:val="0"/>
              <w:adjustRightInd w:val="0"/>
              <w:spacing w:after="0"/>
              <w:rPr>
                <w:rFonts w:ascii="Times New Roman" w:hAnsi="Times New Roman"/>
                <w:b/>
                <w:bCs/>
                <w:sz w:val="24"/>
                <w:szCs w:val="24"/>
              </w:rPr>
            </w:pPr>
          </w:p>
        </w:tc>
        <w:tc>
          <w:tcPr>
            <w:tcW w:w="6715" w:type="dxa"/>
          </w:tcPr>
          <w:p w:rsidR="005553EA" w:rsidRPr="00DC714A" w:rsidRDefault="005553EA" w:rsidP="005553EA">
            <w:pPr>
              <w:autoSpaceDE w:val="0"/>
              <w:autoSpaceDN w:val="0"/>
              <w:adjustRightInd w:val="0"/>
              <w:spacing w:after="0"/>
              <w:jc w:val="both"/>
              <w:rPr>
                <w:rFonts w:ascii="Times New Roman" w:hAnsi="Times New Roman"/>
                <w:b/>
                <w:bCs/>
              </w:rPr>
            </w:pPr>
          </w:p>
        </w:tc>
      </w:tr>
      <w:tr w:rsidR="005553EA" w:rsidRPr="00B01A0F" w:rsidTr="005553EA">
        <w:tc>
          <w:tcPr>
            <w:tcW w:w="1898" w:type="dxa"/>
          </w:tcPr>
          <w:p w:rsidR="005553EA" w:rsidRPr="00EF0E37" w:rsidRDefault="005553EA" w:rsidP="00EF0E37">
            <w:pPr>
              <w:widowControl w:val="0"/>
              <w:adjustRightInd w:val="0"/>
              <w:spacing w:after="0"/>
              <w:rPr>
                <w:rFonts w:ascii="Times New Roman" w:hAnsi="Times New Roman"/>
                <w:b/>
                <w:bCs/>
                <w:sz w:val="24"/>
                <w:szCs w:val="24"/>
              </w:rPr>
            </w:pPr>
          </w:p>
        </w:tc>
        <w:tc>
          <w:tcPr>
            <w:tcW w:w="6715" w:type="dxa"/>
          </w:tcPr>
          <w:p w:rsidR="005553EA" w:rsidRPr="00DC714A" w:rsidRDefault="005553EA" w:rsidP="005553EA">
            <w:pPr>
              <w:autoSpaceDE w:val="0"/>
              <w:autoSpaceDN w:val="0"/>
              <w:adjustRightInd w:val="0"/>
              <w:spacing w:after="0"/>
              <w:jc w:val="both"/>
              <w:rPr>
                <w:rFonts w:ascii="Times New Roman,Bold" w:hAnsi="Times New Roman" w:cs="Times New Roman,Bold"/>
                <w:b/>
                <w:bCs/>
              </w:rPr>
            </w:pPr>
          </w:p>
        </w:tc>
      </w:tr>
    </w:tbl>
    <w:p w:rsidR="00EF0E37" w:rsidRPr="00D0647C" w:rsidRDefault="00EF0E37" w:rsidP="00C31E24">
      <w:pPr>
        <w:spacing w:after="0"/>
        <w:rPr>
          <w:rFonts w:ascii="Times New Roman" w:eastAsia="Times New Roman" w:hAnsi="Times New Roman"/>
          <w:b/>
          <w:sz w:val="24"/>
          <w:szCs w:val="24"/>
          <w:u w:val="single"/>
        </w:rPr>
      </w:pPr>
    </w:p>
    <w:p w:rsidR="00C31E24" w:rsidRPr="00D0647C" w:rsidRDefault="00C31E24" w:rsidP="00C31E24">
      <w:pPr>
        <w:spacing w:after="0"/>
        <w:rPr>
          <w:rFonts w:ascii="Times New Roman" w:eastAsia="Times New Roman" w:hAnsi="Times New Roman"/>
          <w:b/>
          <w:sz w:val="16"/>
          <w:szCs w:val="16"/>
        </w:rPr>
      </w:pPr>
    </w:p>
    <w:p w:rsidR="006A4EED" w:rsidRPr="00D0647C" w:rsidRDefault="00C31E24" w:rsidP="00EF0E37">
      <w:pPr>
        <w:autoSpaceDE w:val="0"/>
        <w:autoSpaceDN w:val="0"/>
        <w:adjustRightInd w:val="0"/>
        <w:spacing w:after="0"/>
        <w:rPr>
          <w:rFonts w:ascii="Arial" w:eastAsia="Times New Roman" w:hAnsi="Arial" w:cs="Arial"/>
          <w:b/>
          <w:sz w:val="20"/>
          <w:szCs w:val="20"/>
        </w:rPr>
      </w:pPr>
      <w:r w:rsidRPr="00D0647C">
        <w:rPr>
          <w:rFonts w:ascii="Times New Roman" w:hAnsi="Times New Roman"/>
          <w:b/>
          <w:bCs/>
        </w:rPr>
        <w:t xml:space="preserve">  </w:t>
      </w:r>
      <w:r w:rsidR="006A4EED" w:rsidRPr="00D0647C">
        <w:rPr>
          <w:rFonts w:ascii="Arial" w:eastAsia="Times New Roman" w:hAnsi="Arial" w:cs="Arial"/>
          <w:sz w:val="20"/>
          <w:szCs w:val="20"/>
        </w:rPr>
        <w:t xml:space="preserve">                                                                                                                                         </w:t>
      </w:r>
    </w:p>
    <w:p w:rsidR="00CF4DF4" w:rsidRDefault="006A4EED" w:rsidP="00CF4DF4">
      <w:pPr>
        <w:spacing w:after="0" w:line="360" w:lineRule="auto"/>
        <w:jc w:val="center"/>
      </w:pPr>
      <w:r>
        <w:tab/>
      </w:r>
    </w:p>
    <w:p w:rsidR="006A4EED" w:rsidRPr="005E58D9" w:rsidRDefault="00CF4DF4" w:rsidP="006C092A">
      <w:pPr>
        <w:spacing w:after="0" w:line="360" w:lineRule="auto"/>
        <w:jc w:val="center"/>
      </w:pPr>
      <w:r>
        <w:t xml:space="preserve">               </w:t>
      </w:r>
    </w:p>
    <w:p w:rsidR="006A4EED" w:rsidRPr="005E58D9" w:rsidRDefault="006A4EED" w:rsidP="006A4EED">
      <w:pPr>
        <w:spacing w:before="120" w:after="320"/>
        <w:jc w:val="center"/>
        <w:rPr>
          <w:rFonts w:ascii="Arial" w:eastAsia="Times New Roman" w:hAnsi="Arial" w:cs="Arial"/>
          <w:b/>
          <w:sz w:val="28"/>
          <w:szCs w:val="28"/>
        </w:rPr>
      </w:pPr>
    </w:p>
    <w:p w:rsidR="006A4EED" w:rsidRPr="005732FC" w:rsidRDefault="006A4EED" w:rsidP="00851DAD">
      <w:pPr>
        <w:shd w:val="clear" w:color="auto" w:fill="D9D9D9"/>
        <w:spacing w:after="0"/>
        <w:jc w:val="center"/>
        <w:rPr>
          <w:rFonts w:ascii="Times New Roman" w:eastAsia="Times New Roman" w:hAnsi="Times New Roman"/>
          <w:b/>
          <w:smallCaps/>
          <w:sz w:val="36"/>
          <w:szCs w:val="36"/>
        </w:rPr>
      </w:pPr>
      <w:r w:rsidRPr="005E58D9">
        <w:rPr>
          <w:rFonts w:ascii="Arial" w:eastAsia="Times New Roman" w:hAnsi="Arial" w:cs="Arial"/>
          <w:b/>
          <w:sz w:val="32"/>
          <w:szCs w:val="32"/>
        </w:rPr>
        <w:br/>
      </w:r>
      <w:r w:rsidR="004B302D">
        <w:rPr>
          <w:rFonts w:ascii="Times New Roman" w:eastAsia="Times New Roman" w:hAnsi="Times New Roman"/>
          <w:b/>
          <w:smallCaps/>
          <w:sz w:val="36"/>
          <w:szCs w:val="36"/>
        </w:rPr>
        <w:t>APPORTS NARRATOLOGIQUE ET S</w:t>
      </w:r>
      <w:r w:rsidR="00851DAD">
        <w:rPr>
          <w:rFonts w:ascii="Times New Roman" w:eastAsia="Times New Roman" w:hAnsi="Times New Roman"/>
          <w:b/>
          <w:smallCaps/>
          <w:sz w:val="36"/>
          <w:szCs w:val="36"/>
        </w:rPr>
        <w:t>É</w:t>
      </w:r>
      <w:r w:rsidR="004B302D">
        <w:rPr>
          <w:rFonts w:ascii="Times New Roman" w:eastAsia="Times New Roman" w:hAnsi="Times New Roman"/>
          <w:b/>
          <w:smallCaps/>
          <w:sz w:val="36"/>
          <w:szCs w:val="36"/>
        </w:rPr>
        <w:t>MIOTIQUE</w:t>
      </w:r>
      <w:r w:rsidRPr="005732FC">
        <w:rPr>
          <w:rFonts w:ascii="Times New Roman" w:eastAsia="Times New Roman" w:hAnsi="Times New Roman"/>
          <w:b/>
          <w:smallCaps/>
          <w:sz w:val="36"/>
          <w:szCs w:val="36"/>
        </w:rPr>
        <w:t xml:space="preserve"> DANS L’ÉCRITURE DRAMATIQUE</w:t>
      </w:r>
    </w:p>
    <w:p w:rsidR="004B302D" w:rsidRDefault="006A4EED" w:rsidP="008401A3">
      <w:pPr>
        <w:shd w:val="clear" w:color="auto" w:fill="D9D9D9"/>
        <w:spacing w:after="0"/>
        <w:jc w:val="center"/>
        <w:rPr>
          <w:rFonts w:ascii="Times New Roman" w:eastAsia="Times New Roman" w:hAnsi="Times New Roman"/>
          <w:sz w:val="36"/>
          <w:szCs w:val="36"/>
        </w:rPr>
      </w:pPr>
      <w:r w:rsidRPr="005732FC">
        <w:rPr>
          <w:rFonts w:ascii="Times New Roman" w:eastAsia="Times New Roman" w:hAnsi="Times New Roman"/>
          <w:sz w:val="36"/>
          <w:szCs w:val="36"/>
        </w:rPr>
        <w:t xml:space="preserve">Le cas de </w:t>
      </w:r>
    </w:p>
    <w:p w:rsidR="004B302D" w:rsidRDefault="006A4EED" w:rsidP="008401A3">
      <w:pPr>
        <w:shd w:val="clear" w:color="auto" w:fill="D9D9D9"/>
        <w:spacing w:after="0"/>
        <w:jc w:val="center"/>
        <w:rPr>
          <w:rFonts w:ascii="Times New Roman" w:eastAsia="Times New Roman" w:hAnsi="Times New Roman"/>
          <w:sz w:val="36"/>
          <w:szCs w:val="36"/>
        </w:rPr>
      </w:pPr>
      <w:r w:rsidRPr="004B302D">
        <w:rPr>
          <w:rFonts w:ascii="Times New Roman" w:eastAsia="Times New Roman" w:hAnsi="Times New Roman"/>
          <w:i/>
          <w:iCs/>
          <w:sz w:val="36"/>
          <w:szCs w:val="36"/>
        </w:rPr>
        <w:t>B</w:t>
      </w:r>
      <w:r w:rsidR="004B302D" w:rsidRPr="004B302D">
        <w:rPr>
          <w:rFonts w:ascii="Times New Roman" w:eastAsia="Times New Roman" w:hAnsi="Times New Roman"/>
          <w:i/>
          <w:iCs/>
          <w:sz w:val="36"/>
          <w:szCs w:val="36"/>
        </w:rPr>
        <w:t>arabbas</w:t>
      </w:r>
      <w:r w:rsidRPr="005732FC">
        <w:rPr>
          <w:rFonts w:ascii="Times New Roman" w:eastAsia="Times New Roman" w:hAnsi="Times New Roman"/>
          <w:sz w:val="36"/>
          <w:szCs w:val="36"/>
        </w:rPr>
        <w:t xml:space="preserve"> de Michel de </w:t>
      </w:r>
      <w:r w:rsidR="004B302D" w:rsidRPr="005732FC">
        <w:rPr>
          <w:rFonts w:ascii="Times New Roman" w:eastAsia="Times New Roman" w:hAnsi="Times New Roman"/>
          <w:sz w:val="36"/>
          <w:szCs w:val="36"/>
        </w:rPr>
        <w:t>GHELDERODE</w:t>
      </w:r>
      <w:r w:rsidRPr="005732FC">
        <w:rPr>
          <w:rFonts w:ascii="Times New Roman" w:eastAsia="Times New Roman" w:hAnsi="Times New Roman"/>
          <w:sz w:val="36"/>
          <w:szCs w:val="36"/>
        </w:rPr>
        <w:t xml:space="preserve"> </w:t>
      </w:r>
    </w:p>
    <w:p w:rsidR="004B302D" w:rsidRDefault="004B302D" w:rsidP="004B302D">
      <w:pPr>
        <w:shd w:val="clear" w:color="auto" w:fill="D9D9D9"/>
        <w:spacing w:after="0"/>
        <w:jc w:val="center"/>
        <w:rPr>
          <w:rFonts w:ascii="Times New Roman" w:eastAsia="Times New Roman" w:hAnsi="Times New Roman"/>
          <w:i/>
          <w:iCs/>
          <w:sz w:val="36"/>
          <w:szCs w:val="36"/>
        </w:rPr>
      </w:pPr>
      <w:proofErr w:type="gramStart"/>
      <w:r>
        <w:rPr>
          <w:rFonts w:ascii="Times New Roman" w:eastAsia="Times New Roman" w:hAnsi="Times New Roman"/>
          <w:sz w:val="36"/>
          <w:szCs w:val="36"/>
        </w:rPr>
        <w:t>et</w:t>
      </w:r>
      <w:proofErr w:type="gramEnd"/>
      <w:r>
        <w:rPr>
          <w:rFonts w:ascii="Times New Roman" w:eastAsia="Times New Roman" w:hAnsi="Times New Roman"/>
          <w:sz w:val="36"/>
          <w:szCs w:val="36"/>
        </w:rPr>
        <w:br/>
      </w:r>
      <w:r>
        <w:rPr>
          <w:rFonts w:ascii="Times New Roman" w:eastAsia="Times New Roman" w:hAnsi="Times New Roman"/>
          <w:i/>
          <w:iCs/>
          <w:sz w:val="36"/>
          <w:szCs w:val="36"/>
        </w:rPr>
        <w:t>L</w:t>
      </w:r>
      <w:r w:rsidRPr="004B302D">
        <w:rPr>
          <w:rFonts w:ascii="Times New Roman" w:eastAsia="Times New Roman" w:hAnsi="Times New Roman"/>
          <w:i/>
          <w:iCs/>
          <w:sz w:val="36"/>
          <w:szCs w:val="36"/>
        </w:rPr>
        <w:t xml:space="preserve">e porteur d’eau et les marabouts </w:t>
      </w:r>
    </w:p>
    <w:p w:rsidR="006A4EED" w:rsidRPr="004B302D" w:rsidRDefault="006A4EED" w:rsidP="004B302D">
      <w:pPr>
        <w:shd w:val="clear" w:color="auto" w:fill="D9D9D9"/>
        <w:spacing w:after="0"/>
        <w:jc w:val="center"/>
        <w:rPr>
          <w:rFonts w:ascii="Times New Roman" w:eastAsia="Times New Roman" w:hAnsi="Times New Roman"/>
          <w:i/>
          <w:iCs/>
          <w:sz w:val="36"/>
          <w:szCs w:val="36"/>
        </w:rPr>
      </w:pPr>
      <w:proofErr w:type="gramStart"/>
      <w:r w:rsidRPr="005732FC">
        <w:rPr>
          <w:rFonts w:ascii="Times New Roman" w:eastAsia="Times New Roman" w:hAnsi="Times New Roman"/>
          <w:sz w:val="36"/>
          <w:szCs w:val="36"/>
        </w:rPr>
        <w:t>de</w:t>
      </w:r>
      <w:proofErr w:type="gramEnd"/>
      <w:r w:rsidRPr="005732FC">
        <w:rPr>
          <w:rFonts w:ascii="Times New Roman" w:eastAsia="Times New Roman" w:hAnsi="Times New Roman"/>
          <w:sz w:val="36"/>
          <w:szCs w:val="36"/>
        </w:rPr>
        <w:t xml:space="preserve"> Ould Abderahmane </w:t>
      </w:r>
      <w:r w:rsidR="004B302D" w:rsidRPr="005732FC">
        <w:rPr>
          <w:rFonts w:ascii="Times New Roman" w:eastAsia="Times New Roman" w:hAnsi="Times New Roman"/>
          <w:sz w:val="36"/>
          <w:szCs w:val="36"/>
        </w:rPr>
        <w:t>KAKI</w:t>
      </w:r>
      <w:r w:rsidRPr="005E58D9">
        <w:rPr>
          <w:rFonts w:ascii="Arial Gras" w:eastAsia="Times New Roman" w:hAnsi="Arial Gras" w:cs="Arial"/>
          <w:sz w:val="28"/>
          <w:szCs w:val="28"/>
        </w:rPr>
        <w:br/>
      </w:r>
      <w:r w:rsidRPr="005E58D9">
        <w:rPr>
          <w:rFonts w:ascii="Arial" w:eastAsia="Times New Roman" w:hAnsi="Arial" w:cs="Arial"/>
          <w:b/>
          <w:sz w:val="18"/>
          <w:szCs w:val="18"/>
        </w:rPr>
        <w:br/>
      </w:r>
    </w:p>
    <w:p w:rsidR="006A4EED" w:rsidRPr="005E58D9" w:rsidRDefault="006A4EED" w:rsidP="006A4EED">
      <w:pPr>
        <w:spacing w:before="120" w:after="320"/>
        <w:jc w:val="center"/>
        <w:rPr>
          <w:rFonts w:ascii="Arial" w:eastAsia="Times New Roman" w:hAnsi="Arial" w:cs="Arial"/>
          <w:b/>
          <w:sz w:val="28"/>
          <w:szCs w:val="28"/>
        </w:rPr>
      </w:pPr>
    </w:p>
    <w:p w:rsidR="006A4EED" w:rsidRPr="005E58D9" w:rsidRDefault="006A4EED" w:rsidP="006A4EED">
      <w:pPr>
        <w:rPr>
          <w:rFonts w:ascii="Arial" w:eastAsia="Times New Roman" w:hAnsi="Arial" w:cs="Arial"/>
          <w:b/>
          <w:bCs/>
          <w:i/>
          <w:iCs/>
          <w:sz w:val="32"/>
          <w:szCs w:val="32"/>
          <w:lang w:eastAsia="fr-FR"/>
        </w:rPr>
      </w:pPr>
    </w:p>
    <w:p w:rsidR="006A4EED" w:rsidRPr="00434CC9" w:rsidRDefault="006A4EED" w:rsidP="006A4EED">
      <w:pPr>
        <w:rPr>
          <w:rFonts w:ascii="Arial" w:eastAsia="Times New Roman" w:hAnsi="Arial" w:cs="Arial"/>
          <w:bCs/>
          <w:i/>
          <w:iCs/>
          <w:sz w:val="32"/>
          <w:szCs w:val="32"/>
          <w:lang w:eastAsia="fr-FR"/>
        </w:rPr>
      </w:pPr>
      <w:r w:rsidRPr="005E58D9">
        <w:rPr>
          <w:rFonts w:ascii="Arial" w:hAnsi="Arial" w:cs="Arial"/>
        </w:rPr>
        <w:br w:type="page"/>
      </w:r>
      <w:bookmarkEnd w:id="0"/>
    </w:p>
    <w:p w:rsidR="006A4EED" w:rsidRPr="00F4796D" w:rsidRDefault="00C910D3" w:rsidP="006A4EED">
      <w:pPr>
        <w:pStyle w:val="Titre1"/>
        <w:rPr>
          <w:rFonts w:asciiTheme="majorBidi" w:hAnsiTheme="majorBidi" w:cstheme="majorBidi"/>
          <w:b/>
          <w:bCs w:val="0"/>
          <w:color w:val="auto"/>
          <w:sz w:val="24"/>
          <w:szCs w:val="24"/>
          <w:lang w:val="fr-FR"/>
        </w:rPr>
      </w:pPr>
      <w:bookmarkStart w:id="1" w:name="_Toc470898264"/>
      <w:bookmarkStart w:id="2" w:name="_Toc470904817"/>
      <w:bookmarkStart w:id="3" w:name="_Toc471484387"/>
      <w:r w:rsidRPr="00F4796D">
        <w:rPr>
          <w:rFonts w:asciiTheme="majorBidi" w:hAnsiTheme="majorBidi" w:cstheme="majorBidi"/>
          <w:b/>
          <w:bCs w:val="0"/>
          <w:color w:val="auto"/>
          <w:sz w:val="24"/>
          <w:szCs w:val="24"/>
          <w:lang w:val="fr-FR"/>
        </w:rPr>
        <w:lastRenderedPageBreak/>
        <w:t>Remerciements</w:t>
      </w:r>
      <w:bookmarkEnd w:id="1"/>
      <w:bookmarkEnd w:id="2"/>
      <w:bookmarkEnd w:id="3"/>
    </w:p>
    <w:p w:rsidR="006A4EED" w:rsidRPr="00F4796D" w:rsidRDefault="006A4EED" w:rsidP="006A4EED">
      <w:pPr>
        <w:rPr>
          <w:rFonts w:ascii="Arial" w:eastAsia="Times New Roman" w:hAnsi="Arial" w:cs="Arial"/>
          <w:b/>
          <w:kern w:val="28"/>
          <w:sz w:val="24"/>
          <w:szCs w:val="24"/>
          <w:lang w:eastAsia="fr-FR"/>
        </w:rPr>
      </w:pPr>
    </w:p>
    <w:p w:rsidR="006A4EED" w:rsidRPr="00F4796D" w:rsidRDefault="006A4EED" w:rsidP="006A4EED">
      <w:pPr>
        <w:rPr>
          <w:rFonts w:ascii="Lucida Calligraphy" w:eastAsia="Times New Roman" w:hAnsi="Lucida Calligraphy" w:cs="Arial"/>
          <w:b/>
          <w:kern w:val="28"/>
          <w:sz w:val="24"/>
          <w:szCs w:val="24"/>
          <w:lang w:eastAsia="fr-FR"/>
        </w:rPr>
      </w:pPr>
    </w:p>
    <w:p w:rsidR="006A4EED" w:rsidRPr="00F4796D" w:rsidRDefault="006A4EED" w:rsidP="005732FC">
      <w:pPr>
        <w:spacing w:line="480" w:lineRule="auto"/>
        <w:jc w:val="both"/>
        <w:rPr>
          <w:rFonts w:ascii="Lucida Calligraphy" w:eastAsia="Times New Roman" w:hAnsi="Lucida Calligraphy"/>
          <w:b/>
          <w:kern w:val="28"/>
          <w:sz w:val="24"/>
          <w:szCs w:val="24"/>
          <w:lang w:eastAsia="fr-FR"/>
        </w:rPr>
      </w:pPr>
      <w:r w:rsidRPr="00F4796D">
        <w:rPr>
          <w:rFonts w:ascii="Lucida Calligraphy" w:eastAsia="Times New Roman" w:hAnsi="Lucida Calligraphy"/>
          <w:b/>
          <w:kern w:val="28"/>
          <w:sz w:val="24"/>
          <w:szCs w:val="24"/>
          <w:lang w:eastAsia="fr-FR"/>
        </w:rPr>
        <w:t>La production de cette Thèse a bénéficié du concours d’un certain nombre de personnes que je tiens ici à remercier :</w:t>
      </w:r>
    </w:p>
    <w:p w:rsidR="005732FC" w:rsidRPr="00F4796D" w:rsidRDefault="005732FC" w:rsidP="00AF7807">
      <w:pPr>
        <w:spacing w:line="480" w:lineRule="auto"/>
        <w:jc w:val="both"/>
        <w:rPr>
          <w:rFonts w:ascii="Lucida Calligraphy" w:eastAsia="Times New Roman" w:hAnsi="Lucida Calligraphy"/>
          <w:b/>
          <w:kern w:val="28"/>
          <w:sz w:val="24"/>
          <w:szCs w:val="24"/>
          <w:lang w:eastAsia="fr-FR"/>
        </w:rPr>
      </w:pPr>
      <w:r w:rsidRPr="00F4796D">
        <w:rPr>
          <w:rFonts w:ascii="Lucida Calligraphy" w:eastAsia="Times New Roman" w:hAnsi="Lucida Calligraphy"/>
          <w:b/>
          <w:kern w:val="28"/>
          <w:sz w:val="24"/>
          <w:szCs w:val="24"/>
          <w:lang w:eastAsia="fr-FR"/>
        </w:rPr>
        <w:t xml:space="preserve">En premier lieu, </w:t>
      </w:r>
      <w:r w:rsidR="006A4EED" w:rsidRPr="00F4796D">
        <w:rPr>
          <w:rFonts w:ascii="Lucida Calligraphy" w:eastAsia="Times New Roman" w:hAnsi="Lucida Calligraphy"/>
          <w:b/>
          <w:kern w:val="28"/>
          <w:sz w:val="24"/>
          <w:szCs w:val="24"/>
          <w:lang w:eastAsia="fr-FR"/>
        </w:rPr>
        <w:t>m</w:t>
      </w:r>
      <w:r w:rsidRPr="00F4796D">
        <w:rPr>
          <w:rFonts w:ascii="Lucida Calligraphy" w:eastAsia="Times New Roman" w:hAnsi="Lucida Calligraphy"/>
          <w:b/>
          <w:kern w:val="28"/>
          <w:sz w:val="24"/>
          <w:szCs w:val="24"/>
          <w:lang w:eastAsia="fr-FR"/>
        </w:rPr>
        <w:t>a</w:t>
      </w:r>
      <w:r w:rsidR="006A4EED" w:rsidRPr="00F4796D">
        <w:rPr>
          <w:rFonts w:ascii="Lucida Calligraphy" w:eastAsia="Times New Roman" w:hAnsi="Lucida Calligraphy"/>
          <w:b/>
          <w:kern w:val="28"/>
          <w:sz w:val="24"/>
          <w:szCs w:val="24"/>
          <w:lang w:eastAsia="fr-FR"/>
        </w:rPr>
        <w:t xml:space="preserve"> Directr</w:t>
      </w:r>
      <w:r w:rsidRPr="00F4796D">
        <w:rPr>
          <w:rFonts w:ascii="Lucida Calligraphy" w:eastAsia="Times New Roman" w:hAnsi="Lucida Calligraphy"/>
          <w:b/>
          <w:kern w:val="28"/>
          <w:sz w:val="24"/>
          <w:szCs w:val="24"/>
          <w:lang w:eastAsia="fr-FR"/>
        </w:rPr>
        <w:t>ice</w:t>
      </w:r>
      <w:r w:rsidR="006A4EED" w:rsidRPr="00F4796D">
        <w:rPr>
          <w:rFonts w:ascii="Lucida Calligraphy" w:eastAsia="Times New Roman" w:hAnsi="Lucida Calligraphy"/>
          <w:b/>
          <w:kern w:val="28"/>
          <w:sz w:val="24"/>
          <w:szCs w:val="24"/>
          <w:lang w:eastAsia="fr-FR"/>
        </w:rPr>
        <w:t xml:space="preserve"> de Thèse</w:t>
      </w:r>
      <w:r w:rsidR="00AF7807" w:rsidRPr="00F4796D">
        <w:rPr>
          <w:rFonts w:ascii="Lucida Calligraphy" w:eastAsia="Times New Roman" w:hAnsi="Lucida Calligraphy"/>
          <w:b/>
          <w:kern w:val="28"/>
          <w:sz w:val="24"/>
          <w:szCs w:val="24"/>
          <w:lang w:eastAsia="fr-FR"/>
        </w:rPr>
        <w:t xml:space="preserve"> Pr. SARI Mohamed Latifa</w:t>
      </w:r>
      <w:r w:rsidR="006A4EED" w:rsidRPr="00F4796D">
        <w:rPr>
          <w:rFonts w:ascii="Lucida Calligraphy" w:eastAsia="Times New Roman" w:hAnsi="Lucida Calligraphy"/>
          <w:b/>
          <w:kern w:val="28"/>
          <w:sz w:val="24"/>
          <w:szCs w:val="24"/>
          <w:lang w:eastAsia="fr-FR"/>
        </w:rPr>
        <w:t xml:space="preserve"> pour sa bienveillance et sa disponibilité lors de l’encadrement scientifique de cette recherche</w:t>
      </w:r>
      <w:r w:rsidRPr="00F4796D">
        <w:rPr>
          <w:rFonts w:ascii="Lucida Calligraphy" w:eastAsia="Times New Roman" w:hAnsi="Lucida Calligraphy"/>
          <w:b/>
          <w:kern w:val="28"/>
          <w:sz w:val="24"/>
          <w:szCs w:val="24"/>
          <w:lang w:eastAsia="fr-FR"/>
        </w:rPr>
        <w:t>,</w:t>
      </w:r>
    </w:p>
    <w:p w:rsidR="006A4EED" w:rsidRPr="00F4796D" w:rsidRDefault="005732FC" w:rsidP="002C381D">
      <w:pPr>
        <w:spacing w:line="480" w:lineRule="auto"/>
        <w:jc w:val="both"/>
        <w:rPr>
          <w:rFonts w:ascii="Lucida Calligraphy" w:eastAsia="Times New Roman" w:hAnsi="Lucida Calligraphy"/>
          <w:bCs/>
          <w:kern w:val="28"/>
          <w:sz w:val="24"/>
          <w:szCs w:val="24"/>
          <w:lang w:eastAsia="fr-FR"/>
        </w:rPr>
      </w:pPr>
      <w:r w:rsidRPr="00F4796D">
        <w:rPr>
          <w:rFonts w:ascii="Lucida Calligraphy" w:eastAsia="Times New Roman" w:hAnsi="Lucida Calligraphy"/>
          <w:b/>
          <w:kern w:val="28"/>
          <w:sz w:val="24"/>
          <w:szCs w:val="24"/>
          <w:lang w:eastAsia="fr-FR"/>
        </w:rPr>
        <w:t>Et notamment ma très chère collègue</w:t>
      </w:r>
      <w:r w:rsidR="00AF7807" w:rsidRPr="00F4796D">
        <w:rPr>
          <w:rFonts w:ascii="Lucida Calligraphy" w:eastAsia="Times New Roman" w:hAnsi="Lucida Calligraphy"/>
          <w:b/>
          <w:kern w:val="28"/>
          <w:sz w:val="24"/>
          <w:szCs w:val="24"/>
          <w:lang w:eastAsia="fr-FR"/>
        </w:rPr>
        <w:t xml:space="preserve"> Dr. BOUARI Halima</w:t>
      </w:r>
      <w:r w:rsidRPr="00F4796D">
        <w:rPr>
          <w:rFonts w:ascii="Lucida Calligraphy" w:eastAsia="Times New Roman" w:hAnsi="Lucida Calligraphy"/>
          <w:b/>
          <w:kern w:val="28"/>
          <w:sz w:val="24"/>
          <w:szCs w:val="24"/>
          <w:lang w:eastAsia="fr-FR"/>
        </w:rPr>
        <w:t>, pour sa précieuse assistance dans la présentation méthodologique de ce travail</w:t>
      </w:r>
    </w:p>
    <w:p w:rsidR="006A4EED" w:rsidRPr="00F4796D" w:rsidRDefault="006A4EED" w:rsidP="006A4EED">
      <w:pPr>
        <w:pStyle w:val="Abstract"/>
        <w:keepNext w:val="0"/>
        <w:spacing w:before="0" w:line="360" w:lineRule="auto"/>
        <w:ind w:left="0" w:firstLine="0"/>
        <w:jc w:val="left"/>
        <w:rPr>
          <w:rFonts w:ascii="Arial" w:hAnsi="Arial" w:cs="Arial"/>
          <w:sz w:val="24"/>
          <w:szCs w:val="24"/>
        </w:rPr>
      </w:pPr>
    </w:p>
    <w:p w:rsidR="006A4EED" w:rsidRPr="00F4796D" w:rsidRDefault="006A4EED" w:rsidP="006A4EED">
      <w:pPr>
        <w:pStyle w:val="Abstract"/>
        <w:keepNext w:val="0"/>
        <w:spacing w:before="0" w:line="360" w:lineRule="auto"/>
        <w:ind w:left="0" w:firstLine="0"/>
        <w:jc w:val="left"/>
        <w:rPr>
          <w:rFonts w:ascii="Arial" w:hAnsi="Arial" w:cs="Arial"/>
          <w:sz w:val="24"/>
          <w:szCs w:val="24"/>
        </w:rPr>
      </w:pPr>
    </w:p>
    <w:p w:rsidR="006A4EED" w:rsidRPr="00F4796D" w:rsidRDefault="006A4EED" w:rsidP="006A4EED">
      <w:pPr>
        <w:pStyle w:val="Abstract"/>
        <w:keepNext w:val="0"/>
        <w:spacing w:before="0" w:line="360" w:lineRule="auto"/>
        <w:ind w:left="0" w:firstLine="0"/>
        <w:jc w:val="left"/>
        <w:rPr>
          <w:rFonts w:ascii="Arial" w:hAnsi="Arial" w:cs="Arial"/>
          <w:sz w:val="24"/>
          <w:szCs w:val="24"/>
        </w:rPr>
      </w:pPr>
    </w:p>
    <w:p w:rsidR="006A4EED" w:rsidRPr="00F4796D" w:rsidRDefault="006A4EED" w:rsidP="006A4EED">
      <w:pPr>
        <w:pStyle w:val="Abstract"/>
        <w:keepNext w:val="0"/>
        <w:spacing w:before="0" w:line="360" w:lineRule="auto"/>
        <w:ind w:left="0" w:firstLine="0"/>
        <w:jc w:val="left"/>
        <w:rPr>
          <w:rFonts w:ascii="Arial" w:hAnsi="Arial" w:cs="Arial"/>
          <w:sz w:val="24"/>
          <w:szCs w:val="24"/>
        </w:rPr>
      </w:pPr>
    </w:p>
    <w:p w:rsidR="006A4EED" w:rsidRPr="00F4796D" w:rsidRDefault="006A4EED" w:rsidP="006A4EED">
      <w:pPr>
        <w:pStyle w:val="Abstract"/>
        <w:keepNext w:val="0"/>
        <w:spacing w:before="0" w:line="360" w:lineRule="auto"/>
        <w:ind w:left="0" w:firstLine="0"/>
        <w:jc w:val="left"/>
        <w:rPr>
          <w:rFonts w:ascii="Arial" w:hAnsi="Arial" w:cs="Arial"/>
          <w:sz w:val="24"/>
          <w:szCs w:val="24"/>
        </w:rPr>
      </w:pPr>
    </w:p>
    <w:p w:rsidR="006A4EED" w:rsidRPr="00F4796D" w:rsidRDefault="006A4EED" w:rsidP="006A4EED">
      <w:pPr>
        <w:pStyle w:val="Abstract"/>
        <w:keepNext w:val="0"/>
        <w:spacing w:before="0" w:line="360" w:lineRule="auto"/>
        <w:ind w:left="0" w:firstLine="0"/>
        <w:jc w:val="left"/>
        <w:rPr>
          <w:rFonts w:ascii="Arial" w:hAnsi="Arial" w:cs="Arial"/>
          <w:sz w:val="24"/>
          <w:szCs w:val="24"/>
        </w:rPr>
      </w:pPr>
    </w:p>
    <w:p w:rsidR="006A4EED" w:rsidRPr="00F4796D" w:rsidRDefault="006A4EED" w:rsidP="006A4EED">
      <w:pPr>
        <w:pStyle w:val="Abstract"/>
        <w:keepNext w:val="0"/>
        <w:spacing w:before="0" w:line="360" w:lineRule="auto"/>
        <w:ind w:left="0" w:firstLine="0"/>
        <w:jc w:val="left"/>
        <w:rPr>
          <w:rFonts w:ascii="Arial" w:hAnsi="Arial" w:cs="Arial"/>
          <w:sz w:val="24"/>
          <w:szCs w:val="24"/>
        </w:rPr>
      </w:pPr>
    </w:p>
    <w:p w:rsidR="00D87474" w:rsidRDefault="00D87474" w:rsidP="006A4EED">
      <w:pPr>
        <w:pStyle w:val="Abstract"/>
        <w:keepNext w:val="0"/>
        <w:spacing w:before="0" w:line="360" w:lineRule="auto"/>
        <w:ind w:left="0" w:firstLine="0"/>
        <w:jc w:val="left"/>
        <w:rPr>
          <w:rFonts w:ascii="Arial" w:hAnsi="Arial" w:cs="Arial"/>
          <w:color w:val="000000"/>
          <w:sz w:val="20"/>
          <w:szCs w:val="20"/>
        </w:rPr>
      </w:pPr>
    </w:p>
    <w:p w:rsidR="006A4EED" w:rsidRDefault="006A4EED" w:rsidP="006A4EED">
      <w:pPr>
        <w:pStyle w:val="Abstract"/>
        <w:keepNext w:val="0"/>
        <w:spacing w:before="0" w:line="360" w:lineRule="auto"/>
        <w:ind w:left="0" w:firstLine="0"/>
        <w:rPr>
          <w:rFonts w:ascii="Lucida Calligraphy" w:hAnsi="Lucida Calligraphy"/>
          <w:b/>
          <w:kern w:val="0"/>
          <w:sz w:val="24"/>
          <w:szCs w:val="24"/>
        </w:rPr>
      </w:pPr>
      <w:r w:rsidRPr="002B41CD">
        <w:rPr>
          <w:rFonts w:ascii="Lucida Calligraphy" w:hAnsi="Lucida Calligraphy"/>
          <w:b/>
          <w:kern w:val="0"/>
          <w:sz w:val="24"/>
          <w:szCs w:val="24"/>
        </w:rPr>
        <w:t>KHELFAOUI Benaoumeur</w:t>
      </w:r>
    </w:p>
    <w:p w:rsidR="002B41CD" w:rsidRDefault="002B41CD" w:rsidP="006A4EED">
      <w:pPr>
        <w:pStyle w:val="Abstract"/>
        <w:keepNext w:val="0"/>
        <w:spacing w:before="0" w:line="360" w:lineRule="auto"/>
        <w:ind w:left="0" w:firstLine="0"/>
        <w:rPr>
          <w:rFonts w:ascii="Lucida Calligraphy" w:hAnsi="Lucida Calligraphy"/>
          <w:b/>
          <w:kern w:val="0"/>
          <w:sz w:val="24"/>
          <w:szCs w:val="24"/>
        </w:rPr>
      </w:pPr>
    </w:p>
    <w:p w:rsidR="002B41CD" w:rsidRPr="002B41CD" w:rsidRDefault="002B41CD" w:rsidP="006A4EED">
      <w:pPr>
        <w:pStyle w:val="Abstract"/>
        <w:keepNext w:val="0"/>
        <w:spacing w:before="0" w:line="360" w:lineRule="auto"/>
        <w:ind w:left="0" w:firstLine="0"/>
        <w:rPr>
          <w:rFonts w:ascii="Lucida Calligraphy" w:hAnsi="Lucida Calligraphy"/>
          <w:b/>
          <w:kern w:val="0"/>
          <w:sz w:val="24"/>
          <w:szCs w:val="24"/>
        </w:rPr>
      </w:pPr>
    </w:p>
    <w:p w:rsidR="006A4EED" w:rsidRPr="005E58D9" w:rsidRDefault="006A4EED" w:rsidP="006A4EED">
      <w:pPr>
        <w:pStyle w:val="Abstract"/>
        <w:keepNext w:val="0"/>
        <w:spacing w:before="0" w:line="360" w:lineRule="auto"/>
        <w:ind w:left="0" w:firstLine="0"/>
        <w:jc w:val="left"/>
        <w:rPr>
          <w:rFonts w:ascii="Arial" w:hAnsi="Arial" w:cs="Arial"/>
          <w:b/>
          <w:kern w:val="0"/>
          <w:sz w:val="20"/>
          <w:szCs w:val="20"/>
        </w:rPr>
      </w:pPr>
    </w:p>
    <w:p w:rsidR="006A4EED" w:rsidRDefault="006A4EED" w:rsidP="006A4EED">
      <w:pPr>
        <w:spacing w:line="240" w:lineRule="auto"/>
        <w:rPr>
          <w:rFonts w:ascii="Arial" w:hAnsi="Arial" w:cs="Arial"/>
          <w:sz w:val="2"/>
          <w:szCs w:val="2"/>
        </w:rPr>
      </w:pPr>
    </w:p>
    <w:p w:rsidR="006A4EED" w:rsidRDefault="00C910D3" w:rsidP="006A4EED">
      <w:pPr>
        <w:pStyle w:val="Titre1"/>
        <w:rPr>
          <w:rFonts w:asciiTheme="majorBidi" w:hAnsiTheme="majorBidi" w:cstheme="majorBidi"/>
          <w:b/>
          <w:bCs w:val="0"/>
          <w:color w:val="auto"/>
          <w:sz w:val="24"/>
          <w:szCs w:val="24"/>
          <w:lang w:val="fr-FR"/>
        </w:rPr>
      </w:pPr>
      <w:bookmarkStart w:id="4" w:name="_Toc470894744"/>
      <w:bookmarkStart w:id="5" w:name="_Toc470898265"/>
      <w:bookmarkStart w:id="6" w:name="_Toc470904818"/>
      <w:bookmarkStart w:id="7" w:name="_Toc471484388"/>
      <w:r w:rsidRPr="002B41CD">
        <w:rPr>
          <w:rFonts w:asciiTheme="majorBidi" w:hAnsiTheme="majorBidi" w:cstheme="majorBidi"/>
          <w:b/>
          <w:bCs w:val="0"/>
          <w:color w:val="auto"/>
          <w:sz w:val="24"/>
          <w:szCs w:val="24"/>
          <w:lang w:val="fr-FR"/>
        </w:rPr>
        <w:lastRenderedPageBreak/>
        <w:t>Dédicace</w:t>
      </w:r>
      <w:bookmarkEnd w:id="4"/>
      <w:bookmarkEnd w:id="5"/>
      <w:bookmarkEnd w:id="6"/>
      <w:bookmarkEnd w:id="7"/>
    </w:p>
    <w:p w:rsidR="002B41CD" w:rsidRPr="002B41CD" w:rsidRDefault="002B41CD" w:rsidP="002B41CD"/>
    <w:p w:rsidR="006A4EED" w:rsidRDefault="006A4EED" w:rsidP="006A4EED"/>
    <w:p w:rsidR="00BC086A" w:rsidRDefault="00BC086A" w:rsidP="006A4EED"/>
    <w:p w:rsidR="00BC086A" w:rsidRDefault="00BC086A" w:rsidP="00BC086A">
      <w:pPr>
        <w:tabs>
          <w:tab w:val="left" w:pos="5772"/>
        </w:tabs>
      </w:pPr>
      <w:r>
        <w:tab/>
      </w:r>
    </w:p>
    <w:p w:rsidR="00BC086A" w:rsidRDefault="00BC086A" w:rsidP="00BC086A">
      <w:pPr>
        <w:tabs>
          <w:tab w:val="left" w:pos="5772"/>
        </w:tabs>
      </w:pPr>
    </w:p>
    <w:p w:rsidR="00BC086A" w:rsidRPr="002B41CD" w:rsidRDefault="00BC086A" w:rsidP="00BC086A">
      <w:pPr>
        <w:spacing w:line="240" w:lineRule="auto"/>
        <w:jc w:val="center"/>
        <w:rPr>
          <w:rFonts w:asciiTheme="majorBidi" w:hAnsiTheme="majorBidi" w:cstheme="majorBidi"/>
          <w:b/>
          <w:iCs/>
          <w:sz w:val="24"/>
          <w:szCs w:val="24"/>
        </w:rPr>
      </w:pPr>
      <w:r w:rsidRPr="002B41CD">
        <w:rPr>
          <w:rFonts w:asciiTheme="majorBidi" w:hAnsiTheme="majorBidi" w:cstheme="majorBidi"/>
          <w:b/>
          <w:iCs/>
          <w:sz w:val="24"/>
          <w:szCs w:val="24"/>
        </w:rPr>
        <w:t>Cette thèse est pour Toi !</w:t>
      </w:r>
    </w:p>
    <w:p w:rsidR="00BC086A" w:rsidRDefault="00BC086A" w:rsidP="00BC086A">
      <w:pPr>
        <w:spacing w:line="240" w:lineRule="auto"/>
        <w:jc w:val="center"/>
        <w:rPr>
          <w:rFonts w:ascii="Bookman Old Style" w:hAnsi="Bookman Old Style" w:cs="Arial"/>
          <w:b/>
          <w:i/>
          <w:color w:val="215868" w:themeColor="accent5" w:themeShade="80"/>
          <w:sz w:val="32"/>
          <w:szCs w:val="32"/>
        </w:rPr>
      </w:pPr>
    </w:p>
    <w:p w:rsidR="006A4EED" w:rsidRPr="005E58D9" w:rsidRDefault="006A4EED" w:rsidP="006A4EED">
      <w:pPr>
        <w:spacing w:line="240" w:lineRule="auto"/>
        <w:jc w:val="right"/>
        <w:rPr>
          <w:rFonts w:ascii="Arial" w:hAnsi="Arial" w:cs="Arial"/>
        </w:rPr>
      </w:pPr>
    </w:p>
    <w:p w:rsidR="00D87474" w:rsidRPr="00D87474" w:rsidRDefault="00D87474" w:rsidP="00D87474">
      <w:pPr>
        <w:spacing w:line="240" w:lineRule="auto"/>
        <w:jc w:val="right"/>
        <w:rPr>
          <w:rFonts w:ascii="Bookman Old Style" w:hAnsi="Bookman Old Style" w:cs="Arial"/>
          <w:bCs/>
          <w:i/>
          <w:color w:val="215868"/>
          <w:sz w:val="28"/>
          <w:szCs w:val="28"/>
        </w:rPr>
      </w:pPr>
    </w:p>
    <w:p w:rsidR="006A4EED" w:rsidRPr="002B41CD" w:rsidRDefault="006A4EED" w:rsidP="004506C0">
      <w:pPr>
        <w:spacing w:line="240" w:lineRule="auto"/>
        <w:ind w:left="6180"/>
        <w:jc w:val="both"/>
        <w:rPr>
          <w:rFonts w:asciiTheme="majorBidi" w:hAnsiTheme="majorBidi" w:cstheme="majorBidi"/>
          <w:b/>
          <w:bCs/>
          <w:iCs/>
          <w:sz w:val="24"/>
          <w:szCs w:val="24"/>
        </w:rPr>
      </w:pPr>
      <w:r w:rsidRPr="00D87474">
        <w:rPr>
          <w:rFonts w:ascii="Bookman Old Style" w:hAnsi="Bookman Old Style" w:cs="Arial"/>
          <w:b/>
          <w:i/>
          <w:color w:val="215868"/>
          <w:sz w:val="32"/>
          <w:szCs w:val="32"/>
        </w:rPr>
        <w:t xml:space="preserve">       </w:t>
      </w:r>
      <w:r w:rsidRPr="002B41CD">
        <w:rPr>
          <w:rFonts w:asciiTheme="majorBidi" w:hAnsiTheme="majorBidi" w:cstheme="majorBidi"/>
          <w:b/>
          <w:bCs/>
          <w:iCs/>
          <w:sz w:val="24"/>
          <w:szCs w:val="24"/>
        </w:rPr>
        <w:t>Khelfao</w:t>
      </w:r>
      <w:r w:rsidR="00D87474" w:rsidRPr="002B41CD">
        <w:rPr>
          <w:rFonts w:asciiTheme="majorBidi" w:hAnsiTheme="majorBidi" w:cstheme="majorBidi"/>
          <w:b/>
          <w:bCs/>
          <w:iCs/>
          <w:sz w:val="24"/>
          <w:szCs w:val="24"/>
        </w:rPr>
        <w:t>ui</w:t>
      </w:r>
    </w:p>
    <w:p w:rsidR="006A4EED" w:rsidRPr="00D87474" w:rsidRDefault="006A4EED" w:rsidP="006A4EED">
      <w:pPr>
        <w:rPr>
          <w:rFonts w:ascii="Arial" w:eastAsia="Times New Roman" w:hAnsi="Arial" w:cs="Arial"/>
          <w:b/>
          <w:bCs/>
          <w:i/>
          <w:iCs/>
          <w:color w:val="215868"/>
          <w:sz w:val="32"/>
          <w:szCs w:val="32"/>
        </w:rPr>
      </w:pPr>
      <w:r w:rsidRPr="00D87474">
        <w:rPr>
          <w:rFonts w:ascii="Arial" w:hAnsi="Arial" w:cs="Arial"/>
          <w:color w:val="215868"/>
        </w:rPr>
        <w:br w:type="page"/>
      </w:r>
    </w:p>
    <w:p w:rsidR="006A4EED" w:rsidRPr="0028743A" w:rsidRDefault="00C910D3" w:rsidP="003A73FB">
      <w:pPr>
        <w:pStyle w:val="Titre1"/>
        <w:pBdr>
          <w:bottom w:val="single" w:sz="12" w:space="0" w:color="7F7F7F"/>
        </w:pBdr>
        <w:jc w:val="center"/>
        <w:rPr>
          <w:rFonts w:asciiTheme="majorBidi" w:hAnsiTheme="majorBidi" w:cstheme="majorBidi"/>
          <w:b/>
          <w:color w:val="auto"/>
          <w:sz w:val="28"/>
          <w:lang w:val="fr-FR"/>
        </w:rPr>
      </w:pPr>
      <w:bookmarkStart w:id="8" w:name="_Toc470894745"/>
      <w:bookmarkStart w:id="9" w:name="_Toc470898266"/>
      <w:bookmarkStart w:id="10" w:name="_Toc470904819"/>
      <w:bookmarkStart w:id="11" w:name="_Toc471484389"/>
      <w:r w:rsidRPr="0028743A">
        <w:rPr>
          <w:rFonts w:asciiTheme="majorBidi" w:hAnsiTheme="majorBidi" w:cstheme="majorBidi"/>
          <w:b/>
          <w:color w:val="auto"/>
          <w:sz w:val="28"/>
          <w:lang w:val="fr-FR"/>
        </w:rPr>
        <w:lastRenderedPageBreak/>
        <w:t>Table des matières</w:t>
      </w:r>
      <w:bookmarkEnd w:id="8"/>
      <w:bookmarkEnd w:id="9"/>
      <w:bookmarkEnd w:id="10"/>
      <w:bookmarkEnd w:id="11"/>
    </w:p>
    <w:p w:rsidR="0028743A" w:rsidRDefault="0028743A" w:rsidP="00841157">
      <w:pPr>
        <w:pStyle w:val="TM1"/>
        <w:rPr>
          <w:rFonts w:asciiTheme="majorBidi" w:hAnsiTheme="majorBidi" w:cstheme="majorBidi"/>
        </w:rPr>
      </w:pPr>
    </w:p>
    <w:p w:rsidR="006C092A" w:rsidRDefault="00D27910">
      <w:pPr>
        <w:pStyle w:val="TM1"/>
        <w:rPr>
          <w:rFonts w:asciiTheme="minorHAnsi" w:eastAsiaTheme="minorEastAsia" w:hAnsiTheme="minorHAnsi" w:cstheme="minorBidi"/>
          <w:b w:val="0"/>
          <w:bCs w:val="0"/>
          <w:iCs w:val="0"/>
          <w:sz w:val="22"/>
          <w:szCs w:val="22"/>
        </w:rPr>
      </w:pPr>
      <w:r w:rsidRPr="00D27910">
        <w:rPr>
          <w:rFonts w:asciiTheme="majorBidi" w:hAnsiTheme="majorBidi" w:cstheme="majorBidi"/>
        </w:rPr>
        <w:fldChar w:fldCharType="begin"/>
      </w:r>
      <w:r w:rsidR="006A4EED" w:rsidRPr="00F408D6">
        <w:rPr>
          <w:rFonts w:asciiTheme="majorBidi" w:hAnsiTheme="majorBidi" w:cstheme="majorBidi"/>
        </w:rPr>
        <w:instrText xml:space="preserve"> TOC \o "1-5" \h \z \u </w:instrText>
      </w:r>
      <w:r w:rsidRPr="00D27910">
        <w:rPr>
          <w:rFonts w:asciiTheme="majorBidi" w:hAnsiTheme="majorBidi" w:cstheme="majorBidi"/>
        </w:rPr>
        <w:fldChar w:fldCharType="separate"/>
      </w:r>
      <w:hyperlink w:anchor="_Toc471484387" w:history="1">
        <w:r w:rsidR="006C092A" w:rsidRPr="00E563DE">
          <w:rPr>
            <w:rStyle w:val="Lienhypertexte"/>
            <w:rFonts w:asciiTheme="majorBidi" w:hAnsiTheme="majorBidi" w:cstheme="majorBidi"/>
          </w:rPr>
          <w:t>Remerciements</w:t>
        </w:r>
        <w:r w:rsidR="006C092A">
          <w:rPr>
            <w:webHidden/>
          </w:rPr>
          <w:tab/>
        </w:r>
        <w:r>
          <w:rPr>
            <w:webHidden/>
          </w:rPr>
          <w:fldChar w:fldCharType="begin"/>
        </w:r>
        <w:r w:rsidR="006C092A">
          <w:rPr>
            <w:webHidden/>
          </w:rPr>
          <w:instrText xml:space="preserve"> PAGEREF _Toc471484387 \h </w:instrText>
        </w:r>
        <w:r>
          <w:rPr>
            <w:webHidden/>
          </w:rPr>
        </w:r>
        <w:r>
          <w:rPr>
            <w:webHidden/>
          </w:rPr>
          <w:fldChar w:fldCharType="separate"/>
        </w:r>
        <w:r w:rsidR="006C092A">
          <w:rPr>
            <w:webHidden/>
          </w:rPr>
          <w:t>3</w:t>
        </w:r>
        <w:r>
          <w:rPr>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388" w:history="1">
        <w:r w:rsidR="006C092A" w:rsidRPr="00E563DE">
          <w:rPr>
            <w:rStyle w:val="Lienhypertexte"/>
            <w:rFonts w:asciiTheme="majorBidi" w:hAnsiTheme="majorBidi" w:cstheme="majorBidi"/>
          </w:rPr>
          <w:t>Dédicace</w:t>
        </w:r>
        <w:r w:rsidR="006C092A">
          <w:rPr>
            <w:webHidden/>
          </w:rPr>
          <w:tab/>
        </w:r>
        <w:r>
          <w:rPr>
            <w:webHidden/>
          </w:rPr>
          <w:fldChar w:fldCharType="begin"/>
        </w:r>
        <w:r w:rsidR="006C092A">
          <w:rPr>
            <w:webHidden/>
          </w:rPr>
          <w:instrText xml:space="preserve"> PAGEREF _Toc471484388 \h </w:instrText>
        </w:r>
        <w:r>
          <w:rPr>
            <w:webHidden/>
          </w:rPr>
        </w:r>
        <w:r>
          <w:rPr>
            <w:webHidden/>
          </w:rPr>
          <w:fldChar w:fldCharType="separate"/>
        </w:r>
        <w:r w:rsidR="006C092A">
          <w:rPr>
            <w:webHidden/>
          </w:rPr>
          <w:t>4</w:t>
        </w:r>
        <w:r>
          <w:rPr>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389" w:history="1">
        <w:r w:rsidR="006C092A" w:rsidRPr="00E563DE">
          <w:rPr>
            <w:rStyle w:val="Lienhypertexte"/>
            <w:rFonts w:asciiTheme="majorBidi" w:hAnsiTheme="majorBidi" w:cstheme="majorBidi"/>
          </w:rPr>
          <w:t>Table des matières</w:t>
        </w:r>
        <w:r w:rsidR="006C092A">
          <w:rPr>
            <w:webHidden/>
          </w:rPr>
          <w:tab/>
        </w:r>
        <w:r>
          <w:rPr>
            <w:webHidden/>
          </w:rPr>
          <w:fldChar w:fldCharType="begin"/>
        </w:r>
        <w:r w:rsidR="006C092A">
          <w:rPr>
            <w:webHidden/>
          </w:rPr>
          <w:instrText xml:space="preserve"> PAGEREF _Toc471484389 \h </w:instrText>
        </w:r>
        <w:r>
          <w:rPr>
            <w:webHidden/>
          </w:rPr>
        </w:r>
        <w:r>
          <w:rPr>
            <w:webHidden/>
          </w:rPr>
          <w:fldChar w:fldCharType="separate"/>
        </w:r>
        <w:r w:rsidR="006C092A">
          <w:rPr>
            <w:webHidden/>
          </w:rPr>
          <w:t>5</w:t>
        </w:r>
        <w:r>
          <w:rPr>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390" w:history="1">
        <w:r w:rsidR="006C092A" w:rsidRPr="00E563DE">
          <w:rPr>
            <w:rStyle w:val="Lienhypertexte"/>
            <w:rFonts w:asciiTheme="majorBidi" w:hAnsiTheme="majorBidi" w:cstheme="majorBidi"/>
          </w:rPr>
          <w:t>INTRODUCTION</w:t>
        </w:r>
        <w:r w:rsidR="006C092A">
          <w:rPr>
            <w:webHidden/>
          </w:rPr>
          <w:tab/>
        </w:r>
        <w:r>
          <w:rPr>
            <w:webHidden/>
          </w:rPr>
          <w:fldChar w:fldCharType="begin"/>
        </w:r>
        <w:r w:rsidR="006C092A">
          <w:rPr>
            <w:webHidden/>
          </w:rPr>
          <w:instrText xml:space="preserve"> PAGEREF _Toc471484390 \h </w:instrText>
        </w:r>
        <w:r>
          <w:rPr>
            <w:webHidden/>
          </w:rPr>
        </w:r>
        <w:r>
          <w:rPr>
            <w:webHidden/>
          </w:rPr>
          <w:fldChar w:fldCharType="separate"/>
        </w:r>
        <w:r w:rsidR="006C092A">
          <w:rPr>
            <w:webHidden/>
          </w:rPr>
          <w:t>10</w:t>
        </w:r>
        <w:r>
          <w:rPr>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391" w:history="1">
        <w:r w:rsidR="006C092A" w:rsidRPr="00E563DE">
          <w:rPr>
            <w:rStyle w:val="Lienhypertexte"/>
          </w:rPr>
          <w:t>PARTIE I : Les théâtres de Kaki et de Ghelderode: Textes, contexte et paratexte</w:t>
        </w:r>
        <w:r w:rsidR="006C092A">
          <w:rPr>
            <w:webHidden/>
          </w:rPr>
          <w:tab/>
        </w:r>
        <w:r>
          <w:rPr>
            <w:webHidden/>
          </w:rPr>
          <w:fldChar w:fldCharType="begin"/>
        </w:r>
        <w:r w:rsidR="006C092A">
          <w:rPr>
            <w:webHidden/>
          </w:rPr>
          <w:instrText xml:space="preserve"> PAGEREF _Toc471484391 \h </w:instrText>
        </w:r>
        <w:r>
          <w:rPr>
            <w:webHidden/>
          </w:rPr>
        </w:r>
        <w:r>
          <w:rPr>
            <w:webHidden/>
          </w:rPr>
          <w:fldChar w:fldCharType="separate"/>
        </w:r>
        <w:r w:rsidR="006C092A">
          <w:rPr>
            <w:webHidden/>
          </w:rPr>
          <w:t>25</w:t>
        </w:r>
        <w:r>
          <w:rPr>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392" w:history="1">
        <w:r w:rsidR="006C092A" w:rsidRPr="00E563DE">
          <w:rPr>
            <w:rStyle w:val="Lienhypertexte"/>
            <w:rFonts w:ascii="Times New Roman" w:hAnsi="Times New Roman"/>
            <w:noProof/>
          </w:rPr>
          <w:t>Chapitre 1 : Kaki dans le théâtre algérien</w:t>
        </w:r>
        <w:r w:rsidR="006C092A">
          <w:rPr>
            <w:noProof/>
            <w:webHidden/>
          </w:rPr>
          <w:tab/>
        </w:r>
        <w:r>
          <w:rPr>
            <w:noProof/>
            <w:webHidden/>
          </w:rPr>
          <w:fldChar w:fldCharType="begin"/>
        </w:r>
        <w:r w:rsidR="006C092A">
          <w:rPr>
            <w:noProof/>
            <w:webHidden/>
          </w:rPr>
          <w:instrText xml:space="preserve"> PAGEREF _Toc471484392 \h </w:instrText>
        </w:r>
        <w:r>
          <w:rPr>
            <w:noProof/>
            <w:webHidden/>
          </w:rPr>
        </w:r>
        <w:r>
          <w:rPr>
            <w:noProof/>
            <w:webHidden/>
          </w:rPr>
          <w:fldChar w:fldCharType="separate"/>
        </w:r>
        <w:r w:rsidR="006C092A">
          <w:rPr>
            <w:noProof/>
            <w:webHidden/>
          </w:rPr>
          <w:t>27</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393" w:history="1">
        <w:r w:rsidR="006C092A" w:rsidRPr="00E563DE">
          <w:rPr>
            <w:rStyle w:val="Lienhypertexte"/>
            <w:rFonts w:ascii="Times New Roman" w:hAnsi="Times New Roman"/>
            <w:noProof/>
          </w:rPr>
          <w:t>1. Présentation de la société algérienne et impact de la colonisation</w:t>
        </w:r>
        <w:r w:rsidR="006C092A">
          <w:rPr>
            <w:noProof/>
            <w:webHidden/>
          </w:rPr>
          <w:tab/>
        </w:r>
        <w:r>
          <w:rPr>
            <w:noProof/>
            <w:webHidden/>
          </w:rPr>
          <w:fldChar w:fldCharType="begin"/>
        </w:r>
        <w:r w:rsidR="006C092A">
          <w:rPr>
            <w:noProof/>
            <w:webHidden/>
          </w:rPr>
          <w:instrText xml:space="preserve"> PAGEREF _Toc471484393 \h </w:instrText>
        </w:r>
        <w:r>
          <w:rPr>
            <w:noProof/>
            <w:webHidden/>
          </w:rPr>
        </w:r>
        <w:r>
          <w:rPr>
            <w:noProof/>
            <w:webHidden/>
          </w:rPr>
          <w:fldChar w:fldCharType="separate"/>
        </w:r>
        <w:r w:rsidR="006C092A">
          <w:rPr>
            <w:noProof/>
            <w:webHidden/>
          </w:rPr>
          <w:t>27</w:t>
        </w:r>
        <w:r>
          <w:rPr>
            <w:noProof/>
            <w:webHidden/>
          </w:rPr>
          <w:fldChar w:fldCharType="end"/>
        </w:r>
      </w:hyperlink>
    </w:p>
    <w:p w:rsidR="006C092A" w:rsidRDefault="00D27910">
      <w:pPr>
        <w:pStyle w:val="TM4"/>
        <w:tabs>
          <w:tab w:val="left" w:pos="1320"/>
          <w:tab w:val="right" w:leader="underscore" w:pos="7984"/>
        </w:tabs>
        <w:rPr>
          <w:rFonts w:asciiTheme="minorHAnsi" w:eastAsiaTheme="minorEastAsia" w:hAnsiTheme="minorHAnsi" w:cstheme="minorBidi"/>
          <w:noProof/>
          <w:sz w:val="22"/>
          <w:szCs w:val="22"/>
          <w:lang w:eastAsia="fr-FR"/>
        </w:rPr>
      </w:pPr>
      <w:hyperlink w:anchor="_Toc471484394" w:history="1">
        <w:r w:rsidR="006C092A" w:rsidRPr="00E563DE">
          <w:rPr>
            <w:rStyle w:val="Lienhypertexte"/>
            <w:rFonts w:ascii="Times New Roman" w:hAnsi="Times New Roman"/>
            <w:iCs/>
            <w:noProof/>
          </w:rPr>
          <w:t>1.1.</w:t>
        </w:r>
        <w:r w:rsidR="006C092A">
          <w:rPr>
            <w:rFonts w:asciiTheme="minorHAnsi" w:eastAsiaTheme="minorEastAsia" w:hAnsiTheme="minorHAnsi" w:cstheme="minorBidi"/>
            <w:noProof/>
            <w:sz w:val="22"/>
            <w:szCs w:val="22"/>
            <w:lang w:eastAsia="fr-FR"/>
          </w:rPr>
          <w:tab/>
        </w:r>
        <w:r w:rsidR="006C092A" w:rsidRPr="00E563DE">
          <w:rPr>
            <w:rStyle w:val="Lienhypertexte"/>
            <w:rFonts w:ascii="Times New Roman" w:hAnsi="Times New Roman"/>
            <w:iCs/>
            <w:noProof/>
          </w:rPr>
          <w:t>L’Algérie avant la colonisation française</w:t>
        </w:r>
        <w:r w:rsidR="006C092A">
          <w:rPr>
            <w:noProof/>
            <w:webHidden/>
          </w:rPr>
          <w:tab/>
        </w:r>
        <w:r>
          <w:rPr>
            <w:noProof/>
            <w:webHidden/>
          </w:rPr>
          <w:fldChar w:fldCharType="begin"/>
        </w:r>
        <w:r w:rsidR="006C092A">
          <w:rPr>
            <w:noProof/>
            <w:webHidden/>
          </w:rPr>
          <w:instrText xml:space="preserve"> PAGEREF _Toc471484394 \h </w:instrText>
        </w:r>
        <w:r>
          <w:rPr>
            <w:noProof/>
            <w:webHidden/>
          </w:rPr>
        </w:r>
        <w:r>
          <w:rPr>
            <w:noProof/>
            <w:webHidden/>
          </w:rPr>
          <w:fldChar w:fldCharType="separate"/>
        </w:r>
        <w:r w:rsidR="006C092A">
          <w:rPr>
            <w:noProof/>
            <w:webHidden/>
          </w:rPr>
          <w:t>28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395" w:history="1">
        <w:r w:rsidR="006C092A" w:rsidRPr="00E563DE">
          <w:rPr>
            <w:rStyle w:val="Lienhypertexte"/>
            <w:rFonts w:ascii="Times New Roman" w:hAnsi="Times New Roman"/>
            <w:noProof/>
            <w:lang w:eastAsia="fr-FR"/>
          </w:rPr>
          <w:t>1.1.1. Des berbères aux phéniciens</w:t>
        </w:r>
        <w:r w:rsidR="006C092A">
          <w:rPr>
            <w:noProof/>
            <w:webHidden/>
          </w:rPr>
          <w:tab/>
        </w:r>
        <w:r>
          <w:rPr>
            <w:noProof/>
            <w:webHidden/>
          </w:rPr>
          <w:fldChar w:fldCharType="begin"/>
        </w:r>
        <w:r w:rsidR="006C092A">
          <w:rPr>
            <w:noProof/>
            <w:webHidden/>
          </w:rPr>
          <w:instrText xml:space="preserve"> PAGEREF _Toc471484395 \h </w:instrText>
        </w:r>
        <w:r>
          <w:rPr>
            <w:noProof/>
            <w:webHidden/>
          </w:rPr>
        </w:r>
        <w:r>
          <w:rPr>
            <w:noProof/>
            <w:webHidden/>
          </w:rPr>
          <w:fldChar w:fldCharType="separate"/>
        </w:r>
        <w:r w:rsidR="006C092A">
          <w:rPr>
            <w:noProof/>
            <w:webHidden/>
          </w:rPr>
          <w:t>28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396" w:history="1">
        <w:r w:rsidR="006C092A" w:rsidRPr="00E563DE">
          <w:rPr>
            <w:rStyle w:val="Lienhypertexte"/>
            <w:rFonts w:ascii="Times New Roman" w:hAnsi="Times New Roman"/>
            <w:noProof/>
            <w:lang w:eastAsia="fr-FR"/>
          </w:rPr>
          <w:t>1.1.2. La Numidie romaine</w:t>
        </w:r>
        <w:r w:rsidR="006C092A">
          <w:rPr>
            <w:noProof/>
            <w:webHidden/>
          </w:rPr>
          <w:tab/>
        </w:r>
        <w:r>
          <w:rPr>
            <w:noProof/>
            <w:webHidden/>
          </w:rPr>
          <w:fldChar w:fldCharType="begin"/>
        </w:r>
        <w:r w:rsidR="006C092A">
          <w:rPr>
            <w:noProof/>
            <w:webHidden/>
          </w:rPr>
          <w:instrText xml:space="preserve"> PAGEREF _Toc471484396 \h </w:instrText>
        </w:r>
        <w:r>
          <w:rPr>
            <w:noProof/>
            <w:webHidden/>
          </w:rPr>
        </w:r>
        <w:r>
          <w:rPr>
            <w:noProof/>
            <w:webHidden/>
          </w:rPr>
          <w:fldChar w:fldCharType="separate"/>
        </w:r>
        <w:r w:rsidR="006C092A">
          <w:rPr>
            <w:noProof/>
            <w:webHidden/>
          </w:rPr>
          <w:t>29</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397" w:history="1">
        <w:r w:rsidR="006C092A" w:rsidRPr="00E563DE">
          <w:rPr>
            <w:rStyle w:val="Lienhypertexte"/>
            <w:rFonts w:ascii="Times New Roman" w:hAnsi="Times New Roman"/>
            <w:noProof/>
            <w:lang w:eastAsia="fr-FR"/>
          </w:rPr>
          <w:t>1.1.3. L’ère chrétienne</w:t>
        </w:r>
        <w:r w:rsidR="006C092A">
          <w:rPr>
            <w:noProof/>
            <w:webHidden/>
          </w:rPr>
          <w:tab/>
        </w:r>
        <w:r>
          <w:rPr>
            <w:noProof/>
            <w:webHidden/>
          </w:rPr>
          <w:fldChar w:fldCharType="begin"/>
        </w:r>
        <w:r w:rsidR="006C092A">
          <w:rPr>
            <w:noProof/>
            <w:webHidden/>
          </w:rPr>
          <w:instrText xml:space="preserve"> PAGEREF _Toc471484397 \h </w:instrText>
        </w:r>
        <w:r>
          <w:rPr>
            <w:noProof/>
            <w:webHidden/>
          </w:rPr>
        </w:r>
        <w:r>
          <w:rPr>
            <w:noProof/>
            <w:webHidden/>
          </w:rPr>
          <w:fldChar w:fldCharType="separate"/>
        </w:r>
        <w:r w:rsidR="006C092A">
          <w:rPr>
            <w:noProof/>
            <w:webHidden/>
          </w:rPr>
          <w:t>29</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398" w:history="1">
        <w:r w:rsidR="006C092A" w:rsidRPr="00E563DE">
          <w:rPr>
            <w:rStyle w:val="Lienhypertexte"/>
            <w:rFonts w:ascii="Times New Roman" w:hAnsi="Times New Roman"/>
            <w:noProof/>
            <w:lang w:eastAsia="fr-FR"/>
          </w:rPr>
          <w:t>1.1.4. L’avènement de l’Islam</w:t>
        </w:r>
        <w:r w:rsidR="006C092A">
          <w:rPr>
            <w:noProof/>
            <w:webHidden/>
          </w:rPr>
          <w:tab/>
        </w:r>
        <w:r>
          <w:rPr>
            <w:noProof/>
            <w:webHidden/>
          </w:rPr>
          <w:fldChar w:fldCharType="begin"/>
        </w:r>
        <w:r w:rsidR="006C092A">
          <w:rPr>
            <w:noProof/>
            <w:webHidden/>
          </w:rPr>
          <w:instrText xml:space="preserve"> PAGEREF _Toc471484398 \h </w:instrText>
        </w:r>
        <w:r>
          <w:rPr>
            <w:noProof/>
            <w:webHidden/>
          </w:rPr>
        </w:r>
        <w:r>
          <w:rPr>
            <w:noProof/>
            <w:webHidden/>
          </w:rPr>
          <w:fldChar w:fldCharType="separate"/>
        </w:r>
        <w:r w:rsidR="006C092A">
          <w:rPr>
            <w:noProof/>
            <w:webHidden/>
          </w:rPr>
          <w:t>30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399" w:history="1">
        <w:r w:rsidR="006C092A" w:rsidRPr="00E563DE">
          <w:rPr>
            <w:rStyle w:val="Lienhypertexte"/>
            <w:rFonts w:ascii="Times New Roman" w:hAnsi="Times New Roman"/>
            <w:noProof/>
            <w:lang w:eastAsia="fr-FR"/>
          </w:rPr>
          <w:t>1.1.5. Contribution de l’Andalousie et de l’époque ottomane</w:t>
        </w:r>
        <w:r w:rsidR="006C092A">
          <w:rPr>
            <w:noProof/>
            <w:webHidden/>
          </w:rPr>
          <w:tab/>
        </w:r>
        <w:r>
          <w:rPr>
            <w:noProof/>
            <w:webHidden/>
          </w:rPr>
          <w:fldChar w:fldCharType="begin"/>
        </w:r>
        <w:r w:rsidR="006C092A">
          <w:rPr>
            <w:noProof/>
            <w:webHidden/>
          </w:rPr>
          <w:instrText xml:space="preserve"> PAGEREF _Toc471484399 \h </w:instrText>
        </w:r>
        <w:r>
          <w:rPr>
            <w:noProof/>
            <w:webHidden/>
          </w:rPr>
        </w:r>
        <w:r>
          <w:rPr>
            <w:noProof/>
            <w:webHidden/>
          </w:rPr>
          <w:fldChar w:fldCharType="separate"/>
        </w:r>
        <w:r w:rsidR="006C092A">
          <w:rPr>
            <w:noProof/>
            <w:webHidden/>
          </w:rPr>
          <w:t>31</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00" w:history="1">
        <w:r w:rsidR="006C092A" w:rsidRPr="00E563DE">
          <w:rPr>
            <w:rStyle w:val="Lienhypertexte"/>
            <w:rFonts w:ascii="Times New Roman" w:hAnsi="Times New Roman"/>
            <w:iCs/>
            <w:noProof/>
          </w:rPr>
          <w:t>1.2. L’Algérie et l’empreinte de la colonisation française</w:t>
        </w:r>
        <w:r w:rsidR="006C092A">
          <w:rPr>
            <w:noProof/>
            <w:webHidden/>
          </w:rPr>
          <w:tab/>
        </w:r>
        <w:r>
          <w:rPr>
            <w:noProof/>
            <w:webHidden/>
          </w:rPr>
          <w:fldChar w:fldCharType="begin"/>
        </w:r>
        <w:r w:rsidR="006C092A">
          <w:rPr>
            <w:noProof/>
            <w:webHidden/>
          </w:rPr>
          <w:instrText xml:space="preserve"> PAGEREF _Toc471484400 \h </w:instrText>
        </w:r>
        <w:r>
          <w:rPr>
            <w:noProof/>
            <w:webHidden/>
          </w:rPr>
        </w:r>
        <w:r>
          <w:rPr>
            <w:noProof/>
            <w:webHidden/>
          </w:rPr>
          <w:fldChar w:fldCharType="separate"/>
        </w:r>
        <w:r w:rsidR="006C092A">
          <w:rPr>
            <w:noProof/>
            <w:webHidden/>
          </w:rPr>
          <w:t>32</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01" w:history="1">
        <w:r w:rsidR="006C092A" w:rsidRPr="00E563DE">
          <w:rPr>
            <w:rStyle w:val="Lienhypertexte"/>
            <w:rFonts w:ascii="Times New Roman" w:hAnsi="Times New Roman"/>
            <w:noProof/>
            <w:lang w:eastAsia="fr-FR"/>
          </w:rPr>
          <w:t>1.2.1. L’Algérie au moment de la colonisation</w:t>
        </w:r>
        <w:r w:rsidR="006C092A">
          <w:rPr>
            <w:noProof/>
            <w:webHidden/>
          </w:rPr>
          <w:tab/>
        </w:r>
        <w:r>
          <w:rPr>
            <w:noProof/>
            <w:webHidden/>
          </w:rPr>
          <w:fldChar w:fldCharType="begin"/>
        </w:r>
        <w:r w:rsidR="006C092A">
          <w:rPr>
            <w:noProof/>
            <w:webHidden/>
          </w:rPr>
          <w:instrText xml:space="preserve"> PAGEREF _Toc471484401 \h </w:instrText>
        </w:r>
        <w:r>
          <w:rPr>
            <w:noProof/>
            <w:webHidden/>
          </w:rPr>
        </w:r>
        <w:r>
          <w:rPr>
            <w:noProof/>
            <w:webHidden/>
          </w:rPr>
          <w:fldChar w:fldCharType="separate"/>
        </w:r>
        <w:r w:rsidR="006C092A">
          <w:rPr>
            <w:noProof/>
            <w:webHidden/>
          </w:rPr>
          <w:t>33</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02" w:history="1">
        <w:r w:rsidR="006C092A" w:rsidRPr="00E563DE">
          <w:rPr>
            <w:rStyle w:val="Lienhypertexte"/>
            <w:rFonts w:ascii="Times New Roman" w:hAnsi="Times New Roman"/>
            <w:noProof/>
            <w:lang w:eastAsia="fr-FR"/>
          </w:rPr>
          <w:t>1.2.2. Effets et héritages de la colonisation française</w:t>
        </w:r>
        <w:r w:rsidR="006C092A">
          <w:rPr>
            <w:noProof/>
            <w:webHidden/>
          </w:rPr>
          <w:tab/>
        </w:r>
        <w:r>
          <w:rPr>
            <w:noProof/>
            <w:webHidden/>
          </w:rPr>
          <w:fldChar w:fldCharType="begin"/>
        </w:r>
        <w:r w:rsidR="006C092A">
          <w:rPr>
            <w:noProof/>
            <w:webHidden/>
          </w:rPr>
          <w:instrText xml:space="preserve"> PAGEREF _Toc471484402 \h </w:instrText>
        </w:r>
        <w:r>
          <w:rPr>
            <w:noProof/>
            <w:webHidden/>
          </w:rPr>
        </w:r>
        <w:r>
          <w:rPr>
            <w:noProof/>
            <w:webHidden/>
          </w:rPr>
          <w:fldChar w:fldCharType="separate"/>
        </w:r>
        <w:r w:rsidR="006C092A">
          <w:rPr>
            <w:noProof/>
            <w:webHidden/>
          </w:rPr>
          <w:t>36</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03" w:history="1">
        <w:r w:rsidR="006C092A" w:rsidRPr="00E563DE">
          <w:rPr>
            <w:rStyle w:val="Lienhypertexte"/>
            <w:rFonts w:ascii="Times New Roman" w:hAnsi="Times New Roman"/>
            <w:noProof/>
          </w:rPr>
          <w:t>2. Le théâtre algérien : contexte historique, enjeux et singularités</w:t>
        </w:r>
        <w:r w:rsidR="006C092A">
          <w:rPr>
            <w:noProof/>
            <w:webHidden/>
          </w:rPr>
          <w:tab/>
        </w:r>
        <w:r>
          <w:rPr>
            <w:noProof/>
            <w:webHidden/>
          </w:rPr>
          <w:fldChar w:fldCharType="begin"/>
        </w:r>
        <w:r w:rsidR="006C092A">
          <w:rPr>
            <w:noProof/>
            <w:webHidden/>
          </w:rPr>
          <w:instrText xml:space="preserve"> PAGEREF _Toc471484403 \h </w:instrText>
        </w:r>
        <w:r>
          <w:rPr>
            <w:noProof/>
            <w:webHidden/>
          </w:rPr>
        </w:r>
        <w:r>
          <w:rPr>
            <w:noProof/>
            <w:webHidden/>
          </w:rPr>
          <w:fldChar w:fldCharType="separate"/>
        </w:r>
        <w:r w:rsidR="006C092A">
          <w:rPr>
            <w:noProof/>
            <w:webHidden/>
          </w:rPr>
          <w:t>41</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04" w:history="1">
        <w:r w:rsidR="006C092A" w:rsidRPr="00E563DE">
          <w:rPr>
            <w:rStyle w:val="Lienhypertexte"/>
            <w:rFonts w:ascii="Times New Roman" w:hAnsi="Times New Roman"/>
            <w:iCs/>
            <w:noProof/>
          </w:rPr>
          <w:t>2.1. Temporalité et identité du théâtre algérien</w:t>
        </w:r>
        <w:r w:rsidR="006C092A">
          <w:rPr>
            <w:noProof/>
            <w:webHidden/>
          </w:rPr>
          <w:tab/>
        </w:r>
        <w:r>
          <w:rPr>
            <w:noProof/>
            <w:webHidden/>
          </w:rPr>
          <w:fldChar w:fldCharType="begin"/>
        </w:r>
        <w:r w:rsidR="006C092A">
          <w:rPr>
            <w:noProof/>
            <w:webHidden/>
          </w:rPr>
          <w:instrText xml:space="preserve"> PAGEREF _Toc471484404 \h </w:instrText>
        </w:r>
        <w:r>
          <w:rPr>
            <w:noProof/>
            <w:webHidden/>
          </w:rPr>
        </w:r>
        <w:r>
          <w:rPr>
            <w:noProof/>
            <w:webHidden/>
          </w:rPr>
          <w:fldChar w:fldCharType="separate"/>
        </w:r>
        <w:r w:rsidR="006C092A">
          <w:rPr>
            <w:noProof/>
            <w:webHidden/>
          </w:rPr>
          <w:t>42</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05" w:history="1">
        <w:r w:rsidR="006C092A" w:rsidRPr="00E563DE">
          <w:rPr>
            <w:rStyle w:val="Lienhypertexte"/>
            <w:rFonts w:ascii="Times New Roman" w:hAnsi="Times New Roman"/>
            <w:noProof/>
          </w:rPr>
          <w:t>2.1.1. Le théâtre algérien avant et après la colonisation française</w:t>
        </w:r>
        <w:r w:rsidR="006C092A">
          <w:rPr>
            <w:noProof/>
            <w:webHidden/>
          </w:rPr>
          <w:tab/>
        </w:r>
        <w:r>
          <w:rPr>
            <w:noProof/>
            <w:webHidden/>
          </w:rPr>
          <w:fldChar w:fldCharType="begin"/>
        </w:r>
        <w:r w:rsidR="006C092A">
          <w:rPr>
            <w:noProof/>
            <w:webHidden/>
          </w:rPr>
          <w:instrText xml:space="preserve"> PAGEREF _Toc471484405 \h </w:instrText>
        </w:r>
        <w:r>
          <w:rPr>
            <w:noProof/>
            <w:webHidden/>
          </w:rPr>
        </w:r>
        <w:r>
          <w:rPr>
            <w:noProof/>
            <w:webHidden/>
          </w:rPr>
          <w:fldChar w:fldCharType="separate"/>
        </w:r>
        <w:r w:rsidR="006C092A">
          <w:rPr>
            <w:noProof/>
            <w:webHidden/>
          </w:rPr>
          <w:t>44</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06" w:history="1">
        <w:r w:rsidR="006C092A" w:rsidRPr="00E563DE">
          <w:rPr>
            <w:rStyle w:val="Lienhypertexte"/>
            <w:rFonts w:ascii="Times New Roman" w:hAnsi="Times New Roman"/>
            <w:noProof/>
          </w:rPr>
          <w:t>2.1.2. Le genre du théâtre algérien</w:t>
        </w:r>
        <w:r w:rsidR="006C092A">
          <w:rPr>
            <w:noProof/>
            <w:webHidden/>
          </w:rPr>
          <w:tab/>
        </w:r>
        <w:r>
          <w:rPr>
            <w:noProof/>
            <w:webHidden/>
          </w:rPr>
          <w:fldChar w:fldCharType="begin"/>
        </w:r>
        <w:r w:rsidR="006C092A">
          <w:rPr>
            <w:noProof/>
            <w:webHidden/>
          </w:rPr>
          <w:instrText xml:space="preserve"> PAGEREF _Toc471484406 \h </w:instrText>
        </w:r>
        <w:r>
          <w:rPr>
            <w:noProof/>
            <w:webHidden/>
          </w:rPr>
        </w:r>
        <w:r>
          <w:rPr>
            <w:noProof/>
            <w:webHidden/>
          </w:rPr>
          <w:fldChar w:fldCharType="separate"/>
        </w:r>
        <w:r w:rsidR="006C092A">
          <w:rPr>
            <w:noProof/>
            <w:webHidden/>
          </w:rPr>
          <w:t>46</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07" w:history="1">
        <w:r w:rsidR="006C092A" w:rsidRPr="00E563DE">
          <w:rPr>
            <w:rStyle w:val="Lienhypertexte"/>
            <w:rFonts w:ascii="Times New Roman" w:hAnsi="Times New Roman"/>
            <w:iCs/>
            <w:noProof/>
          </w:rPr>
          <w:t>2.2. Autres questions autour du théâtre algérien</w:t>
        </w:r>
        <w:r w:rsidR="006C092A">
          <w:rPr>
            <w:noProof/>
            <w:webHidden/>
          </w:rPr>
          <w:tab/>
        </w:r>
        <w:r>
          <w:rPr>
            <w:noProof/>
            <w:webHidden/>
          </w:rPr>
          <w:fldChar w:fldCharType="begin"/>
        </w:r>
        <w:r w:rsidR="006C092A">
          <w:rPr>
            <w:noProof/>
            <w:webHidden/>
          </w:rPr>
          <w:instrText xml:space="preserve"> PAGEREF _Toc471484407 \h </w:instrText>
        </w:r>
        <w:r>
          <w:rPr>
            <w:noProof/>
            <w:webHidden/>
          </w:rPr>
        </w:r>
        <w:r>
          <w:rPr>
            <w:noProof/>
            <w:webHidden/>
          </w:rPr>
          <w:fldChar w:fldCharType="separate"/>
        </w:r>
        <w:r w:rsidR="006C092A">
          <w:rPr>
            <w:noProof/>
            <w:webHidden/>
          </w:rPr>
          <w:t>50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08" w:history="1">
        <w:r w:rsidR="006C092A" w:rsidRPr="00E563DE">
          <w:rPr>
            <w:rStyle w:val="Lienhypertexte"/>
            <w:rFonts w:ascii="Times New Roman" w:hAnsi="Times New Roman"/>
            <w:noProof/>
          </w:rPr>
          <w:t>2.2.1. La réalité du théâtre dans le monde arabe : existe-t-il un théâtre algérien ?</w:t>
        </w:r>
        <w:r w:rsidR="006C092A">
          <w:rPr>
            <w:noProof/>
            <w:webHidden/>
          </w:rPr>
          <w:tab/>
        </w:r>
        <w:r>
          <w:rPr>
            <w:noProof/>
            <w:webHidden/>
          </w:rPr>
          <w:fldChar w:fldCharType="begin"/>
        </w:r>
        <w:r w:rsidR="006C092A">
          <w:rPr>
            <w:noProof/>
            <w:webHidden/>
          </w:rPr>
          <w:instrText xml:space="preserve"> PAGEREF _Toc471484408 \h </w:instrText>
        </w:r>
        <w:r>
          <w:rPr>
            <w:noProof/>
            <w:webHidden/>
          </w:rPr>
        </w:r>
        <w:r>
          <w:rPr>
            <w:noProof/>
            <w:webHidden/>
          </w:rPr>
          <w:fldChar w:fldCharType="separate"/>
        </w:r>
        <w:r w:rsidR="006C092A">
          <w:rPr>
            <w:noProof/>
            <w:webHidden/>
          </w:rPr>
          <w:t>50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09" w:history="1">
        <w:r w:rsidR="006C092A" w:rsidRPr="00E563DE">
          <w:rPr>
            <w:rStyle w:val="Lienhypertexte"/>
            <w:rFonts w:ascii="Times New Roman" w:hAnsi="Times New Roman"/>
            <w:noProof/>
          </w:rPr>
          <w:t>2.2.2. Le théâtre algérien et son rapport à l’Islam</w:t>
        </w:r>
        <w:r w:rsidR="006C092A">
          <w:rPr>
            <w:noProof/>
            <w:webHidden/>
          </w:rPr>
          <w:tab/>
        </w:r>
        <w:r>
          <w:rPr>
            <w:noProof/>
            <w:webHidden/>
          </w:rPr>
          <w:fldChar w:fldCharType="begin"/>
        </w:r>
        <w:r w:rsidR="006C092A">
          <w:rPr>
            <w:noProof/>
            <w:webHidden/>
          </w:rPr>
          <w:instrText xml:space="preserve"> PAGEREF _Toc471484409 \h </w:instrText>
        </w:r>
        <w:r>
          <w:rPr>
            <w:noProof/>
            <w:webHidden/>
          </w:rPr>
        </w:r>
        <w:r>
          <w:rPr>
            <w:noProof/>
            <w:webHidden/>
          </w:rPr>
          <w:fldChar w:fldCharType="separate"/>
        </w:r>
        <w:r w:rsidR="006C092A">
          <w:rPr>
            <w:noProof/>
            <w:webHidden/>
          </w:rPr>
          <w:t>54</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10" w:history="1">
        <w:r w:rsidR="006C092A" w:rsidRPr="00E563DE">
          <w:rPr>
            <w:rStyle w:val="Lienhypertexte"/>
            <w:rFonts w:ascii="Times New Roman" w:hAnsi="Times New Roman"/>
            <w:noProof/>
          </w:rPr>
          <w:t>2.2.3. Le théâtre algérien et la culture populaire</w:t>
        </w:r>
        <w:r w:rsidR="006C092A">
          <w:rPr>
            <w:noProof/>
            <w:webHidden/>
          </w:rPr>
          <w:tab/>
        </w:r>
        <w:r>
          <w:rPr>
            <w:noProof/>
            <w:webHidden/>
          </w:rPr>
          <w:fldChar w:fldCharType="begin"/>
        </w:r>
        <w:r w:rsidR="006C092A">
          <w:rPr>
            <w:noProof/>
            <w:webHidden/>
          </w:rPr>
          <w:instrText xml:space="preserve"> PAGEREF _Toc471484410 \h </w:instrText>
        </w:r>
        <w:r>
          <w:rPr>
            <w:noProof/>
            <w:webHidden/>
          </w:rPr>
        </w:r>
        <w:r>
          <w:rPr>
            <w:noProof/>
            <w:webHidden/>
          </w:rPr>
          <w:fldChar w:fldCharType="separate"/>
        </w:r>
        <w:r w:rsidR="006C092A">
          <w:rPr>
            <w:noProof/>
            <w:webHidden/>
          </w:rPr>
          <w:t>55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11" w:history="1">
        <w:r w:rsidR="006C092A" w:rsidRPr="00E563DE">
          <w:rPr>
            <w:rStyle w:val="Lienhypertexte"/>
            <w:rFonts w:ascii="Times New Roman" w:hAnsi="Times New Roman"/>
            <w:noProof/>
          </w:rPr>
          <w:t>2.2.4. Le théâtre algérien engagé</w:t>
        </w:r>
        <w:r w:rsidR="006C092A">
          <w:rPr>
            <w:noProof/>
            <w:webHidden/>
          </w:rPr>
          <w:tab/>
        </w:r>
        <w:r>
          <w:rPr>
            <w:noProof/>
            <w:webHidden/>
          </w:rPr>
          <w:fldChar w:fldCharType="begin"/>
        </w:r>
        <w:r w:rsidR="006C092A">
          <w:rPr>
            <w:noProof/>
            <w:webHidden/>
          </w:rPr>
          <w:instrText xml:space="preserve"> PAGEREF _Toc471484411 \h </w:instrText>
        </w:r>
        <w:r>
          <w:rPr>
            <w:noProof/>
            <w:webHidden/>
          </w:rPr>
        </w:r>
        <w:r>
          <w:rPr>
            <w:noProof/>
            <w:webHidden/>
          </w:rPr>
          <w:fldChar w:fldCharType="separate"/>
        </w:r>
        <w:r w:rsidR="006C092A">
          <w:rPr>
            <w:noProof/>
            <w:webHidden/>
          </w:rPr>
          <w:t>58</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12" w:history="1">
        <w:r w:rsidR="006C092A" w:rsidRPr="00E563DE">
          <w:rPr>
            <w:rStyle w:val="Lienhypertexte"/>
            <w:rFonts w:asciiTheme="majorBidi" w:hAnsiTheme="majorBidi" w:cstheme="majorBidi"/>
            <w:noProof/>
          </w:rPr>
          <w:t>3. Vie et œuvre de Ould Abderrahmane Kaki</w:t>
        </w:r>
        <w:r w:rsidR="006C092A">
          <w:rPr>
            <w:noProof/>
            <w:webHidden/>
          </w:rPr>
          <w:tab/>
        </w:r>
        <w:r>
          <w:rPr>
            <w:noProof/>
            <w:webHidden/>
          </w:rPr>
          <w:fldChar w:fldCharType="begin"/>
        </w:r>
        <w:r w:rsidR="006C092A">
          <w:rPr>
            <w:noProof/>
            <w:webHidden/>
          </w:rPr>
          <w:instrText xml:space="preserve"> PAGEREF _Toc471484412 \h </w:instrText>
        </w:r>
        <w:r>
          <w:rPr>
            <w:noProof/>
            <w:webHidden/>
          </w:rPr>
        </w:r>
        <w:r>
          <w:rPr>
            <w:noProof/>
            <w:webHidden/>
          </w:rPr>
          <w:fldChar w:fldCharType="separate"/>
        </w:r>
        <w:r w:rsidR="006C092A">
          <w:rPr>
            <w:noProof/>
            <w:webHidden/>
          </w:rPr>
          <w:t>63</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13" w:history="1">
        <w:r w:rsidR="006C092A" w:rsidRPr="00E563DE">
          <w:rPr>
            <w:rStyle w:val="Lienhypertexte"/>
            <w:rFonts w:ascii="Times New Roman" w:hAnsi="Times New Roman"/>
            <w:iCs/>
            <w:noProof/>
            <w:lang w:eastAsia="fr-FR"/>
          </w:rPr>
          <w:t>3.1. Biographie de O.A.Kaki</w:t>
        </w:r>
        <w:r w:rsidR="006C092A">
          <w:rPr>
            <w:noProof/>
            <w:webHidden/>
          </w:rPr>
          <w:tab/>
        </w:r>
        <w:r>
          <w:rPr>
            <w:noProof/>
            <w:webHidden/>
          </w:rPr>
          <w:fldChar w:fldCharType="begin"/>
        </w:r>
        <w:r w:rsidR="006C092A">
          <w:rPr>
            <w:noProof/>
            <w:webHidden/>
          </w:rPr>
          <w:instrText xml:space="preserve"> PAGEREF _Toc471484413 \h </w:instrText>
        </w:r>
        <w:r>
          <w:rPr>
            <w:noProof/>
            <w:webHidden/>
          </w:rPr>
        </w:r>
        <w:r>
          <w:rPr>
            <w:noProof/>
            <w:webHidden/>
          </w:rPr>
          <w:fldChar w:fldCharType="separate"/>
        </w:r>
        <w:r w:rsidR="006C092A">
          <w:rPr>
            <w:noProof/>
            <w:webHidden/>
          </w:rPr>
          <w:t>64</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14" w:history="1">
        <w:r w:rsidR="006C092A" w:rsidRPr="00E563DE">
          <w:rPr>
            <w:rStyle w:val="Lienhypertexte"/>
            <w:rFonts w:ascii="Times New Roman" w:hAnsi="Times New Roman"/>
            <w:iCs/>
            <w:noProof/>
            <w:lang w:eastAsia="fr-FR"/>
          </w:rPr>
          <w:t>3.2. Œuvres de O.A.Kaki</w:t>
        </w:r>
        <w:r w:rsidR="006C092A">
          <w:rPr>
            <w:noProof/>
            <w:webHidden/>
          </w:rPr>
          <w:tab/>
        </w:r>
        <w:r>
          <w:rPr>
            <w:noProof/>
            <w:webHidden/>
          </w:rPr>
          <w:fldChar w:fldCharType="begin"/>
        </w:r>
        <w:r w:rsidR="006C092A">
          <w:rPr>
            <w:noProof/>
            <w:webHidden/>
          </w:rPr>
          <w:instrText xml:space="preserve"> PAGEREF _Toc471484414 \h </w:instrText>
        </w:r>
        <w:r>
          <w:rPr>
            <w:noProof/>
            <w:webHidden/>
          </w:rPr>
        </w:r>
        <w:r>
          <w:rPr>
            <w:noProof/>
            <w:webHidden/>
          </w:rPr>
          <w:fldChar w:fldCharType="separate"/>
        </w:r>
        <w:r w:rsidR="006C092A">
          <w:rPr>
            <w:noProof/>
            <w:webHidden/>
          </w:rPr>
          <w:t>65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15" w:history="1">
        <w:r w:rsidR="006C092A" w:rsidRPr="00E563DE">
          <w:rPr>
            <w:rStyle w:val="Lienhypertexte"/>
            <w:rFonts w:ascii="Times New Roman" w:hAnsi="Times New Roman"/>
            <w:noProof/>
            <w:lang w:eastAsia="fr-FR"/>
          </w:rPr>
          <w:t>3.2.1. Principales œuvres de Kaki</w:t>
        </w:r>
        <w:r w:rsidR="006C092A">
          <w:rPr>
            <w:noProof/>
            <w:webHidden/>
          </w:rPr>
          <w:tab/>
        </w:r>
        <w:r>
          <w:rPr>
            <w:noProof/>
            <w:webHidden/>
          </w:rPr>
          <w:fldChar w:fldCharType="begin"/>
        </w:r>
        <w:r w:rsidR="006C092A">
          <w:rPr>
            <w:noProof/>
            <w:webHidden/>
          </w:rPr>
          <w:instrText xml:space="preserve"> PAGEREF _Toc471484415 \h </w:instrText>
        </w:r>
        <w:r>
          <w:rPr>
            <w:noProof/>
            <w:webHidden/>
          </w:rPr>
        </w:r>
        <w:r>
          <w:rPr>
            <w:noProof/>
            <w:webHidden/>
          </w:rPr>
          <w:fldChar w:fldCharType="separate"/>
        </w:r>
        <w:r w:rsidR="006C092A">
          <w:rPr>
            <w:noProof/>
            <w:webHidden/>
          </w:rPr>
          <w:t>65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16" w:history="1">
        <w:r w:rsidR="006C092A" w:rsidRPr="00E563DE">
          <w:rPr>
            <w:rStyle w:val="Lienhypertexte"/>
            <w:rFonts w:ascii="Times New Roman" w:hAnsi="Times New Roman"/>
            <w:noProof/>
            <w:lang w:eastAsia="fr-FR"/>
          </w:rPr>
          <w:t>3.2.2. Qu’est-ce qui a changé avec Kaki ? Description d’une révolution théâtrale</w:t>
        </w:r>
        <w:r w:rsidR="006C092A">
          <w:rPr>
            <w:noProof/>
            <w:webHidden/>
          </w:rPr>
          <w:tab/>
        </w:r>
        <w:r>
          <w:rPr>
            <w:noProof/>
            <w:webHidden/>
          </w:rPr>
          <w:fldChar w:fldCharType="begin"/>
        </w:r>
        <w:r w:rsidR="006C092A">
          <w:rPr>
            <w:noProof/>
            <w:webHidden/>
          </w:rPr>
          <w:instrText xml:space="preserve"> PAGEREF _Toc471484416 \h </w:instrText>
        </w:r>
        <w:r>
          <w:rPr>
            <w:noProof/>
            <w:webHidden/>
          </w:rPr>
        </w:r>
        <w:r>
          <w:rPr>
            <w:noProof/>
            <w:webHidden/>
          </w:rPr>
          <w:fldChar w:fldCharType="separate"/>
        </w:r>
        <w:r w:rsidR="006C092A">
          <w:rPr>
            <w:noProof/>
            <w:webHidden/>
          </w:rPr>
          <w:t>68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17" w:history="1">
        <w:r w:rsidR="006C092A" w:rsidRPr="00E563DE">
          <w:rPr>
            <w:rStyle w:val="Lienhypertexte"/>
            <w:rFonts w:ascii="Times New Roman" w:hAnsi="Times New Roman"/>
            <w:noProof/>
            <w:lang w:eastAsia="fr-FR"/>
          </w:rPr>
          <w:t>3.2.3. L’oralité, clé de voûte de l’œuvre de Kaki</w:t>
        </w:r>
        <w:r w:rsidR="006C092A">
          <w:rPr>
            <w:noProof/>
            <w:webHidden/>
          </w:rPr>
          <w:tab/>
        </w:r>
        <w:r>
          <w:rPr>
            <w:noProof/>
            <w:webHidden/>
          </w:rPr>
          <w:fldChar w:fldCharType="begin"/>
        </w:r>
        <w:r w:rsidR="006C092A">
          <w:rPr>
            <w:noProof/>
            <w:webHidden/>
          </w:rPr>
          <w:instrText xml:space="preserve"> PAGEREF _Toc471484417 \h </w:instrText>
        </w:r>
        <w:r>
          <w:rPr>
            <w:noProof/>
            <w:webHidden/>
          </w:rPr>
        </w:r>
        <w:r>
          <w:rPr>
            <w:noProof/>
            <w:webHidden/>
          </w:rPr>
          <w:fldChar w:fldCharType="separate"/>
        </w:r>
        <w:r w:rsidR="006C092A">
          <w:rPr>
            <w:noProof/>
            <w:webHidden/>
          </w:rPr>
          <w:t>69</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18" w:history="1">
        <w:r w:rsidR="006C092A" w:rsidRPr="00E563DE">
          <w:rPr>
            <w:rStyle w:val="Lienhypertexte"/>
            <w:rFonts w:ascii="Times New Roman" w:hAnsi="Times New Roman"/>
            <w:iCs/>
            <w:noProof/>
            <w:lang w:eastAsia="fr-FR"/>
          </w:rPr>
          <w:t>3.3. Apports dramaturgiques de Kaki</w:t>
        </w:r>
        <w:r w:rsidR="006C092A">
          <w:rPr>
            <w:noProof/>
            <w:webHidden/>
          </w:rPr>
          <w:tab/>
        </w:r>
        <w:r>
          <w:rPr>
            <w:noProof/>
            <w:webHidden/>
          </w:rPr>
          <w:fldChar w:fldCharType="begin"/>
        </w:r>
        <w:r w:rsidR="006C092A">
          <w:rPr>
            <w:noProof/>
            <w:webHidden/>
          </w:rPr>
          <w:instrText xml:space="preserve"> PAGEREF _Toc471484418 \h </w:instrText>
        </w:r>
        <w:r>
          <w:rPr>
            <w:noProof/>
            <w:webHidden/>
          </w:rPr>
        </w:r>
        <w:r>
          <w:rPr>
            <w:noProof/>
            <w:webHidden/>
          </w:rPr>
          <w:fldChar w:fldCharType="separate"/>
        </w:r>
        <w:r w:rsidR="006C092A">
          <w:rPr>
            <w:noProof/>
            <w:webHidden/>
          </w:rPr>
          <w:t>70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19" w:history="1">
        <w:r w:rsidR="006C092A" w:rsidRPr="00E563DE">
          <w:rPr>
            <w:rStyle w:val="Lienhypertexte"/>
            <w:rFonts w:asciiTheme="majorBidi" w:hAnsiTheme="majorBidi" w:cstheme="majorBidi"/>
            <w:noProof/>
            <w:lang w:eastAsia="fr-FR"/>
          </w:rPr>
          <w:t>3.3.1. Kaki et le théâtre tiré de la culture populaire</w:t>
        </w:r>
        <w:r w:rsidR="006C092A">
          <w:rPr>
            <w:noProof/>
            <w:webHidden/>
          </w:rPr>
          <w:tab/>
        </w:r>
        <w:r>
          <w:rPr>
            <w:noProof/>
            <w:webHidden/>
          </w:rPr>
          <w:fldChar w:fldCharType="begin"/>
        </w:r>
        <w:r w:rsidR="006C092A">
          <w:rPr>
            <w:noProof/>
            <w:webHidden/>
          </w:rPr>
          <w:instrText xml:space="preserve"> PAGEREF _Toc471484419 \h </w:instrText>
        </w:r>
        <w:r>
          <w:rPr>
            <w:noProof/>
            <w:webHidden/>
          </w:rPr>
        </w:r>
        <w:r>
          <w:rPr>
            <w:noProof/>
            <w:webHidden/>
          </w:rPr>
          <w:fldChar w:fldCharType="separate"/>
        </w:r>
        <w:r w:rsidR="006C092A">
          <w:rPr>
            <w:noProof/>
            <w:webHidden/>
          </w:rPr>
          <w:t>71</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20" w:history="1">
        <w:r w:rsidR="006C092A" w:rsidRPr="00E563DE">
          <w:rPr>
            <w:rStyle w:val="Lienhypertexte"/>
            <w:rFonts w:ascii="Times New Roman" w:hAnsi="Times New Roman"/>
            <w:noProof/>
            <w:lang w:eastAsia="fr-FR"/>
          </w:rPr>
          <w:t>3.3.2. Kaki et le théâtre hybride (moderne et authentique)</w:t>
        </w:r>
        <w:r w:rsidR="006C092A">
          <w:rPr>
            <w:noProof/>
            <w:webHidden/>
          </w:rPr>
          <w:tab/>
        </w:r>
        <w:r>
          <w:rPr>
            <w:noProof/>
            <w:webHidden/>
          </w:rPr>
          <w:fldChar w:fldCharType="begin"/>
        </w:r>
        <w:r w:rsidR="006C092A">
          <w:rPr>
            <w:noProof/>
            <w:webHidden/>
          </w:rPr>
          <w:instrText xml:space="preserve"> PAGEREF _Toc471484420 \h </w:instrText>
        </w:r>
        <w:r>
          <w:rPr>
            <w:noProof/>
            <w:webHidden/>
          </w:rPr>
        </w:r>
        <w:r>
          <w:rPr>
            <w:noProof/>
            <w:webHidden/>
          </w:rPr>
          <w:fldChar w:fldCharType="separate"/>
        </w:r>
        <w:r w:rsidR="006C092A">
          <w:rPr>
            <w:noProof/>
            <w:webHidden/>
          </w:rPr>
          <w:t>72</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21" w:history="1">
        <w:r w:rsidR="006C092A" w:rsidRPr="00E563DE">
          <w:rPr>
            <w:rStyle w:val="Lienhypertexte"/>
            <w:rFonts w:ascii="Times New Roman" w:hAnsi="Times New Roman"/>
            <w:noProof/>
            <w:lang w:eastAsia="fr-FR"/>
          </w:rPr>
          <w:t>3.3.3. Kaki et le théâtre engagé</w:t>
        </w:r>
        <w:r w:rsidR="006C092A">
          <w:rPr>
            <w:noProof/>
            <w:webHidden/>
          </w:rPr>
          <w:tab/>
        </w:r>
        <w:r>
          <w:rPr>
            <w:noProof/>
            <w:webHidden/>
          </w:rPr>
          <w:fldChar w:fldCharType="begin"/>
        </w:r>
        <w:r w:rsidR="006C092A">
          <w:rPr>
            <w:noProof/>
            <w:webHidden/>
          </w:rPr>
          <w:instrText xml:space="preserve"> PAGEREF _Toc471484421 \h </w:instrText>
        </w:r>
        <w:r>
          <w:rPr>
            <w:noProof/>
            <w:webHidden/>
          </w:rPr>
        </w:r>
        <w:r>
          <w:rPr>
            <w:noProof/>
            <w:webHidden/>
          </w:rPr>
          <w:fldChar w:fldCharType="separate"/>
        </w:r>
        <w:r w:rsidR="006C092A">
          <w:rPr>
            <w:noProof/>
            <w:webHidden/>
          </w:rPr>
          <w:t>75</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22" w:history="1">
        <w:r w:rsidR="006C092A" w:rsidRPr="00E563DE">
          <w:rPr>
            <w:rStyle w:val="Lienhypertexte"/>
            <w:rFonts w:asciiTheme="majorBidi" w:hAnsiTheme="majorBidi" w:cstheme="majorBidi"/>
            <w:iCs/>
            <w:noProof/>
            <w:lang w:eastAsia="fr-FR"/>
          </w:rPr>
          <w:t>4. Témoignages autour de l’œuvre de Kaki</w:t>
        </w:r>
        <w:r w:rsidR="006C092A">
          <w:rPr>
            <w:noProof/>
            <w:webHidden/>
          </w:rPr>
          <w:tab/>
        </w:r>
        <w:r>
          <w:rPr>
            <w:noProof/>
            <w:webHidden/>
          </w:rPr>
          <w:fldChar w:fldCharType="begin"/>
        </w:r>
        <w:r w:rsidR="006C092A">
          <w:rPr>
            <w:noProof/>
            <w:webHidden/>
          </w:rPr>
          <w:instrText xml:space="preserve"> PAGEREF _Toc471484422 \h </w:instrText>
        </w:r>
        <w:r>
          <w:rPr>
            <w:noProof/>
            <w:webHidden/>
          </w:rPr>
        </w:r>
        <w:r>
          <w:rPr>
            <w:noProof/>
            <w:webHidden/>
          </w:rPr>
          <w:fldChar w:fldCharType="separate"/>
        </w:r>
        <w:r w:rsidR="006C092A">
          <w:rPr>
            <w:noProof/>
            <w:webHidden/>
          </w:rPr>
          <w:t>79</w:t>
        </w:r>
        <w:r>
          <w:rPr>
            <w:noProof/>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423" w:history="1">
        <w:r w:rsidR="006C092A" w:rsidRPr="00E563DE">
          <w:rPr>
            <w:rStyle w:val="Lienhypertexte"/>
            <w:rFonts w:ascii="Times New Roman" w:hAnsi="Times New Roman"/>
            <w:noProof/>
          </w:rPr>
          <w:t>Chapitre 2 : Ghelderode dans le théâtre belge</w:t>
        </w:r>
        <w:r w:rsidR="006C092A">
          <w:rPr>
            <w:noProof/>
            <w:webHidden/>
          </w:rPr>
          <w:tab/>
        </w:r>
        <w:r>
          <w:rPr>
            <w:noProof/>
            <w:webHidden/>
          </w:rPr>
          <w:fldChar w:fldCharType="begin"/>
        </w:r>
        <w:r w:rsidR="006C092A">
          <w:rPr>
            <w:noProof/>
            <w:webHidden/>
          </w:rPr>
          <w:instrText xml:space="preserve"> PAGEREF _Toc471484423 \h </w:instrText>
        </w:r>
        <w:r>
          <w:rPr>
            <w:noProof/>
            <w:webHidden/>
          </w:rPr>
        </w:r>
        <w:r>
          <w:rPr>
            <w:noProof/>
            <w:webHidden/>
          </w:rPr>
          <w:fldChar w:fldCharType="separate"/>
        </w:r>
        <w:r w:rsidR="006C092A">
          <w:rPr>
            <w:noProof/>
            <w:webHidden/>
          </w:rPr>
          <w:t>82</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24" w:history="1">
        <w:r w:rsidR="006C092A" w:rsidRPr="00E563DE">
          <w:rPr>
            <w:rStyle w:val="Lienhypertexte"/>
            <w:rFonts w:ascii="Times New Roman" w:hAnsi="Times New Roman"/>
            <w:noProof/>
          </w:rPr>
          <w:t>1. Le théâtre européen à l’époque de Ghelderode : contexte</w:t>
        </w:r>
        <w:r w:rsidR="006C092A">
          <w:rPr>
            <w:noProof/>
            <w:webHidden/>
          </w:rPr>
          <w:tab/>
        </w:r>
        <w:r>
          <w:rPr>
            <w:noProof/>
            <w:webHidden/>
          </w:rPr>
          <w:fldChar w:fldCharType="begin"/>
        </w:r>
        <w:r w:rsidR="006C092A">
          <w:rPr>
            <w:noProof/>
            <w:webHidden/>
          </w:rPr>
          <w:instrText xml:space="preserve"> PAGEREF _Toc471484424 \h </w:instrText>
        </w:r>
        <w:r>
          <w:rPr>
            <w:noProof/>
            <w:webHidden/>
          </w:rPr>
        </w:r>
        <w:r>
          <w:rPr>
            <w:noProof/>
            <w:webHidden/>
          </w:rPr>
          <w:fldChar w:fldCharType="separate"/>
        </w:r>
        <w:r w:rsidR="006C092A">
          <w:rPr>
            <w:noProof/>
            <w:webHidden/>
          </w:rPr>
          <w:t>82</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25" w:history="1">
        <w:r w:rsidR="006C092A" w:rsidRPr="00E563DE">
          <w:rPr>
            <w:rStyle w:val="Lienhypertexte"/>
            <w:rFonts w:ascii="Times New Roman" w:hAnsi="Times New Roman"/>
            <w:noProof/>
          </w:rPr>
          <w:t>2. Société et littérature belges à l’époque de Ghelderode</w:t>
        </w:r>
        <w:r w:rsidR="006C092A">
          <w:rPr>
            <w:noProof/>
            <w:webHidden/>
          </w:rPr>
          <w:tab/>
        </w:r>
        <w:r>
          <w:rPr>
            <w:noProof/>
            <w:webHidden/>
          </w:rPr>
          <w:fldChar w:fldCharType="begin"/>
        </w:r>
        <w:r w:rsidR="006C092A">
          <w:rPr>
            <w:noProof/>
            <w:webHidden/>
          </w:rPr>
          <w:instrText xml:space="preserve"> PAGEREF _Toc471484425 \h </w:instrText>
        </w:r>
        <w:r>
          <w:rPr>
            <w:noProof/>
            <w:webHidden/>
          </w:rPr>
        </w:r>
        <w:r>
          <w:rPr>
            <w:noProof/>
            <w:webHidden/>
          </w:rPr>
          <w:fldChar w:fldCharType="separate"/>
        </w:r>
        <w:r w:rsidR="006C092A">
          <w:rPr>
            <w:noProof/>
            <w:webHidden/>
          </w:rPr>
          <w:t>84</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26" w:history="1">
        <w:r w:rsidR="006C092A" w:rsidRPr="00E563DE">
          <w:rPr>
            <w:rStyle w:val="Lienhypertexte"/>
            <w:rFonts w:ascii="Times New Roman" w:hAnsi="Times New Roman"/>
            <w:noProof/>
          </w:rPr>
          <w:t>3. Vie et œuvre de Michel de Ghelderode</w:t>
        </w:r>
        <w:r w:rsidR="006C092A">
          <w:rPr>
            <w:noProof/>
            <w:webHidden/>
          </w:rPr>
          <w:tab/>
        </w:r>
        <w:r>
          <w:rPr>
            <w:noProof/>
            <w:webHidden/>
          </w:rPr>
          <w:fldChar w:fldCharType="begin"/>
        </w:r>
        <w:r w:rsidR="006C092A">
          <w:rPr>
            <w:noProof/>
            <w:webHidden/>
          </w:rPr>
          <w:instrText xml:space="preserve"> PAGEREF _Toc471484426 \h </w:instrText>
        </w:r>
        <w:r>
          <w:rPr>
            <w:noProof/>
            <w:webHidden/>
          </w:rPr>
        </w:r>
        <w:r>
          <w:rPr>
            <w:noProof/>
            <w:webHidden/>
          </w:rPr>
          <w:fldChar w:fldCharType="separate"/>
        </w:r>
        <w:r w:rsidR="006C092A">
          <w:rPr>
            <w:noProof/>
            <w:webHidden/>
          </w:rPr>
          <w:t>87</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27" w:history="1">
        <w:r w:rsidR="006C092A" w:rsidRPr="00E563DE">
          <w:rPr>
            <w:rStyle w:val="Lienhypertexte"/>
            <w:rFonts w:ascii="Times New Roman" w:hAnsi="Times New Roman"/>
            <w:iCs/>
            <w:noProof/>
            <w:lang w:eastAsia="fr-FR"/>
          </w:rPr>
          <w:t>3.1. Biographie de Michel de Ghelderode</w:t>
        </w:r>
        <w:r w:rsidR="006C092A">
          <w:rPr>
            <w:noProof/>
            <w:webHidden/>
          </w:rPr>
          <w:tab/>
        </w:r>
        <w:r>
          <w:rPr>
            <w:noProof/>
            <w:webHidden/>
          </w:rPr>
          <w:fldChar w:fldCharType="begin"/>
        </w:r>
        <w:r w:rsidR="006C092A">
          <w:rPr>
            <w:noProof/>
            <w:webHidden/>
          </w:rPr>
          <w:instrText xml:space="preserve"> PAGEREF _Toc471484427 \h </w:instrText>
        </w:r>
        <w:r>
          <w:rPr>
            <w:noProof/>
            <w:webHidden/>
          </w:rPr>
        </w:r>
        <w:r>
          <w:rPr>
            <w:noProof/>
            <w:webHidden/>
          </w:rPr>
          <w:fldChar w:fldCharType="separate"/>
        </w:r>
        <w:r w:rsidR="006C092A">
          <w:rPr>
            <w:noProof/>
            <w:webHidden/>
          </w:rPr>
          <w:t>87</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28" w:history="1">
        <w:r w:rsidR="006C092A" w:rsidRPr="00E563DE">
          <w:rPr>
            <w:rStyle w:val="Lienhypertexte"/>
            <w:rFonts w:ascii="Times New Roman" w:hAnsi="Times New Roman"/>
            <w:iCs/>
            <w:noProof/>
            <w:lang w:eastAsia="fr-FR"/>
          </w:rPr>
          <w:t>3.2.Œuvres dramatiques de Michel de Ghelderode</w:t>
        </w:r>
        <w:r w:rsidR="006C092A">
          <w:rPr>
            <w:noProof/>
            <w:webHidden/>
          </w:rPr>
          <w:tab/>
        </w:r>
        <w:r>
          <w:rPr>
            <w:noProof/>
            <w:webHidden/>
          </w:rPr>
          <w:fldChar w:fldCharType="begin"/>
        </w:r>
        <w:r w:rsidR="006C092A">
          <w:rPr>
            <w:noProof/>
            <w:webHidden/>
          </w:rPr>
          <w:instrText xml:space="preserve"> PAGEREF _Toc471484428 \h </w:instrText>
        </w:r>
        <w:r>
          <w:rPr>
            <w:noProof/>
            <w:webHidden/>
          </w:rPr>
        </w:r>
        <w:r>
          <w:rPr>
            <w:noProof/>
            <w:webHidden/>
          </w:rPr>
          <w:fldChar w:fldCharType="separate"/>
        </w:r>
        <w:r w:rsidR="006C092A">
          <w:rPr>
            <w:noProof/>
            <w:webHidden/>
          </w:rPr>
          <w:t>92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29" w:history="1">
        <w:r w:rsidR="006C092A" w:rsidRPr="00E563DE">
          <w:rPr>
            <w:rStyle w:val="Lienhypertexte"/>
            <w:rFonts w:ascii="Times New Roman" w:hAnsi="Times New Roman"/>
            <w:iCs/>
            <w:noProof/>
            <w:lang w:eastAsia="fr-FR"/>
          </w:rPr>
          <w:t>3.3. Contribution dramaturgique de Michel de Ghelderode</w:t>
        </w:r>
        <w:r w:rsidR="006C092A">
          <w:rPr>
            <w:noProof/>
            <w:webHidden/>
          </w:rPr>
          <w:tab/>
        </w:r>
        <w:r>
          <w:rPr>
            <w:noProof/>
            <w:webHidden/>
          </w:rPr>
          <w:fldChar w:fldCharType="begin"/>
        </w:r>
        <w:r w:rsidR="006C092A">
          <w:rPr>
            <w:noProof/>
            <w:webHidden/>
          </w:rPr>
          <w:instrText xml:space="preserve"> PAGEREF _Toc471484429 \h </w:instrText>
        </w:r>
        <w:r>
          <w:rPr>
            <w:noProof/>
            <w:webHidden/>
          </w:rPr>
        </w:r>
        <w:r>
          <w:rPr>
            <w:noProof/>
            <w:webHidden/>
          </w:rPr>
          <w:fldChar w:fldCharType="separate"/>
        </w:r>
        <w:r w:rsidR="006C092A">
          <w:rPr>
            <w:noProof/>
            <w:webHidden/>
          </w:rPr>
          <w:t>93</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30" w:history="1">
        <w:r w:rsidR="006C092A" w:rsidRPr="00E563DE">
          <w:rPr>
            <w:rStyle w:val="Lienhypertexte"/>
            <w:rFonts w:ascii="Times New Roman" w:hAnsi="Times New Roman"/>
            <w:noProof/>
          </w:rPr>
          <w:t>3.3.1. Ghelderode,  le comique et le carnavalesque</w:t>
        </w:r>
        <w:r w:rsidR="006C092A">
          <w:rPr>
            <w:noProof/>
            <w:webHidden/>
          </w:rPr>
          <w:tab/>
        </w:r>
        <w:r>
          <w:rPr>
            <w:noProof/>
            <w:webHidden/>
          </w:rPr>
          <w:fldChar w:fldCharType="begin"/>
        </w:r>
        <w:r w:rsidR="006C092A">
          <w:rPr>
            <w:noProof/>
            <w:webHidden/>
          </w:rPr>
          <w:instrText xml:space="preserve"> PAGEREF _Toc471484430 \h </w:instrText>
        </w:r>
        <w:r>
          <w:rPr>
            <w:noProof/>
            <w:webHidden/>
          </w:rPr>
        </w:r>
        <w:r>
          <w:rPr>
            <w:noProof/>
            <w:webHidden/>
          </w:rPr>
          <w:fldChar w:fldCharType="separate"/>
        </w:r>
        <w:r w:rsidR="006C092A">
          <w:rPr>
            <w:noProof/>
            <w:webHidden/>
          </w:rPr>
          <w:t>94</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31" w:history="1">
        <w:r w:rsidR="006C092A" w:rsidRPr="00E563DE">
          <w:rPr>
            <w:rStyle w:val="Lienhypertexte"/>
            <w:rFonts w:asciiTheme="majorBidi" w:hAnsiTheme="majorBidi" w:cstheme="majorBidi"/>
            <w:noProof/>
          </w:rPr>
          <w:t>3.3.2. Ghelderode, le grotesque et le tragique</w:t>
        </w:r>
        <w:r w:rsidR="006C092A">
          <w:rPr>
            <w:noProof/>
            <w:webHidden/>
          </w:rPr>
          <w:tab/>
        </w:r>
        <w:r>
          <w:rPr>
            <w:noProof/>
            <w:webHidden/>
          </w:rPr>
          <w:fldChar w:fldCharType="begin"/>
        </w:r>
        <w:r w:rsidR="006C092A">
          <w:rPr>
            <w:noProof/>
            <w:webHidden/>
          </w:rPr>
          <w:instrText xml:space="preserve"> PAGEREF _Toc471484431 \h </w:instrText>
        </w:r>
        <w:r>
          <w:rPr>
            <w:noProof/>
            <w:webHidden/>
          </w:rPr>
        </w:r>
        <w:r>
          <w:rPr>
            <w:noProof/>
            <w:webHidden/>
          </w:rPr>
          <w:fldChar w:fldCharType="separate"/>
        </w:r>
        <w:r w:rsidR="006C092A">
          <w:rPr>
            <w:noProof/>
            <w:webHidden/>
          </w:rPr>
          <w:t>95</w:t>
        </w:r>
        <w:r>
          <w:rPr>
            <w:noProof/>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432" w:history="1">
        <w:r w:rsidR="006C092A" w:rsidRPr="00E563DE">
          <w:rPr>
            <w:rStyle w:val="Lienhypertexte"/>
            <w:rFonts w:ascii="Times New Roman" w:hAnsi="Times New Roman"/>
            <w:noProof/>
          </w:rPr>
          <w:t>Chapitre 3 : Kaki vs Ghelderode, étude des convergences et des divergences</w:t>
        </w:r>
        <w:r w:rsidR="006C092A">
          <w:rPr>
            <w:noProof/>
            <w:webHidden/>
          </w:rPr>
          <w:tab/>
        </w:r>
        <w:r>
          <w:rPr>
            <w:noProof/>
            <w:webHidden/>
          </w:rPr>
          <w:fldChar w:fldCharType="begin"/>
        </w:r>
        <w:r w:rsidR="006C092A">
          <w:rPr>
            <w:noProof/>
            <w:webHidden/>
          </w:rPr>
          <w:instrText xml:space="preserve"> PAGEREF _Toc471484432 \h </w:instrText>
        </w:r>
        <w:r>
          <w:rPr>
            <w:noProof/>
            <w:webHidden/>
          </w:rPr>
        </w:r>
        <w:r>
          <w:rPr>
            <w:noProof/>
            <w:webHidden/>
          </w:rPr>
          <w:fldChar w:fldCharType="separate"/>
        </w:r>
        <w:r w:rsidR="006C092A">
          <w:rPr>
            <w:noProof/>
            <w:webHidden/>
          </w:rPr>
          <w:t>96</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33" w:history="1">
        <w:r w:rsidR="006C092A" w:rsidRPr="00E563DE">
          <w:rPr>
            <w:rStyle w:val="Lienhypertexte"/>
            <w:rFonts w:ascii="Times New Roman" w:hAnsi="Times New Roman"/>
            <w:noProof/>
          </w:rPr>
          <w:t>1. Des points de similitudes entre les deux auteurs</w:t>
        </w:r>
        <w:r w:rsidR="006C092A">
          <w:rPr>
            <w:noProof/>
            <w:webHidden/>
          </w:rPr>
          <w:tab/>
        </w:r>
        <w:r>
          <w:rPr>
            <w:noProof/>
            <w:webHidden/>
          </w:rPr>
          <w:fldChar w:fldCharType="begin"/>
        </w:r>
        <w:r w:rsidR="006C092A">
          <w:rPr>
            <w:noProof/>
            <w:webHidden/>
          </w:rPr>
          <w:instrText xml:space="preserve"> PAGEREF _Toc471484433 \h </w:instrText>
        </w:r>
        <w:r>
          <w:rPr>
            <w:noProof/>
            <w:webHidden/>
          </w:rPr>
        </w:r>
        <w:r>
          <w:rPr>
            <w:noProof/>
            <w:webHidden/>
          </w:rPr>
          <w:fldChar w:fldCharType="separate"/>
        </w:r>
        <w:r w:rsidR="006C092A">
          <w:rPr>
            <w:noProof/>
            <w:webHidden/>
          </w:rPr>
          <w:t>97</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34" w:history="1">
        <w:r w:rsidR="006C092A" w:rsidRPr="00E563DE">
          <w:rPr>
            <w:rStyle w:val="Lienhypertexte"/>
            <w:rFonts w:ascii="Times New Roman" w:hAnsi="Times New Roman"/>
            <w:iCs/>
            <w:noProof/>
            <w:lang w:eastAsia="fr-FR"/>
          </w:rPr>
          <w:t>1.1. Un déchirement dans la langue</w:t>
        </w:r>
        <w:r w:rsidR="006C092A">
          <w:rPr>
            <w:noProof/>
            <w:webHidden/>
          </w:rPr>
          <w:tab/>
        </w:r>
        <w:r>
          <w:rPr>
            <w:noProof/>
            <w:webHidden/>
          </w:rPr>
          <w:fldChar w:fldCharType="begin"/>
        </w:r>
        <w:r w:rsidR="006C092A">
          <w:rPr>
            <w:noProof/>
            <w:webHidden/>
          </w:rPr>
          <w:instrText xml:space="preserve"> PAGEREF _Toc471484434 \h </w:instrText>
        </w:r>
        <w:r>
          <w:rPr>
            <w:noProof/>
            <w:webHidden/>
          </w:rPr>
        </w:r>
        <w:r>
          <w:rPr>
            <w:noProof/>
            <w:webHidden/>
          </w:rPr>
          <w:fldChar w:fldCharType="separate"/>
        </w:r>
        <w:r w:rsidR="006C092A">
          <w:rPr>
            <w:noProof/>
            <w:webHidden/>
          </w:rPr>
          <w:t>97</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35" w:history="1">
        <w:r w:rsidR="006C092A" w:rsidRPr="00E563DE">
          <w:rPr>
            <w:rStyle w:val="Lienhypertexte"/>
            <w:rFonts w:ascii="Times New Roman" w:hAnsi="Times New Roman"/>
            <w:noProof/>
          </w:rPr>
          <w:t>1.1.1. Ghelderode : un génie partagé entre deux mondes, entre deux langues</w:t>
        </w:r>
        <w:r w:rsidR="006C092A">
          <w:rPr>
            <w:noProof/>
            <w:webHidden/>
          </w:rPr>
          <w:tab/>
        </w:r>
        <w:r>
          <w:rPr>
            <w:noProof/>
            <w:webHidden/>
          </w:rPr>
          <w:fldChar w:fldCharType="begin"/>
        </w:r>
        <w:r w:rsidR="006C092A">
          <w:rPr>
            <w:noProof/>
            <w:webHidden/>
          </w:rPr>
          <w:instrText xml:space="preserve"> PAGEREF _Toc471484435 \h </w:instrText>
        </w:r>
        <w:r>
          <w:rPr>
            <w:noProof/>
            <w:webHidden/>
          </w:rPr>
        </w:r>
        <w:r>
          <w:rPr>
            <w:noProof/>
            <w:webHidden/>
          </w:rPr>
          <w:fldChar w:fldCharType="separate"/>
        </w:r>
        <w:r w:rsidR="006C092A">
          <w:rPr>
            <w:noProof/>
            <w:webHidden/>
          </w:rPr>
          <w:t>97</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36" w:history="1">
        <w:r w:rsidR="006C092A" w:rsidRPr="00E563DE">
          <w:rPr>
            <w:rStyle w:val="Lienhypertexte"/>
            <w:rFonts w:ascii="Times New Roman" w:hAnsi="Times New Roman"/>
            <w:noProof/>
          </w:rPr>
          <w:t>1.1.2. Kaki, un enfant né dans une querelle antédiluvienne</w:t>
        </w:r>
        <w:r w:rsidR="006C092A">
          <w:rPr>
            <w:noProof/>
            <w:webHidden/>
          </w:rPr>
          <w:tab/>
        </w:r>
        <w:r>
          <w:rPr>
            <w:noProof/>
            <w:webHidden/>
          </w:rPr>
          <w:fldChar w:fldCharType="begin"/>
        </w:r>
        <w:r w:rsidR="006C092A">
          <w:rPr>
            <w:noProof/>
            <w:webHidden/>
          </w:rPr>
          <w:instrText xml:space="preserve"> PAGEREF _Toc471484436 \h </w:instrText>
        </w:r>
        <w:r>
          <w:rPr>
            <w:noProof/>
            <w:webHidden/>
          </w:rPr>
        </w:r>
        <w:r>
          <w:rPr>
            <w:noProof/>
            <w:webHidden/>
          </w:rPr>
          <w:fldChar w:fldCharType="separate"/>
        </w:r>
        <w:r w:rsidR="006C092A">
          <w:rPr>
            <w:noProof/>
            <w:webHidden/>
          </w:rPr>
          <w:t>99</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37" w:history="1">
        <w:r w:rsidR="006C092A" w:rsidRPr="00E563DE">
          <w:rPr>
            <w:rStyle w:val="Lienhypertexte"/>
            <w:rFonts w:ascii="Times New Roman" w:hAnsi="Times New Roman"/>
            <w:iCs/>
            <w:noProof/>
            <w:lang w:eastAsia="fr-FR"/>
          </w:rPr>
          <w:t>1.2. Le caractère scriptural des pièces de théâtre</w:t>
        </w:r>
        <w:r w:rsidR="006C092A">
          <w:rPr>
            <w:noProof/>
            <w:webHidden/>
          </w:rPr>
          <w:tab/>
        </w:r>
        <w:r>
          <w:rPr>
            <w:noProof/>
            <w:webHidden/>
          </w:rPr>
          <w:fldChar w:fldCharType="begin"/>
        </w:r>
        <w:r w:rsidR="006C092A">
          <w:rPr>
            <w:noProof/>
            <w:webHidden/>
          </w:rPr>
          <w:instrText xml:space="preserve"> PAGEREF _Toc471484437 \h </w:instrText>
        </w:r>
        <w:r>
          <w:rPr>
            <w:noProof/>
            <w:webHidden/>
          </w:rPr>
        </w:r>
        <w:r>
          <w:rPr>
            <w:noProof/>
            <w:webHidden/>
          </w:rPr>
          <w:fldChar w:fldCharType="separate"/>
        </w:r>
        <w:r w:rsidR="006C092A">
          <w:rPr>
            <w:noProof/>
            <w:webHidden/>
          </w:rPr>
          <w:t>105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38" w:history="1">
        <w:r w:rsidR="006C092A" w:rsidRPr="00E563DE">
          <w:rPr>
            <w:rStyle w:val="Lienhypertexte"/>
            <w:rFonts w:ascii="Times New Roman" w:hAnsi="Times New Roman"/>
            <w:noProof/>
            <w:lang w:eastAsia="fr-FR"/>
          </w:rPr>
          <w:t>1.2.1. L’art théâtral selon Kaki : carnaval et théâtre total</w:t>
        </w:r>
        <w:r w:rsidR="006C092A">
          <w:rPr>
            <w:noProof/>
            <w:webHidden/>
          </w:rPr>
          <w:tab/>
        </w:r>
        <w:r>
          <w:rPr>
            <w:noProof/>
            <w:webHidden/>
          </w:rPr>
          <w:fldChar w:fldCharType="begin"/>
        </w:r>
        <w:r w:rsidR="006C092A">
          <w:rPr>
            <w:noProof/>
            <w:webHidden/>
          </w:rPr>
          <w:instrText xml:space="preserve"> PAGEREF _Toc471484438 \h </w:instrText>
        </w:r>
        <w:r>
          <w:rPr>
            <w:noProof/>
            <w:webHidden/>
          </w:rPr>
        </w:r>
        <w:r>
          <w:rPr>
            <w:noProof/>
            <w:webHidden/>
          </w:rPr>
          <w:fldChar w:fldCharType="separate"/>
        </w:r>
        <w:r w:rsidR="006C092A">
          <w:rPr>
            <w:noProof/>
            <w:webHidden/>
          </w:rPr>
          <w:t>106</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39" w:history="1">
        <w:r w:rsidR="006C092A" w:rsidRPr="00E563DE">
          <w:rPr>
            <w:rStyle w:val="Lienhypertexte"/>
            <w:rFonts w:ascii="Times New Roman" w:hAnsi="Times New Roman"/>
            <w:noProof/>
            <w:lang w:eastAsia="fr-FR"/>
          </w:rPr>
          <w:t>1.2.2. Ghelderode, du grotesque-comique au grotesque tragique</w:t>
        </w:r>
        <w:r w:rsidR="006C092A">
          <w:rPr>
            <w:noProof/>
            <w:webHidden/>
          </w:rPr>
          <w:tab/>
        </w:r>
        <w:r>
          <w:rPr>
            <w:noProof/>
            <w:webHidden/>
          </w:rPr>
          <w:fldChar w:fldCharType="begin"/>
        </w:r>
        <w:r w:rsidR="006C092A">
          <w:rPr>
            <w:noProof/>
            <w:webHidden/>
          </w:rPr>
          <w:instrText xml:space="preserve"> PAGEREF _Toc471484439 \h </w:instrText>
        </w:r>
        <w:r>
          <w:rPr>
            <w:noProof/>
            <w:webHidden/>
          </w:rPr>
        </w:r>
        <w:r>
          <w:rPr>
            <w:noProof/>
            <w:webHidden/>
          </w:rPr>
          <w:fldChar w:fldCharType="separate"/>
        </w:r>
        <w:r w:rsidR="006C092A">
          <w:rPr>
            <w:noProof/>
            <w:webHidden/>
          </w:rPr>
          <w:t>107</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40" w:history="1">
        <w:r w:rsidR="006C092A" w:rsidRPr="00E563DE">
          <w:rPr>
            <w:rStyle w:val="Lienhypertexte"/>
            <w:rFonts w:ascii="Times New Roman" w:hAnsi="Times New Roman"/>
            <w:noProof/>
          </w:rPr>
          <w:t>2. Des divergences existant entre les deux auteurs</w:t>
        </w:r>
        <w:r w:rsidR="006C092A">
          <w:rPr>
            <w:noProof/>
            <w:webHidden/>
          </w:rPr>
          <w:tab/>
        </w:r>
        <w:r>
          <w:rPr>
            <w:noProof/>
            <w:webHidden/>
          </w:rPr>
          <w:fldChar w:fldCharType="begin"/>
        </w:r>
        <w:r w:rsidR="006C092A">
          <w:rPr>
            <w:noProof/>
            <w:webHidden/>
          </w:rPr>
          <w:instrText xml:space="preserve"> PAGEREF _Toc471484440 \h </w:instrText>
        </w:r>
        <w:r>
          <w:rPr>
            <w:noProof/>
            <w:webHidden/>
          </w:rPr>
        </w:r>
        <w:r>
          <w:rPr>
            <w:noProof/>
            <w:webHidden/>
          </w:rPr>
          <w:fldChar w:fldCharType="separate"/>
        </w:r>
        <w:r w:rsidR="006C092A">
          <w:rPr>
            <w:noProof/>
            <w:webHidden/>
          </w:rPr>
          <w:t>113</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41" w:history="1">
        <w:r w:rsidR="006C092A" w:rsidRPr="00E563DE">
          <w:rPr>
            <w:rStyle w:val="Lienhypertexte"/>
            <w:rFonts w:ascii="Times New Roman" w:hAnsi="Times New Roman"/>
            <w:iCs/>
            <w:noProof/>
            <w:lang w:eastAsia="fr-FR"/>
          </w:rPr>
          <w:t>2.1. Des influences contraires</w:t>
        </w:r>
        <w:r w:rsidR="006C092A">
          <w:rPr>
            <w:noProof/>
            <w:webHidden/>
          </w:rPr>
          <w:tab/>
        </w:r>
        <w:r>
          <w:rPr>
            <w:noProof/>
            <w:webHidden/>
          </w:rPr>
          <w:fldChar w:fldCharType="begin"/>
        </w:r>
        <w:r w:rsidR="006C092A">
          <w:rPr>
            <w:noProof/>
            <w:webHidden/>
          </w:rPr>
          <w:instrText xml:space="preserve"> PAGEREF _Toc471484441 \h </w:instrText>
        </w:r>
        <w:r>
          <w:rPr>
            <w:noProof/>
            <w:webHidden/>
          </w:rPr>
        </w:r>
        <w:r>
          <w:rPr>
            <w:noProof/>
            <w:webHidden/>
          </w:rPr>
          <w:fldChar w:fldCharType="separate"/>
        </w:r>
        <w:r w:rsidR="006C092A">
          <w:rPr>
            <w:noProof/>
            <w:webHidden/>
          </w:rPr>
          <w:t>113</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42" w:history="1">
        <w:r w:rsidR="006C092A" w:rsidRPr="00E563DE">
          <w:rPr>
            <w:rStyle w:val="Lienhypertexte"/>
            <w:rFonts w:ascii="Times New Roman" w:hAnsi="Times New Roman"/>
            <w:noProof/>
            <w:lang w:eastAsia="fr-FR"/>
          </w:rPr>
          <w:t>2.1.1. Kaki, au carrefour des influences  occidentales et africaines</w:t>
        </w:r>
        <w:r w:rsidR="006C092A">
          <w:rPr>
            <w:noProof/>
            <w:webHidden/>
          </w:rPr>
          <w:tab/>
        </w:r>
        <w:r>
          <w:rPr>
            <w:noProof/>
            <w:webHidden/>
          </w:rPr>
          <w:fldChar w:fldCharType="begin"/>
        </w:r>
        <w:r w:rsidR="006C092A">
          <w:rPr>
            <w:noProof/>
            <w:webHidden/>
          </w:rPr>
          <w:instrText xml:space="preserve"> PAGEREF _Toc471484442 \h </w:instrText>
        </w:r>
        <w:r>
          <w:rPr>
            <w:noProof/>
            <w:webHidden/>
          </w:rPr>
        </w:r>
        <w:r>
          <w:rPr>
            <w:noProof/>
            <w:webHidden/>
          </w:rPr>
          <w:fldChar w:fldCharType="separate"/>
        </w:r>
        <w:r w:rsidR="006C092A">
          <w:rPr>
            <w:noProof/>
            <w:webHidden/>
          </w:rPr>
          <w:t>113</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43" w:history="1">
        <w:r w:rsidR="006C092A" w:rsidRPr="00E563DE">
          <w:rPr>
            <w:rStyle w:val="Lienhypertexte"/>
            <w:rFonts w:ascii="Times New Roman" w:hAnsi="Times New Roman"/>
            <w:noProof/>
            <w:lang w:eastAsia="fr-FR"/>
          </w:rPr>
          <w:t>2.1.2. Ghelderode, fils de Victor Hugo</w:t>
        </w:r>
        <w:r w:rsidR="006C092A">
          <w:rPr>
            <w:noProof/>
            <w:webHidden/>
          </w:rPr>
          <w:tab/>
        </w:r>
        <w:r>
          <w:rPr>
            <w:noProof/>
            <w:webHidden/>
          </w:rPr>
          <w:fldChar w:fldCharType="begin"/>
        </w:r>
        <w:r w:rsidR="006C092A">
          <w:rPr>
            <w:noProof/>
            <w:webHidden/>
          </w:rPr>
          <w:instrText xml:space="preserve"> PAGEREF _Toc471484443 \h </w:instrText>
        </w:r>
        <w:r>
          <w:rPr>
            <w:noProof/>
            <w:webHidden/>
          </w:rPr>
        </w:r>
        <w:r>
          <w:rPr>
            <w:noProof/>
            <w:webHidden/>
          </w:rPr>
          <w:fldChar w:fldCharType="separate"/>
        </w:r>
        <w:r w:rsidR="006C092A">
          <w:rPr>
            <w:noProof/>
            <w:webHidden/>
          </w:rPr>
          <w:t>117</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44" w:history="1">
        <w:r w:rsidR="006C092A" w:rsidRPr="00E563DE">
          <w:rPr>
            <w:rStyle w:val="Lienhypertexte"/>
            <w:rFonts w:ascii="Times New Roman" w:hAnsi="Times New Roman"/>
            <w:iCs/>
            <w:noProof/>
            <w:lang w:eastAsia="fr-FR"/>
          </w:rPr>
          <w:t>2.2. Des thématiques divergentes</w:t>
        </w:r>
        <w:r w:rsidR="006C092A">
          <w:rPr>
            <w:noProof/>
            <w:webHidden/>
          </w:rPr>
          <w:tab/>
        </w:r>
        <w:r>
          <w:rPr>
            <w:noProof/>
            <w:webHidden/>
          </w:rPr>
          <w:fldChar w:fldCharType="begin"/>
        </w:r>
        <w:r w:rsidR="006C092A">
          <w:rPr>
            <w:noProof/>
            <w:webHidden/>
          </w:rPr>
          <w:instrText xml:space="preserve"> PAGEREF _Toc471484444 \h </w:instrText>
        </w:r>
        <w:r>
          <w:rPr>
            <w:noProof/>
            <w:webHidden/>
          </w:rPr>
        </w:r>
        <w:r>
          <w:rPr>
            <w:noProof/>
            <w:webHidden/>
          </w:rPr>
          <w:fldChar w:fldCharType="separate"/>
        </w:r>
        <w:r w:rsidR="006C092A">
          <w:rPr>
            <w:noProof/>
            <w:webHidden/>
          </w:rPr>
          <w:t>118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45" w:history="1">
        <w:r w:rsidR="006C092A" w:rsidRPr="00E563DE">
          <w:rPr>
            <w:rStyle w:val="Lienhypertexte"/>
            <w:rFonts w:ascii="Times New Roman" w:hAnsi="Times New Roman"/>
            <w:noProof/>
          </w:rPr>
          <w:t>2.2.1. Ghelderode, un sens poussé de l’athéisme</w:t>
        </w:r>
        <w:r w:rsidR="006C092A">
          <w:rPr>
            <w:noProof/>
            <w:webHidden/>
          </w:rPr>
          <w:tab/>
        </w:r>
        <w:r>
          <w:rPr>
            <w:noProof/>
            <w:webHidden/>
          </w:rPr>
          <w:fldChar w:fldCharType="begin"/>
        </w:r>
        <w:r w:rsidR="006C092A">
          <w:rPr>
            <w:noProof/>
            <w:webHidden/>
          </w:rPr>
          <w:instrText xml:space="preserve"> PAGEREF _Toc471484445 \h </w:instrText>
        </w:r>
        <w:r>
          <w:rPr>
            <w:noProof/>
            <w:webHidden/>
          </w:rPr>
        </w:r>
        <w:r>
          <w:rPr>
            <w:noProof/>
            <w:webHidden/>
          </w:rPr>
          <w:fldChar w:fldCharType="separate"/>
        </w:r>
        <w:r w:rsidR="006C092A">
          <w:rPr>
            <w:noProof/>
            <w:webHidden/>
          </w:rPr>
          <w:t>118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46" w:history="1">
        <w:r w:rsidR="006C092A" w:rsidRPr="00E563DE">
          <w:rPr>
            <w:rStyle w:val="Lienhypertexte"/>
            <w:rFonts w:ascii="Times New Roman" w:hAnsi="Times New Roman"/>
            <w:noProof/>
          </w:rPr>
          <w:t>2.2.2. Kaki, miroir de la société algérienne post-indépendance</w:t>
        </w:r>
        <w:r w:rsidR="006C092A">
          <w:rPr>
            <w:noProof/>
            <w:webHidden/>
          </w:rPr>
          <w:tab/>
        </w:r>
        <w:r>
          <w:rPr>
            <w:noProof/>
            <w:webHidden/>
          </w:rPr>
          <w:fldChar w:fldCharType="begin"/>
        </w:r>
        <w:r w:rsidR="006C092A">
          <w:rPr>
            <w:noProof/>
            <w:webHidden/>
          </w:rPr>
          <w:instrText xml:space="preserve"> PAGEREF _Toc471484446 \h </w:instrText>
        </w:r>
        <w:r>
          <w:rPr>
            <w:noProof/>
            <w:webHidden/>
          </w:rPr>
        </w:r>
        <w:r>
          <w:rPr>
            <w:noProof/>
            <w:webHidden/>
          </w:rPr>
          <w:fldChar w:fldCharType="separate"/>
        </w:r>
        <w:r w:rsidR="006C092A">
          <w:rPr>
            <w:noProof/>
            <w:webHidden/>
          </w:rPr>
          <w:t>120</w:t>
        </w:r>
        <w:r>
          <w:rPr>
            <w:noProof/>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447" w:history="1">
        <w:r w:rsidR="006C092A" w:rsidRPr="00E563DE">
          <w:rPr>
            <w:rStyle w:val="Lienhypertexte"/>
          </w:rPr>
          <w:t>PARTIE II : Étude narratologique des deux pièces</w:t>
        </w:r>
        <w:r w:rsidR="006C092A">
          <w:rPr>
            <w:webHidden/>
          </w:rPr>
          <w:tab/>
        </w:r>
        <w:r>
          <w:rPr>
            <w:webHidden/>
          </w:rPr>
          <w:fldChar w:fldCharType="begin"/>
        </w:r>
        <w:r w:rsidR="006C092A">
          <w:rPr>
            <w:webHidden/>
          </w:rPr>
          <w:instrText xml:space="preserve"> PAGEREF _Toc471484447 \h </w:instrText>
        </w:r>
        <w:r>
          <w:rPr>
            <w:webHidden/>
          </w:rPr>
        </w:r>
        <w:r>
          <w:rPr>
            <w:webHidden/>
          </w:rPr>
          <w:fldChar w:fldCharType="separate"/>
        </w:r>
        <w:r w:rsidR="006C092A">
          <w:rPr>
            <w:webHidden/>
          </w:rPr>
          <w:t>122</w:t>
        </w:r>
        <w:r>
          <w:rPr>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448" w:history="1">
        <w:r w:rsidR="006C092A" w:rsidRPr="00E563DE">
          <w:rPr>
            <w:rStyle w:val="Lienhypertexte"/>
            <w:rFonts w:ascii="Times New Roman" w:hAnsi="Times New Roman"/>
            <w:noProof/>
          </w:rPr>
          <w:t>Chapitre 1 : Narratologie et structuration du récit dans Le porteur d'eau et les marabouts de Kaki</w:t>
        </w:r>
        <w:r w:rsidR="006C092A">
          <w:rPr>
            <w:noProof/>
            <w:webHidden/>
          </w:rPr>
          <w:tab/>
        </w:r>
        <w:r>
          <w:rPr>
            <w:noProof/>
            <w:webHidden/>
          </w:rPr>
          <w:fldChar w:fldCharType="begin"/>
        </w:r>
        <w:r w:rsidR="006C092A">
          <w:rPr>
            <w:noProof/>
            <w:webHidden/>
          </w:rPr>
          <w:instrText xml:space="preserve"> PAGEREF _Toc471484448 \h </w:instrText>
        </w:r>
        <w:r>
          <w:rPr>
            <w:noProof/>
            <w:webHidden/>
          </w:rPr>
        </w:r>
        <w:r>
          <w:rPr>
            <w:noProof/>
            <w:webHidden/>
          </w:rPr>
          <w:fldChar w:fldCharType="separate"/>
        </w:r>
        <w:r w:rsidR="006C092A">
          <w:rPr>
            <w:noProof/>
            <w:webHidden/>
          </w:rPr>
          <w:t>124</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49" w:history="1">
        <w:r w:rsidR="006C092A" w:rsidRPr="00E563DE">
          <w:rPr>
            <w:rStyle w:val="Lienhypertexte"/>
            <w:rFonts w:ascii="Times New Roman" w:hAnsi="Times New Roman"/>
            <w:noProof/>
          </w:rPr>
          <w:t>1. L’ordre du récit</w:t>
        </w:r>
        <w:r w:rsidR="006C092A">
          <w:rPr>
            <w:noProof/>
            <w:webHidden/>
          </w:rPr>
          <w:tab/>
        </w:r>
        <w:r>
          <w:rPr>
            <w:noProof/>
            <w:webHidden/>
          </w:rPr>
          <w:fldChar w:fldCharType="begin"/>
        </w:r>
        <w:r w:rsidR="006C092A">
          <w:rPr>
            <w:noProof/>
            <w:webHidden/>
          </w:rPr>
          <w:instrText xml:space="preserve"> PAGEREF _Toc471484449 \h </w:instrText>
        </w:r>
        <w:r>
          <w:rPr>
            <w:noProof/>
            <w:webHidden/>
          </w:rPr>
        </w:r>
        <w:r>
          <w:rPr>
            <w:noProof/>
            <w:webHidden/>
          </w:rPr>
          <w:fldChar w:fldCharType="separate"/>
        </w:r>
        <w:r w:rsidR="006C092A">
          <w:rPr>
            <w:noProof/>
            <w:webHidden/>
          </w:rPr>
          <w:t>124</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50" w:history="1">
        <w:r w:rsidR="006C092A" w:rsidRPr="00E563DE">
          <w:rPr>
            <w:rStyle w:val="Lienhypertexte"/>
            <w:rFonts w:ascii="Times New Roman" w:hAnsi="Times New Roman"/>
            <w:iCs/>
            <w:noProof/>
            <w:lang w:eastAsia="fr-FR"/>
          </w:rPr>
          <w:t>1.1. Les désinences du récit</w:t>
        </w:r>
        <w:r w:rsidR="006C092A">
          <w:rPr>
            <w:noProof/>
            <w:webHidden/>
          </w:rPr>
          <w:tab/>
        </w:r>
        <w:r>
          <w:rPr>
            <w:noProof/>
            <w:webHidden/>
          </w:rPr>
          <w:fldChar w:fldCharType="begin"/>
        </w:r>
        <w:r w:rsidR="006C092A">
          <w:rPr>
            <w:noProof/>
            <w:webHidden/>
          </w:rPr>
          <w:instrText xml:space="preserve"> PAGEREF _Toc471484450 \h </w:instrText>
        </w:r>
        <w:r>
          <w:rPr>
            <w:noProof/>
            <w:webHidden/>
          </w:rPr>
        </w:r>
        <w:r>
          <w:rPr>
            <w:noProof/>
            <w:webHidden/>
          </w:rPr>
          <w:fldChar w:fldCharType="separate"/>
        </w:r>
        <w:r w:rsidR="006C092A">
          <w:rPr>
            <w:noProof/>
            <w:webHidden/>
          </w:rPr>
          <w:t>125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51" w:history="1">
        <w:r w:rsidR="006C092A" w:rsidRPr="00E563DE">
          <w:rPr>
            <w:rStyle w:val="Lienhypertexte"/>
            <w:rFonts w:ascii="Times New Roman" w:hAnsi="Times New Roman"/>
            <w:noProof/>
            <w:lang w:eastAsia="fr-FR"/>
          </w:rPr>
          <w:t>1.1.1. Les récits enchâssés</w:t>
        </w:r>
        <w:r w:rsidR="006C092A">
          <w:rPr>
            <w:noProof/>
            <w:webHidden/>
          </w:rPr>
          <w:tab/>
        </w:r>
        <w:r>
          <w:rPr>
            <w:noProof/>
            <w:webHidden/>
          </w:rPr>
          <w:fldChar w:fldCharType="begin"/>
        </w:r>
        <w:r w:rsidR="006C092A">
          <w:rPr>
            <w:noProof/>
            <w:webHidden/>
          </w:rPr>
          <w:instrText xml:space="preserve"> PAGEREF _Toc471484451 \h </w:instrText>
        </w:r>
        <w:r>
          <w:rPr>
            <w:noProof/>
            <w:webHidden/>
          </w:rPr>
        </w:r>
        <w:r>
          <w:rPr>
            <w:noProof/>
            <w:webHidden/>
          </w:rPr>
          <w:fldChar w:fldCharType="separate"/>
        </w:r>
        <w:r w:rsidR="006C092A">
          <w:rPr>
            <w:noProof/>
            <w:webHidden/>
          </w:rPr>
          <w:t>125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52" w:history="1">
        <w:r w:rsidR="006C092A" w:rsidRPr="00E563DE">
          <w:rPr>
            <w:rStyle w:val="Lienhypertexte"/>
            <w:rFonts w:ascii="Times New Roman" w:hAnsi="Times New Roman"/>
            <w:noProof/>
            <w:lang w:eastAsia="fr-FR"/>
          </w:rPr>
          <w:t>1.1.2. Les récits alternants</w:t>
        </w:r>
        <w:r w:rsidR="006C092A">
          <w:rPr>
            <w:noProof/>
            <w:webHidden/>
          </w:rPr>
          <w:tab/>
        </w:r>
        <w:r>
          <w:rPr>
            <w:noProof/>
            <w:webHidden/>
          </w:rPr>
          <w:fldChar w:fldCharType="begin"/>
        </w:r>
        <w:r w:rsidR="006C092A">
          <w:rPr>
            <w:noProof/>
            <w:webHidden/>
          </w:rPr>
          <w:instrText xml:space="preserve"> PAGEREF _Toc471484452 \h </w:instrText>
        </w:r>
        <w:r>
          <w:rPr>
            <w:noProof/>
            <w:webHidden/>
          </w:rPr>
        </w:r>
        <w:r>
          <w:rPr>
            <w:noProof/>
            <w:webHidden/>
          </w:rPr>
          <w:fldChar w:fldCharType="separate"/>
        </w:r>
        <w:r w:rsidR="006C092A">
          <w:rPr>
            <w:noProof/>
            <w:webHidden/>
          </w:rPr>
          <w:t>126</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53" w:history="1">
        <w:r w:rsidR="006C092A" w:rsidRPr="00E563DE">
          <w:rPr>
            <w:rStyle w:val="Lienhypertexte"/>
            <w:rFonts w:ascii="Times New Roman" w:hAnsi="Times New Roman"/>
            <w:iCs/>
            <w:noProof/>
            <w:lang w:eastAsia="fr-FR"/>
          </w:rPr>
          <w:t>1.2. Un ordre désarticulé</w:t>
        </w:r>
        <w:r w:rsidR="006C092A">
          <w:rPr>
            <w:noProof/>
            <w:webHidden/>
          </w:rPr>
          <w:tab/>
        </w:r>
        <w:r>
          <w:rPr>
            <w:noProof/>
            <w:webHidden/>
          </w:rPr>
          <w:fldChar w:fldCharType="begin"/>
        </w:r>
        <w:r w:rsidR="006C092A">
          <w:rPr>
            <w:noProof/>
            <w:webHidden/>
          </w:rPr>
          <w:instrText xml:space="preserve"> PAGEREF _Toc471484453 \h </w:instrText>
        </w:r>
        <w:r>
          <w:rPr>
            <w:noProof/>
            <w:webHidden/>
          </w:rPr>
        </w:r>
        <w:r>
          <w:rPr>
            <w:noProof/>
            <w:webHidden/>
          </w:rPr>
          <w:fldChar w:fldCharType="separate"/>
        </w:r>
        <w:r w:rsidR="006C092A">
          <w:rPr>
            <w:noProof/>
            <w:webHidden/>
          </w:rPr>
          <w:t>128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54" w:history="1">
        <w:r w:rsidR="006C092A" w:rsidRPr="00E563DE">
          <w:rPr>
            <w:rStyle w:val="Lienhypertexte"/>
            <w:rFonts w:ascii="Times New Roman" w:hAnsi="Times New Roman"/>
            <w:noProof/>
            <w:lang w:eastAsia="fr-FR"/>
          </w:rPr>
          <w:t>1.2.1. Une narration analeptique et proleptique</w:t>
        </w:r>
        <w:r w:rsidR="006C092A">
          <w:rPr>
            <w:noProof/>
            <w:webHidden/>
          </w:rPr>
          <w:tab/>
        </w:r>
        <w:r>
          <w:rPr>
            <w:noProof/>
            <w:webHidden/>
          </w:rPr>
          <w:fldChar w:fldCharType="begin"/>
        </w:r>
        <w:r w:rsidR="006C092A">
          <w:rPr>
            <w:noProof/>
            <w:webHidden/>
          </w:rPr>
          <w:instrText xml:space="preserve"> PAGEREF _Toc471484454 \h </w:instrText>
        </w:r>
        <w:r>
          <w:rPr>
            <w:noProof/>
            <w:webHidden/>
          </w:rPr>
        </w:r>
        <w:r>
          <w:rPr>
            <w:noProof/>
            <w:webHidden/>
          </w:rPr>
          <w:fldChar w:fldCharType="separate"/>
        </w:r>
        <w:r w:rsidR="006C092A">
          <w:rPr>
            <w:noProof/>
            <w:webHidden/>
          </w:rPr>
          <w:t>128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55" w:history="1">
        <w:r w:rsidR="006C092A" w:rsidRPr="00E563DE">
          <w:rPr>
            <w:rStyle w:val="Lienhypertexte"/>
            <w:rFonts w:ascii="Times New Roman" w:hAnsi="Times New Roman"/>
            <w:noProof/>
            <w:lang w:eastAsia="fr-FR"/>
          </w:rPr>
          <w:t>1.2.2. Pauses et ellipses temporelles</w:t>
        </w:r>
        <w:r w:rsidR="006C092A">
          <w:rPr>
            <w:noProof/>
            <w:webHidden/>
          </w:rPr>
          <w:tab/>
        </w:r>
        <w:r>
          <w:rPr>
            <w:noProof/>
            <w:webHidden/>
          </w:rPr>
          <w:fldChar w:fldCharType="begin"/>
        </w:r>
        <w:r w:rsidR="006C092A">
          <w:rPr>
            <w:noProof/>
            <w:webHidden/>
          </w:rPr>
          <w:instrText xml:space="preserve"> PAGEREF _Toc471484455 \h </w:instrText>
        </w:r>
        <w:r>
          <w:rPr>
            <w:noProof/>
            <w:webHidden/>
          </w:rPr>
        </w:r>
        <w:r>
          <w:rPr>
            <w:noProof/>
            <w:webHidden/>
          </w:rPr>
          <w:fldChar w:fldCharType="separate"/>
        </w:r>
        <w:r w:rsidR="006C092A">
          <w:rPr>
            <w:noProof/>
            <w:webHidden/>
          </w:rPr>
          <w:t>134</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56" w:history="1">
        <w:r w:rsidR="006C092A" w:rsidRPr="00E563DE">
          <w:rPr>
            <w:rStyle w:val="Lienhypertexte"/>
            <w:rFonts w:ascii="Times New Roman" w:hAnsi="Times New Roman"/>
            <w:noProof/>
            <w:lang w:eastAsia="fr-FR"/>
          </w:rPr>
          <w:t>1.2.3. Les ellipses déterminées</w:t>
        </w:r>
        <w:r w:rsidR="006C092A">
          <w:rPr>
            <w:noProof/>
            <w:webHidden/>
          </w:rPr>
          <w:tab/>
        </w:r>
        <w:r>
          <w:rPr>
            <w:noProof/>
            <w:webHidden/>
          </w:rPr>
          <w:fldChar w:fldCharType="begin"/>
        </w:r>
        <w:r w:rsidR="006C092A">
          <w:rPr>
            <w:noProof/>
            <w:webHidden/>
          </w:rPr>
          <w:instrText xml:space="preserve"> PAGEREF _Toc471484456 \h </w:instrText>
        </w:r>
        <w:r>
          <w:rPr>
            <w:noProof/>
            <w:webHidden/>
          </w:rPr>
        </w:r>
        <w:r>
          <w:rPr>
            <w:noProof/>
            <w:webHidden/>
          </w:rPr>
          <w:fldChar w:fldCharType="separate"/>
        </w:r>
        <w:r w:rsidR="006C092A">
          <w:rPr>
            <w:noProof/>
            <w:webHidden/>
          </w:rPr>
          <w:t>135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57" w:history="1">
        <w:r w:rsidR="006C092A" w:rsidRPr="00E563DE">
          <w:rPr>
            <w:rStyle w:val="Lienhypertexte"/>
            <w:rFonts w:ascii="Times New Roman" w:hAnsi="Times New Roman"/>
            <w:noProof/>
            <w:lang w:eastAsia="fr-FR"/>
          </w:rPr>
          <w:t>1.2.4. Les ellipses indéterminées</w:t>
        </w:r>
        <w:r w:rsidR="006C092A">
          <w:rPr>
            <w:noProof/>
            <w:webHidden/>
          </w:rPr>
          <w:tab/>
        </w:r>
        <w:r>
          <w:rPr>
            <w:noProof/>
            <w:webHidden/>
          </w:rPr>
          <w:fldChar w:fldCharType="begin"/>
        </w:r>
        <w:r w:rsidR="006C092A">
          <w:rPr>
            <w:noProof/>
            <w:webHidden/>
          </w:rPr>
          <w:instrText xml:space="preserve"> PAGEREF _Toc471484457 \h </w:instrText>
        </w:r>
        <w:r>
          <w:rPr>
            <w:noProof/>
            <w:webHidden/>
          </w:rPr>
        </w:r>
        <w:r>
          <w:rPr>
            <w:noProof/>
            <w:webHidden/>
          </w:rPr>
          <w:fldChar w:fldCharType="separate"/>
        </w:r>
        <w:r w:rsidR="006C092A">
          <w:rPr>
            <w:noProof/>
            <w:webHidden/>
          </w:rPr>
          <w:t>138</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58" w:history="1">
        <w:r w:rsidR="006C092A" w:rsidRPr="00E563DE">
          <w:rPr>
            <w:rStyle w:val="Lienhypertexte"/>
            <w:rFonts w:ascii="Times New Roman" w:hAnsi="Times New Roman"/>
            <w:noProof/>
          </w:rPr>
          <w:t>2. La dynamique des personnages</w:t>
        </w:r>
        <w:r w:rsidR="006C092A">
          <w:rPr>
            <w:noProof/>
            <w:webHidden/>
          </w:rPr>
          <w:tab/>
        </w:r>
        <w:r>
          <w:rPr>
            <w:noProof/>
            <w:webHidden/>
          </w:rPr>
          <w:fldChar w:fldCharType="begin"/>
        </w:r>
        <w:r w:rsidR="006C092A">
          <w:rPr>
            <w:noProof/>
            <w:webHidden/>
          </w:rPr>
          <w:instrText xml:space="preserve"> PAGEREF _Toc471484458 \h </w:instrText>
        </w:r>
        <w:r>
          <w:rPr>
            <w:noProof/>
            <w:webHidden/>
          </w:rPr>
        </w:r>
        <w:r>
          <w:rPr>
            <w:noProof/>
            <w:webHidden/>
          </w:rPr>
          <w:fldChar w:fldCharType="separate"/>
        </w:r>
        <w:r w:rsidR="006C092A">
          <w:rPr>
            <w:noProof/>
            <w:webHidden/>
          </w:rPr>
          <w:t>140</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59" w:history="1">
        <w:r w:rsidR="006C092A" w:rsidRPr="00E563DE">
          <w:rPr>
            <w:rStyle w:val="Lienhypertexte"/>
            <w:rFonts w:ascii="Times New Roman" w:hAnsi="Times New Roman"/>
            <w:iCs/>
            <w:noProof/>
            <w:lang w:eastAsia="fr-FR"/>
          </w:rPr>
          <w:t>2.1. Des personnages aventuriers</w:t>
        </w:r>
        <w:r w:rsidR="006C092A">
          <w:rPr>
            <w:noProof/>
            <w:webHidden/>
          </w:rPr>
          <w:tab/>
        </w:r>
        <w:r>
          <w:rPr>
            <w:noProof/>
            <w:webHidden/>
          </w:rPr>
          <w:fldChar w:fldCharType="begin"/>
        </w:r>
        <w:r w:rsidR="006C092A">
          <w:rPr>
            <w:noProof/>
            <w:webHidden/>
          </w:rPr>
          <w:instrText xml:space="preserve"> PAGEREF _Toc471484459 \h </w:instrText>
        </w:r>
        <w:r>
          <w:rPr>
            <w:noProof/>
            <w:webHidden/>
          </w:rPr>
        </w:r>
        <w:r>
          <w:rPr>
            <w:noProof/>
            <w:webHidden/>
          </w:rPr>
          <w:fldChar w:fldCharType="separate"/>
        </w:r>
        <w:r w:rsidR="006C092A">
          <w:rPr>
            <w:noProof/>
            <w:webHidden/>
          </w:rPr>
          <w:t>141</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60" w:history="1">
        <w:r w:rsidR="006C092A" w:rsidRPr="00E563DE">
          <w:rPr>
            <w:rStyle w:val="Lienhypertexte"/>
            <w:rFonts w:ascii="Times New Roman" w:hAnsi="Times New Roman"/>
            <w:iCs/>
            <w:noProof/>
            <w:lang w:eastAsia="fr-FR"/>
          </w:rPr>
          <w:t>2.2. L’aventure dans l’espace</w:t>
        </w:r>
        <w:r w:rsidR="006C092A">
          <w:rPr>
            <w:noProof/>
            <w:webHidden/>
          </w:rPr>
          <w:tab/>
        </w:r>
        <w:r>
          <w:rPr>
            <w:noProof/>
            <w:webHidden/>
          </w:rPr>
          <w:fldChar w:fldCharType="begin"/>
        </w:r>
        <w:r w:rsidR="006C092A">
          <w:rPr>
            <w:noProof/>
            <w:webHidden/>
          </w:rPr>
          <w:instrText xml:space="preserve"> PAGEREF _Toc471484460 \h </w:instrText>
        </w:r>
        <w:r>
          <w:rPr>
            <w:noProof/>
            <w:webHidden/>
          </w:rPr>
        </w:r>
        <w:r>
          <w:rPr>
            <w:noProof/>
            <w:webHidden/>
          </w:rPr>
          <w:fldChar w:fldCharType="separate"/>
        </w:r>
        <w:r w:rsidR="006C092A">
          <w:rPr>
            <w:noProof/>
            <w:webHidden/>
          </w:rPr>
          <w:t>142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61" w:history="1">
        <w:r w:rsidR="006C092A" w:rsidRPr="00E563DE">
          <w:rPr>
            <w:rStyle w:val="Lienhypertexte"/>
            <w:rFonts w:ascii="Times New Roman" w:hAnsi="Times New Roman"/>
            <w:iCs/>
            <w:noProof/>
            <w:lang w:eastAsia="fr-FR"/>
          </w:rPr>
          <w:t>2.3. L’aventure psychologique</w:t>
        </w:r>
        <w:r w:rsidR="006C092A">
          <w:rPr>
            <w:noProof/>
            <w:webHidden/>
          </w:rPr>
          <w:tab/>
        </w:r>
        <w:r>
          <w:rPr>
            <w:noProof/>
            <w:webHidden/>
          </w:rPr>
          <w:fldChar w:fldCharType="begin"/>
        </w:r>
        <w:r w:rsidR="006C092A">
          <w:rPr>
            <w:noProof/>
            <w:webHidden/>
          </w:rPr>
          <w:instrText xml:space="preserve"> PAGEREF _Toc471484461 \h </w:instrText>
        </w:r>
        <w:r>
          <w:rPr>
            <w:noProof/>
            <w:webHidden/>
          </w:rPr>
        </w:r>
        <w:r>
          <w:rPr>
            <w:noProof/>
            <w:webHidden/>
          </w:rPr>
          <w:fldChar w:fldCharType="separate"/>
        </w:r>
        <w:r w:rsidR="006C092A">
          <w:rPr>
            <w:noProof/>
            <w:webHidden/>
          </w:rPr>
          <w:t>145</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62" w:history="1">
        <w:r w:rsidR="006C092A" w:rsidRPr="00E563DE">
          <w:rPr>
            <w:rStyle w:val="Lienhypertexte"/>
            <w:rFonts w:ascii="Times New Roman" w:hAnsi="Times New Roman"/>
            <w:noProof/>
          </w:rPr>
          <w:t>3. Fréquence et ordre d’apparition des personnages : une lecture actantielle et actorielle</w:t>
        </w:r>
        <w:r w:rsidR="006C092A">
          <w:rPr>
            <w:noProof/>
            <w:webHidden/>
          </w:rPr>
          <w:tab/>
        </w:r>
        <w:r>
          <w:rPr>
            <w:noProof/>
            <w:webHidden/>
          </w:rPr>
          <w:fldChar w:fldCharType="begin"/>
        </w:r>
        <w:r w:rsidR="006C092A">
          <w:rPr>
            <w:noProof/>
            <w:webHidden/>
          </w:rPr>
          <w:instrText xml:space="preserve"> PAGEREF _Toc471484462 \h </w:instrText>
        </w:r>
        <w:r>
          <w:rPr>
            <w:noProof/>
            <w:webHidden/>
          </w:rPr>
        </w:r>
        <w:r>
          <w:rPr>
            <w:noProof/>
            <w:webHidden/>
          </w:rPr>
          <w:fldChar w:fldCharType="separate"/>
        </w:r>
        <w:r w:rsidR="006C092A">
          <w:rPr>
            <w:noProof/>
            <w:webHidden/>
          </w:rPr>
          <w:t>146</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63" w:history="1">
        <w:r w:rsidR="006C092A" w:rsidRPr="00E563DE">
          <w:rPr>
            <w:rStyle w:val="Lienhypertexte"/>
            <w:rFonts w:ascii="Times New Roman" w:hAnsi="Times New Roman"/>
            <w:iCs/>
            <w:noProof/>
            <w:lang w:eastAsia="fr-FR"/>
          </w:rPr>
          <w:t>3.1. Dimension actorielle</w:t>
        </w:r>
        <w:r w:rsidR="006C092A">
          <w:rPr>
            <w:noProof/>
            <w:webHidden/>
          </w:rPr>
          <w:tab/>
        </w:r>
        <w:r>
          <w:rPr>
            <w:noProof/>
            <w:webHidden/>
          </w:rPr>
          <w:fldChar w:fldCharType="begin"/>
        </w:r>
        <w:r w:rsidR="006C092A">
          <w:rPr>
            <w:noProof/>
            <w:webHidden/>
          </w:rPr>
          <w:instrText xml:space="preserve"> PAGEREF _Toc471484463 \h </w:instrText>
        </w:r>
        <w:r>
          <w:rPr>
            <w:noProof/>
            <w:webHidden/>
          </w:rPr>
        </w:r>
        <w:r>
          <w:rPr>
            <w:noProof/>
            <w:webHidden/>
          </w:rPr>
          <w:fldChar w:fldCharType="separate"/>
        </w:r>
        <w:r w:rsidR="006C092A">
          <w:rPr>
            <w:noProof/>
            <w:webHidden/>
          </w:rPr>
          <w:t>148</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64" w:history="1">
        <w:r w:rsidR="006C092A" w:rsidRPr="00E563DE">
          <w:rPr>
            <w:rStyle w:val="Lienhypertexte"/>
            <w:rFonts w:ascii="Times New Roman" w:hAnsi="Times New Roman"/>
            <w:iCs/>
            <w:noProof/>
            <w:lang w:eastAsia="fr-FR"/>
          </w:rPr>
          <w:t>3.2. Dimension actantielle</w:t>
        </w:r>
        <w:r w:rsidR="006C092A">
          <w:rPr>
            <w:noProof/>
            <w:webHidden/>
          </w:rPr>
          <w:tab/>
        </w:r>
        <w:r>
          <w:rPr>
            <w:noProof/>
            <w:webHidden/>
          </w:rPr>
          <w:fldChar w:fldCharType="begin"/>
        </w:r>
        <w:r w:rsidR="006C092A">
          <w:rPr>
            <w:noProof/>
            <w:webHidden/>
          </w:rPr>
          <w:instrText xml:space="preserve"> PAGEREF _Toc471484464 \h </w:instrText>
        </w:r>
        <w:r>
          <w:rPr>
            <w:noProof/>
            <w:webHidden/>
          </w:rPr>
        </w:r>
        <w:r>
          <w:rPr>
            <w:noProof/>
            <w:webHidden/>
          </w:rPr>
          <w:fldChar w:fldCharType="separate"/>
        </w:r>
        <w:r w:rsidR="006C092A">
          <w:rPr>
            <w:noProof/>
            <w:webHidden/>
          </w:rPr>
          <w:t>154</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65" w:history="1">
        <w:r w:rsidR="006C092A" w:rsidRPr="00E563DE">
          <w:rPr>
            <w:rStyle w:val="Lienhypertexte"/>
            <w:rFonts w:ascii="Times New Roman" w:hAnsi="Times New Roman"/>
            <w:noProof/>
          </w:rPr>
          <w:t>4. Le système verbo-temporel</w:t>
        </w:r>
        <w:r w:rsidR="006C092A">
          <w:rPr>
            <w:noProof/>
            <w:webHidden/>
          </w:rPr>
          <w:tab/>
        </w:r>
        <w:r>
          <w:rPr>
            <w:noProof/>
            <w:webHidden/>
          </w:rPr>
          <w:fldChar w:fldCharType="begin"/>
        </w:r>
        <w:r w:rsidR="006C092A">
          <w:rPr>
            <w:noProof/>
            <w:webHidden/>
          </w:rPr>
          <w:instrText xml:space="preserve"> PAGEREF _Toc471484465 \h </w:instrText>
        </w:r>
        <w:r>
          <w:rPr>
            <w:noProof/>
            <w:webHidden/>
          </w:rPr>
        </w:r>
        <w:r>
          <w:rPr>
            <w:noProof/>
            <w:webHidden/>
          </w:rPr>
          <w:fldChar w:fldCharType="separate"/>
        </w:r>
        <w:r w:rsidR="006C092A">
          <w:rPr>
            <w:noProof/>
            <w:webHidden/>
          </w:rPr>
          <w:t>160</w:t>
        </w:r>
        <w:r>
          <w:rPr>
            <w:noProof/>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466" w:history="1">
        <w:r w:rsidR="006C092A" w:rsidRPr="00E563DE">
          <w:rPr>
            <w:rStyle w:val="Lienhypertexte"/>
            <w:rFonts w:ascii="Times New Roman" w:hAnsi="Times New Roman"/>
            <w:noProof/>
          </w:rPr>
          <w:t>Chapitre 2 : Narratologie et structuration du récit dans Barabbas de Michel de Ghelderode</w:t>
        </w:r>
        <w:r w:rsidR="006C092A">
          <w:rPr>
            <w:noProof/>
            <w:webHidden/>
          </w:rPr>
          <w:tab/>
        </w:r>
        <w:r>
          <w:rPr>
            <w:noProof/>
            <w:webHidden/>
          </w:rPr>
          <w:fldChar w:fldCharType="begin"/>
        </w:r>
        <w:r w:rsidR="006C092A">
          <w:rPr>
            <w:noProof/>
            <w:webHidden/>
          </w:rPr>
          <w:instrText xml:space="preserve"> PAGEREF _Toc471484466 \h </w:instrText>
        </w:r>
        <w:r>
          <w:rPr>
            <w:noProof/>
            <w:webHidden/>
          </w:rPr>
        </w:r>
        <w:r>
          <w:rPr>
            <w:noProof/>
            <w:webHidden/>
          </w:rPr>
          <w:fldChar w:fldCharType="separate"/>
        </w:r>
        <w:r w:rsidR="006C092A">
          <w:rPr>
            <w:noProof/>
            <w:webHidden/>
          </w:rPr>
          <w:t>167</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67" w:history="1">
        <w:r w:rsidR="006C092A" w:rsidRPr="00E563DE">
          <w:rPr>
            <w:rStyle w:val="Lienhypertexte"/>
            <w:rFonts w:ascii="Times New Roman" w:hAnsi="Times New Roman"/>
            <w:noProof/>
          </w:rPr>
          <w:t>1. Résumé de la pièce</w:t>
        </w:r>
        <w:r w:rsidR="006C092A">
          <w:rPr>
            <w:noProof/>
            <w:webHidden/>
          </w:rPr>
          <w:tab/>
        </w:r>
        <w:r>
          <w:rPr>
            <w:noProof/>
            <w:webHidden/>
          </w:rPr>
          <w:fldChar w:fldCharType="begin"/>
        </w:r>
        <w:r w:rsidR="006C092A">
          <w:rPr>
            <w:noProof/>
            <w:webHidden/>
          </w:rPr>
          <w:instrText xml:space="preserve"> PAGEREF _Toc471484467 \h </w:instrText>
        </w:r>
        <w:r>
          <w:rPr>
            <w:noProof/>
            <w:webHidden/>
          </w:rPr>
        </w:r>
        <w:r>
          <w:rPr>
            <w:noProof/>
            <w:webHidden/>
          </w:rPr>
          <w:fldChar w:fldCharType="separate"/>
        </w:r>
        <w:r w:rsidR="006C092A">
          <w:rPr>
            <w:noProof/>
            <w:webHidden/>
          </w:rPr>
          <w:t>169</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68" w:history="1">
        <w:r w:rsidR="006C092A" w:rsidRPr="00E563DE">
          <w:rPr>
            <w:rStyle w:val="Lienhypertexte"/>
            <w:rFonts w:ascii="Times New Roman" w:hAnsi="Times New Roman"/>
            <w:noProof/>
          </w:rPr>
          <w:t>2. Analyse symbolique des personnages et leurs relations</w:t>
        </w:r>
        <w:r w:rsidR="006C092A">
          <w:rPr>
            <w:noProof/>
            <w:webHidden/>
          </w:rPr>
          <w:tab/>
        </w:r>
        <w:r>
          <w:rPr>
            <w:noProof/>
            <w:webHidden/>
          </w:rPr>
          <w:fldChar w:fldCharType="begin"/>
        </w:r>
        <w:r w:rsidR="006C092A">
          <w:rPr>
            <w:noProof/>
            <w:webHidden/>
          </w:rPr>
          <w:instrText xml:space="preserve"> PAGEREF _Toc471484468 \h </w:instrText>
        </w:r>
        <w:r>
          <w:rPr>
            <w:noProof/>
            <w:webHidden/>
          </w:rPr>
        </w:r>
        <w:r>
          <w:rPr>
            <w:noProof/>
            <w:webHidden/>
          </w:rPr>
          <w:fldChar w:fldCharType="separate"/>
        </w:r>
        <w:r w:rsidR="006C092A">
          <w:rPr>
            <w:noProof/>
            <w:webHidden/>
          </w:rPr>
          <w:t>171</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69" w:history="1">
        <w:r w:rsidR="006C092A" w:rsidRPr="00E563DE">
          <w:rPr>
            <w:rStyle w:val="Lienhypertexte"/>
            <w:rFonts w:ascii="Times New Roman" w:hAnsi="Times New Roman"/>
            <w:iCs/>
            <w:noProof/>
          </w:rPr>
          <w:t>2.1. Analyse symbolique des personnages</w:t>
        </w:r>
        <w:r w:rsidR="006C092A">
          <w:rPr>
            <w:noProof/>
            <w:webHidden/>
          </w:rPr>
          <w:tab/>
        </w:r>
        <w:r>
          <w:rPr>
            <w:noProof/>
            <w:webHidden/>
          </w:rPr>
          <w:fldChar w:fldCharType="begin"/>
        </w:r>
        <w:r w:rsidR="006C092A">
          <w:rPr>
            <w:noProof/>
            <w:webHidden/>
          </w:rPr>
          <w:instrText xml:space="preserve"> PAGEREF _Toc471484469 \h </w:instrText>
        </w:r>
        <w:r>
          <w:rPr>
            <w:noProof/>
            <w:webHidden/>
          </w:rPr>
        </w:r>
        <w:r>
          <w:rPr>
            <w:noProof/>
            <w:webHidden/>
          </w:rPr>
          <w:fldChar w:fldCharType="separate"/>
        </w:r>
        <w:r w:rsidR="006C092A">
          <w:rPr>
            <w:noProof/>
            <w:webHidden/>
          </w:rPr>
          <w:t>171</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70" w:history="1">
        <w:r w:rsidR="006C092A" w:rsidRPr="00E563DE">
          <w:rPr>
            <w:rStyle w:val="Lienhypertexte"/>
            <w:rFonts w:ascii="Times New Roman" w:hAnsi="Times New Roman"/>
            <w:noProof/>
          </w:rPr>
          <w:t>2.1.1. Barabbas</w:t>
        </w:r>
        <w:r w:rsidR="006C092A">
          <w:rPr>
            <w:noProof/>
            <w:webHidden/>
          </w:rPr>
          <w:tab/>
        </w:r>
        <w:r>
          <w:rPr>
            <w:noProof/>
            <w:webHidden/>
          </w:rPr>
          <w:fldChar w:fldCharType="begin"/>
        </w:r>
        <w:r w:rsidR="006C092A">
          <w:rPr>
            <w:noProof/>
            <w:webHidden/>
          </w:rPr>
          <w:instrText xml:space="preserve"> PAGEREF _Toc471484470 \h </w:instrText>
        </w:r>
        <w:r>
          <w:rPr>
            <w:noProof/>
            <w:webHidden/>
          </w:rPr>
        </w:r>
        <w:r>
          <w:rPr>
            <w:noProof/>
            <w:webHidden/>
          </w:rPr>
          <w:fldChar w:fldCharType="separate"/>
        </w:r>
        <w:r w:rsidR="006C092A">
          <w:rPr>
            <w:noProof/>
            <w:webHidden/>
          </w:rPr>
          <w:t>171</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71" w:history="1">
        <w:r w:rsidR="006C092A" w:rsidRPr="00E563DE">
          <w:rPr>
            <w:rStyle w:val="Lienhypertexte"/>
            <w:rFonts w:ascii="Times New Roman" w:hAnsi="Times New Roman"/>
            <w:noProof/>
          </w:rPr>
          <w:t>2.1.2. Jésus</w:t>
        </w:r>
        <w:r w:rsidR="006C092A">
          <w:rPr>
            <w:noProof/>
            <w:webHidden/>
          </w:rPr>
          <w:tab/>
        </w:r>
        <w:r>
          <w:rPr>
            <w:noProof/>
            <w:webHidden/>
          </w:rPr>
          <w:fldChar w:fldCharType="begin"/>
        </w:r>
        <w:r w:rsidR="006C092A">
          <w:rPr>
            <w:noProof/>
            <w:webHidden/>
          </w:rPr>
          <w:instrText xml:space="preserve"> PAGEREF _Toc471484471 \h </w:instrText>
        </w:r>
        <w:r>
          <w:rPr>
            <w:noProof/>
            <w:webHidden/>
          </w:rPr>
        </w:r>
        <w:r>
          <w:rPr>
            <w:noProof/>
            <w:webHidden/>
          </w:rPr>
          <w:fldChar w:fldCharType="separate"/>
        </w:r>
        <w:r w:rsidR="006C092A">
          <w:rPr>
            <w:noProof/>
            <w:webHidden/>
          </w:rPr>
          <w:t>173</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72" w:history="1">
        <w:r w:rsidR="006C092A" w:rsidRPr="00E563DE">
          <w:rPr>
            <w:rStyle w:val="Lienhypertexte"/>
            <w:rFonts w:ascii="Times New Roman" w:hAnsi="Times New Roman"/>
            <w:noProof/>
          </w:rPr>
          <w:t>2.1.3. Personnages collectifs et personnages de second degré</w:t>
        </w:r>
        <w:r w:rsidR="006C092A">
          <w:rPr>
            <w:noProof/>
            <w:webHidden/>
          </w:rPr>
          <w:tab/>
        </w:r>
        <w:r>
          <w:rPr>
            <w:noProof/>
            <w:webHidden/>
          </w:rPr>
          <w:fldChar w:fldCharType="begin"/>
        </w:r>
        <w:r w:rsidR="006C092A">
          <w:rPr>
            <w:noProof/>
            <w:webHidden/>
          </w:rPr>
          <w:instrText xml:space="preserve"> PAGEREF _Toc471484472 \h </w:instrText>
        </w:r>
        <w:r>
          <w:rPr>
            <w:noProof/>
            <w:webHidden/>
          </w:rPr>
        </w:r>
        <w:r>
          <w:rPr>
            <w:noProof/>
            <w:webHidden/>
          </w:rPr>
          <w:fldChar w:fldCharType="separate"/>
        </w:r>
        <w:r w:rsidR="006C092A">
          <w:rPr>
            <w:noProof/>
            <w:webHidden/>
          </w:rPr>
          <w:t>173</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73" w:history="1">
        <w:r w:rsidR="006C092A" w:rsidRPr="00E563DE">
          <w:rPr>
            <w:rStyle w:val="Lienhypertexte"/>
            <w:rFonts w:ascii="Times New Roman" w:hAnsi="Times New Roman"/>
            <w:iCs/>
            <w:noProof/>
          </w:rPr>
          <w:t>3. Relations entre les personnages</w:t>
        </w:r>
        <w:r w:rsidR="006C092A">
          <w:rPr>
            <w:noProof/>
            <w:webHidden/>
          </w:rPr>
          <w:tab/>
        </w:r>
        <w:r>
          <w:rPr>
            <w:noProof/>
            <w:webHidden/>
          </w:rPr>
          <w:fldChar w:fldCharType="begin"/>
        </w:r>
        <w:r w:rsidR="006C092A">
          <w:rPr>
            <w:noProof/>
            <w:webHidden/>
          </w:rPr>
          <w:instrText xml:space="preserve"> PAGEREF _Toc471484473 \h </w:instrText>
        </w:r>
        <w:r>
          <w:rPr>
            <w:noProof/>
            <w:webHidden/>
          </w:rPr>
        </w:r>
        <w:r>
          <w:rPr>
            <w:noProof/>
            <w:webHidden/>
          </w:rPr>
          <w:fldChar w:fldCharType="separate"/>
        </w:r>
        <w:r w:rsidR="006C092A">
          <w:rPr>
            <w:noProof/>
            <w:webHidden/>
          </w:rPr>
          <w:t>177</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74" w:history="1">
        <w:r w:rsidR="006C092A" w:rsidRPr="00E563DE">
          <w:rPr>
            <w:rStyle w:val="Lienhypertexte"/>
            <w:rFonts w:ascii="Times New Roman" w:hAnsi="Times New Roman"/>
            <w:noProof/>
          </w:rPr>
          <w:t>3.1. Barabbas-Jésus</w:t>
        </w:r>
        <w:r w:rsidR="006C092A">
          <w:rPr>
            <w:noProof/>
            <w:webHidden/>
          </w:rPr>
          <w:tab/>
        </w:r>
        <w:r>
          <w:rPr>
            <w:noProof/>
            <w:webHidden/>
          </w:rPr>
          <w:fldChar w:fldCharType="begin"/>
        </w:r>
        <w:r w:rsidR="006C092A">
          <w:rPr>
            <w:noProof/>
            <w:webHidden/>
          </w:rPr>
          <w:instrText xml:space="preserve"> PAGEREF _Toc471484474 \h </w:instrText>
        </w:r>
        <w:r>
          <w:rPr>
            <w:noProof/>
            <w:webHidden/>
          </w:rPr>
        </w:r>
        <w:r>
          <w:rPr>
            <w:noProof/>
            <w:webHidden/>
          </w:rPr>
          <w:fldChar w:fldCharType="separate"/>
        </w:r>
        <w:r w:rsidR="006C092A">
          <w:rPr>
            <w:noProof/>
            <w:webHidden/>
          </w:rPr>
          <w:t>177</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75" w:history="1">
        <w:r w:rsidR="006C092A" w:rsidRPr="00E563DE">
          <w:rPr>
            <w:rStyle w:val="Lienhypertexte"/>
            <w:rFonts w:ascii="Times New Roman" w:hAnsi="Times New Roman"/>
            <w:noProof/>
          </w:rPr>
          <w:t>3.2. Barabbas - autres personnages (Apôtres, Judas, Barnum, Pitre, Larrons)</w:t>
        </w:r>
        <w:r w:rsidR="006C092A">
          <w:rPr>
            <w:noProof/>
            <w:webHidden/>
          </w:rPr>
          <w:tab/>
        </w:r>
        <w:r>
          <w:rPr>
            <w:noProof/>
            <w:webHidden/>
          </w:rPr>
          <w:fldChar w:fldCharType="begin"/>
        </w:r>
        <w:r w:rsidR="006C092A">
          <w:rPr>
            <w:noProof/>
            <w:webHidden/>
          </w:rPr>
          <w:instrText xml:space="preserve"> PAGEREF _Toc471484475 \h </w:instrText>
        </w:r>
        <w:r>
          <w:rPr>
            <w:noProof/>
            <w:webHidden/>
          </w:rPr>
        </w:r>
        <w:r>
          <w:rPr>
            <w:noProof/>
            <w:webHidden/>
          </w:rPr>
          <w:fldChar w:fldCharType="separate"/>
        </w:r>
        <w:r w:rsidR="006C092A">
          <w:rPr>
            <w:noProof/>
            <w:webHidden/>
          </w:rPr>
          <w:t>177</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76" w:history="1">
        <w:r w:rsidR="006C092A" w:rsidRPr="00E563DE">
          <w:rPr>
            <w:rStyle w:val="Lienhypertexte"/>
            <w:rFonts w:ascii="Times New Roman" w:hAnsi="Times New Roman"/>
            <w:noProof/>
          </w:rPr>
          <w:t>3.3. Barabbas et les personnages représentant l'autorité politique et religieuse</w:t>
        </w:r>
        <w:r w:rsidR="006C092A">
          <w:rPr>
            <w:noProof/>
            <w:webHidden/>
          </w:rPr>
          <w:tab/>
        </w:r>
        <w:r>
          <w:rPr>
            <w:noProof/>
            <w:webHidden/>
          </w:rPr>
          <w:fldChar w:fldCharType="begin"/>
        </w:r>
        <w:r w:rsidR="006C092A">
          <w:rPr>
            <w:noProof/>
            <w:webHidden/>
          </w:rPr>
          <w:instrText xml:space="preserve"> PAGEREF _Toc471484476 \h </w:instrText>
        </w:r>
        <w:r>
          <w:rPr>
            <w:noProof/>
            <w:webHidden/>
          </w:rPr>
        </w:r>
        <w:r>
          <w:rPr>
            <w:noProof/>
            <w:webHidden/>
          </w:rPr>
          <w:fldChar w:fldCharType="separate"/>
        </w:r>
        <w:r w:rsidR="006C092A">
          <w:rPr>
            <w:noProof/>
            <w:webHidden/>
          </w:rPr>
          <w:t>178</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77" w:history="1">
        <w:r w:rsidR="006C092A" w:rsidRPr="00E563DE">
          <w:rPr>
            <w:rStyle w:val="Lienhypertexte"/>
            <w:rFonts w:ascii="Times New Roman" w:hAnsi="Times New Roman"/>
            <w:noProof/>
          </w:rPr>
          <w:t>4. La logique des séquences</w:t>
        </w:r>
        <w:r w:rsidR="006C092A">
          <w:rPr>
            <w:noProof/>
            <w:webHidden/>
          </w:rPr>
          <w:tab/>
        </w:r>
        <w:r>
          <w:rPr>
            <w:noProof/>
            <w:webHidden/>
          </w:rPr>
          <w:fldChar w:fldCharType="begin"/>
        </w:r>
        <w:r w:rsidR="006C092A">
          <w:rPr>
            <w:noProof/>
            <w:webHidden/>
          </w:rPr>
          <w:instrText xml:space="preserve"> PAGEREF _Toc471484477 \h </w:instrText>
        </w:r>
        <w:r>
          <w:rPr>
            <w:noProof/>
            <w:webHidden/>
          </w:rPr>
        </w:r>
        <w:r>
          <w:rPr>
            <w:noProof/>
            <w:webHidden/>
          </w:rPr>
          <w:fldChar w:fldCharType="separate"/>
        </w:r>
        <w:r w:rsidR="006C092A">
          <w:rPr>
            <w:noProof/>
            <w:webHidden/>
          </w:rPr>
          <w:t>178</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78" w:history="1">
        <w:r w:rsidR="006C092A" w:rsidRPr="00E563DE">
          <w:rPr>
            <w:rStyle w:val="Lienhypertexte"/>
            <w:rFonts w:ascii="Times New Roman" w:hAnsi="Times New Roman"/>
            <w:iCs/>
            <w:noProof/>
          </w:rPr>
          <w:t>4.1. Identification des séquences</w:t>
        </w:r>
        <w:r w:rsidR="006C092A">
          <w:rPr>
            <w:noProof/>
            <w:webHidden/>
          </w:rPr>
          <w:tab/>
        </w:r>
        <w:r>
          <w:rPr>
            <w:noProof/>
            <w:webHidden/>
          </w:rPr>
          <w:fldChar w:fldCharType="begin"/>
        </w:r>
        <w:r w:rsidR="006C092A">
          <w:rPr>
            <w:noProof/>
            <w:webHidden/>
          </w:rPr>
          <w:instrText xml:space="preserve"> PAGEREF _Toc471484478 \h </w:instrText>
        </w:r>
        <w:r>
          <w:rPr>
            <w:noProof/>
            <w:webHidden/>
          </w:rPr>
        </w:r>
        <w:r>
          <w:rPr>
            <w:noProof/>
            <w:webHidden/>
          </w:rPr>
          <w:fldChar w:fldCharType="separate"/>
        </w:r>
        <w:r w:rsidR="006C092A">
          <w:rPr>
            <w:noProof/>
            <w:webHidden/>
          </w:rPr>
          <w:t>178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79" w:history="1">
        <w:r w:rsidR="006C092A" w:rsidRPr="00E563DE">
          <w:rPr>
            <w:rStyle w:val="Lienhypertexte"/>
            <w:rFonts w:ascii="Times New Roman" w:hAnsi="Times New Roman"/>
            <w:noProof/>
          </w:rPr>
          <w:t>4.1.1. Première séquence : les paratextes critique, auctorial et éditorial</w:t>
        </w:r>
        <w:r w:rsidR="006C092A">
          <w:rPr>
            <w:noProof/>
            <w:webHidden/>
          </w:rPr>
          <w:tab/>
        </w:r>
        <w:r>
          <w:rPr>
            <w:noProof/>
            <w:webHidden/>
          </w:rPr>
          <w:fldChar w:fldCharType="begin"/>
        </w:r>
        <w:r w:rsidR="006C092A">
          <w:rPr>
            <w:noProof/>
            <w:webHidden/>
          </w:rPr>
          <w:instrText xml:space="preserve"> PAGEREF _Toc471484479 \h </w:instrText>
        </w:r>
        <w:r>
          <w:rPr>
            <w:noProof/>
            <w:webHidden/>
          </w:rPr>
        </w:r>
        <w:r>
          <w:rPr>
            <w:noProof/>
            <w:webHidden/>
          </w:rPr>
          <w:fldChar w:fldCharType="separate"/>
        </w:r>
        <w:r w:rsidR="006C092A">
          <w:rPr>
            <w:noProof/>
            <w:webHidden/>
          </w:rPr>
          <w:t>179</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80" w:history="1">
        <w:r w:rsidR="006C092A" w:rsidRPr="00E563DE">
          <w:rPr>
            <w:rStyle w:val="Lienhypertexte"/>
            <w:rFonts w:ascii="Times New Roman" w:hAnsi="Times New Roman"/>
            <w:noProof/>
          </w:rPr>
          <w:t>4.1.2. Deuxième séquence : Barabbas, la prise de conscience d’un malfrat</w:t>
        </w:r>
        <w:r w:rsidR="006C092A">
          <w:rPr>
            <w:noProof/>
            <w:webHidden/>
          </w:rPr>
          <w:tab/>
        </w:r>
        <w:r>
          <w:rPr>
            <w:noProof/>
            <w:webHidden/>
          </w:rPr>
          <w:fldChar w:fldCharType="begin"/>
        </w:r>
        <w:r w:rsidR="006C092A">
          <w:rPr>
            <w:noProof/>
            <w:webHidden/>
          </w:rPr>
          <w:instrText xml:space="preserve"> PAGEREF _Toc471484480 \h </w:instrText>
        </w:r>
        <w:r>
          <w:rPr>
            <w:noProof/>
            <w:webHidden/>
          </w:rPr>
        </w:r>
        <w:r>
          <w:rPr>
            <w:noProof/>
            <w:webHidden/>
          </w:rPr>
          <w:fldChar w:fldCharType="separate"/>
        </w:r>
        <w:r w:rsidR="006C092A">
          <w:rPr>
            <w:noProof/>
            <w:webHidden/>
          </w:rPr>
          <w:t>182</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81" w:history="1">
        <w:r w:rsidR="006C092A" w:rsidRPr="00E563DE">
          <w:rPr>
            <w:rStyle w:val="Lienhypertexte"/>
            <w:rFonts w:ascii="Times New Roman" w:hAnsi="Times New Roman"/>
            <w:noProof/>
          </w:rPr>
          <w:t>4.1.3. Troisième séquence : Évolution de Barabbas</w:t>
        </w:r>
        <w:r w:rsidR="006C092A">
          <w:rPr>
            <w:noProof/>
            <w:webHidden/>
          </w:rPr>
          <w:tab/>
        </w:r>
        <w:r>
          <w:rPr>
            <w:noProof/>
            <w:webHidden/>
          </w:rPr>
          <w:fldChar w:fldCharType="begin"/>
        </w:r>
        <w:r w:rsidR="006C092A">
          <w:rPr>
            <w:noProof/>
            <w:webHidden/>
          </w:rPr>
          <w:instrText xml:space="preserve"> PAGEREF _Toc471484481 \h </w:instrText>
        </w:r>
        <w:r>
          <w:rPr>
            <w:noProof/>
            <w:webHidden/>
          </w:rPr>
        </w:r>
        <w:r>
          <w:rPr>
            <w:noProof/>
            <w:webHidden/>
          </w:rPr>
          <w:fldChar w:fldCharType="separate"/>
        </w:r>
        <w:r w:rsidR="006C092A">
          <w:rPr>
            <w:noProof/>
            <w:webHidden/>
          </w:rPr>
          <w:t>185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82" w:history="1">
        <w:r w:rsidR="006C092A" w:rsidRPr="00E563DE">
          <w:rPr>
            <w:rStyle w:val="Lienhypertexte"/>
            <w:rFonts w:ascii="Times New Roman" w:hAnsi="Times New Roman"/>
            <w:noProof/>
          </w:rPr>
          <w:t>4.1.4. Quatrième séquence : Barabbas-Jésus</w:t>
        </w:r>
        <w:r w:rsidR="006C092A">
          <w:rPr>
            <w:noProof/>
            <w:webHidden/>
          </w:rPr>
          <w:tab/>
        </w:r>
        <w:r>
          <w:rPr>
            <w:noProof/>
            <w:webHidden/>
          </w:rPr>
          <w:fldChar w:fldCharType="begin"/>
        </w:r>
        <w:r w:rsidR="006C092A">
          <w:rPr>
            <w:noProof/>
            <w:webHidden/>
          </w:rPr>
          <w:instrText xml:space="preserve"> PAGEREF _Toc471484482 \h </w:instrText>
        </w:r>
        <w:r>
          <w:rPr>
            <w:noProof/>
            <w:webHidden/>
          </w:rPr>
        </w:r>
        <w:r>
          <w:rPr>
            <w:noProof/>
            <w:webHidden/>
          </w:rPr>
          <w:fldChar w:fldCharType="separate"/>
        </w:r>
        <w:r w:rsidR="006C092A">
          <w:rPr>
            <w:noProof/>
            <w:webHidden/>
          </w:rPr>
          <w:t>187</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83" w:history="1">
        <w:r w:rsidR="006C092A" w:rsidRPr="00E563DE">
          <w:rPr>
            <w:rStyle w:val="Lienhypertexte"/>
            <w:rFonts w:ascii="Times New Roman" w:hAnsi="Times New Roman"/>
            <w:iCs/>
            <w:noProof/>
          </w:rPr>
          <w:t>4.2. Visualisation de la structure du récit : point de vue de Brémond</w:t>
        </w:r>
        <w:r w:rsidR="006C092A">
          <w:rPr>
            <w:noProof/>
            <w:webHidden/>
          </w:rPr>
          <w:tab/>
        </w:r>
        <w:r>
          <w:rPr>
            <w:noProof/>
            <w:webHidden/>
          </w:rPr>
          <w:fldChar w:fldCharType="begin"/>
        </w:r>
        <w:r w:rsidR="006C092A">
          <w:rPr>
            <w:noProof/>
            <w:webHidden/>
          </w:rPr>
          <w:instrText xml:space="preserve"> PAGEREF _Toc471484483 \h </w:instrText>
        </w:r>
        <w:r>
          <w:rPr>
            <w:noProof/>
            <w:webHidden/>
          </w:rPr>
        </w:r>
        <w:r>
          <w:rPr>
            <w:noProof/>
            <w:webHidden/>
          </w:rPr>
          <w:fldChar w:fldCharType="separate"/>
        </w:r>
        <w:r w:rsidR="006C092A">
          <w:rPr>
            <w:noProof/>
            <w:webHidden/>
          </w:rPr>
          <w:t>188</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84" w:history="1">
        <w:r w:rsidR="006C092A" w:rsidRPr="00E563DE">
          <w:rPr>
            <w:rStyle w:val="Lienhypertexte"/>
            <w:rFonts w:ascii="Times New Roman" w:hAnsi="Times New Roman"/>
            <w:noProof/>
          </w:rPr>
          <w:t>5. Analyse actorielle et actantielle du système des personnages</w:t>
        </w:r>
        <w:r w:rsidR="006C092A">
          <w:rPr>
            <w:noProof/>
            <w:webHidden/>
          </w:rPr>
          <w:tab/>
        </w:r>
        <w:r>
          <w:rPr>
            <w:noProof/>
            <w:webHidden/>
          </w:rPr>
          <w:fldChar w:fldCharType="begin"/>
        </w:r>
        <w:r w:rsidR="006C092A">
          <w:rPr>
            <w:noProof/>
            <w:webHidden/>
          </w:rPr>
          <w:instrText xml:space="preserve"> PAGEREF _Toc471484484 \h </w:instrText>
        </w:r>
        <w:r>
          <w:rPr>
            <w:noProof/>
            <w:webHidden/>
          </w:rPr>
        </w:r>
        <w:r>
          <w:rPr>
            <w:noProof/>
            <w:webHidden/>
          </w:rPr>
          <w:fldChar w:fldCharType="separate"/>
        </w:r>
        <w:r w:rsidR="006C092A">
          <w:rPr>
            <w:noProof/>
            <w:webHidden/>
          </w:rPr>
          <w:t>189</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85" w:history="1">
        <w:r w:rsidR="006C092A" w:rsidRPr="00E563DE">
          <w:rPr>
            <w:rStyle w:val="Lienhypertexte"/>
            <w:rFonts w:ascii="Times New Roman" w:hAnsi="Times New Roman"/>
            <w:iCs/>
            <w:noProof/>
          </w:rPr>
          <w:t>5.1. Dimension actorielle</w:t>
        </w:r>
        <w:r w:rsidR="006C092A">
          <w:rPr>
            <w:noProof/>
            <w:webHidden/>
          </w:rPr>
          <w:tab/>
        </w:r>
        <w:r>
          <w:rPr>
            <w:noProof/>
            <w:webHidden/>
          </w:rPr>
          <w:fldChar w:fldCharType="begin"/>
        </w:r>
        <w:r w:rsidR="006C092A">
          <w:rPr>
            <w:noProof/>
            <w:webHidden/>
          </w:rPr>
          <w:instrText xml:space="preserve"> PAGEREF _Toc471484485 \h </w:instrText>
        </w:r>
        <w:r>
          <w:rPr>
            <w:noProof/>
            <w:webHidden/>
          </w:rPr>
        </w:r>
        <w:r>
          <w:rPr>
            <w:noProof/>
            <w:webHidden/>
          </w:rPr>
          <w:fldChar w:fldCharType="separate"/>
        </w:r>
        <w:r w:rsidR="006C092A">
          <w:rPr>
            <w:noProof/>
            <w:webHidden/>
          </w:rPr>
          <w:t>192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86" w:history="1">
        <w:r w:rsidR="006C092A" w:rsidRPr="00E563DE">
          <w:rPr>
            <w:rStyle w:val="Lienhypertexte"/>
            <w:rFonts w:ascii="Times New Roman" w:hAnsi="Times New Roman"/>
            <w:iCs/>
            <w:noProof/>
          </w:rPr>
          <w:t>5.2. Dimension actantielle</w:t>
        </w:r>
        <w:r w:rsidR="006C092A">
          <w:rPr>
            <w:noProof/>
            <w:webHidden/>
          </w:rPr>
          <w:tab/>
        </w:r>
        <w:r>
          <w:rPr>
            <w:noProof/>
            <w:webHidden/>
          </w:rPr>
          <w:fldChar w:fldCharType="begin"/>
        </w:r>
        <w:r w:rsidR="006C092A">
          <w:rPr>
            <w:noProof/>
            <w:webHidden/>
          </w:rPr>
          <w:instrText xml:space="preserve"> PAGEREF _Toc471484486 \h </w:instrText>
        </w:r>
        <w:r>
          <w:rPr>
            <w:noProof/>
            <w:webHidden/>
          </w:rPr>
        </w:r>
        <w:r>
          <w:rPr>
            <w:noProof/>
            <w:webHidden/>
          </w:rPr>
          <w:fldChar w:fldCharType="separate"/>
        </w:r>
        <w:r w:rsidR="006C092A">
          <w:rPr>
            <w:noProof/>
            <w:webHidden/>
          </w:rPr>
          <w:t>198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87" w:history="1">
        <w:r w:rsidR="006C092A" w:rsidRPr="00E563DE">
          <w:rPr>
            <w:rStyle w:val="Lienhypertexte"/>
            <w:rFonts w:ascii="Times New Roman" w:hAnsi="Times New Roman"/>
            <w:noProof/>
            <w:lang w:eastAsia="fr-FR"/>
          </w:rPr>
          <w:t>5.2.1. Sujet et objet</w:t>
        </w:r>
        <w:r w:rsidR="006C092A">
          <w:rPr>
            <w:noProof/>
            <w:webHidden/>
          </w:rPr>
          <w:tab/>
        </w:r>
        <w:r>
          <w:rPr>
            <w:noProof/>
            <w:webHidden/>
          </w:rPr>
          <w:fldChar w:fldCharType="begin"/>
        </w:r>
        <w:r w:rsidR="006C092A">
          <w:rPr>
            <w:noProof/>
            <w:webHidden/>
          </w:rPr>
          <w:instrText xml:space="preserve"> PAGEREF _Toc471484487 \h </w:instrText>
        </w:r>
        <w:r>
          <w:rPr>
            <w:noProof/>
            <w:webHidden/>
          </w:rPr>
        </w:r>
        <w:r>
          <w:rPr>
            <w:noProof/>
            <w:webHidden/>
          </w:rPr>
          <w:fldChar w:fldCharType="separate"/>
        </w:r>
        <w:r w:rsidR="006C092A">
          <w:rPr>
            <w:noProof/>
            <w:webHidden/>
          </w:rPr>
          <w:t>200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88" w:history="1">
        <w:r w:rsidR="006C092A" w:rsidRPr="00E563DE">
          <w:rPr>
            <w:rStyle w:val="Lienhypertexte"/>
            <w:rFonts w:ascii="Times New Roman" w:hAnsi="Times New Roman"/>
            <w:noProof/>
            <w:lang w:eastAsia="fr-FR"/>
          </w:rPr>
          <w:t>5.2.2. Destinateurs</w:t>
        </w:r>
        <w:r w:rsidR="006C092A">
          <w:rPr>
            <w:noProof/>
            <w:webHidden/>
          </w:rPr>
          <w:tab/>
        </w:r>
        <w:r>
          <w:rPr>
            <w:noProof/>
            <w:webHidden/>
          </w:rPr>
          <w:fldChar w:fldCharType="begin"/>
        </w:r>
        <w:r w:rsidR="006C092A">
          <w:rPr>
            <w:noProof/>
            <w:webHidden/>
          </w:rPr>
          <w:instrText xml:space="preserve"> PAGEREF _Toc471484488 \h </w:instrText>
        </w:r>
        <w:r>
          <w:rPr>
            <w:noProof/>
            <w:webHidden/>
          </w:rPr>
        </w:r>
        <w:r>
          <w:rPr>
            <w:noProof/>
            <w:webHidden/>
          </w:rPr>
          <w:fldChar w:fldCharType="separate"/>
        </w:r>
        <w:r w:rsidR="006C092A">
          <w:rPr>
            <w:noProof/>
            <w:webHidden/>
          </w:rPr>
          <w:t>200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89" w:history="1">
        <w:r w:rsidR="006C092A" w:rsidRPr="00E563DE">
          <w:rPr>
            <w:rStyle w:val="Lienhypertexte"/>
            <w:rFonts w:ascii="Times New Roman" w:hAnsi="Times New Roman"/>
            <w:noProof/>
            <w:lang w:eastAsia="fr-FR"/>
          </w:rPr>
          <w:t>5.2.3. Destinataire</w:t>
        </w:r>
        <w:r w:rsidR="006C092A">
          <w:rPr>
            <w:noProof/>
            <w:webHidden/>
          </w:rPr>
          <w:tab/>
        </w:r>
        <w:r>
          <w:rPr>
            <w:noProof/>
            <w:webHidden/>
          </w:rPr>
          <w:fldChar w:fldCharType="begin"/>
        </w:r>
        <w:r w:rsidR="006C092A">
          <w:rPr>
            <w:noProof/>
            <w:webHidden/>
          </w:rPr>
          <w:instrText xml:space="preserve"> PAGEREF _Toc471484489 \h </w:instrText>
        </w:r>
        <w:r>
          <w:rPr>
            <w:noProof/>
            <w:webHidden/>
          </w:rPr>
        </w:r>
        <w:r>
          <w:rPr>
            <w:noProof/>
            <w:webHidden/>
          </w:rPr>
          <w:fldChar w:fldCharType="separate"/>
        </w:r>
        <w:r w:rsidR="006C092A">
          <w:rPr>
            <w:noProof/>
            <w:webHidden/>
          </w:rPr>
          <w:t>200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90" w:history="1">
        <w:r w:rsidR="006C092A" w:rsidRPr="00E563DE">
          <w:rPr>
            <w:rStyle w:val="Lienhypertexte"/>
            <w:rFonts w:ascii="Times New Roman" w:hAnsi="Times New Roman"/>
            <w:noProof/>
            <w:lang w:eastAsia="fr-FR"/>
          </w:rPr>
          <w:t>5.2.4. Adjuvants et opposants</w:t>
        </w:r>
        <w:r w:rsidR="006C092A">
          <w:rPr>
            <w:noProof/>
            <w:webHidden/>
          </w:rPr>
          <w:tab/>
        </w:r>
        <w:r>
          <w:rPr>
            <w:noProof/>
            <w:webHidden/>
          </w:rPr>
          <w:fldChar w:fldCharType="begin"/>
        </w:r>
        <w:r w:rsidR="006C092A">
          <w:rPr>
            <w:noProof/>
            <w:webHidden/>
          </w:rPr>
          <w:instrText xml:space="preserve"> PAGEREF _Toc471484490 \h </w:instrText>
        </w:r>
        <w:r>
          <w:rPr>
            <w:noProof/>
            <w:webHidden/>
          </w:rPr>
        </w:r>
        <w:r>
          <w:rPr>
            <w:noProof/>
            <w:webHidden/>
          </w:rPr>
          <w:fldChar w:fldCharType="separate"/>
        </w:r>
        <w:r w:rsidR="006C092A">
          <w:rPr>
            <w:noProof/>
            <w:webHidden/>
          </w:rPr>
          <w:t>200</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91" w:history="1">
        <w:r w:rsidR="006C092A" w:rsidRPr="00E563DE">
          <w:rPr>
            <w:rStyle w:val="Lienhypertexte"/>
            <w:rFonts w:ascii="Times New Roman" w:hAnsi="Times New Roman"/>
            <w:noProof/>
          </w:rPr>
          <w:t>6. Le chronotope : le poids du contexte</w:t>
        </w:r>
        <w:r w:rsidR="006C092A">
          <w:rPr>
            <w:noProof/>
            <w:webHidden/>
          </w:rPr>
          <w:tab/>
        </w:r>
        <w:r>
          <w:rPr>
            <w:noProof/>
            <w:webHidden/>
          </w:rPr>
          <w:fldChar w:fldCharType="begin"/>
        </w:r>
        <w:r w:rsidR="006C092A">
          <w:rPr>
            <w:noProof/>
            <w:webHidden/>
          </w:rPr>
          <w:instrText xml:space="preserve"> PAGEREF _Toc471484491 \h </w:instrText>
        </w:r>
        <w:r>
          <w:rPr>
            <w:noProof/>
            <w:webHidden/>
          </w:rPr>
        </w:r>
        <w:r>
          <w:rPr>
            <w:noProof/>
            <w:webHidden/>
          </w:rPr>
          <w:fldChar w:fldCharType="separate"/>
        </w:r>
        <w:r w:rsidR="006C092A">
          <w:rPr>
            <w:noProof/>
            <w:webHidden/>
          </w:rPr>
          <w:t>201</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92" w:history="1">
        <w:r w:rsidR="006C092A" w:rsidRPr="00E563DE">
          <w:rPr>
            <w:rStyle w:val="Lienhypertexte"/>
            <w:rFonts w:ascii="Times New Roman" w:hAnsi="Times New Roman"/>
            <w:iCs/>
            <w:noProof/>
          </w:rPr>
          <w:t>6.1. L’espace</w:t>
        </w:r>
        <w:r w:rsidR="006C092A">
          <w:rPr>
            <w:noProof/>
            <w:webHidden/>
          </w:rPr>
          <w:tab/>
        </w:r>
        <w:r>
          <w:rPr>
            <w:noProof/>
            <w:webHidden/>
          </w:rPr>
          <w:fldChar w:fldCharType="begin"/>
        </w:r>
        <w:r w:rsidR="006C092A">
          <w:rPr>
            <w:noProof/>
            <w:webHidden/>
          </w:rPr>
          <w:instrText xml:space="preserve"> PAGEREF _Toc471484492 \h </w:instrText>
        </w:r>
        <w:r>
          <w:rPr>
            <w:noProof/>
            <w:webHidden/>
          </w:rPr>
        </w:r>
        <w:r>
          <w:rPr>
            <w:noProof/>
            <w:webHidden/>
          </w:rPr>
          <w:fldChar w:fldCharType="separate"/>
        </w:r>
        <w:r w:rsidR="006C092A">
          <w:rPr>
            <w:noProof/>
            <w:webHidden/>
          </w:rPr>
          <w:t>204</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493" w:history="1">
        <w:r w:rsidR="006C092A" w:rsidRPr="00E563DE">
          <w:rPr>
            <w:rStyle w:val="Lienhypertexte"/>
            <w:rFonts w:ascii="Times New Roman" w:hAnsi="Times New Roman"/>
            <w:noProof/>
          </w:rPr>
          <w:t>6.1.1. Les lieux ouverts et les lieux clos</w:t>
        </w:r>
        <w:r w:rsidR="006C092A">
          <w:rPr>
            <w:noProof/>
            <w:webHidden/>
          </w:rPr>
          <w:tab/>
        </w:r>
        <w:r>
          <w:rPr>
            <w:noProof/>
            <w:webHidden/>
          </w:rPr>
          <w:fldChar w:fldCharType="begin"/>
        </w:r>
        <w:r w:rsidR="006C092A">
          <w:rPr>
            <w:noProof/>
            <w:webHidden/>
          </w:rPr>
          <w:instrText xml:space="preserve"> PAGEREF _Toc471484493 \h </w:instrText>
        </w:r>
        <w:r>
          <w:rPr>
            <w:noProof/>
            <w:webHidden/>
          </w:rPr>
        </w:r>
        <w:r>
          <w:rPr>
            <w:noProof/>
            <w:webHidden/>
          </w:rPr>
          <w:fldChar w:fldCharType="separate"/>
        </w:r>
        <w:r w:rsidR="006C092A">
          <w:rPr>
            <w:noProof/>
            <w:webHidden/>
          </w:rPr>
          <w:t>204</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94" w:history="1">
        <w:r w:rsidR="006C092A" w:rsidRPr="00E563DE">
          <w:rPr>
            <w:rStyle w:val="Lienhypertexte"/>
            <w:rFonts w:ascii="Times New Roman" w:hAnsi="Times New Roman"/>
            <w:iCs/>
            <w:noProof/>
          </w:rPr>
          <w:t>6.2. Le temps</w:t>
        </w:r>
        <w:r w:rsidR="006C092A">
          <w:rPr>
            <w:noProof/>
            <w:webHidden/>
          </w:rPr>
          <w:tab/>
        </w:r>
        <w:r>
          <w:rPr>
            <w:noProof/>
            <w:webHidden/>
          </w:rPr>
          <w:fldChar w:fldCharType="begin"/>
        </w:r>
        <w:r w:rsidR="006C092A">
          <w:rPr>
            <w:noProof/>
            <w:webHidden/>
          </w:rPr>
          <w:instrText xml:space="preserve"> PAGEREF _Toc471484494 \h </w:instrText>
        </w:r>
        <w:r>
          <w:rPr>
            <w:noProof/>
            <w:webHidden/>
          </w:rPr>
        </w:r>
        <w:r>
          <w:rPr>
            <w:noProof/>
            <w:webHidden/>
          </w:rPr>
          <w:fldChar w:fldCharType="separate"/>
        </w:r>
        <w:r w:rsidR="006C092A">
          <w:rPr>
            <w:noProof/>
            <w:webHidden/>
          </w:rPr>
          <w:t>206</w:t>
        </w:r>
        <w:r>
          <w:rPr>
            <w:noProof/>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495" w:history="1">
        <w:r w:rsidR="006C092A" w:rsidRPr="00E563DE">
          <w:rPr>
            <w:rStyle w:val="Lienhypertexte"/>
            <w:rFonts w:ascii="Times New Roman" w:hAnsi="Times New Roman"/>
            <w:noProof/>
          </w:rPr>
          <w:t>Chapitre 3 : Étude comparative du personnage-narrateur des deux pièces</w:t>
        </w:r>
        <w:r w:rsidR="006C092A">
          <w:rPr>
            <w:noProof/>
            <w:webHidden/>
          </w:rPr>
          <w:tab/>
        </w:r>
        <w:r>
          <w:rPr>
            <w:noProof/>
            <w:webHidden/>
          </w:rPr>
          <w:fldChar w:fldCharType="begin"/>
        </w:r>
        <w:r w:rsidR="006C092A">
          <w:rPr>
            <w:noProof/>
            <w:webHidden/>
          </w:rPr>
          <w:instrText xml:space="preserve"> PAGEREF _Toc471484495 \h </w:instrText>
        </w:r>
        <w:r>
          <w:rPr>
            <w:noProof/>
            <w:webHidden/>
          </w:rPr>
        </w:r>
        <w:r>
          <w:rPr>
            <w:noProof/>
            <w:webHidden/>
          </w:rPr>
          <w:fldChar w:fldCharType="separate"/>
        </w:r>
        <w:r w:rsidR="006C092A">
          <w:rPr>
            <w:noProof/>
            <w:webHidden/>
          </w:rPr>
          <w:t>210</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96" w:history="1">
        <w:r w:rsidR="006C092A" w:rsidRPr="00E563DE">
          <w:rPr>
            <w:rStyle w:val="Lienhypertexte"/>
            <w:rFonts w:ascii="Times New Roman" w:hAnsi="Times New Roman"/>
            <w:noProof/>
          </w:rPr>
          <w:t>1. Quel type de narrateur-personnage ? (description du personnage-narrateur)</w:t>
        </w:r>
        <w:r w:rsidR="006C092A">
          <w:rPr>
            <w:noProof/>
            <w:webHidden/>
          </w:rPr>
          <w:tab/>
        </w:r>
        <w:r>
          <w:rPr>
            <w:noProof/>
            <w:webHidden/>
          </w:rPr>
          <w:fldChar w:fldCharType="begin"/>
        </w:r>
        <w:r w:rsidR="006C092A">
          <w:rPr>
            <w:noProof/>
            <w:webHidden/>
          </w:rPr>
          <w:instrText xml:space="preserve"> PAGEREF _Toc471484496 \h </w:instrText>
        </w:r>
        <w:r>
          <w:rPr>
            <w:noProof/>
            <w:webHidden/>
          </w:rPr>
        </w:r>
        <w:r>
          <w:rPr>
            <w:noProof/>
            <w:webHidden/>
          </w:rPr>
          <w:fldChar w:fldCharType="separate"/>
        </w:r>
        <w:r w:rsidR="006C092A">
          <w:rPr>
            <w:noProof/>
            <w:webHidden/>
          </w:rPr>
          <w:t>210</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97" w:history="1">
        <w:r w:rsidR="006C092A" w:rsidRPr="00E563DE">
          <w:rPr>
            <w:rStyle w:val="Lienhypertexte"/>
            <w:rFonts w:ascii="Times New Roman" w:hAnsi="Times New Roman"/>
            <w:iCs/>
            <w:noProof/>
            <w:lang w:eastAsia="fr-FR"/>
          </w:rPr>
          <w:t>1.1. Slimane de Kaki</w:t>
        </w:r>
        <w:r w:rsidR="006C092A">
          <w:rPr>
            <w:noProof/>
            <w:webHidden/>
          </w:rPr>
          <w:tab/>
        </w:r>
        <w:r>
          <w:rPr>
            <w:noProof/>
            <w:webHidden/>
          </w:rPr>
          <w:fldChar w:fldCharType="begin"/>
        </w:r>
        <w:r w:rsidR="006C092A">
          <w:rPr>
            <w:noProof/>
            <w:webHidden/>
          </w:rPr>
          <w:instrText xml:space="preserve"> PAGEREF _Toc471484497 \h </w:instrText>
        </w:r>
        <w:r>
          <w:rPr>
            <w:noProof/>
            <w:webHidden/>
          </w:rPr>
        </w:r>
        <w:r>
          <w:rPr>
            <w:noProof/>
            <w:webHidden/>
          </w:rPr>
          <w:fldChar w:fldCharType="separate"/>
        </w:r>
        <w:r w:rsidR="006C092A">
          <w:rPr>
            <w:noProof/>
            <w:webHidden/>
          </w:rPr>
          <w:t>210</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498" w:history="1">
        <w:r w:rsidR="006C092A" w:rsidRPr="00E563DE">
          <w:rPr>
            <w:rStyle w:val="Lienhypertexte"/>
            <w:rFonts w:ascii="Times New Roman" w:hAnsi="Times New Roman"/>
            <w:iCs/>
            <w:noProof/>
            <w:lang w:eastAsia="fr-FR"/>
          </w:rPr>
          <w:t>1.2. Barabbas de Ghelderode</w:t>
        </w:r>
        <w:r w:rsidR="006C092A">
          <w:rPr>
            <w:noProof/>
            <w:webHidden/>
          </w:rPr>
          <w:tab/>
        </w:r>
        <w:r>
          <w:rPr>
            <w:noProof/>
            <w:webHidden/>
          </w:rPr>
          <w:fldChar w:fldCharType="begin"/>
        </w:r>
        <w:r w:rsidR="006C092A">
          <w:rPr>
            <w:noProof/>
            <w:webHidden/>
          </w:rPr>
          <w:instrText xml:space="preserve"> PAGEREF _Toc471484498 \h </w:instrText>
        </w:r>
        <w:r>
          <w:rPr>
            <w:noProof/>
            <w:webHidden/>
          </w:rPr>
        </w:r>
        <w:r>
          <w:rPr>
            <w:noProof/>
            <w:webHidden/>
          </w:rPr>
          <w:fldChar w:fldCharType="separate"/>
        </w:r>
        <w:r w:rsidR="006C092A">
          <w:rPr>
            <w:noProof/>
            <w:webHidden/>
          </w:rPr>
          <w:t>211</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499" w:history="1">
        <w:r w:rsidR="006C092A" w:rsidRPr="00E563DE">
          <w:rPr>
            <w:rStyle w:val="Lienhypertexte"/>
            <w:rFonts w:ascii="Times New Roman" w:hAnsi="Times New Roman"/>
            <w:noProof/>
          </w:rPr>
          <w:t>2. Quel type de narrateur-présentateur ?</w:t>
        </w:r>
        <w:r w:rsidR="006C092A">
          <w:rPr>
            <w:noProof/>
            <w:webHidden/>
          </w:rPr>
          <w:tab/>
        </w:r>
        <w:r>
          <w:rPr>
            <w:noProof/>
            <w:webHidden/>
          </w:rPr>
          <w:fldChar w:fldCharType="begin"/>
        </w:r>
        <w:r w:rsidR="006C092A">
          <w:rPr>
            <w:noProof/>
            <w:webHidden/>
          </w:rPr>
          <w:instrText xml:space="preserve"> PAGEREF _Toc471484499 \h </w:instrText>
        </w:r>
        <w:r>
          <w:rPr>
            <w:noProof/>
            <w:webHidden/>
          </w:rPr>
        </w:r>
        <w:r>
          <w:rPr>
            <w:noProof/>
            <w:webHidden/>
          </w:rPr>
          <w:fldChar w:fldCharType="separate"/>
        </w:r>
        <w:r w:rsidR="006C092A">
          <w:rPr>
            <w:noProof/>
            <w:webHidden/>
          </w:rPr>
          <w:t>212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00" w:history="1">
        <w:r w:rsidR="006C092A" w:rsidRPr="00E563DE">
          <w:rPr>
            <w:rStyle w:val="Lienhypertexte"/>
            <w:rFonts w:ascii="Times New Roman" w:hAnsi="Times New Roman"/>
            <w:iCs/>
            <w:noProof/>
            <w:lang w:eastAsia="fr-FR"/>
          </w:rPr>
          <w:t>2.1. Chez Slimane de Kaki</w:t>
        </w:r>
        <w:r w:rsidR="006C092A">
          <w:rPr>
            <w:noProof/>
            <w:webHidden/>
          </w:rPr>
          <w:tab/>
        </w:r>
        <w:r>
          <w:rPr>
            <w:noProof/>
            <w:webHidden/>
          </w:rPr>
          <w:fldChar w:fldCharType="begin"/>
        </w:r>
        <w:r w:rsidR="006C092A">
          <w:rPr>
            <w:noProof/>
            <w:webHidden/>
          </w:rPr>
          <w:instrText xml:space="preserve"> PAGEREF _Toc471484500 \h </w:instrText>
        </w:r>
        <w:r>
          <w:rPr>
            <w:noProof/>
            <w:webHidden/>
          </w:rPr>
        </w:r>
        <w:r>
          <w:rPr>
            <w:noProof/>
            <w:webHidden/>
          </w:rPr>
          <w:fldChar w:fldCharType="separate"/>
        </w:r>
        <w:r w:rsidR="006C092A">
          <w:rPr>
            <w:noProof/>
            <w:webHidden/>
          </w:rPr>
          <w:t>212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01" w:history="1">
        <w:r w:rsidR="006C092A" w:rsidRPr="00E563DE">
          <w:rPr>
            <w:rStyle w:val="Lienhypertexte"/>
            <w:rFonts w:ascii="Times New Roman" w:hAnsi="Times New Roman"/>
            <w:iCs/>
            <w:noProof/>
            <w:lang w:eastAsia="fr-FR"/>
          </w:rPr>
          <w:t>2.2. Chez Barabbas de Ghelderode</w:t>
        </w:r>
        <w:r w:rsidR="006C092A">
          <w:rPr>
            <w:noProof/>
            <w:webHidden/>
          </w:rPr>
          <w:tab/>
        </w:r>
        <w:r>
          <w:rPr>
            <w:noProof/>
            <w:webHidden/>
          </w:rPr>
          <w:fldChar w:fldCharType="begin"/>
        </w:r>
        <w:r w:rsidR="006C092A">
          <w:rPr>
            <w:noProof/>
            <w:webHidden/>
          </w:rPr>
          <w:instrText xml:space="preserve"> PAGEREF _Toc471484501 \h </w:instrText>
        </w:r>
        <w:r>
          <w:rPr>
            <w:noProof/>
            <w:webHidden/>
          </w:rPr>
        </w:r>
        <w:r>
          <w:rPr>
            <w:noProof/>
            <w:webHidden/>
          </w:rPr>
          <w:fldChar w:fldCharType="separate"/>
        </w:r>
        <w:r w:rsidR="006C092A">
          <w:rPr>
            <w:noProof/>
            <w:webHidden/>
          </w:rPr>
          <w:t>212</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02" w:history="1">
        <w:r w:rsidR="006C092A" w:rsidRPr="00E563DE">
          <w:rPr>
            <w:rStyle w:val="Lienhypertexte"/>
            <w:rFonts w:ascii="Times New Roman" w:hAnsi="Times New Roman"/>
            <w:noProof/>
          </w:rPr>
          <w:t>3. Quel type de narrateur-commentateur ?</w:t>
        </w:r>
        <w:r w:rsidR="006C092A">
          <w:rPr>
            <w:noProof/>
            <w:webHidden/>
          </w:rPr>
          <w:tab/>
        </w:r>
        <w:r>
          <w:rPr>
            <w:noProof/>
            <w:webHidden/>
          </w:rPr>
          <w:fldChar w:fldCharType="begin"/>
        </w:r>
        <w:r w:rsidR="006C092A">
          <w:rPr>
            <w:noProof/>
            <w:webHidden/>
          </w:rPr>
          <w:instrText xml:space="preserve"> PAGEREF _Toc471484502 \h </w:instrText>
        </w:r>
        <w:r>
          <w:rPr>
            <w:noProof/>
            <w:webHidden/>
          </w:rPr>
        </w:r>
        <w:r>
          <w:rPr>
            <w:noProof/>
            <w:webHidden/>
          </w:rPr>
          <w:fldChar w:fldCharType="separate"/>
        </w:r>
        <w:r w:rsidR="006C092A">
          <w:rPr>
            <w:noProof/>
            <w:webHidden/>
          </w:rPr>
          <w:t>212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03" w:history="1">
        <w:r w:rsidR="006C092A" w:rsidRPr="00E563DE">
          <w:rPr>
            <w:rStyle w:val="Lienhypertexte"/>
            <w:rFonts w:ascii="Times New Roman" w:hAnsi="Times New Roman"/>
            <w:iCs/>
            <w:noProof/>
            <w:lang w:eastAsia="fr-FR"/>
          </w:rPr>
          <w:t>3.1. Chez Slimane de Kaki</w:t>
        </w:r>
        <w:r w:rsidR="006C092A">
          <w:rPr>
            <w:noProof/>
            <w:webHidden/>
          </w:rPr>
          <w:tab/>
        </w:r>
        <w:r>
          <w:rPr>
            <w:noProof/>
            <w:webHidden/>
          </w:rPr>
          <w:fldChar w:fldCharType="begin"/>
        </w:r>
        <w:r w:rsidR="006C092A">
          <w:rPr>
            <w:noProof/>
            <w:webHidden/>
          </w:rPr>
          <w:instrText xml:space="preserve"> PAGEREF _Toc471484503 \h </w:instrText>
        </w:r>
        <w:r>
          <w:rPr>
            <w:noProof/>
            <w:webHidden/>
          </w:rPr>
        </w:r>
        <w:r>
          <w:rPr>
            <w:noProof/>
            <w:webHidden/>
          </w:rPr>
          <w:fldChar w:fldCharType="separate"/>
        </w:r>
        <w:r w:rsidR="006C092A">
          <w:rPr>
            <w:noProof/>
            <w:webHidden/>
          </w:rPr>
          <w:t>213</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04" w:history="1">
        <w:r w:rsidR="006C092A" w:rsidRPr="00E563DE">
          <w:rPr>
            <w:rStyle w:val="Lienhypertexte"/>
            <w:rFonts w:ascii="Times New Roman" w:hAnsi="Times New Roman"/>
            <w:iCs/>
            <w:noProof/>
            <w:lang w:eastAsia="fr-FR"/>
          </w:rPr>
          <w:t>3.2. Chez Barabbas de Ghelderode</w:t>
        </w:r>
        <w:r w:rsidR="006C092A">
          <w:rPr>
            <w:noProof/>
            <w:webHidden/>
          </w:rPr>
          <w:tab/>
        </w:r>
        <w:r>
          <w:rPr>
            <w:noProof/>
            <w:webHidden/>
          </w:rPr>
          <w:fldChar w:fldCharType="begin"/>
        </w:r>
        <w:r w:rsidR="006C092A">
          <w:rPr>
            <w:noProof/>
            <w:webHidden/>
          </w:rPr>
          <w:instrText xml:space="preserve"> PAGEREF _Toc471484504 \h </w:instrText>
        </w:r>
        <w:r>
          <w:rPr>
            <w:noProof/>
            <w:webHidden/>
          </w:rPr>
        </w:r>
        <w:r>
          <w:rPr>
            <w:noProof/>
            <w:webHidden/>
          </w:rPr>
          <w:fldChar w:fldCharType="separate"/>
        </w:r>
        <w:r w:rsidR="006C092A">
          <w:rPr>
            <w:noProof/>
            <w:webHidden/>
          </w:rPr>
          <w:t>213</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05" w:history="1">
        <w:r w:rsidR="006C092A" w:rsidRPr="00E563DE">
          <w:rPr>
            <w:rStyle w:val="Lienhypertexte"/>
            <w:rFonts w:ascii="Times New Roman" w:hAnsi="Times New Roman"/>
            <w:noProof/>
          </w:rPr>
          <w:t>4. Quel métanarrateur ?</w:t>
        </w:r>
        <w:r w:rsidR="006C092A">
          <w:rPr>
            <w:noProof/>
            <w:webHidden/>
          </w:rPr>
          <w:tab/>
        </w:r>
        <w:r>
          <w:rPr>
            <w:noProof/>
            <w:webHidden/>
          </w:rPr>
          <w:fldChar w:fldCharType="begin"/>
        </w:r>
        <w:r w:rsidR="006C092A">
          <w:rPr>
            <w:noProof/>
            <w:webHidden/>
          </w:rPr>
          <w:instrText xml:space="preserve"> PAGEREF _Toc471484505 \h </w:instrText>
        </w:r>
        <w:r>
          <w:rPr>
            <w:noProof/>
            <w:webHidden/>
          </w:rPr>
        </w:r>
        <w:r>
          <w:rPr>
            <w:noProof/>
            <w:webHidden/>
          </w:rPr>
          <w:fldChar w:fldCharType="separate"/>
        </w:r>
        <w:r w:rsidR="006C092A">
          <w:rPr>
            <w:noProof/>
            <w:webHidden/>
          </w:rPr>
          <w:t>215</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06" w:history="1">
        <w:r w:rsidR="006C092A" w:rsidRPr="00E563DE">
          <w:rPr>
            <w:rStyle w:val="Lienhypertexte"/>
            <w:rFonts w:ascii="Times New Roman" w:hAnsi="Times New Roman"/>
            <w:iCs/>
            <w:noProof/>
            <w:lang w:eastAsia="fr-FR"/>
          </w:rPr>
          <w:t>4.1. Chez Slimane de Kaki</w:t>
        </w:r>
        <w:r w:rsidR="006C092A">
          <w:rPr>
            <w:noProof/>
            <w:webHidden/>
          </w:rPr>
          <w:tab/>
        </w:r>
        <w:r>
          <w:rPr>
            <w:noProof/>
            <w:webHidden/>
          </w:rPr>
          <w:fldChar w:fldCharType="begin"/>
        </w:r>
        <w:r w:rsidR="006C092A">
          <w:rPr>
            <w:noProof/>
            <w:webHidden/>
          </w:rPr>
          <w:instrText xml:space="preserve"> PAGEREF _Toc471484506 \h </w:instrText>
        </w:r>
        <w:r>
          <w:rPr>
            <w:noProof/>
            <w:webHidden/>
          </w:rPr>
        </w:r>
        <w:r>
          <w:rPr>
            <w:noProof/>
            <w:webHidden/>
          </w:rPr>
          <w:fldChar w:fldCharType="separate"/>
        </w:r>
        <w:r w:rsidR="006C092A">
          <w:rPr>
            <w:noProof/>
            <w:webHidden/>
          </w:rPr>
          <w:t>215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07" w:history="1">
        <w:r w:rsidR="006C092A" w:rsidRPr="00E563DE">
          <w:rPr>
            <w:rStyle w:val="Lienhypertexte"/>
            <w:rFonts w:ascii="Times New Roman" w:hAnsi="Times New Roman"/>
            <w:noProof/>
          </w:rPr>
          <w:t>4.1.1. Slimane et la démystification du charlatanisme fanatique et de l’obscurantisme</w:t>
        </w:r>
        <w:r w:rsidR="006C092A">
          <w:rPr>
            <w:noProof/>
            <w:webHidden/>
          </w:rPr>
          <w:tab/>
        </w:r>
        <w:r>
          <w:rPr>
            <w:noProof/>
            <w:webHidden/>
          </w:rPr>
          <w:fldChar w:fldCharType="begin"/>
        </w:r>
        <w:r w:rsidR="006C092A">
          <w:rPr>
            <w:noProof/>
            <w:webHidden/>
          </w:rPr>
          <w:instrText xml:space="preserve"> PAGEREF _Toc471484507 \h </w:instrText>
        </w:r>
        <w:r>
          <w:rPr>
            <w:noProof/>
            <w:webHidden/>
          </w:rPr>
        </w:r>
        <w:r>
          <w:rPr>
            <w:noProof/>
            <w:webHidden/>
          </w:rPr>
          <w:fldChar w:fldCharType="separate"/>
        </w:r>
        <w:r w:rsidR="006C092A">
          <w:rPr>
            <w:noProof/>
            <w:webHidden/>
          </w:rPr>
          <w:t>216</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08" w:history="1">
        <w:r w:rsidR="006C092A" w:rsidRPr="00E563DE">
          <w:rPr>
            <w:rStyle w:val="Lienhypertexte"/>
            <w:rFonts w:ascii="Times New Roman" w:hAnsi="Times New Roman"/>
            <w:noProof/>
          </w:rPr>
          <w:t>4.1.2. Slimane comme outil de la critique universelle</w:t>
        </w:r>
        <w:r w:rsidR="006C092A">
          <w:rPr>
            <w:noProof/>
            <w:webHidden/>
          </w:rPr>
          <w:tab/>
        </w:r>
        <w:r>
          <w:rPr>
            <w:noProof/>
            <w:webHidden/>
          </w:rPr>
          <w:fldChar w:fldCharType="begin"/>
        </w:r>
        <w:r w:rsidR="006C092A">
          <w:rPr>
            <w:noProof/>
            <w:webHidden/>
          </w:rPr>
          <w:instrText xml:space="preserve"> PAGEREF _Toc471484508 \h </w:instrText>
        </w:r>
        <w:r>
          <w:rPr>
            <w:noProof/>
            <w:webHidden/>
          </w:rPr>
        </w:r>
        <w:r>
          <w:rPr>
            <w:noProof/>
            <w:webHidden/>
          </w:rPr>
          <w:fldChar w:fldCharType="separate"/>
        </w:r>
        <w:r w:rsidR="006C092A">
          <w:rPr>
            <w:noProof/>
            <w:webHidden/>
          </w:rPr>
          <w:t>217</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09" w:history="1">
        <w:r w:rsidR="006C092A" w:rsidRPr="00E563DE">
          <w:rPr>
            <w:rStyle w:val="Lienhypertexte"/>
            <w:rFonts w:ascii="Times New Roman" w:hAnsi="Times New Roman"/>
            <w:iCs/>
            <w:noProof/>
            <w:lang w:eastAsia="fr-FR"/>
          </w:rPr>
          <w:t>4.2. Chez Barabbas de Ghelderode</w:t>
        </w:r>
        <w:r w:rsidR="006C092A">
          <w:rPr>
            <w:noProof/>
            <w:webHidden/>
          </w:rPr>
          <w:tab/>
        </w:r>
        <w:r>
          <w:rPr>
            <w:noProof/>
            <w:webHidden/>
          </w:rPr>
          <w:fldChar w:fldCharType="begin"/>
        </w:r>
        <w:r w:rsidR="006C092A">
          <w:rPr>
            <w:noProof/>
            <w:webHidden/>
          </w:rPr>
          <w:instrText xml:space="preserve"> PAGEREF _Toc471484509 \h </w:instrText>
        </w:r>
        <w:r>
          <w:rPr>
            <w:noProof/>
            <w:webHidden/>
          </w:rPr>
        </w:r>
        <w:r>
          <w:rPr>
            <w:noProof/>
            <w:webHidden/>
          </w:rPr>
          <w:fldChar w:fldCharType="separate"/>
        </w:r>
        <w:r w:rsidR="006C092A">
          <w:rPr>
            <w:noProof/>
            <w:webHidden/>
          </w:rPr>
          <w:t>218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10" w:history="1">
        <w:r w:rsidR="006C092A" w:rsidRPr="00E563DE">
          <w:rPr>
            <w:rStyle w:val="Lienhypertexte"/>
            <w:rFonts w:ascii="Times New Roman" w:hAnsi="Times New Roman"/>
            <w:noProof/>
          </w:rPr>
          <w:t>4.2.1. Barabbas, symbolique de l’univers carcéral et anarchisme</w:t>
        </w:r>
        <w:r w:rsidR="006C092A">
          <w:rPr>
            <w:noProof/>
            <w:webHidden/>
          </w:rPr>
          <w:tab/>
        </w:r>
        <w:r>
          <w:rPr>
            <w:noProof/>
            <w:webHidden/>
          </w:rPr>
          <w:fldChar w:fldCharType="begin"/>
        </w:r>
        <w:r w:rsidR="006C092A">
          <w:rPr>
            <w:noProof/>
            <w:webHidden/>
          </w:rPr>
          <w:instrText xml:space="preserve"> PAGEREF _Toc471484510 \h </w:instrText>
        </w:r>
        <w:r>
          <w:rPr>
            <w:noProof/>
            <w:webHidden/>
          </w:rPr>
        </w:r>
        <w:r>
          <w:rPr>
            <w:noProof/>
            <w:webHidden/>
          </w:rPr>
          <w:fldChar w:fldCharType="separate"/>
        </w:r>
        <w:r w:rsidR="006C092A">
          <w:rPr>
            <w:noProof/>
            <w:webHidden/>
          </w:rPr>
          <w:t>218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11" w:history="1">
        <w:r w:rsidR="006C092A" w:rsidRPr="00E563DE">
          <w:rPr>
            <w:rStyle w:val="Lienhypertexte"/>
            <w:rFonts w:ascii="Times New Roman" w:hAnsi="Times New Roman"/>
            <w:noProof/>
          </w:rPr>
          <w:t>4.2.2. Barabbas, anticléricalisme et crise du rite sacrificiel</w:t>
        </w:r>
        <w:r w:rsidR="006C092A">
          <w:rPr>
            <w:noProof/>
            <w:webHidden/>
          </w:rPr>
          <w:tab/>
        </w:r>
        <w:r>
          <w:rPr>
            <w:noProof/>
            <w:webHidden/>
          </w:rPr>
          <w:fldChar w:fldCharType="begin"/>
        </w:r>
        <w:r w:rsidR="006C092A">
          <w:rPr>
            <w:noProof/>
            <w:webHidden/>
          </w:rPr>
          <w:instrText xml:space="preserve"> PAGEREF _Toc471484511 \h </w:instrText>
        </w:r>
        <w:r>
          <w:rPr>
            <w:noProof/>
            <w:webHidden/>
          </w:rPr>
        </w:r>
        <w:r>
          <w:rPr>
            <w:noProof/>
            <w:webHidden/>
          </w:rPr>
          <w:fldChar w:fldCharType="separate"/>
        </w:r>
        <w:r w:rsidR="006C092A">
          <w:rPr>
            <w:noProof/>
            <w:webHidden/>
          </w:rPr>
          <w:t>218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12" w:history="1">
        <w:r w:rsidR="006C092A" w:rsidRPr="00E563DE">
          <w:rPr>
            <w:rStyle w:val="Lienhypertexte"/>
            <w:rFonts w:ascii="Times New Roman" w:hAnsi="Times New Roman"/>
            <w:noProof/>
          </w:rPr>
          <w:t>4.2.3. Barabbas et la critique de la société (de l’entre-deux-guerres)</w:t>
        </w:r>
        <w:r w:rsidR="006C092A">
          <w:rPr>
            <w:noProof/>
            <w:webHidden/>
          </w:rPr>
          <w:tab/>
        </w:r>
        <w:r>
          <w:rPr>
            <w:noProof/>
            <w:webHidden/>
          </w:rPr>
          <w:fldChar w:fldCharType="begin"/>
        </w:r>
        <w:r w:rsidR="006C092A">
          <w:rPr>
            <w:noProof/>
            <w:webHidden/>
          </w:rPr>
          <w:instrText xml:space="preserve"> PAGEREF _Toc471484512 \h </w:instrText>
        </w:r>
        <w:r>
          <w:rPr>
            <w:noProof/>
            <w:webHidden/>
          </w:rPr>
        </w:r>
        <w:r>
          <w:rPr>
            <w:noProof/>
            <w:webHidden/>
          </w:rPr>
          <w:fldChar w:fldCharType="separate"/>
        </w:r>
        <w:r w:rsidR="006C092A">
          <w:rPr>
            <w:noProof/>
            <w:webHidden/>
          </w:rPr>
          <w:t>219</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13" w:history="1">
        <w:r w:rsidR="006C092A" w:rsidRPr="00E563DE">
          <w:rPr>
            <w:rStyle w:val="Lienhypertexte"/>
            <w:rFonts w:ascii="Times New Roman" w:hAnsi="Times New Roman"/>
            <w:iCs/>
            <w:noProof/>
            <w:lang w:eastAsia="fr-FR"/>
          </w:rPr>
          <w:t>4.3. Conclusion partielle de l’analyse narratologique dans les deux pièces</w:t>
        </w:r>
        <w:r w:rsidR="006C092A">
          <w:rPr>
            <w:noProof/>
            <w:webHidden/>
          </w:rPr>
          <w:tab/>
        </w:r>
        <w:r>
          <w:rPr>
            <w:noProof/>
            <w:webHidden/>
          </w:rPr>
          <w:fldChar w:fldCharType="begin"/>
        </w:r>
        <w:r w:rsidR="006C092A">
          <w:rPr>
            <w:noProof/>
            <w:webHidden/>
          </w:rPr>
          <w:instrText xml:space="preserve"> PAGEREF _Toc471484513 \h </w:instrText>
        </w:r>
        <w:r>
          <w:rPr>
            <w:noProof/>
            <w:webHidden/>
          </w:rPr>
        </w:r>
        <w:r>
          <w:rPr>
            <w:noProof/>
            <w:webHidden/>
          </w:rPr>
          <w:fldChar w:fldCharType="separate"/>
        </w:r>
        <w:r w:rsidR="006C092A">
          <w:rPr>
            <w:noProof/>
            <w:webHidden/>
          </w:rPr>
          <w:t>219</w:t>
        </w:r>
        <w:r>
          <w:rPr>
            <w:noProof/>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514" w:history="1">
        <w:r w:rsidR="006C092A" w:rsidRPr="00E563DE">
          <w:rPr>
            <w:rStyle w:val="Lienhypertexte"/>
          </w:rPr>
          <w:t>PARTIE III : Sémiotique discursive et analyse du discours dramatique dans les deux pièces</w:t>
        </w:r>
        <w:r w:rsidR="006C092A">
          <w:rPr>
            <w:webHidden/>
          </w:rPr>
          <w:tab/>
        </w:r>
        <w:r>
          <w:rPr>
            <w:webHidden/>
          </w:rPr>
          <w:fldChar w:fldCharType="begin"/>
        </w:r>
        <w:r w:rsidR="006C092A">
          <w:rPr>
            <w:webHidden/>
          </w:rPr>
          <w:instrText xml:space="preserve"> PAGEREF _Toc471484514 \h </w:instrText>
        </w:r>
        <w:r>
          <w:rPr>
            <w:webHidden/>
          </w:rPr>
        </w:r>
        <w:r>
          <w:rPr>
            <w:webHidden/>
          </w:rPr>
          <w:fldChar w:fldCharType="separate"/>
        </w:r>
        <w:r w:rsidR="006C092A">
          <w:rPr>
            <w:webHidden/>
          </w:rPr>
          <w:t>221</w:t>
        </w:r>
        <w:r>
          <w:rPr>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515" w:history="1">
        <w:r w:rsidR="006C092A" w:rsidRPr="00E563DE">
          <w:rPr>
            <w:rStyle w:val="Lienhypertexte"/>
            <w:rFonts w:ascii="Times New Roman" w:hAnsi="Times New Roman"/>
            <w:noProof/>
          </w:rPr>
          <w:t>Chapitre 1 : Théorie de la sémiotique discursive dans le théâtre contemporain</w:t>
        </w:r>
        <w:r w:rsidR="006C092A">
          <w:rPr>
            <w:noProof/>
            <w:webHidden/>
          </w:rPr>
          <w:tab/>
        </w:r>
        <w:r>
          <w:rPr>
            <w:noProof/>
            <w:webHidden/>
          </w:rPr>
          <w:fldChar w:fldCharType="begin"/>
        </w:r>
        <w:r w:rsidR="006C092A">
          <w:rPr>
            <w:noProof/>
            <w:webHidden/>
          </w:rPr>
          <w:instrText xml:space="preserve"> PAGEREF _Toc471484515 \h </w:instrText>
        </w:r>
        <w:r>
          <w:rPr>
            <w:noProof/>
            <w:webHidden/>
          </w:rPr>
        </w:r>
        <w:r>
          <w:rPr>
            <w:noProof/>
            <w:webHidden/>
          </w:rPr>
          <w:fldChar w:fldCharType="separate"/>
        </w:r>
        <w:r w:rsidR="006C092A">
          <w:rPr>
            <w:noProof/>
            <w:webHidden/>
          </w:rPr>
          <w:t>222</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16" w:history="1">
        <w:r w:rsidR="006C092A" w:rsidRPr="00E563DE">
          <w:rPr>
            <w:rStyle w:val="Lienhypertexte"/>
            <w:rFonts w:ascii="Times New Roman" w:hAnsi="Times New Roman"/>
            <w:noProof/>
          </w:rPr>
          <w:t>1. Un essai de définition de la sémiotique</w:t>
        </w:r>
        <w:r w:rsidR="006C092A">
          <w:rPr>
            <w:noProof/>
            <w:webHidden/>
          </w:rPr>
          <w:tab/>
        </w:r>
        <w:r>
          <w:rPr>
            <w:noProof/>
            <w:webHidden/>
          </w:rPr>
          <w:fldChar w:fldCharType="begin"/>
        </w:r>
        <w:r w:rsidR="006C092A">
          <w:rPr>
            <w:noProof/>
            <w:webHidden/>
          </w:rPr>
          <w:instrText xml:space="preserve"> PAGEREF _Toc471484516 \h </w:instrText>
        </w:r>
        <w:r>
          <w:rPr>
            <w:noProof/>
            <w:webHidden/>
          </w:rPr>
        </w:r>
        <w:r>
          <w:rPr>
            <w:noProof/>
            <w:webHidden/>
          </w:rPr>
          <w:fldChar w:fldCharType="separate"/>
        </w:r>
        <w:r w:rsidR="006C092A">
          <w:rPr>
            <w:noProof/>
            <w:webHidden/>
          </w:rPr>
          <w:t>222</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17" w:history="1">
        <w:r w:rsidR="006C092A" w:rsidRPr="00E563DE">
          <w:rPr>
            <w:rStyle w:val="Lienhypertexte"/>
            <w:rFonts w:ascii="Times New Roman" w:hAnsi="Times New Roman"/>
            <w:noProof/>
          </w:rPr>
          <w:t>2. La sémiotique discursive</w:t>
        </w:r>
        <w:r w:rsidR="006C092A">
          <w:rPr>
            <w:noProof/>
            <w:webHidden/>
          </w:rPr>
          <w:tab/>
        </w:r>
        <w:r>
          <w:rPr>
            <w:noProof/>
            <w:webHidden/>
          </w:rPr>
          <w:fldChar w:fldCharType="begin"/>
        </w:r>
        <w:r w:rsidR="006C092A">
          <w:rPr>
            <w:noProof/>
            <w:webHidden/>
          </w:rPr>
          <w:instrText xml:space="preserve"> PAGEREF _Toc471484517 \h </w:instrText>
        </w:r>
        <w:r>
          <w:rPr>
            <w:noProof/>
            <w:webHidden/>
          </w:rPr>
        </w:r>
        <w:r>
          <w:rPr>
            <w:noProof/>
            <w:webHidden/>
          </w:rPr>
          <w:fldChar w:fldCharType="separate"/>
        </w:r>
        <w:r w:rsidR="006C092A">
          <w:rPr>
            <w:noProof/>
            <w:webHidden/>
          </w:rPr>
          <w:t>225</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18" w:history="1">
        <w:r w:rsidR="006C092A" w:rsidRPr="00E563DE">
          <w:rPr>
            <w:rStyle w:val="Lienhypertexte"/>
            <w:rFonts w:asciiTheme="majorBidi" w:hAnsiTheme="majorBidi" w:cstheme="majorBidi"/>
            <w:iCs/>
            <w:noProof/>
          </w:rPr>
          <w:t>2.1. Le niveau énonciatif</w:t>
        </w:r>
        <w:r w:rsidR="006C092A">
          <w:rPr>
            <w:noProof/>
            <w:webHidden/>
          </w:rPr>
          <w:tab/>
        </w:r>
        <w:r>
          <w:rPr>
            <w:noProof/>
            <w:webHidden/>
          </w:rPr>
          <w:fldChar w:fldCharType="begin"/>
        </w:r>
        <w:r w:rsidR="006C092A">
          <w:rPr>
            <w:noProof/>
            <w:webHidden/>
          </w:rPr>
          <w:instrText xml:space="preserve"> PAGEREF _Toc471484518 \h </w:instrText>
        </w:r>
        <w:r>
          <w:rPr>
            <w:noProof/>
            <w:webHidden/>
          </w:rPr>
        </w:r>
        <w:r>
          <w:rPr>
            <w:noProof/>
            <w:webHidden/>
          </w:rPr>
          <w:fldChar w:fldCharType="separate"/>
        </w:r>
        <w:r w:rsidR="006C092A">
          <w:rPr>
            <w:noProof/>
            <w:webHidden/>
          </w:rPr>
          <w:t>226</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19" w:history="1">
        <w:r w:rsidR="006C092A" w:rsidRPr="00E563DE">
          <w:rPr>
            <w:rStyle w:val="Lienhypertexte"/>
            <w:rFonts w:asciiTheme="majorBidi" w:hAnsiTheme="majorBidi" w:cstheme="majorBidi"/>
            <w:iCs/>
            <w:noProof/>
          </w:rPr>
          <w:t>2.2. Le niveau narratif</w:t>
        </w:r>
        <w:r w:rsidR="006C092A">
          <w:rPr>
            <w:noProof/>
            <w:webHidden/>
          </w:rPr>
          <w:tab/>
        </w:r>
        <w:r>
          <w:rPr>
            <w:noProof/>
            <w:webHidden/>
          </w:rPr>
          <w:fldChar w:fldCharType="begin"/>
        </w:r>
        <w:r w:rsidR="006C092A">
          <w:rPr>
            <w:noProof/>
            <w:webHidden/>
          </w:rPr>
          <w:instrText xml:space="preserve"> PAGEREF _Toc471484519 \h </w:instrText>
        </w:r>
        <w:r>
          <w:rPr>
            <w:noProof/>
            <w:webHidden/>
          </w:rPr>
        </w:r>
        <w:r>
          <w:rPr>
            <w:noProof/>
            <w:webHidden/>
          </w:rPr>
          <w:fldChar w:fldCharType="separate"/>
        </w:r>
        <w:r w:rsidR="006C092A">
          <w:rPr>
            <w:noProof/>
            <w:webHidden/>
          </w:rPr>
          <w:t>226</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20" w:history="1">
        <w:r w:rsidR="006C092A" w:rsidRPr="00E563DE">
          <w:rPr>
            <w:rStyle w:val="Lienhypertexte"/>
            <w:rFonts w:asciiTheme="majorBidi" w:hAnsiTheme="majorBidi" w:cstheme="majorBidi"/>
            <w:iCs/>
            <w:noProof/>
          </w:rPr>
          <w:t>2.3. Le niveau discursif</w:t>
        </w:r>
        <w:r w:rsidR="006C092A">
          <w:rPr>
            <w:noProof/>
            <w:webHidden/>
          </w:rPr>
          <w:tab/>
        </w:r>
        <w:r>
          <w:rPr>
            <w:noProof/>
            <w:webHidden/>
          </w:rPr>
          <w:fldChar w:fldCharType="begin"/>
        </w:r>
        <w:r w:rsidR="006C092A">
          <w:rPr>
            <w:noProof/>
            <w:webHidden/>
          </w:rPr>
          <w:instrText xml:space="preserve"> PAGEREF _Toc471484520 \h </w:instrText>
        </w:r>
        <w:r>
          <w:rPr>
            <w:noProof/>
            <w:webHidden/>
          </w:rPr>
        </w:r>
        <w:r>
          <w:rPr>
            <w:noProof/>
            <w:webHidden/>
          </w:rPr>
          <w:fldChar w:fldCharType="separate"/>
        </w:r>
        <w:r w:rsidR="006C092A">
          <w:rPr>
            <w:noProof/>
            <w:webHidden/>
          </w:rPr>
          <w:t>227</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21" w:history="1">
        <w:r w:rsidR="006C092A" w:rsidRPr="00E563DE">
          <w:rPr>
            <w:rStyle w:val="Lienhypertexte"/>
            <w:rFonts w:ascii="Times New Roman" w:hAnsi="Times New Roman"/>
            <w:noProof/>
          </w:rPr>
          <w:t>3. La sémiotique dans le théâtre contemporain</w:t>
        </w:r>
        <w:r w:rsidR="006C092A">
          <w:rPr>
            <w:noProof/>
            <w:webHidden/>
          </w:rPr>
          <w:tab/>
        </w:r>
        <w:r>
          <w:rPr>
            <w:noProof/>
            <w:webHidden/>
          </w:rPr>
          <w:fldChar w:fldCharType="begin"/>
        </w:r>
        <w:r w:rsidR="006C092A">
          <w:rPr>
            <w:noProof/>
            <w:webHidden/>
          </w:rPr>
          <w:instrText xml:space="preserve"> PAGEREF _Toc471484521 \h </w:instrText>
        </w:r>
        <w:r>
          <w:rPr>
            <w:noProof/>
            <w:webHidden/>
          </w:rPr>
        </w:r>
        <w:r>
          <w:rPr>
            <w:noProof/>
            <w:webHidden/>
          </w:rPr>
          <w:fldChar w:fldCharType="separate"/>
        </w:r>
        <w:r w:rsidR="006C092A">
          <w:rPr>
            <w:noProof/>
            <w:webHidden/>
          </w:rPr>
          <w:t>227</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22" w:history="1">
        <w:r w:rsidR="006C092A" w:rsidRPr="00E563DE">
          <w:rPr>
            <w:rStyle w:val="Lienhypertexte"/>
            <w:rFonts w:ascii="Times New Roman" w:hAnsi="Times New Roman"/>
            <w:iCs/>
            <w:noProof/>
          </w:rPr>
          <w:t>3.1. Le courant de l’alternative symboliste</w:t>
        </w:r>
        <w:r w:rsidR="006C092A">
          <w:rPr>
            <w:noProof/>
            <w:webHidden/>
          </w:rPr>
          <w:tab/>
        </w:r>
        <w:r>
          <w:rPr>
            <w:noProof/>
            <w:webHidden/>
          </w:rPr>
          <w:fldChar w:fldCharType="begin"/>
        </w:r>
        <w:r w:rsidR="006C092A">
          <w:rPr>
            <w:noProof/>
            <w:webHidden/>
          </w:rPr>
          <w:instrText xml:space="preserve"> PAGEREF _Toc471484522 \h </w:instrText>
        </w:r>
        <w:r>
          <w:rPr>
            <w:noProof/>
            <w:webHidden/>
          </w:rPr>
        </w:r>
        <w:r>
          <w:rPr>
            <w:noProof/>
            <w:webHidden/>
          </w:rPr>
          <w:fldChar w:fldCharType="separate"/>
        </w:r>
        <w:r w:rsidR="006C092A">
          <w:rPr>
            <w:noProof/>
            <w:webHidden/>
          </w:rPr>
          <w:t>232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23" w:history="1">
        <w:r w:rsidR="006C092A" w:rsidRPr="00E563DE">
          <w:rPr>
            <w:rStyle w:val="Lienhypertexte"/>
            <w:rFonts w:ascii="Times New Roman" w:hAnsi="Times New Roman"/>
            <w:iCs/>
            <w:noProof/>
          </w:rPr>
          <w:t>3.2. La mouvance littéraire et poétique</w:t>
        </w:r>
        <w:r w:rsidR="006C092A">
          <w:rPr>
            <w:noProof/>
            <w:webHidden/>
          </w:rPr>
          <w:tab/>
        </w:r>
        <w:r>
          <w:rPr>
            <w:noProof/>
            <w:webHidden/>
          </w:rPr>
          <w:fldChar w:fldCharType="begin"/>
        </w:r>
        <w:r w:rsidR="006C092A">
          <w:rPr>
            <w:noProof/>
            <w:webHidden/>
          </w:rPr>
          <w:instrText xml:space="preserve"> PAGEREF _Toc471484523 \h </w:instrText>
        </w:r>
        <w:r>
          <w:rPr>
            <w:noProof/>
            <w:webHidden/>
          </w:rPr>
        </w:r>
        <w:r>
          <w:rPr>
            <w:noProof/>
            <w:webHidden/>
          </w:rPr>
          <w:fldChar w:fldCharType="separate"/>
        </w:r>
        <w:r w:rsidR="006C092A">
          <w:rPr>
            <w:noProof/>
            <w:webHidden/>
          </w:rPr>
          <w:t>232</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24" w:history="1">
        <w:r w:rsidR="006C092A" w:rsidRPr="00E563DE">
          <w:rPr>
            <w:rStyle w:val="Lienhypertexte"/>
            <w:rFonts w:ascii="Times New Roman" w:hAnsi="Times New Roman"/>
            <w:iCs/>
            <w:noProof/>
          </w:rPr>
          <w:t>3.3. Le courant du théâtre total</w:t>
        </w:r>
        <w:r w:rsidR="006C092A">
          <w:rPr>
            <w:noProof/>
            <w:webHidden/>
          </w:rPr>
          <w:tab/>
        </w:r>
        <w:r>
          <w:rPr>
            <w:noProof/>
            <w:webHidden/>
          </w:rPr>
          <w:fldChar w:fldCharType="begin"/>
        </w:r>
        <w:r w:rsidR="006C092A">
          <w:rPr>
            <w:noProof/>
            <w:webHidden/>
          </w:rPr>
          <w:instrText xml:space="preserve"> PAGEREF _Toc471484524 \h </w:instrText>
        </w:r>
        <w:r>
          <w:rPr>
            <w:noProof/>
            <w:webHidden/>
          </w:rPr>
        </w:r>
        <w:r>
          <w:rPr>
            <w:noProof/>
            <w:webHidden/>
          </w:rPr>
          <w:fldChar w:fldCharType="separate"/>
        </w:r>
        <w:r w:rsidR="006C092A">
          <w:rPr>
            <w:noProof/>
            <w:webHidden/>
          </w:rPr>
          <w:t>233</w:t>
        </w:r>
        <w:r>
          <w:rPr>
            <w:noProof/>
            <w:webHidden/>
          </w:rPr>
          <w:fldChar w:fldCharType="end"/>
        </w:r>
      </w:hyperlink>
    </w:p>
    <w:p w:rsidR="006C092A" w:rsidRDefault="00D27910">
      <w:pPr>
        <w:pStyle w:val="TM2"/>
        <w:tabs>
          <w:tab w:val="right" w:leader="underscore" w:pos="7984"/>
        </w:tabs>
        <w:rPr>
          <w:rFonts w:asciiTheme="minorHAnsi" w:eastAsiaTheme="minorEastAsia" w:hAnsiTheme="minorHAnsi" w:cstheme="minorBidi"/>
          <w:b w:val="0"/>
          <w:bCs w:val="0"/>
          <w:noProof/>
          <w:lang w:eastAsia="fr-FR"/>
        </w:rPr>
      </w:pPr>
      <w:hyperlink w:anchor="_Toc471484525" w:history="1">
        <w:r w:rsidR="006C092A" w:rsidRPr="00E563DE">
          <w:rPr>
            <w:rStyle w:val="Lienhypertexte"/>
            <w:rFonts w:ascii="Times New Roman" w:hAnsi="Times New Roman"/>
            <w:noProof/>
          </w:rPr>
          <w:t>Chapitre 2 : Sémiotique du discours dans les deux œuvres</w:t>
        </w:r>
        <w:r w:rsidR="006C092A">
          <w:rPr>
            <w:noProof/>
            <w:webHidden/>
          </w:rPr>
          <w:tab/>
        </w:r>
        <w:r>
          <w:rPr>
            <w:noProof/>
            <w:webHidden/>
          </w:rPr>
          <w:fldChar w:fldCharType="begin"/>
        </w:r>
        <w:r w:rsidR="006C092A">
          <w:rPr>
            <w:noProof/>
            <w:webHidden/>
          </w:rPr>
          <w:instrText xml:space="preserve"> PAGEREF _Toc471484525 \h </w:instrText>
        </w:r>
        <w:r>
          <w:rPr>
            <w:noProof/>
            <w:webHidden/>
          </w:rPr>
        </w:r>
        <w:r>
          <w:rPr>
            <w:noProof/>
            <w:webHidden/>
          </w:rPr>
          <w:fldChar w:fldCharType="separate"/>
        </w:r>
        <w:r w:rsidR="006C092A">
          <w:rPr>
            <w:noProof/>
            <w:webHidden/>
          </w:rPr>
          <w:t>234</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26" w:history="1">
        <w:r w:rsidR="006C092A" w:rsidRPr="00E563DE">
          <w:rPr>
            <w:rStyle w:val="Lienhypertexte"/>
            <w:rFonts w:ascii="Times New Roman" w:hAnsi="Times New Roman"/>
            <w:noProof/>
          </w:rPr>
          <w:t>1. Sémiotique discursive et polyphonie énonciative</w:t>
        </w:r>
        <w:r w:rsidR="006C092A">
          <w:rPr>
            <w:noProof/>
            <w:webHidden/>
          </w:rPr>
          <w:tab/>
        </w:r>
        <w:r>
          <w:rPr>
            <w:noProof/>
            <w:webHidden/>
          </w:rPr>
          <w:fldChar w:fldCharType="begin"/>
        </w:r>
        <w:r w:rsidR="006C092A">
          <w:rPr>
            <w:noProof/>
            <w:webHidden/>
          </w:rPr>
          <w:instrText xml:space="preserve"> PAGEREF _Toc471484526 \h </w:instrText>
        </w:r>
        <w:r>
          <w:rPr>
            <w:noProof/>
            <w:webHidden/>
          </w:rPr>
        </w:r>
        <w:r>
          <w:rPr>
            <w:noProof/>
            <w:webHidden/>
          </w:rPr>
          <w:fldChar w:fldCharType="separate"/>
        </w:r>
        <w:r w:rsidR="006C092A">
          <w:rPr>
            <w:noProof/>
            <w:webHidden/>
          </w:rPr>
          <w:t>234</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27" w:history="1">
        <w:r w:rsidR="006C092A" w:rsidRPr="00E563DE">
          <w:rPr>
            <w:rStyle w:val="Lienhypertexte"/>
            <w:rFonts w:ascii="Times New Roman" w:hAnsi="Times New Roman"/>
            <w:noProof/>
          </w:rPr>
          <w:t>2. Sémiotique du discours dans l’œuvre de Kaki</w:t>
        </w:r>
        <w:r w:rsidR="006C092A">
          <w:rPr>
            <w:noProof/>
            <w:webHidden/>
          </w:rPr>
          <w:tab/>
        </w:r>
        <w:r>
          <w:rPr>
            <w:noProof/>
            <w:webHidden/>
          </w:rPr>
          <w:fldChar w:fldCharType="begin"/>
        </w:r>
        <w:r w:rsidR="006C092A">
          <w:rPr>
            <w:noProof/>
            <w:webHidden/>
          </w:rPr>
          <w:instrText xml:space="preserve"> PAGEREF _Toc471484527 \h </w:instrText>
        </w:r>
        <w:r>
          <w:rPr>
            <w:noProof/>
            <w:webHidden/>
          </w:rPr>
        </w:r>
        <w:r>
          <w:rPr>
            <w:noProof/>
            <w:webHidden/>
          </w:rPr>
          <w:fldChar w:fldCharType="separate"/>
        </w:r>
        <w:r w:rsidR="006C092A">
          <w:rPr>
            <w:noProof/>
            <w:webHidden/>
          </w:rPr>
          <w:t>238</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28" w:history="1">
        <w:r w:rsidR="006C092A" w:rsidRPr="00E563DE">
          <w:rPr>
            <w:rStyle w:val="Lienhypertexte"/>
            <w:rFonts w:ascii="Times New Roman" w:hAnsi="Times New Roman"/>
            <w:iCs/>
            <w:noProof/>
          </w:rPr>
          <w:t>2.1. Contexte et enjeux de l’analyse sémiotique de la pièce de Kaki</w:t>
        </w:r>
        <w:r w:rsidR="006C092A">
          <w:rPr>
            <w:noProof/>
            <w:webHidden/>
          </w:rPr>
          <w:tab/>
        </w:r>
        <w:r>
          <w:rPr>
            <w:noProof/>
            <w:webHidden/>
          </w:rPr>
          <w:fldChar w:fldCharType="begin"/>
        </w:r>
        <w:r w:rsidR="006C092A">
          <w:rPr>
            <w:noProof/>
            <w:webHidden/>
          </w:rPr>
          <w:instrText xml:space="preserve"> PAGEREF _Toc471484528 \h </w:instrText>
        </w:r>
        <w:r>
          <w:rPr>
            <w:noProof/>
            <w:webHidden/>
          </w:rPr>
        </w:r>
        <w:r>
          <w:rPr>
            <w:noProof/>
            <w:webHidden/>
          </w:rPr>
          <w:fldChar w:fldCharType="separate"/>
        </w:r>
        <w:r w:rsidR="006C092A">
          <w:rPr>
            <w:noProof/>
            <w:webHidden/>
          </w:rPr>
          <w:t>238</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29" w:history="1">
        <w:r w:rsidR="006C092A" w:rsidRPr="00E563DE">
          <w:rPr>
            <w:rStyle w:val="Lienhypertexte"/>
            <w:rFonts w:ascii="Times New Roman" w:hAnsi="Times New Roman"/>
            <w:iCs/>
            <w:noProof/>
          </w:rPr>
          <w:t>2.2. Thèmes et illustrations de la sémiotique chez Kaki</w:t>
        </w:r>
        <w:r w:rsidR="006C092A">
          <w:rPr>
            <w:noProof/>
            <w:webHidden/>
          </w:rPr>
          <w:tab/>
        </w:r>
        <w:r>
          <w:rPr>
            <w:noProof/>
            <w:webHidden/>
          </w:rPr>
          <w:fldChar w:fldCharType="begin"/>
        </w:r>
        <w:r w:rsidR="006C092A">
          <w:rPr>
            <w:noProof/>
            <w:webHidden/>
          </w:rPr>
          <w:instrText xml:space="preserve"> PAGEREF _Toc471484529 \h </w:instrText>
        </w:r>
        <w:r>
          <w:rPr>
            <w:noProof/>
            <w:webHidden/>
          </w:rPr>
        </w:r>
        <w:r>
          <w:rPr>
            <w:noProof/>
            <w:webHidden/>
          </w:rPr>
          <w:fldChar w:fldCharType="separate"/>
        </w:r>
        <w:r w:rsidR="006C092A">
          <w:rPr>
            <w:noProof/>
            <w:webHidden/>
          </w:rPr>
          <w:t>239</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30" w:history="1">
        <w:r w:rsidR="006C092A" w:rsidRPr="00E563DE">
          <w:rPr>
            <w:rStyle w:val="Lienhypertexte"/>
            <w:rFonts w:ascii="Times New Roman" w:hAnsi="Times New Roman"/>
            <w:noProof/>
            <w:lang w:eastAsia="fr-FR"/>
          </w:rPr>
          <w:t>2.2.1. L’utilisation des signes de la culture populaire</w:t>
        </w:r>
        <w:r w:rsidR="006C092A">
          <w:rPr>
            <w:noProof/>
            <w:webHidden/>
          </w:rPr>
          <w:tab/>
        </w:r>
        <w:r>
          <w:rPr>
            <w:noProof/>
            <w:webHidden/>
          </w:rPr>
          <w:fldChar w:fldCharType="begin"/>
        </w:r>
        <w:r w:rsidR="006C092A">
          <w:rPr>
            <w:noProof/>
            <w:webHidden/>
          </w:rPr>
          <w:instrText xml:space="preserve"> PAGEREF _Toc471484530 \h </w:instrText>
        </w:r>
        <w:r>
          <w:rPr>
            <w:noProof/>
            <w:webHidden/>
          </w:rPr>
        </w:r>
        <w:r>
          <w:rPr>
            <w:noProof/>
            <w:webHidden/>
          </w:rPr>
          <w:fldChar w:fldCharType="separate"/>
        </w:r>
        <w:r w:rsidR="006C092A">
          <w:rPr>
            <w:noProof/>
            <w:webHidden/>
          </w:rPr>
          <w:t>239</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31" w:history="1">
        <w:r w:rsidR="006C092A" w:rsidRPr="00E563DE">
          <w:rPr>
            <w:rStyle w:val="Lienhypertexte"/>
            <w:rFonts w:ascii="Times New Roman" w:hAnsi="Times New Roman"/>
            <w:noProof/>
            <w:lang w:eastAsia="fr-FR"/>
          </w:rPr>
          <w:t>2.2.2. Eléments d’expression scénique</w:t>
        </w:r>
        <w:r w:rsidR="006C092A">
          <w:rPr>
            <w:noProof/>
            <w:webHidden/>
          </w:rPr>
          <w:tab/>
        </w:r>
        <w:r>
          <w:rPr>
            <w:noProof/>
            <w:webHidden/>
          </w:rPr>
          <w:fldChar w:fldCharType="begin"/>
        </w:r>
        <w:r w:rsidR="006C092A">
          <w:rPr>
            <w:noProof/>
            <w:webHidden/>
          </w:rPr>
          <w:instrText xml:space="preserve"> PAGEREF _Toc471484531 \h </w:instrText>
        </w:r>
        <w:r>
          <w:rPr>
            <w:noProof/>
            <w:webHidden/>
          </w:rPr>
        </w:r>
        <w:r>
          <w:rPr>
            <w:noProof/>
            <w:webHidden/>
          </w:rPr>
          <w:fldChar w:fldCharType="separate"/>
        </w:r>
        <w:r w:rsidR="006C092A">
          <w:rPr>
            <w:noProof/>
            <w:webHidden/>
          </w:rPr>
          <w:t>240</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32" w:history="1">
        <w:r w:rsidR="006C092A" w:rsidRPr="00E563DE">
          <w:rPr>
            <w:rStyle w:val="Lienhypertexte"/>
            <w:rFonts w:ascii="Times New Roman" w:hAnsi="Times New Roman"/>
            <w:noProof/>
            <w:lang w:eastAsia="fr-FR"/>
          </w:rPr>
          <w:t>2.2.3. Spectacle et mise en scène des séquences du discours</w:t>
        </w:r>
        <w:r w:rsidR="006C092A">
          <w:rPr>
            <w:noProof/>
            <w:webHidden/>
          </w:rPr>
          <w:tab/>
        </w:r>
        <w:r>
          <w:rPr>
            <w:noProof/>
            <w:webHidden/>
          </w:rPr>
          <w:fldChar w:fldCharType="begin"/>
        </w:r>
        <w:r w:rsidR="006C092A">
          <w:rPr>
            <w:noProof/>
            <w:webHidden/>
          </w:rPr>
          <w:instrText xml:space="preserve"> PAGEREF _Toc471484532 \h </w:instrText>
        </w:r>
        <w:r>
          <w:rPr>
            <w:noProof/>
            <w:webHidden/>
          </w:rPr>
        </w:r>
        <w:r>
          <w:rPr>
            <w:noProof/>
            <w:webHidden/>
          </w:rPr>
          <w:fldChar w:fldCharType="separate"/>
        </w:r>
        <w:r w:rsidR="006C092A">
          <w:rPr>
            <w:noProof/>
            <w:webHidden/>
          </w:rPr>
          <w:t>241</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33" w:history="1">
        <w:r w:rsidR="006C092A" w:rsidRPr="00E563DE">
          <w:rPr>
            <w:rStyle w:val="Lienhypertexte"/>
            <w:rFonts w:ascii="Times New Roman" w:hAnsi="Times New Roman"/>
            <w:noProof/>
            <w:lang w:eastAsia="fr-FR"/>
          </w:rPr>
          <w:t>2.2.4. L’exploitation de la littérature orale</w:t>
        </w:r>
        <w:r w:rsidR="006C092A">
          <w:rPr>
            <w:noProof/>
            <w:webHidden/>
          </w:rPr>
          <w:tab/>
        </w:r>
        <w:r>
          <w:rPr>
            <w:noProof/>
            <w:webHidden/>
          </w:rPr>
          <w:fldChar w:fldCharType="begin"/>
        </w:r>
        <w:r w:rsidR="006C092A">
          <w:rPr>
            <w:noProof/>
            <w:webHidden/>
          </w:rPr>
          <w:instrText xml:space="preserve"> PAGEREF _Toc471484533 \h </w:instrText>
        </w:r>
        <w:r>
          <w:rPr>
            <w:noProof/>
            <w:webHidden/>
          </w:rPr>
        </w:r>
        <w:r>
          <w:rPr>
            <w:noProof/>
            <w:webHidden/>
          </w:rPr>
          <w:fldChar w:fldCharType="separate"/>
        </w:r>
        <w:r w:rsidR="006C092A">
          <w:rPr>
            <w:noProof/>
            <w:webHidden/>
          </w:rPr>
          <w:t>242</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34" w:history="1">
        <w:r w:rsidR="006C092A" w:rsidRPr="00E563DE">
          <w:rPr>
            <w:rStyle w:val="Lienhypertexte"/>
            <w:rFonts w:ascii="Times New Roman" w:hAnsi="Times New Roman"/>
            <w:noProof/>
            <w:lang w:eastAsia="fr-FR"/>
          </w:rPr>
          <w:t>2.2.5. Célébration du conteur, des images et de  la voix</w:t>
        </w:r>
        <w:r w:rsidR="006C092A">
          <w:rPr>
            <w:noProof/>
            <w:webHidden/>
          </w:rPr>
          <w:tab/>
        </w:r>
        <w:r>
          <w:rPr>
            <w:noProof/>
            <w:webHidden/>
          </w:rPr>
          <w:fldChar w:fldCharType="begin"/>
        </w:r>
        <w:r w:rsidR="006C092A">
          <w:rPr>
            <w:noProof/>
            <w:webHidden/>
          </w:rPr>
          <w:instrText xml:space="preserve"> PAGEREF _Toc471484534 \h </w:instrText>
        </w:r>
        <w:r>
          <w:rPr>
            <w:noProof/>
            <w:webHidden/>
          </w:rPr>
        </w:r>
        <w:r>
          <w:rPr>
            <w:noProof/>
            <w:webHidden/>
          </w:rPr>
          <w:fldChar w:fldCharType="separate"/>
        </w:r>
        <w:r w:rsidR="006C092A">
          <w:rPr>
            <w:noProof/>
            <w:webHidden/>
          </w:rPr>
          <w:t>243</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35" w:history="1">
        <w:r w:rsidR="006C092A" w:rsidRPr="00E563DE">
          <w:rPr>
            <w:rStyle w:val="Lienhypertexte"/>
            <w:rFonts w:ascii="Times New Roman" w:hAnsi="Times New Roman"/>
            <w:noProof/>
            <w:lang w:eastAsia="fr-FR"/>
          </w:rPr>
          <w:t>2.2.6. La fonction du rire et du plaisir</w:t>
        </w:r>
        <w:r w:rsidR="006C092A">
          <w:rPr>
            <w:noProof/>
            <w:webHidden/>
          </w:rPr>
          <w:tab/>
        </w:r>
        <w:r>
          <w:rPr>
            <w:noProof/>
            <w:webHidden/>
          </w:rPr>
          <w:fldChar w:fldCharType="begin"/>
        </w:r>
        <w:r w:rsidR="006C092A">
          <w:rPr>
            <w:noProof/>
            <w:webHidden/>
          </w:rPr>
          <w:instrText xml:space="preserve"> PAGEREF _Toc471484535 \h </w:instrText>
        </w:r>
        <w:r>
          <w:rPr>
            <w:noProof/>
            <w:webHidden/>
          </w:rPr>
        </w:r>
        <w:r>
          <w:rPr>
            <w:noProof/>
            <w:webHidden/>
          </w:rPr>
          <w:fldChar w:fldCharType="separate"/>
        </w:r>
        <w:r w:rsidR="006C092A">
          <w:rPr>
            <w:noProof/>
            <w:webHidden/>
          </w:rPr>
          <w:t>243</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36" w:history="1">
        <w:r w:rsidR="006C092A" w:rsidRPr="00E563DE">
          <w:rPr>
            <w:rStyle w:val="Lienhypertexte"/>
            <w:rFonts w:ascii="Times New Roman" w:hAnsi="Times New Roman"/>
            <w:noProof/>
            <w:lang w:eastAsia="fr-FR"/>
          </w:rPr>
          <w:t>2.2.7. Exploitation d’une  structure dramatique hybride</w:t>
        </w:r>
        <w:r w:rsidR="006C092A">
          <w:rPr>
            <w:noProof/>
            <w:webHidden/>
          </w:rPr>
          <w:tab/>
        </w:r>
        <w:r>
          <w:rPr>
            <w:noProof/>
            <w:webHidden/>
          </w:rPr>
          <w:fldChar w:fldCharType="begin"/>
        </w:r>
        <w:r w:rsidR="006C092A">
          <w:rPr>
            <w:noProof/>
            <w:webHidden/>
          </w:rPr>
          <w:instrText xml:space="preserve"> PAGEREF _Toc471484536 \h </w:instrText>
        </w:r>
        <w:r>
          <w:rPr>
            <w:noProof/>
            <w:webHidden/>
          </w:rPr>
        </w:r>
        <w:r>
          <w:rPr>
            <w:noProof/>
            <w:webHidden/>
          </w:rPr>
          <w:fldChar w:fldCharType="separate"/>
        </w:r>
        <w:r w:rsidR="006C092A">
          <w:rPr>
            <w:noProof/>
            <w:webHidden/>
          </w:rPr>
          <w:t>244</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37" w:history="1">
        <w:r w:rsidR="006C092A" w:rsidRPr="00E563DE">
          <w:rPr>
            <w:rStyle w:val="Lienhypertexte"/>
            <w:rFonts w:ascii="Times New Roman" w:hAnsi="Times New Roman"/>
            <w:noProof/>
          </w:rPr>
          <w:t>3. Sémiotique du discours dans l’œuvre de Ghelderode</w:t>
        </w:r>
        <w:r w:rsidR="006C092A">
          <w:rPr>
            <w:noProof/>
            <w:webHidden/>
          </w:rPr>
          <w:tab/>
        </w:r>
        <w:r>
          <w:rPr>
            <w:noProof/>
            <w:webHidden/>
          </w:rPr>
          <w:fldChar w:fldCharType="begin"/>
        </w:r>
        <w:r w:rsidR="006C092A">
          <w:rPr>
            <w:noProof/>
            <w:webHidden/>
          </w:rPr>
          <w:instrText xml:space="preserve"> PAGEREF _Toc471484537 \h </w:instrText>
        </w:r>
        <w:r>
          <w:rPr>
            <w:noProof/>
            <w:webHidden/>
          </w:rPr>
        </w:r>
        <w:r>
          <w:rPr>
            <w:noProof/>
            <w:webHidden/>
          </w:rPr>
          <w:fldChar w:fldCharType="separate"/>
        </w:r>
        <w:r w:rsidR="006C092A">
          <w:rPr>
            <w:noProof/>
            <w:webHidden/>
          </w:rPr>
          <w:t>244</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38" w:history="1">
        <w:r w:rsidR="006C092A" w:rsidRPr="00E563DE">
          <w:rPr>
            <w:rStyle w:val="Lienhypertexte"/>
            <w:rFonts w:ascii="Times New Roman" w:hAnsi="Times New Roman"/>
            <w:iCs/>
            <w:noProof/>
            <w:lang w:eastAsia="fr-FR"/>
          </w:rPr>
          <w:t>3.1. Contexte et enjeux de l’analyse sémiotique de la pièce Ghelderode</w:t>
        </w:r>
        <w:r w:rsidR="006C092A">
          <w:rPr>
            <w:noProof/>
            <w:webHidden/>
          </w:rPr>
          <w:tab/>
        </w:r>
        <w:r>
          <w:rPr>
            <w:noProof/>
            <w:webHidden/>
          </w:rPr>
          <w:fldChar w:fldCharType="begin"/>
        </w:r>
        <w:r w:rsidR="006C092A">
          <w:rPr>
            <w:noProof/>
            <w:webHidden/>
          </w:rPr>
          <w:instrText xml:space="preserve"> PAGEREF _Toc471484538 \h </w:instrText>
        </w:r>
        <w:r>
          <w:rPr>
            <w:noProof/>
            <w:webHidden/>
          </w:rPr>
        </w:r>
        <w:r>
          <w:rPr>
            <w:noProof/>
            <w:webHidden/>
          </w:rPr>
          <w:fldChar w:fldCharType="separate"/>
        </w:r>
        <w:r w:rsidR="006C092A">
          <w:rPr>
            <w:noProof/>
            <w:webHidden/>
          </w:rPr>
          <w:t>244</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39" w:history="1">
        <w:r w:rsidR="006C092A" w:rsidRPr="00E563DE">
          <w:rPr>
            <w:rStyle w:val="Lienhypertexte"/>
            <w:rFonts w:ascii="Times New Roman" w:hAnsi="Times New Roman"/>
            <w:iCs/>
            <w:noProof/>
            <w:lang w:eastAsia="fr-FR"/>
          </w:rPr>
          <w:t>3.2. Thèmes et Illustrations de la sémiotique chez Ghelderode</w:t>
        </w:r>
        <w:r w:rsidR="006C092A">
          <w:rPr>
            <w:noProof/>
            <w:webHidden/>
          </w:rPr>
          <w:tab/>
        </w:r>
        <w:r>
          <w:rPr>
            <w:noProof/>
            <w:webHidden/>
          </w:rPr>
          <w:fldChar w:fldCharType="begin"/>
        </w:r>
        <w:r w:rsidR="006C092A">
          <w:rPr>
            <w:noProof/>
            <w:webHidden/>
          </w:rPr>
          <w:instrText xml:space="preserve"> PAGEREF _Toc471484539 \h </w:instrText>
        </w:r>
        <w:r>
          <w:rPr>
            <w:noProof/>
            <w:webHidden/>
          </w:rPr>
        </w:r>
        <w:r>
          <w:rPr>
            <w:noProof/>
            <w:webHidden/>
          </w:rPr>
          <w:fldChar w:fldCharType="separate"/>
        </w:r>
        <w:r w:rsidR="006C092A">
          <w:rPr>
            <w:noProof/>
            <w:webHidden/>
          </w:rPr>
          <w:t>245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40" w:history="1">
        <w:r w:rsidR="006C092A" w:rsidRPr="00E563DE">
          <w:rPr>
            <w:rStyle w:val="Lienhypertexte"/>
            <w:rFonts w:ascii="Times New Roman" w:hAnsi="Times New Roman"/>
            <w:noProof/>
            <w:lang w:eastAsia="fr-FR"/>
          </w:rPr>
          <w:t>3.2.1. Le carnavalesque esthétique et festif</w:t>
        </w:r>
        <w:r w:rsidR="006C092A">
          <w:rPr>
            <w:noProof/>
            <w:webHidden/>
          </w:rPr>
          <w:tab/>
        </w:r>
        <w:r>
          <w:rPr>
            <w:noProof/>
            <w:webHidden/>
          </w:rPr>
          <w:fldChar w:fldCharType="begin"/>
        </w:r>
        <w:r w:rsidR="006C092A">
          <w:rPr>
            <w:noProof/>
            <w:webHidden/>
          </w:rPr>
          <w:instrText xml:space="preserve"> PAGEREF _Toc471484540 \h </w:instrText>
        </w:r>
        <w:r>
          <w:rPr>
            <w:noProof/>
            <w:webHidden/>
          </w:rPr>
        </w:r>
        <w:r>
          <w:rPr>
            <w:noProof/>
            <w:webHidden/>
          </w:rPr>
          <w:fldChar w:fldCharType="separate"/>
        </w:r>
        <w:r w:rsidR="006C092A">
          <w:rPr>
            <w:noProof/>
            <w:webHidden/>
          </w:rPr>
          <w:t>245</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41" w:history="1">
        <w:r w:rsidR="006C092A" w:rsidRPr="00E563DE">
          <w:rPr>
            <w:rStyle w:val="Lienhypertexte"/>
            <w:rFonts w:ascii="Times New Roman" w:hAnsi="Times New Roman"/>
            <w:noProof/>
            <w:lang w:eastAsia="fr-FR"/>
          </w:rPr>
          <w:t>3.2.2. Le carnavalesque grotesque et tragique</w:t>
        </w:r>
        <w:r w:rsidR="006C092A">
          <w:rPr>
            <w:noProof/>
            <w:webHidden/>
          </w:rPr>
          <w:tab/>
        </w:r>
        <w:r>
          <w:rPr>
            <w:noProof/>
            <w:webHidden/>
          </w:rPr>
          <w:fldChar w:fldCharType="begin"/>
        </w:r>
        <w:r w:rsidR="006C092A">
          <w:rPr>
            <w:noProof/>
            <w:webHidden/>
          </w:rPr>
          <w:instrText xml:space="preserve"> PAGEREF _Toc471484541 \h </w:instrText>
        </w:r>
        <w:r>
          <w:rPr>
            <w:noProof/>
            <w:webHidden/>
          </w:rPr>
        </w:r>
        <w:r>
          <w:rPr>
            <w:noProof/>
            <w:webHidden/>
          </w:rPr>
          <w:fldChar w:fldCharType="separate"/>
        </w:r>
        <w:r w:rsidR="006C092A">
          <w:rPr>
            <w:noProof/>
            <w:webHidden/>
          </w:rPr>
          <w:t>248</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42" w:history="1">
        <w:r w:rsidR="006C092A" w:rsidRPr="00E563DE">
          <w:rPr>
            <w:rStyle w:val="Lienhypertexte"/>
            <w:rFonts w:ascii="Times New Roman" w:hAnsi="Times New Roman"/>
            <w:noProof/>
            <w:lang w:eastAsia="fr-FR"/>
          </w:rPr>
          <w:t>3.2.3. Contrastes et doubles parodiques</w:t>
        </w:r>
        <w:r w:rsidR="006C092A">
          <w:rPr>
            <w:noProof/>
            <w:webHidden/>
          </w:rPr>
          <w:tab/>
        </w:r>
        <w:r>
          <w:rPr>
            <w:noProof/>
            <w:webHidden/>
          </w:rPr>
          <w:fldChar w:fldCharType="begin"/>
        </w:r>
        <w:r w:rsidR="006C092A">
          <w:rPr>
            <w:noProof/>
            <w:webHidden/>
          </w:rPr>
          <w:instrText xml:space="preserve"> PAGEREF _Toc471484542 \h </w:instrText>
        </w:r>
        <w:r>
          <w:rPr>
            <w:noProof/>
            <w:webHidden/>
          </w:rPr>
        </w:r>
        <w:r>
          <w:rPr>
            <w:noProof/>
            <w:webHidden/>
          </w:rPr>
          <w:fldChar w:fldCharType="separate"/>
        </w:r>
        <w:r w:rsidR="006C092A">
          <w:rPr>
            <w:noProof/>
            <w:webHidden/>
          </w:rPr>
          <w:t>254</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43" w:history="1">
        <w:r w:rsidR="006C092A" w:rsidRPr="00E563DE">
          <w:rPr>
            <w:rStyle w:val="Lienhypertexte"/>
            <w:rFonts w:ascii="Times New Roman" w:hAnsi="Times New Roman"/>
            <w:noProof/>
            <w:lang w:eastAsia="fr-FR"/>
          </w:rPr>
          <w:t>2.2.4. Le rire et l’amusement</w:t>
        </w:r>
        <w:r w:rsidR="006C092A">
          <w:rPr>
            <w:noProof/>
            <w:webHidden/>
          </w:rPr>
          <w:tab/>
        </w:r>
        <w:r>
          <w:rPr>
            <w:noProof/>
            <w:webHidden/>
          </w:rPr>
          <w:fldChar w:fldCharType="begin"/>
        </w:r>
        <w:r w:rsidR="006C092A">
          <w:rPr>
            <w:noProof/>
            <w:webHidden/>
          </w:rPr>
          <w:instrText xml:space="preserve"> PAGEREF _Toc471484543 \h </w:instrText>
        </w:r>
        <w:r>
          <w:rPr>
            <w:noProof/>
            <w:webHidden/>
          </w:rPr>
        </w:r>
        <w:r>
          <w:rPr>
            <w:noProof/>
            <w:webHidden/>
          </w:rPr>
          <w:fldChar w:fldCharType="separate"/>
        </w:r>
        <w:r w:rsidR="006C092A">
          <w:rPr>
            <w:noProof/>
            <w:webHidden/>
          </w:rPr>
          <w:t>257</w:t>
        </w:r>
        <w:r>
          <w:rPr>
            <w:noProof/>
            <w:webHidden/>
          </w:rPr>
          <w:fldChar w:fldCharType="end"/>
        </w:r>
      </w:hyperlink>
    </w:p>
    <w:p w:rsidR="006C092A" w:rsidRDefault="00D27910">
      <w:pPr>
        <w:pStyle w:val="TM5"/>
        <w:tabs>
          <w:tab w:val="right" w:leader="underscore" w:pos="7984"/>
        </w:tabs>
        <w:rPr>
          <w:rFonts w:asciiTheme="minorHAnsi" w:eastAsiaTheme="minorEastAsia" w:hAnsiTheme="minorHAnsi" w:cstheme="minorBidi"/>
          <w:noProof/>
          <w:sz w:val="22"/>
          <w:szCs w:val="22"/>
          <w:lang w:eastAsia="fr-FR"/>
        </w:rPr>
      </w:pPr>
      <w:hyperlink w:anchor="_Toc471484544" w:history="1">
        <w:r w:rsidR="006C092A" w:rsidRPr="00E563DE">
          <w:rPr>
            <w:rStyle w:val="Lienhypertexte"/>
            <w:rFonts w:ascii="Times New Roman" w:hAnsi="Times New Roman"/>
            <w:noProof/>
            <w:lang w:eastAsia="fr-FR"/>
          </w:rPr>
          <w:t>3.2.5. Le rite sacrificiel et la mort féconde</w:t>
        </w:r>
        <w:r w:rsidR="006C092A">
          <w:rPr>
            <w:noProof/>
            <w:webHidden/>
          </w:rPr>
          <w:tab/>
        </w:r>
        <w:r>
          <w:rPr>
            <w:noProof/>
            <w:webHidden/>
          </w:rPr>
          <w:fldChar w:fldCharType="begin"/>
        </w:r>
        <w:r w:rsidR="006C092A">
          <w:rPr>
            <w:noProof/>
            <w:webHidden/>
          </w:rPr>
          <w:instrText xml:space="preserve"> PAGEREF _Toc471484544 \h </w:instrText>
        </w:r>
        <w:r>
          <w:rPr>
            <w:noProof/>
            <w:webHidden/>
          </w:rPr>
        </w:r>
        <w:r>
          <w:rPr>
            <w:noProof/>
            <w:webHidden/>
          </w:rPr>
          <w:fldChar w:fldCharType="separate"/>
        </w:r>
        <w:r w:rsidR="006C092A">
          <w:rPr>
            <w:noProof/>
            <w:webHidden/>
          </w:rPr>
          <w:t>260</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45" w:history="1">
        <w:r w:rsidR="006C092A" w:rsidRPr="00E563DE">
          <w:rPr>
            <w:rStyle w:val="Lienhypertexte"/>
            <w:rFonts w:ascii="Times New Roman" w:hAnsi="Times New Roman"/>
            <w:iCs/>
            <w:noProof/>
            <w:lang w:eastAsia="fr-FR"/>
          </w:rPr>
          <w:t>4. Conclusion partielle de l’analyse sémiotique du discours dans les deux pièces</w:t>
        </w:r>
        <w:r w:rsidR="006C092A">
          <w:rPr>
            <w:noProof/>
            <w:webHidden/>
          </w:rPr>
          <w:tab/>
        </w:r>
        <w:r>
          <w:rPr>
            <w:noProof/>
            <w:webHidden/>
          </w:rPr>
          <w:fldChar w:fldCharType="begin"/>
        </w:r>
        <w:r w:rsidR="006C092A">
          <w:rPr>
            <w:noProof/>
            <w:webHidden/>
          </w:rPr>
          <w:instrText xml:space="preserve"> PAGEREF _Toc471484545 \h </w:instrText>
        </w:r>
        <w:r>
          <w:rPr>
            <w:noProof/>
            <w:webHidden/>
          </w:rPr>
        </w:r>
        <w:r>
          <w:rPr>
            <w:noProof/>
            <w:webHidden/>
          </w:rPr>
          <w:fldChar w:fldCharType="separate"/>
        </w:r>
        <w:r w:rsidR="006C092A">
          <w:rPr>
            <w:noProof/>
            <w:webHidden/>
          </w:rPr>
          <w:t>264</w:t>
        </w:r>
        <w:r>
          <w:rPr>
            <w:noProof/>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546" w:history="1">
        <w:r w:rsidR="006C092A" w:rsidRPr="00E563DE">
          <w:rPr>
            <w:rStyle w:val="Lienhypertexte"/>
          </w:rPr>
          <w:t>BIBLIOGRAPHIE</w:t>
        </w:r>
        <w:r w:rsidR="006C092A">
          <w:rPr>
            <w:webHidden/>
          </w:rPr>
          <w:tab/>
        </w:r>
        <w:r>
          <w:rPr>
            <w:webHidden/>
          </w:rPr>
          <w:fldChar w:fldCharType="begin"/>
        </w:r>
        <w:r w:rsidR="006C092A">
          <w:rPr>
            <w:webHidden/>
          </w:rPr>
          <w:instrText xml:space="preserve"> PAGEREF _Toc471484546 \h </w:instrText>
        </w:r>
        <w:r>
          <w:rPr>
            <w:webHidden/>
          </w:rPr>
        </w:r>
        <w:r>
          <w:rPr>
            <w:webHidden/>
          </w:rPr>
          <w:fldChar w:fldCharType="separate"/>
        </w:r>
        <w:r w:rsidR="006C092A">
          <w:rPr>
            <w:webHidden/>
          </w:rPr>
          <w:t>276</w:t>
        </w:r>
        <w:r>
          <w:rPr>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547" w:history="1">
        <w:r w:rsidR="006C092A" w:rsidRPr="00E563DE">
          <w:rPr>
            <w:rStyle w:val="Lienhypertexte"/>
          </w:rPr>
          <w:t>ANNEXES</w:t>
        </w:r>
        <w:r w:rsidR="006C092A">
          <w:rPr>
            <w:webHidden/>
          </w:rPr>
          <w:tab/>
        </w:r>
        <w:r>
          <w:rPr>
            <w:webHidden/>
          </w:rPr>
          <w:fldChar w:fldCharType="begin"/>
        </w:r>
        <w:r w:rsidR="006C092A">
          <w:rPr>
            <w:webHidden/>
          </w:rPr>
          <w:instrText xml:space="preserve"> PAGEREF _Toc471484547 \h </w:instrText>
        </w:r>
        <w:r>
          <w:rPr>
            <w:webHidden/>
          </w:rPr>
        </w:r>
        <w:r>
          <w:rPr>
            <w:webHidden/>
          </w:rPr>
          <w:fldChar w:fldCharType="separate"/>
        </w:r>
        <w:r w:rsidR="006C092A">
          <w:rPr>
            <w:webHidden/>
          </w:rPr>
          <w:t>285</w:t>
        </w:r>
        <w:r>
          <w:rPr>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48" w:history="1">
        <w:r w:rsidR="006C092A" w:rsidRPr="00E563DE">
          <w:rPr>
            <w:rStyle w:val="Lienhypertexte"/>
            <w:rFonts w:ascii="Times New Roman" w:hAnsi="Times New Roman"/>
            <w:noProof/>
          </w:rPr>
          <w:t>Annexe 1 : Interprétation la plus récente de « El guerrab oua salihine » de Kaki (2015)</w:t>
        </w:r>
        <w:r w:rsidR="006C092A">
          <w:rPr>
            <w:noProof/>
            <w:webHidden/>
          </w:rPr>
          <w:tab/>
        </w:r>
        <w:r>
          <w:rPr>
            <w:noProof/>
            <w:webHidden/>
          </w:rPr>
          <w:fldChar w:fldCharType="begin"/>
        </w:r>
        <w:r w:rsidR="006C092A">
          <w:rPr>
            <w:noProof/>
            <w:webHidden/>
          </w:rPr>
          <w:instrText xml:space="preserve"> PAGEREF _Toc471484548 \h </w:instrText>
        </w:r>
        <w:r>
          <w:rPr>
            <w:noProof/>
            <w:webHidden/>
          </w:rPr>
        </w:r>
        <w:r>
          <w:rPr>
            <w:noProof/>
            <w:webHidden/>
          </w:rPr>
          <w:fldChar w:fldCharType="separate"/>
        </w:r>
        <w:r w:rsidR="006C092A">
          <w:rPr>
            <w:noProof/>
            <w:webHidden/>
          </w:rPr>
          <w:t>285</w:t>
        </w:r>
        <w:r>
          <w:rPr>
            <w:noProof/>
            <w:webHidden/>
          </w:rPr>
          <w:fldChar w:fldCharType="end"/>
        </w:r>
      </w:hyperlink>
    </w:p>
    <w:p w:rsidR="006C092A" w:rsidRDefault="00D27910">
      <w:pPr>
        <w:pStyle w:val="TM4"/>
        <w:tabs>
          <w:tab w:val="right" w:leader="underscore" w:pos="7984"/>
        </w:tabs>
        <w:rPr>
          <w:rFonts w:asciiTheme="minorHAnsi" w:eastAsiaTheme="minorEastAsia" w:hAnsiTheme="minorHAnsi" w:cstheme="minorBidi"/>
          <w:noProof/>
          <w:sz w:val="22"/>
          <w:szCs w:val="22"/>
          <w:lang w:eastAsia="fr-FR"/>
        </w:rPr>
      </w:pPr>
      <w:hyperlink w:anchor="_Toc471484549" w:history="1">
        <w:r w:rsidR="006C092A" w:rsidRPr="00E563DE">
          <w:rPr>
            <w:rStyle w:val="Lienhypertexte"/>
            <w:rFonts w:ascii="Times New Roman" w:hAnsi="Times New Roman"/>
            <w:noProof/>
            <w:lang w:eastAsia="fr-FR"/>
          </w:rPr>
          <w:t xml:space="preserve">Culture -  </w:t>
        </w:r>
        <w:r w:rsidR="006C092A" w:rsidRPr="00E563DE">
          <w:rPr>
            <w:rStyle w:val="Lienhypertexte"/>
            <w:rFonts w:ascii="Times New Roman" w:hAnsi="Times New Roman"/>
            <w:noProof/>
          </w:rPr>
          <w:t>Constantine 2015</w:t>
        </w:r>
        <w:r w:rsidR="006C092A">
          <w:rPr>
            <w:noProof/>
            <w:webHidden/>
          </w:rPr>
          <w:tab/>
        </w:r>
        <w:r>
          <w:rPr>
            <w:noProof/>
            <w:webHidden/>
          </w:rPr>
          <w:fldChar w:fldCharType="begin"/>
        </w:r>
        <w:r w:rsidR="006C092A">
          <w:rPr>
            <w:noProof/>
            <w:webHidden/>
          </w:rPr>
          <w:instrText xml:space="preserve"> PAGEREF _Toc471484549 \h </w:instrText>
        </w:r>
        <w:r>
          <w:rPr>
            <w:noProof/>
            <w:webHidden/>
          </w:rPr>
        </w:r>
        <w:r>
          <w:rPr>
            <w:noProof/>
            <w:webHidden/>
          </w:rPr>
          <w:fldChar w:fldCharType="separate"/>
        </w:r>
        <w:r w:rsidR="006C092A">
          <w:rPr>
            <w:noProof/>
            <w:webHidden/>
          </w:rPr>
          <w:t>285</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0" w:history="1">
        <w:r w:rsidR="006C092A" w:rsidRPr="00E563DE">
          <w:rPr>
            <w:rStyle w:val="Lienhypertexte"/>
            <w:rFonts w:ascii="Times New Roman" w:hAnsi="Times New Roman"/>
            <w:noProof/>
          </w:rPr>
          <w:t>« El guerrab oua salihine », un appel au renoncement à la paresse</w:t>
        </w:r>
        <w:r w:rsidR="006C092A">
          <w:rPr>
            <w:noProof/>
            <w:webHidden/>
          </w:rPr>
          <w:tab/>
        </w:r>
        <w:r>
          <w:rPr>
            <w:noProof/>
            <w:webHidden/>
          </w:rPr>
          <w:fldChar w:fldCharType="begin"/>
        </w:r>
        <w:r w:rsidR="006C092A">
          <w:rPr>
            <w:noProof/>
            <w:webHidden/>
          </w:rPr>
          <w:instrText xml:space="preserve"> PAGEREF _Toc471484550 \h </w:instrText>
        </w:r>
        <w:r>
          <w:rPr>
            <w:noProof/>
            <w:webHidden/>
          </w:rPr>
        </w:r>
        <w:r>
          <w:rPr>
            <w:noProof/>
            <w:webHidden/>
          </w:rPr>
          <w:fldChar w:fldCharType="separate"/>
        </w:r>
        <w:r w:rsidR="006C092A">
          <w:rPr>
            <w:noProof/>
            <w:webHidden/>
          </w:rPr>
          <w:t>285</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1" w:history="1">
        <w:r w:rsidR="006C092A" w:rsidRPr="00E563DE">
          <w:rPr>
            <w:rStyle w:val="Lienhypertexte"/>
            <w:rFonts w:ascii="Times New Roman" w:hAnsi="Times New Roman"/>
            <w:noProof/>
          </w:rPr>
          <w:t>Annexe 2 : Portrait de Kaki (2012)</w:t>
        </w:r>
        <w:r w:rsidR="006C092A">
          <w:rPr>
            <w:noProof/>
            <w:webHidden/>
          </w:rPr>
          <w:tab/>
        </w:r>
        <w:r>
          <w:rPr>
            <w:noProof/>
            <w:webHidden/>
          </w:rPr>
          <w:fldChar w:fldCharType="begin"/>
        </w:r>
        <w:r w:rsidR="006C092A">
          <w:rPr>
            <w:noProof/>
            <w:webHidden/>
          </w:rPr>
          <w:instrText xml:space="preserve"> PAGEREF _Toc471484551 \h </w:instrText>
        </w:r>
        <w:r>
          <w:rPr>
            <w:noProof/>
            <w:webHidden/>
          </w:rPr>
        </w:r>
        <w:r>
          <w:rPr>
            <w:noProof/>
            <w:webHidden/>
          </w:rPr>
          <w:fldChar w:fldCharType="separate"/>
        </w:r>
        <w:r w:rsidR="006C092A">
          <w:rPr>
            <w:noProof/>
            <w:webHidden/>
          </w:rPr>
          <w:t>287</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2" w:history="1">
        <w:r w:rsidR="006C092A" w:rsidRPr="00E563DE">
          <w:rPr>
            <w:rStyle w:val="Lienhypertexte"/>
            <w:rFonts w:ascii="Times New Roman" w:hAnsi="Times New Roman"/>
            <w:noProof/>
          </w:rPr>
          <w:t>Annexe 3 : Ghelderode – Encyclopedia Universalis</w:t>
        </w:r>
        <w:r w:rsidR="006C092A">
          <w:rPr>
            <w:noProof/>
            <w:webHidden/>
          </w:rPr>
          <w:tab/>
        </w:r>
        <w:r>
          <w:rPr>
            <w:noProof/>
            <w:webHidden/>
          </w:rPr>
          <w:fldChar w:fldCharType="begin"/>
        </w:r>
        <w:r w:rsidR="006C092A">
          <w:rPr>
            <w:noProof/>
            <w:webHidden/>
          </w:rPr>
          <w:instrText xml:space="preserve"> PAGEREF _Toc471484552 \h </w:instrText>
        </w:r>
        <w:r>
          <w:rPr>
            <w:noProof/>
            <w:webHidden/>
          </w:rPr>
        </w:r>
        <w:r>
          <w:rPr>
            <w:noProof/>
            <w:webHidden/>
          </w:rPr>
          <w:fldChar w:fldCharType="separate"/>
        </w:r>
        <w:r w:rsidR="006C092A">
          <w:rPr>
            <w:noProof/>
            <w:webHidden/>
          </w:rPr>
          <w:t>288</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3" w:history="1">
        <w:r w:rsidR="006C092A" w:rsidRPr="00E563DE">
          <w:rPr>
            <w:rStyle w:val="Lienhypertexte"/>
            <w:rFonts w:ascii="Times New Roman" w:hAnsi="Times New Roman"/>
            <w:noProof/>
          </w:rPr>
          <w:t>Annexe 4: Masque de Barrabas – Pour Barrabas de Ghelderode (compagnie belge)</w:t>
        </w:r>
        <w:r w:rsidR="006C092A">
          <w:rPr>
            <w:noProof/>
            <w:webHidden/>
          </w:rPr>
          <w:tab/>
        </w:r>
        <w:r>
          <w:rPr>
            <w:noProof/>
            <w:webHidden/>
          </w:rPr>
          <w:fldChar w:fldCharType="begin"/>
        </w:r>
        <w:r w:rsidR="006C092A">
          <w:rPr>
            <w:noProof/>
            <w:webHidden/>
          </w:rPr>
          <w:instrText xml:space="preserve"> PAGEREF _Toc471484553 \h </w:instrText>
        </w:r>
        <w:r>
          <w:rPr>
            <w:noProof/>
            <w:webHidden/>
          </w:rPr>
        </w:r>
        <w:r>
          <w:rPr>
            <w:noProof/>
            <w:webHidden/>
          </w:rPr>
          <w:fldChar w:fldCharType="separate"/>
        </w:r>
        <w:r w:rsidR="006C092A">
          <w:rPr>
            <w:noProof/>
            <w:webHidden/>
          </w:rPr>
          <w:t>290</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4" w:history="1">
        <w:r w:rsidR="006C092A" w:rsidRPr="00E563DE">
          <w:rPr>
            <w:rStyle w:val="Lienhypertexte"/>
            <w:rFonts w:ascii="Times New Roman" w:hAnsi="Times New Roman"/>
            <w:noProof/>
          </w:rPr>
          <w:t>Annexe  5 : Barrabas -Texte de Michel De Ghelderode : photographie / Roger Pic</w:t>
        </w:r>
        <w:r w:rsidR="006C092A">
          <w:rPr>
            <w:noProof/>
            <w:webHidden/>
          </w:rPr>
          <w:tab/>
        </w:r>
        <w:r>
          <w:rPr>
            <w:noProof/>
            <w:webHidden/>
          </w:rPr>
          <w:fldChar w:fldCharType="begin"/>
        </w:r>
        <w:r w:rsidR="006C092A">
          <w:rPr>
            <w:noProof/>
            <w:webHidden/>
          </w:rPr>
          <w:instrText xml:space="preserve"> PAGEREF _Toc471484554 \h </w:instrText>
        </w:r>
        <w:r>
          <w:rPr>
            <w:noProof/>
            <w:webHidden/>
          </w:rPr>
        </w:r>
        <w:r>
          <w:rPr>
            <w:noProof/>
            <w:webHidden/>
          </w:rPr>
          <w:fldChar w:fldCharType="separate"/>
        </w:r>
        <w:r w:rsidR="006C092A">
          <w:rPr>
            <w:noProof/>
            <w:webHidden/>
          </w:rPr>
          <w:t>291</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5" w:history="1">
        <w:r w:rsidR="006C092A" w:rsidRPr="00E563DE">
          <w:rPr>
            <w:rStyle w:val="Lienhypertexte"/>
            <w:rFonts w:ascii="Times New Roman" w:hAnsi="Times New Roman"/>
            <w:noProof/>
          </w:rPr>
          <w:t>Annexe  8 : Gravure de 1910 montrant la foule réclamant la libération de Barabbas</w:t>
        </w:r>
        <w:r w:rsidR="006C092A">
          <w:rPr>
            <w:noProof/>
            <w:webHidden/>
          </w:rPr>
          <w:tab/>
        </w:r>
        <w:r>
          <w:rPr>
            <w:noProof/>
            <w:webHidden/>
          </w:rPr>
          <w:fldChar w:fldCharType="begin"/>
        </w:r>
        <w:r w:rsidR="006C092A">
          <w:rPr>
            <w:noProof/>
            <w:webHidden/>
          </w:rPr>
          <w:instrText xml:space="preserve"> PAGEREF _Toc471484555 \h </w:instrText>
        </w:r>
        <w:r>
          <w:rPr>
            <w:noProof/>
            <w:webHidden/>
          </w:rPr>
        </w:r>
        <w:r>
          <w:rPr>
            <w:noProof/>
            <w:webHidden/>
          </w:rPr>
          <w:fldChar w:fldCharType="separate"/>
        </w:r>
        <w:r w:rsidR="006C092A">
          <w:rPr>
            <w:noProof/>
            <w:webHidden/>
          </w:rPr>
          <w:t>294</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6" w:history="1">
        <w:r w:rsidR="006C092A" w:rsidRPr="00E563DE">
          <w:rPr>
            <w:rStyle w:val="Lienhypertexte"/>
            <w:rFonts w:ascii="Times New Roman" w:hAnsi="Times New Roman"/>
            <w:noProof/>
          </w:rPr>
          <w:t>Annexe  9 : Michel De Ghelderode sous le crucifix</w:t>
        </w:r>
        <w:r w:rsidR="006C092A">
          <w:rPr>
            <w:noProof/>
            <w:webHidden/>
          </w:rPr>
          <w:tab/>
        </w:r>
        <w:r>
          <w:rPr>
            <w:noProof/>
            <w:webHidden/>
          </w:rPr>
          <w:fldChar w:fldCharType="begin"/>
        </w:r>
        <w:r w:rsidR="006C092A">
          <w:rPr>
            <w:noProof/>
            <w:webHidden/>
          </w:rPr>
          <w:instrText xml:space="preserve"> PAGEREF _Toc471484556 \h </w:instrText>
        </w:r>
        <w:r>
          <w:rPr>
            <w:noProof/>
            <w:webHidden/>
          </w:rPr>
        </w:r>
        <w:r>
          <w:rPr>
            <w:noProof/>
            <w:webHidden/>
          </w:rPr>
          <w:fldChar w:fldCharType="separate"/>
        </w:r>
        <w:r w:rsidR="006C092A">
          <w:rPr>
            <w:noProof/>
            <w:webHidden/>
          </w:rPr>
          <w:t>295</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7" w:history="1">
        <w:r w:rsidR="006C092A" w:rsidRPr="00E563DE">
          <w:rPr>
            <w:rStyle w:val="Lienhypertexte"/>
            <w:rFonts w:ascii="Times New Roman" w:hAnsi="Times New Roman"/>
            <w:noProof/>
          </w:rPr>
          <w:t>Annexe  10 : Inventaire des tableaux</w:t>
        </w:r>
        <w:r w:rsidR="006C092A">
          <w:rPr>
            <w:noProof/>
            <w:webHidden/>
          </w:rPr>
          <w:tab/>
        </w:r>
        <w:r>
          <w:rPr>
            <w:noProof/>
            <w:webHidden/>
          </w:rPr>
          <w:fldChar w:fldCharType="begin"/>
        </w:r>
        <w:r w:rsidR="006C092A">
          <w:rPr>
            <w:noProof/>
            <w:webHidden/>
          </w:rPr>
          <w:instrText xml:space="preserve"> PAGEREF _Toc471484557 \h </w:instrText>
        </w:r>
        <w:r>
          <w:rPr>
            <w:noProof/>
            <w:webHidden/>
          </w:rPr>
        </w:r>
        <w:r>
          <w:rPr>
            <w:noProof/>
            <w:webHidden/>
          </w:rPr>
          <w:fldChar w:fldCharType="separate"/>
        </w:r>
        <w:r w:rsidR="006C092A">
          <w:rPr>
            <w:noProof/>
            <w:webHidden/>
          </w:rPr>
          <w:t>296</w:t>
        </w:r>
        <w:r>
          <w:rPr>
            <w:noProof/>
            <w:webHidden/>
          </w:rPr>
          <w:fldChar w:fldCharType="end"/>
        </w:r>
      </w:hyperlink>
    </w:p>
    <w:p w:rsidR="006C092A" w:rsidRDefault="00D27910">
      <w:pPr>
        <w:pStyle w:val="TM3"/>
        <w:tabs>
          <w:tab w:val="right" w:leader="underscore" w:pos="7984"/>
        </w:tabs>
        <w:rPr>
          <w:rFonts w:asciiTheme="minorHAnsi" w:eastAsiaTheme="minorEastAsia" w:hAnsiTheme="minorHAnsi" w:cstheme="minorBidi"/>
          <w:noProof/>
          <w:sz w:val="22"/>
          <w:szCs w:val="22"/>
          <w:lang w:eastAsia="fr-FR"/>
        </w:rPr>
      </w:pPr>
      <w:hyperlink w:anchor="_Toc471484558" w:history="1">
        <w:r w:rsidR="006C092A" w:rsidRPr="00E563DE">
          <w:rPr>
            <w:rStyle w:val="Lienhypertexte"/>
            <w:rFonts w:ascii="Times New Roman" w:hAnsi="Times New Roman"/>
            <w:noProof/>
          </w:rPr>
          <w:t>Annexe  11 : Inventaire des schémas</w:t>
        </w:r>
        <w:r w:rsidR="006C092A">
          <w:rPr>
            <w:noProof/>
            <w:webHidden/>
          </w:rPr>
          <w:tab/>
        </w:r>
        <w:r>
          <w:rPr>
            <w:noProof/>
            <w:webHidden/>
          </w:rPr>
          <w:fldChar w:fldCharType="begin"/>
        </w:r>
        <w:r w:rsidR="006C092A">
          <w:rPr>
            <w:noProof/>
            <w:webHidden/>
          </w:rPr>
          <w:instrText xml:space="preserve"> PAGEREF _Toc471484558 \h </w:instrText>
        </w:r>
        <w:r>
          <w:rPr>
            <w:noProof/>
            <w:webHidden/>
          </w:rPr>
        </w:r>
        <w:r>
          <w:rPr>
            <w:noProof/>
            <w:webHidden/>
          </w:rPr>
          <w:fldChar w:fldCharType="separate"/>
        </w:r>
        <w:r w:rsidR="006C092A">
          <w:rPr>
            <w:noProof/>
            <w:webHidden/>
          </w:rPr>
          <w:t>296</w:t>
        </w:r>
        <w:r>
          <w:rPr>
            <w:noProof/>
            <w:webHidden/>
          </w:rPr>
          <w:fldChar w:fldCharType="end"/>
        </w:r>
      </w:hyperlink>
    </w:p>
    <w:p w:rsidR="006C092A" w:rsidRDefault="00D27910">
      <w:pPr>
        <w:pStyle w:val="TM1"/>
        <w:rPr>
          <w:rFonts w:asciiTheme="minorHAnsi" w:eastAsiaTheme="minorEastAsia" w:hAnsiTheme="minorHAnsi" w:cstheme="minorBidi"/>
          <w:b w:val="0"/>
          <w:bCs w:val="0"/>
          <w:iCs w:val="0"/>
          <w:sz w:val="22"/>
          <w:szCs w:val="22"/>
        </w:rPr>
      </w:pPr>
      <w:hyperlink w:anchor="_Toc471484559" w:history="1">
        <w:r w:rsidR="006C092A" w:rsidRPr="00E563DE">
          <w:rPr>
            <w:rStyle w:val="Lienhypertexte"/>
            <w:rFonts w:asciiTheme="majorBidi" w:hAnsiTheme="majorBidi" w:cstheme="majorBidi"/>
          </w:rPr>
          <w:t>Résumés</w:t>
        </w:r>
        <w:r w:rsidR="006C092A">
          <w:rPr>
            <w:webHidden/>
          </w:rPr>
          <w:tab/>
        </w:r>
        <w:r>
          <w:rPr>
            <w:webHidden/>
          </w:rPr>
          <w:fldChar w:fldCharType="begin"/>
        </w:r>
        <w:r w:rsidR="006C092A">
          <w:rPr>
            <w:webHidden/>
          </w:rPr>
          <w:instrText xml:space="preserve"> PAGEREF _Toc471484559 \h </w:instrText>
        </w:r>
        <w:r>
          <w:rPr>
            <w:webHidden/>
          </w:rPr>
        </w:r>
        <w:r>
          <w:rPr>
            <w:webHidden/>
          </w:rPr>
          <w:fldChar w:fldCharType="separate"/>
        </w:r>
        <w:r w:rsidR="006C092A">
          <w:rPr>
            <w:webHidden/>
          </w:rPr>
          <w:t>297</w:t>
        </w:r>
        <w:r>
          <w:rPr>
            <w:webHidden/>
          </w:rPr>
          <w:fldChar w:fldCharType="end"/>
        </w:r>
      </w:hyperlink>
    </w:p>
    <w:p w:rsidR="00C20BA3" w:rsidRPr="00F408D6" w:rsidRDefault="00D27910" w:rsidP="00F213EC">
      <w:pPr>
        <w:rPr>
          <w:rFonts w:asciiTheme="majorBidi" w:eastAsia="Times New Roman" w:hAnsiTheme="majorBidi" w:cstheme="majorBidi"/>
          <w:bCs/>
          <w:color w:val="365F91"/>
          <w:sz w:val="24"/>
          <w:szCs w:val="24"/>
        </w:rPr>
      </w:pPr>
      <w:r w:rsidRPr="00F408D6">
        <w:rPr>
          <w:rFonts w:asciiTheme="majorBidi" w:hAnsiTheme="majorBidi" w:cstheme="majorBidi"/>
          <w:b/>
          <w:bCs/>
          <w:i/>
          <w:iCs/>
          <w:sz w:val="24"/>
          <w:szCs w:val="24"/>
        </w:rPr>
        <w:fldChar w:fldCharType="end"/>
      </w:r>
    </w:p>
    <w:p w:rsidR="00C20BA3" w:rsidRPr="00F408D6" w:rsidRDefault="00C20BA3" w:rsidP="006A4EED">
      <w:pPr>
        <w:spacing w:after="0" w:line="240" w:lineRule="auto"/>
        <w:rPr>
          <w:rFonts w:asciiTheme="majorBidi" w:eastAsia="Times New Roman" w:hAnsiTheme="majorBidi" w:cstheme="majorBidi"/>
          <w:bCs/>
          <w:color w:val="365F91"/>
          <w:sz w:val="24"/>
          <w:szCs w:val="24"/>
        </w:rPr>
      </w:pPr>
    </w:p>
    <w:p w:rsidR="00C20BA3" w:rsidRPr="00F408D6" w:rsidRDefault="00C20BA3" w:rsidP="006A4EED">
      <w:pPr>
        <w:spacing w:after="0" w:line="240" w:lineRule="auto"/>
        <w:rPr>
          <w:rFonts w:asciiTheme="majorBidi" w:eastAsia="Times New Roman" w:hAnsiTheme="majorBidi" w:cstheme="majorBidi"/>
          <w:bCs/>
          <w:color w:val="365F91"/>
          <w:sz w:val="24"/>
          <w:szCs w:val="24"/>
        </w:rPr>
      </w:pPr>
    </w:p>
    <w:p w:rsidR="00055FF9" w:rsidRPr="00F408D6" w:rsidRDefault="00055FF9" w:rsidP="006A4EED">
      <w:pPr>
        <w:spacing w:after="0" w:line="240" w:lineRule="auto"/>
        <w:rPr>
          <w:rFonts w:asciiTheme="majorBidi" w:eastAsia="Times New Roman" w:hAnsiTheme="majorBidi" w:cstheme="majorBidi"/>
          <w:bCs/>
          <w:color w:val="365F91"/>
          <w:sz w:val="24"/>
          <w:szCs w:val="24"/>
        </w:rPr>
      </w:pPr>
    </w:p>
    <w:p w:rsidR="00055FF9" w:rsidRPr="00F408D6" w:rsidRDefault="00055FF9" w:rsidP="006A4EED">
      <w:pPr>
        <w:spacing w:after="0" w:line="240" w:lineRule="auto"/>
        <w:rPr>
          <w:rFonts w:asciiTheme="majorBidi" w:eastAsia="Times New Roman" w:hAnsiTheme="majorBidi" w:cstheme="majorBidi"/>
          <w:bCs/>
          <w:color w:val="365F91"/>
          <w:sz w:val="24"/>
          <w:szCs w:val="24"/>
        </w:rPr>
      </w:pPr>
    </w:p>
    <w:p w:rsidR="00055FF9" w:rsidRPr="00F408D6" w:rsidRDefault="00055FF9" w:rsidP="006A4EED">
      <w:pPr>
        <w:spacing w:after="0" w:line="240" w:lineRule="auto"/>
        <w:rPr>
          <w:rFonts w:asciiTheme="majorBidi" w:eastAsia="Times New Roman" w:hAnsiTheme="majorBidi" w:cstheme="majorBidi"/>
          <w:bCs/>
          <w:color w:val="365F91"/>
          <w:sz w:val="24"/>
          <w:szCs w:val="24"/>
        </w:rPr>
      </w:pPr>
    </w:p>
    <w:p w:rsidR="00055FF9" w:rsidRPr="00F408D6" w:rsidRDefault="00055FF9" w:rsidP="006A4EED">
      <w:pPr>
        <w:spacing w:after="0" w:line="240" w:lineRule="auto"/>
        <w:rPr>
          <w:rFonts w:asciiTheme="majorBidi" w:eastAsia="Times New Roman" w:hAnsiTheme="majorBidi" w:cstheme="majorBidi"/>
          <w:bCs/>
          <w:color w:val="365F91"/>
          <w:sz w:val="24"/>
          <w:szCs w:val="24"/>
        </w:rPr>
      </w:pPr>
    </w:p>
    <w:p w:rsidR="00055FF9" w:rsidRPr="00F408D6" w:rsidRDefault="00055FF9" w:rsidP="006A4EED">
      <w:pPr>
        <w:spacing w:after="0" w:line="240" w:lineRule="auto"/>
        <w:rPr>
          <w:rFonts w:asciiTheme="majorBidi" w:eastAsia="Times New Roman" w:hAnsiTheme="majorBidi" w:cstheme="majorBidi"/>
          <w:bCs/>
          <w:color w:val="365F91"/>
          <w:sz w:val="24"/>
          <w:szCs w:val="24"/>
        </w:rPr>
      </w:pPr>
    </w:p>
    <w:p w:rsidR="006A4EED" w:rsidRPr="00F408D6" w:rsidRDefault="006A4EED" w:rsidP="006A4EED">
      <w:pPr>
        <w:spacing w:after="0" w:line="240" w:lineRule="auto"/>
        <w:rPr>
          <w:rFonts w:asciiTheme="majorBidi" w:hAnsiTheme="majorBidi" w:cstheme="majorBidi"/>
          <w:sz w:val="24"/>
          <w:szCs w:val="24"/>
        </w:rPr>
      </w:pPr>
    </w:p>
    <w:p w:rsidR="006A4EED" w:rsidRPr="00F408D6" w:rsidRDefault="006A4EED" w:rsidP="006A4EED">
      <w:pPr>
        <w:spacing w:after="0" w:line="240" w:lineRule="auto"/>
        <w:rPr>
          <w:rFonts w:asciiTheme="majorBidi" w:hAnsiTheme="majorBidi" w:cstheme="majorBidi"/>
          <w:sz w:val="24"/>
          <w:szCs w:val="24"/>
        </w:rPr>
      </w:pPr>
    </w:p>
    <w:p w:rsidR="006A4EED" w:rsidRPr="00F408D6" w:rsidRDefault="006A4EED" w:rsidP="006A4EED">
      <w:pPr>
        <w:spacing w:after="0" w:line="240" w:lineRule="auto"/>
        <w:rPr>
          <w:rFonts w:asciiTheme="majorBidi" w:hAnsiTheme="majorBidi" w:cstheme="majorBidi"/>
          <w:sz w:val="24"/>
          <w:szCs w:val="24"/>
        </w:rPr>
      </w:pPr>
    </w:p>
    <w:p w:rsidR="006A4EED" w:rsidRDefault="006A4EED" w:rsidP="006A4EED">
      <w:pPr>
        <w:spacing w:after="0" w:line="240" w:lineRule="auto"/>
        <w:rPr>
          <w:rFonts w:asciiTheme="majorBidi" w:hAnsiTheme="majorBidi" w:cstheme="majorBidi"/>
          <w:sz w:val="24"/>
          <w:szCs w:val="24"/>
        </w:rPr>
      </w:pPr>
      <w:r w:rsidRPr="00F408D6">
        <w:rPr>
          <w:rFonts w:asciiTheme="majorBidi" w:hAnsiTheme="majorBidi" w:cstheme="majorBidi"/>
          <w:sz w:val="24"/>
          <w:szCs w:val="24"/>
        </w:rPr>
        <w:t xml:space="preserve"> </w:t>
      </w:r>
    </w:p>
    <w:p w:rsidR="00856357" w:rsidRDefault="00856357" w:rsidP="006A4EED">
      <w:pPr>
        <w:spacing w:after="0" w:line="240" w:lineRule="auto"/>
        <w:rPr>
          <w:rFonts w:asciiTheme="majorBidi" w:hAnsiTheme="majorBidi" w:cstheme="majorBidi"/>
          <w:sz w:val="24"/>
          <w:szCs w:val="24"/>
        </w:rPr>
      </w:pPr>
    </w:p>
    <w:p w:rsidR="00856357" w:rsidRDefault="00856357" w:rsidP="006A4EED">
      <w:pPr>
        <w:spacing w:after="0" w:line="240" w:lineRule="auto"/>
        <w:rPr>
          <w:rFonts w:asciiTheme="majorBidi" w:hAnsiTheme="majorBidi" w:cstheme="majorBidi"/>
          <w:sz w:val="24"/>
          <w:szCs w:val="24"/>
        </w:rPr>
      </w:pPr>
    </w:p>
    <w:p w:rsidR="00856357" w:rsidRDefault="00856357" w:rsidP="006A4EED">
      <w:pPr>
        <w:spacing w:after="0" w:line="240" w:lineRule="auto"/>
        <w:rPr>
          <w:rFonts w:asciiTheme="majorBidi" w:hAnsiTheme="majorBidi" w:cstheme="majorBidi"/>
          <w:sz w:val="24"/>
          <w:szCs w:val="24"/>
        </w:rPr>
      </w:pPr>
    </w:p>
    <w:p w:rsidR="00856357" w:rsidRDefault="00856357" w:rsidP="006A4EED">
      <w:pPr>
        <w:spacing w:after="0" w:line="240" w:lineRule="auto"/>
        <w:rPr>
          <w:rFonts w:asciiTheme="majorBidi" w:hAnsiTheme="majorBidi" w:cstheme="majorBidi"/>
          <w:sz w:val="24"/>
          <w:szCs w:val="24"/>
        </w:rPr>
      </w:pPr>
    </w:p>
    <w:p w:rsidR="00856357" w:rsidRDefault="00856357" w:rsidP="006A4EED">
      <w:pPr>
        <w:spacing w:after="0" w:line="240" w:lineRule="auto"/>
        <w:rPr>
          <w:rFonts w:asciiTheme="majorBidi" w:hAnsiTheme="majorBidi" w:cstheme="majorBidi"/>
          <w:sz w:val="24"/>
          <w:szCs w:val="24"/>
        </w:rPr>
      </w:pPr>
    </w:p>
    <w:p w:rsidR="00856357" w:rsidRDefault="00856357" w:rsidP="006A4EED">
      <w:pPr>
        <w:spacing w:after="0" w:line="240" w:lineRule="auto"/>
        <w:rPr>
          <w:rFonts w:asciiTheme="majorBidi" w:hAnsiTheme="majorBidi" w:cstheme="majorBidi"/>
          <w:sz w:val="24"/>
          <w:szCs w:val="24"/>
        </w:rPr>
      </w:pPr>
    </w:p>
    <w:p w:rsidR="00856357" w:rsidRDefault="00856357" w:rsidP="006A4EED">
      <w:pPr>
        <w:spacing w:after="0" w:line="240" w:lineRule="auto"/>
        <w:rPr>
          <w:rFonts w:asciiTheme="majorBidi" w:hAnsiTheme="majorBidi" w:cstheme="majorBidi"/>
          <w:sz w:val="24"/>
          <w:szCs w:val="24"/>
        </w:rPr>
      </w:pPr>
    </w:p>
    <w:p w:rsidR="00856357" w:rsidRDefault="00856357" w:rsidP="006A4EED">
      <w:pPr>
        <w:spacing w:after="0" w:line="240" w:lineRule="auto"/>
        <w:rPr>
          <w:rFonts w:asciiTheme="majorBidi" w:hAnsiTheme="majorBidi" w:cstheme="majorBidi"/>
          <w:sz w:val="24"/>
          <w:szCs w:val="24"/>
        </w:rPr>
      </w:pPr>
    </w:p>
    <w:p w:rsidR="00856357" w:rsidRPr="00F408D6" w:rsidRDefault="00856357" w:rsidP="006A4EED">
      <w:pPr>
        <w:spacing w:after="0" w:line="240" w:lineRule="auto"/>
        <w:rPr>
          <w:rFonts w:asciiTheme="majorBidi" w:hAnsiTheme="majorBidi" w:cstheme="majorBidi"/>
          <w:sz w:val="24"/>
          <w:szCs w:val="24"/>
        </w:rPr>
      </w:pPr>
    </w:p>
    <w:p w:rsidR="00C20BA3" w:rsidRDefault="00C20BA3" w:rsidP="006A4EED">
      <w:pPr>
        <w:pStyle w:val="alinea"/>
        <w:jc w:val="right"/>
        <w:rPr>
          <w:b/>
          <w:i/>
          <w:sz w:val="40"/>
          <w:szCs w:val="40"/>
        </w:rPr>
      </w:pPr>
    </w:p>
    <w:p w:rsidR="00856357" w:rsidRDefault="00856357" w:rsidP="006A4EED">
      <w:pPr>
        <w:pStyle w:val="alinea"/>
        <w:jc w:val="right"/>
        <w:rPr>
          <w:b/>
          <w:i/>
          <w:sz w:val="40"/>
          <w:szCs w:val="40"/>
        </w:rPr>
      </w:pPr>
    </w:p>
    <w:p w:rsidR="00856357" w:rsidRDefault="00856357" w:rsidP="006A4EED">
      <w:pPr>
        <w:pStyle w:val="alinea"/>
        <w:jc w:val="right"/>
        <w:rPr>
          <w:b/>
          <w:i/>
          <w:sz w:val="40"/>
          <w:szCs w:val="40"/>
        </w:rPr>
      </w:pPr>
    </w:p>
    <w:p w:rsidR="006A4EED" w:rsidRPr="00624168" w:rsidRDefault="006A4EED" w:rsidP="006A4EED">
      <w:pPr>
        <w:pStyle w:val="alinea"/>
        <w:jc w:val="right"/>
        <w:rPr>
          <w:b/>
          <w:i/>
        </w:rPr>
      </w:pPr>
      <w:r w:rsidRPr="00624168">
        <w:rPr>
          <w:b/>
          <w:i/>
        </w:rPr>
        <w:t>« La vie, c’est toujours la mort de quelqu’un »</w:t>
      </w:r>
    </w:p>
    <w:p w:rsidR="00431500" w:rsidRPr="00624168" w:rsidRDefault="006A4EED" w:rsidP="00431500">
      <w:pPr>
        <w:spacing w:after="0" w:line="240" w:lineRule="auto"/>
        <w:jc w:val="right"/>
        <w:rPr>
          <w:rFonts w:ascii="Times New Roman" w:eastAsia="Times New Roman" w:hAnsi="Times New Roman"/>
          <w:sz w:val="24"/>
          <w:szCs w:val="24"/>
          <w:lang w:eastAsia="fr-FR"/>
        </w:rPr>
      </w:pPr>
      <w:r w:rsidRPr="00624168">
        <w:rPr>
          <w:rFonts w:ascii="Times New Roman" w:eastAsia="Times New Roman" w:hAnsi="Times New Roman"/>
          <w:sz w:val="24"/>
          <w:szCs w:val="24"/>
          <w:lang w:eastAsia="fr-FR"/>
        </w:rPr>
        <w:t xml:space="preserve">Antonin Artaud, </w:t>
      </w:r>
      <w:r w:rsidRPr="00624168">
        <w:rPr>
          <w:rFonts w:ascii="Times New Roman" w:eastAsia="Times New Roman" w:hAnsi="Times New Roman"/>
          <w:i/>
          <w:iCs/>
          <w:sz w:val="24"/>
          <w:szCs w:val="24"/>
          <w:lang w:eastAsia="fr-FR"/>
        </w:rPr>
        <w:t>Le théâtre et son double</w:t>
      </w:r>
      <w:r w:rsidRPr="00624168">
        <w:rPr>
          <w:rFonts w:ascii="Times New Roman" w:eastAsia="Times New Roman" w:hAnsi="Times New Roman"/>
          <w:sz w:val="24"/>
          <w:szCs w:val="24"/>
          <w:lang w:eastAsia="fr-FR"/>
        </w:rPr>
        <w:t>, 1938</w:t>
      </w:r>
    </w:p>
    <w:p w:rsidR="006A4EED" w:rsidRPr="005E58D9" w:rsidRDefault="006A4EED" w:rsidP="006A4EED">
      <w:pPr>
        <w:bidi/>
      </w:pPr>
    </w:p>
    <w:p w:rsidR="00431500" w:rsidRDefault="00431500">
      <w:pPr>
        <w:spacing w:after="0" w:line="240" w:lineRule="auto"/>
        <w:rPr>
          <w:rFonts w:ascii="Times New Roman" w:eastAsia="Times New Roman" w:hAnsi="Times New Roman"/>
          <w:bCs/>
          <w:sz w:val="23"/>
          <w:szCs w:val="23"/>
          <w:lang w:eastAsia="fr-FR"/>
        </w:rPr>
      </w:pPr>
      <w:r>
        <w:rPr>
          <w:rFonts w:ascii="Times New Roman" w:eastAsia="Times New Roman" w:hAnsi="Times New Roman"/>
          <w:bCs/>
          <w:sz w:val="23"/>
          <w:szCs w:val="23"/>
          <w:lang w:eastAsia="fr-FR"/>
        </w:rPr>
        <w:br w:type="page"/>
      </w:r>
    </w:p>
    <w:p w:rsidR="006A4EED" w:rsidRPr="00856357" w:rsidRDefault="00431500" w:rsidP="00416A6D">
      <w:pPr>
        <w:pStyle w:val="Titre1"/>
        <w:bidi w:val="0"/>
        <w:spacing w:before="0"/>
        <w:jc w:val="both"/>
        <w:rPr>
          <w:rFonts w:asciiTheme="majorBidi" w:hAnsiTheme="majorBidi" w:cstheme="majorBidi"/>
          <w:b/>
          <w:bCs w:val="0"/>
          <w:color w:val="auto"/>
          <w:sz w:val="24"/>
          <w:szCs w:val="24"/>
          <w:lang w:val="fr-FR"/>
        </w:rPr>
      </w:pPr>
      <w:bookmarkStart w:id="12" w:name="_Toc471484390"/>
      <w:r w:rsidRPr="00856357">
        <w:rPr>
          <w:rFonts w:asciiTheme="majorBidi" w:hAnsiTheme="majorBidi" w:cstheme="majorBidi"/>
          <w:b/>
          <w:bCs w:val="0"/>
          <w:color w:val="auto"/>
          <w:sz w:val="24"/>
          <w:szCs w:val="24"/>
          <w:lang w:val="fr-FR"/>
        </w:rPr>
        <w:lastRenderedPageBreak/>
        <w:t>I</w:t>
      </w:r>
      <w:r w:rsidR="00416A6D">
        <w:rPr>
          <w:rFonts w:asciiTheme="majorBidi" w:hAnsiTheme="majorBidi" w:cstheme="majorBidi"/>
          <w:b/>
          <w:bCs w:val="0"/>
          <w:color w:val="auto"/>
          <w:sz w:val="24"/>
          <w:szCs w:val="24"/>
          <w:lang w:val="fr-FR"/>
        </w:rPr>
        <w:t>NTRODUCTION</w:t>
      </w:r>
      <w:bookmarkEnd w:id="12"/>
    </w:p>
    <w:p w:rsidR="006A4EED" w:rsidRPr="005E58D9" w:rsidRDefault="006A4EED" w:rsidP="006A4EED"/>
    <w:p w:rsidR="006A4EED" w:rsidRPr="00145307" w:rsidRDefault="006A4EED" w:rsidP="00D4670D">
      <w:pPr>
        <w:spacing w:after="0" w:line="360" w:lineRule="auto"/>
        <w:ind w:firstLine="284"/>
        <w:jc w:val="both"/>
        <w:rPr>
          <w:rFonts w:ascii="Times New Roman" w:eastAsia="Times New Roman" w:hAnsi="Times New Roman"/>
          <w:bCs/>
          <w:sz w:val="24"/>
          <w:szCs w:val="24"/>
          <w:lang w:eastAsia="fr-FR"/>
        </w:rPr>
      </w:pPr>
      <w:r w:rsidRPr="00145307">
        <w:rPr>
          <w:rFonts w:ascii="Times New Roman" w:eastAsia="Times New Roman" w:hAnsi="Times New Roman"/>
          <w:bCs/>
          <w:sz w:val="24"/>
          <w:szCs w:val="24"/>
          <w:lang w:eastAsia="fr-FR"/>
        </w:rPr>
        <w:t>La présente Thèse, qui s’intitule : </w:t>
      </w:r>
      <w:r w:rsidR="004B302D">
        <w:rPr>
          <w:rFonts w:ascii="Times New Roman" w:eastAsia="Times New Roman" w:hAnsi="Times New Roman"/>
          <w:bCs/>
          <w:iCs/>
          <w:sz w:val="24"/>
          <w:szCs w:val="24"/>
          <w:lang w:eastAsia="fr-FR"/>
        </w:rPr>
        <w:t>Apports narratologique et sémiotique</w:t>
      </w:r>
      <w:r w:rsidRPr="00145307">
        <w:rPr>
          <w:rFonts w:ascii="Times New Roman" w:eastAsia="Times New Roman" w:hAnsi="Times New Roman"/>
          <w:bCs/>
          <w:iCs/>
          <w:sz w:val="24"/>
          <w:szCs w:val="24"/>
          <w:lang w:eastAsia="fr-FR"/>
        </w:rPr>
        <w:t xml:space="preserve"> dans l’écriture dramatique. Le cas de « B</w:t>
      </w:r>
      <w:r w:rsidR="004B302D" w:rsidRPr="00145307">
        <w:rPr>
          <w:rFonts w:ascii="Times New Roman" w:eastAsia="Times New Roman" w:hAnsi="Times New Roman"/>
          <w:bCs/>
          <w:iCs/>
          <w:sz w:val="24"/>
          <w:szCs w:val="24"/>
          <w:lang w:eastAsia="fr-FR"/>
        </w:rPr>
        <w:t xml:space="preserve">arabbas </w:t>
      </w:r>
      <w:r w:rsidRPr="00145307">
        <w:rPr>
          <w:rFonts w:ascii="Times New Roman" w:eastAsia="Times New Roman" w:hAnsi="Times New Roman"/>
          <w:bCs/>
          <w:iCs/>
          <w:sz w:val="24"/>
          <w:szCs w:val="24"/>
          <w:lang w:eastAsia="fr-FR"/>
        </w:rPr>
        <w:t>» de Michel de Ghelderode et de «</w:t>
      </w:r>
      <w:r w:rsidR="00140EBC" w:rsidRPr="00145307">
        <w:rPr>
          <w:rFonts w:ascii="Times New Roman" w:hAnsi="Times New Roman"/>
          <w:bCs/>
          <w:iCs/>
          <w:sz w:val="24"/>
          <w:szCs w:val="24"/>
        </w:rPr>
        <w:t>Le Porteur d'eau et les Marabouts</w:t>
      </w:r>
      <w:r w:rsidRPr="00145307">
        <w:rPr>
          <w:rFonts w:ascii="Times New Roman" w:eastAsia="Times New Roman" w:hAnsi="Times New Roman"/>
          <w:bCs/>
          <w:iCs/>
          <w:sz w:val="24"/>
          <w:szCs w:val="24"/>
          <w:lang w:eastAsia="fr-FR"/>
        </w:rPr>
        <w:t xml:space="preserve"> » de Ould Abderahmane Kaki</w:t>
      </w:r>
      <w:r w:rsidR="00140EBC" w:rsidRPr="00145307">
        <w:rPr>
          <w:rFonts w:ascii="Times New Roman" w:eastAsia="Times New Roman" w:hAnsi="Times New Roman"/>
          <w:bCs/>
          <w:iCs/>
          <w:sz w:val="24"/>
          <w:szCs w:val="24"/>
          <w:lang w:eastAsia="fr-FR"/>
        </w:rPr>
        <w:t>,</w:t>
      </w:r>
      <w:r w:rsidRPr="00145307">
        <w:rPr>
          <w:rFonts w:ascii="Times New Roman" w:eastAsia="Times New Roman" w:hAnsi="Times New Roman"/>
          <w:bCs/>
          <w:i/>
          <w:sz w:val="24"/>
          <w:szCs w:val="24"/>
          <w:lang w:eastAsia="fr-FR"/>
        </w:rPr>
        <w:t xml:space="preserve"> </w:t>
      </w:r>
      <w:r w:rsidRPr="00145307">
        <w:rPr>
          <w:rFonts w:ascii="Times New Roman" w:eastAsia="Times New Roman" w:hAnsi="Times New Roman"/>
          <w:bCs/>
          <w:sz w:val="24"/>
          <w:szCs w:val="24"/>
          <w:lang w:eastAsia="fr-FR"/>
        </w:rPr>
        <w:t>est un effort d’analyse comparative des techniques  narratives et sémiotiques dans l’écriture théâtrale, par le biais de deux auteurs, en l’occurrence le flamand Michel de Ghelderode et l’algérien Ould Abderahmane Kaki.</w:t>
      </w:r>
    </w:p>
    <w:p w:rsidR="006A4EED" w:rsidRPr="00145307" w:rsidRDefault="006A4EED" w:rsidP="00D4670D">
      <w:pPr>
        <w:spacing w:after="0" w:line="360" w:lineRule="auto"/>
        <w:ind w:firstLine="284"/>
        <w:jc w:val="both"/>
        <w:rPr>
          <w:rFonts w:ascii="Times New Roman" w:eastAsia="Times New Roman" w:hAnsi="Times New Roman"/>
          <w:bCs/>
          <w:sz w:val="24"/>
          <w:szCs w:val="24"/>
          <w:lang w:eastAsia="fr-FR"/>
        </w:rPr>
      </w:pPr>
      <w:r w:rsidRPr="00145307">
        <w:rPr>
          <w:rFonts w:ascii="Times New Roman" w:eastAsia="Times New Roman" w:hAnsi="Times New Roman"/>
          <w:bCs/>
          <w:sz w:val="24"/>
          <w:szCs w:val="24"/>
          <w:lang w:eastAsia="fr-FR"/>
        </w:rPr>
        <w:t>L’investigation portée par cette thèse vise à déterminer c</w:t>
      </w:r>
      <w:r w:rsidRPr="00145307">
        <w:rPr>
          <w:rFonts w:ascii="Times New Roman" w:hAnsi="Times New Roman"/>
          <w:bCs/>
          <w:sz w:val="24"/>
          <w:szCs w:val="24"/>
        </w:rPr>
        <w:t xml:space="preserve">omment la narratologie et la </w:t>
      </w:r>
      <w:r w:rsidR="005779D0" w:rsidRPr="00DF5B0B">
        <w:rPr>
          <w:rFonts w:ascii="Times New Roman" w:hAnsi="Times New Roman"/>
          <w:bCs/>
          <w:sz w:val="24"/>
          <w:szCs w:val="24"/>
        </w:rPr>
        <w:t>sémiotique discursive</w:t>
      </w:r>
      <w:r w:rsidR="005779D0" w:rsidRPr="005779D0">
        <w:rPr>
          <w:rFonts w:ascii="Times New Roman" w:hAnsi="Times New Roman"/>
          <w:bCs/>
          <w:sz w:val="24"/>
          <w:szCs w:val="24"/>
        </w:rPr>
        <w:t xml:space="preserve"> </w:t>
      </w:r>
      <w:r w:rsidRPr="00145307">
        <w:rPr>
          <w:rFonts w:ascii="Times New Roman" w:hAnsi="Times New Roman"/>
          <w:bCs/>
          <w:sz w:val="24"/>
          <w:szCs w:val="24"/>
        </w:rPr>
        <w:t xml:space="preserve">sont susceptibles d’enrichir et de singulariser le théâtre en tant que genre littéraire </w:t>
      </w:r>
      <w:r w:rsidR="004B302D">
        <w:rPr>
          <w:rFonts w:ascii="Times New Roman" w:hAnsi="Times New Roman"/>
          <w:bCs/>
          <w:sz w:val="24"/>
          <w:szCs w:val="24"/>
        </w:rPr>
        <w:t>et entreprise sociale et par là-</w:t>
      </w:r>
      <w:r w:rsidRPr="00145307">
        <w:rPr>
          <w:rFonts w:ascii="Times New Roman" w:hAnsi="Times New Roman"/>
          <w:bCs/>
          <w:sz w:val="24"/>
          <w:szCs w:val="24"/>
        </w:rPr>
        <w:t xml:space="preserve">même, comment ces techniques révèlent la théâtralité.  </w:t>
      </w:r>
    </w:p>
    <w:p w:rsidR="006A4EED" w:rsidRPr="00145307" w:rsidRDefault="006A4EED" w:rsidP="00D4670D">
      <w:pPr>
        <w:spacing w:after="0" w:line="360" w:lineRule="auto"/>
        <w:ind w:firstLine="284"/>
        <w:jc w:val="both"/>
        <w:rPr>
          <w:rFonts w:ascii="Times New Roman" w:eastAsia="Times New Roman" w:hAnsi="Times New Roman"/>
          <w:bCs/>
          <w:sz w:val="24"/>
          <w:szCs w:val="24"/>
          <w:lang w:eastAsia="fr-FR"/>
        </w:rPr>
      </w:pPr>
      <w:r w:rsidRPr="00145307">
        <w:rPr>
          <w:rFonts w:ascii="Times New Roman" w:eastAsia="Times New Roman" w:hAnsi="Times New Roman"/>
          <w:bCs/>
          <w:sz w:val="24"/>
          <w:szCs w:val="24"/>
          <w:lang w:eastAsia="fr-FR"/>
        </w:rPr>
        <w:t>Esquissons pour commencer une mise en contexte thématique puis temporelle de ce travail. Là</w:t>
      </w:r>
      <w:r w:rsidR="004B302D">
        <w:rPr>
          <w:rFonts w:ascii="Times New Roman" w:eastAsia="Times New Roman" w:hAnsi="Times New Roman"/>
          <w:bCs/>
          <w:sz w:val="24"/>
          <w:szCs w:val="24"/>
          <w:lang w:eastAsia="fr-FR"/>
        </w:rPr>
        <w:t>,</w:t>
      </w:r>
      <w:r w:rsidRPr="00145307">
        <w:rPr>
          <w:rFonts w:ascii="Times New Roman" w:eastAsia="Times New Roman" w:hAnsi="Times New Roman"/>
          <w:bCs/>
          <w:sz w:val="24"/>
          <w:szCs w:val="24"/>
          <w:lang w:eastAsia="fr-FR"/>
        </w:rPr>
        <w:t xml:space="preserve"> se trouve en effet les ingrédients du questionnement qui articulera ensuite cette introduction.</w:t>
      </w:r>
    </w:p>
    <w:p w:rsidR="006A4EED" w:rsidRPr="00145307" w:rsidRDefault="006A4EED" w:rsidP="00D4670D">
      <w:pPr>
        <w:spacing w:after="0" w:line="360" w:lineRule="auto"/>
        <w:ind w:firstLine="284"/>
        <w:jc w:val="both"/>
        <w:rPr>
          <w:rFonts w:ascii="Times New Roman" w:eastAsia="Times New Roman" w:hAnsi="Times New Roman"/>
          <w:bCs/>
          <w:sz w:val="24"/>
          <w:szCs w:val="24"/>
          <w:lang w:eastAsia="fr-FR"/>
        </w:rPr>
      </w:pPr>
      <w:r w:rsidRPr="00145307">
        <w:rPr>
          <w:rFonts w:ascii="Times New Roman" w:eastAsia="Times New Roman" w:hAnsi="Times New Roman"/>
          <w:bCs/>
          <w:sz w:val="24"/>
          <w:szCs w:val="24"/>
          <w:lang w:eastAsia="fr-FR"/>
        </w:rPr>
        <w:t>Le théâtre est l’art de l’éphémère, de l’instant et de la mort. Aucune trace écrite ni filmée ne peut rendre compte de cette exception renouvelée de la représentation. Au théâtre, tout s’écrit, se dit et se joue sur la scène. Le projet se justifie par sa nature particulièrement emblématique qui, en soi, peut être perçue comme une représentation du monde. En 1945,</w:t>
      </w:r>
      <w:r w:rsidRPr="00145307">
        <w:rPr>
          <w:rFonts w:ascii="Times New Roman" w:eastAsia="Times New Roman" w:hAnsi="Times New Roman"/>
          <w:bCs/>
          <w:color w:val="FF0000"/>
          <w:sz w:val="24"/>
          <w:szCs w:val="24"/>
          <w:lang w:eastAsia="fr-FR"/>
        </w:rPr>
        <w:t xml:space="preserve"> </w:t>
      </w:r>
      <w:r w:rsidRPr="00145307">
        <w:rPr>
          <w:rFonts w:ascii="Times New Roman" w:eastAsia="Times New Roman" w:hAnsi="Times New Roman"/>
          <w:bCs/>
          <w:sz w:val="24"/>
          <w:szCs w:val="24"/>
          <w:lang w:eastAsia="fr-FR"/>
        </w:rPr>
        <w:t>pour Jean Paul Sartre, le théâtre était un espace privilégié de réflexion sur la nature de l’Être, la vie elle-même, dans son entièreté, étant appréhendée comme une grande mise en scène. Le monde ayant perpétuellement connu des tensions collectives, des actes brutaux, violents, tels la guerre et la torture, il ne pouvait que solliciter et inspirer les dramaturges de tout bord.</w:t>
      </w:r>
    </w:p>
    <w:p w:rsidR="006A4EED" w:rsidRPr="00145307" w:rsidRDefault="006A4EED" w:rsidP="00060623">
      <w:pPr>
        <w:spacing w:after="0" w:line="360" w:lineRule="auto"/>
        <w:ind w:firstLine="284"/>
        <w:jc w:val="both"/>
        <w:rPr>
          <w:rFonts w:ascii="Times New Roman" w:eastAsia="Times New Roman" w:hAnsi="Times New Roman"/>
          <w:bCs/>
          <w:sz w:val="24"/>
          <w:szCs w:val="24"/>
          <w:lang w:eastAsia="fr-FR"/>
        </w:rPr>
      </w:pPr>
      <w:r w:rsidRPr="00145307">
        <w:rPr>
          <w:rFonts w:ascii="Times New Roman" w:eastAsia="Times New Roman" w:hAnsi="Times New Roman"/>
          <w:bCs/>
          <w:sz w:val="24"/>
          <w:szCs w:val="24"/>
          <w:lang w:eastAsia="fr-FR"/>
        </w:rPr>
        <w:t>Quant à la théâtralité, elle apparait en synthèse comme  le caractère de ce qui se prête de façon adéquate à la représentation scénique.  Un texte dramatique contiendra une  certaine théâtralité parce qu'il se présente sous une forme dialoguée, contraire</w:t>
      </w:r>
      <w:r w:rsidR="004B302D">
        <w:rPr>
          <w:rFonts w:ascii="Times New Roman" w:eastAsia="Times New Roman" w:hAnsi="Times New Roman"/>
          <w:bCs/>
          <w:sz w:val="24"/>
          <w:szCs w:val="24"/>
          <w:lang w:eastAsia="fr-FR"/>
        </w:rPr>
        <w:t xml:space="preserve">ment à un essai ou une poésie. </w:t>
      </w:r>
      <w:r w:rsidRPr="00145307">
        <w:rPr>
          <w:rFonts w:ascii="Times New Roman" w:eastAsia="Times New Roman" w:hAnsi="Times New Roman"/>
          <w:bCs/>
          <w:sz w:val="24"/>
          <w:szCs w:val="24"/>
          <w:lang w:eastAsia="fr-FR"/>
        </w:rPr>
        <w:t xml:space="preserve">La théâtralité apparait évidemment dans toutes les composantes de l'activité théâtrale, et avant tout, dans le texte. Alors en quoi le recours à la narrativité dans le récit et l’exploitation des signes dans et autour de la scène relèvent et célèbrent une certaine théâtralité ? </w:t>
      </w:r>
    </w:p>
    <w:p w:rsidR="006A4EED" w:rsidRPr="00145307" w:rsidRDefault="006A4EED" w:rsidP="00060623">
      <w:pPr>
        <w:spacing w:after="0" w:line="360" w:lineRule="auto"/>
        <w:ind w:firstLine="284"/>
        <w:jc w:val="both"/>
        <w:rPr>
          <w:rFonts w:ascii="Times New Roman" w:eastAsia="Times New Roman" w:hAnsi="Times New Roman"/>
          <w:bCs/>
          <w:sz w:val="24"/>
          <w:szCs w:val="24"/>
          <w:lang w:eastAsia="fr-FR"/>
        </w:rPr>
      </w:pPr>
      <w:r w:rsidRPr="00145307">
        <w:rPr>
          <w:rFonts w:ascii="Times New Roman" w:eastAsia="Times New Roman" w:hAnsi="Times New Roman"/>
          <w:bCs/>
          <w:sz w:val="24"/>
          <w:szCs w:val="24"/>
          <w:lang w:eastAsia="fr-FR"/>
        </w:rPr>
        <w:lastRenderedPageBreak/>
        <w:t>Né le 18 février 1934 à Mostaganem, dans le quartier populaire de Tigdit, Kaki Ould Abderrahmane a tout d’abord été influencé, de manière décisive et définitive, par sa ville, grosse bourgade coloniale et rurale, transformée en véritable ville comportant entre autres un port actif, exportant vins et agrumes d'un arrière-pays prospère et verdoyant. Mostaganem, c'était aussi la présence massive, entêtante, envoûtante des marabouts, ces hommes que l'on dit détenteurs de savoirs ésotériques et miraculeux. Élevés au rang de saints, ils étaient l'objet d'un culte qui s'inscrit de façon inextricable dans la pratique religieuse locale, profondément influencée par les confréries soufies qui la structurent et l'encadrent.</w:t>
      </w:r>
    </w:p>
    <w:p w:rsidR="006A4EED" w:rsidRPr="00145307" w:rsidRDefault="006A4EED" w:rsidP="00060623">
      <w:pPr>
        <w:spacing w:after="0" w:line="360" w:lineRule="auto"/>
        <w:ind w:firstLine="284"/>
        <w:jc w:val="both"/>
        <w:rPr>
          <w:rFonts w:ascii="Times New Roman" w:eastAsia="Times New Roman" w:hAnsi="Times New Roman"/>
          <w:bCs/>
          <w:sz w:val="24"/>
          <w:szCs w:val="24"/>
          <w:lang w:eastAsia="fr-FR"/>
        </w:rPr>
      </w:pPr>
      <w:r w:rsidRPr="00145307">
        <w:rPr>
          <w:rFonts w:ascii="Times New Roman" w:eastAsia="Times New Roman" w:hAnsi="Times New Roman"/>
          <w:bCs/>
          <w:sz w:val="24"/>
          <w:szCs w:val="24"/>
          <w:lang w:eastAsia="fr-FR"/>
        </w:rPr>
        <w:t xml:space="preserve">Ce syncrétisme a fortement influencé le théâtre de Kaki : </w:t>
      </w:r>
    </w:p>
    <w:p w:rsidR="00145307" w:rsidRPr="00060623" w:rsidRDefault="006A4EED" w:rsidP="00FC2D6C">
      <w:pPr>
        <w:pStyle w:val="Citationintense"/>
        <w:spacing w:before="0" w:after="0"/>
        <w:ind w:left="567" w:right="0"/>
        <w:rPr>
          <w:sz w:val="20"/>
          <w:szCs w:val="20"/>
        </w:rPr>
      </w:pPr>
      <w:r w:rsidRPr="00060623">
        <w:rPr>
          <w:sz w:val="20"/>
          <w:szCs w:val="20"/>
        </w:rPr>
        <w:t>La chanson de geste véhiculée par les bardes itinérants célébrant, dans les foires et les marchés, la gloire du prophète et l'abnégation de ses compagnons, les prouesses des guerriers arabes partis à la conquête du monde, leurs amours légendaires et leurs voyages fabuleux... Faisant cercle autour du barde, les gens se transformaient en public attentif, écoutant et goûtant les contes extravagants et merveilleux des Mille et une nuits, frémissant aux amours de Qays et de Leyla - quand ce n'était pas à celles de 'Antar et de 'Abla - vibrant de ferveur au seul prononcé du nom de Fatima-Zohra, la fille adorée du fondateur de la nation de l'lslam, ou à celui de son mari, Ali, le pourfendeur de Ras-El-Ghoul -Tête d'Ogre-, pleurant à l'évocation du martyre de Kerbala où périt son fils, Hassan, ponctuant d'approbations muettes ou à haute voix la métrique et la rythmique imperturbables des qacidates, ces longs poèmes qui seront à l'origine de la chanson bédouine oranaise sur laquelle r</w:t>
      </w:r>
      <w:r w:rsidR="00002EE3" w:rsidRPr="00060623">
        <w:rPr>
          <w:sz w:val="20"/>
          <w:szCs w:val="20"/>
        </w:rPr>
        <w:t>è</w:t>
      </w:r>
      <w:r w:rsidRPr="00060623">
        <w:rPr>
          <w:sz w:val="20"/>
          <w:szCs w:val="20"/>
        </w:rPr>
        <w:t>gnera en maître absolu cet autre mostaganémois, le cheikh Hamada</w:t>
      </w:r>
      <w:r w:rsidRPr="00FC2D6C">
        <w:rPr>
          <w:sz w:val="20"/>
          <w:szCs w:val="20"/>
          <w:vertAlign w:val="superscript"/>
        </w:rPr>
        <w:footnoteReference w:id="1"/>
      </w:r>
      <w:r w:rsidR="00060623">
        <w:rPr>
          <w:sz w:val="20"/>
          <w:szCs w:val="20"/>
        </w:rPr>
        <w:t>.</w:t>
      </w:r>
      <w:r w:rsidR="00854716">
        <w:rPr>
          <w:sz w:val="20"/>
          <w:szCs w:val="20"/>
        </w:rPr>
        <w:t xml:space="preserve"> </w:t>
      </w:r>
      <w:r w:rsidR="00060623">
        <w:rPr>
          <w:sz w:val="20"/>
          <w:szCs w:val="20"/>
        </w:rPr>
        <w:t xml:space="preserve"> </w:t>
      </w:r>
    </w:p>
    <w:p w:rsidR="00145307" w:rsidRDefault="00145307" w:rsidP="00145307">
      <w:pPr>
        <w:spacing w:after="0" w:line="240" w:lineRule="auto"/>
        <w:ind w:firstLine="709"/>
        <w:jc w:val="both"/>
        <w:rPr>
          <w:lang w:eastAsia="fr-FR"/>
        </w:rPr>
      </w:pPr>
    </w:p>
    <w:p w:rsidR="005779D0" w:rsidRDefault="006A4EED" w:rsidP="00456260">
      <w:pPr>
        <w:spacing w:after="0" w:line="360" w:lineRule="auto"/>
        <w:ind w:firstLine="284"/>
        <w:jc w:val="both"/>
        <w:rPr>
          <w:rFonts w:ascii="Times New Roman" w:eastAsia="Times New Roman" w:hAnsi="Times New Roman"/>
          <w:sz w:val="24"/>
          <w:szCs w:val="24"/>
          <w:lang w:eastAsia="fr-FR"/>
        </w:rPr>
      </w:pPr>
      <w:r w:rsidRPr="00DF5B0B">
        <w:rPr>
          <w:rFonts w:ascii="Times New Roman" w:eastAsia="Times New Roman" w:hAnsi="Times New Roman"/>
          <w:sz w:val="24"/>
          <w:szCs w:val="24"/>
          <w:lang w:eastAsia="fr-FR"/>
        </w:rPr>
        <w:t>Kaki a eu le mérite</w:t>
      </w:r>
      <w:r w:rsidR="005779D0" w:rsidRPr="00DF5B0B">
        <w:rPr>
          <w:rFonts w:ascii="Times New Roman" w:eastAsia="Times New Roman" w:hAnsi="Times New Roman"/>
          <w:sz w:val="24"/>
          <w:szCs w:val="24"/>
          <w:lang w:eastAsia="fr-FR"/>
        </w:rPr>
        <w:t xml:space="preserve"> </w:t>
      </w:r>
      <w:r w:rsidRPr="00DF5B0B">
        <w:rPr>
          <w:rFonts w:ascii="Times New Roman" w:eastAsia="Times New Roman" w:hAnsi="Times New Roman"/>
          <w:sz w:val="24"/>
          <w:szCs w:val="24"/>
          <w:lang w:eastAsia="fr-FR"/>
        </w:rPr>
        <w:t>de comprendre que ces manifestations</w:t>
      </w:r>
      <w:r w:rsidRPr="005E58D9">
        <w:rPr>
          <w:rFonts w:ascii="Times New Roman" w:eastAsia="Times New Roman" w:hAnsi="Times New Roman"/>
          <w:sz w:val="24"/>
          <w:szCs w:val="24"/>
          <w:lang w:eastAsia="fr-FR"/>
        </w:rPr>
        <w:t>-là étaient du théâtre. Pas dans les formes ni dans les normes que la raison occidentale avait codifiées, certes. Mais théâtre tout de même puisqu'il y avait une fable, puisqu'il y avait un acteur  - et quel acteur que ce «diseur» capable de tenir tous les rôles à la fois ! -, puisqu'il y avait une scène</w:t>
      </w:r>
      <w:r w:rsidR="005779D0">
        <w:rPr>
          <w:rFonts w:ascii="Times New Roman" w:eastAsia="Times New Roman" w:hAnsi="Times New Roman"/>
          <w:sz w:val="24"/>
          <w:szCs w:val="24"/>
          <w:lang w:eastAsia="fr-FR"/>
        </w:rPr>
        <w:t xml:space="preserve">, puisqu'il y avait un public. </w:t>
      </w:r>
    </w:p>
    <w:p w:rsidR="006A4EED" w:rsidRPr="005E58D9" w:rsidRDefault="006A4EED" w:rsidP="004D7C1F">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Rendant ainsi un hommage à l’œuvre de Kaki, Messaoud</w:t>
      </w:r>
      <w:r>
        <w:rPr>
          <w:rFonts w:ascii="Times New Roman" w:eastAsia="Times New Roman" w:hAnsi="Times New Roman"/>
          <w:sz w:val="24"/>
          <w:szCs w:val="24"/>
          <w:lang w:eastAsia="fr-FR"/>
        </w:rPr>
        <w:t xml:space="preserve"> B</w:t>
      </w:r>
      <w:r w:rsidR="00145307">
        <w:rPr>
          <w:rFonts w:ascii="Times New Roman" w:eastAsia="Times New Roman" w:hAnsi="Times New Roman"/>
          <w:sz w:val="24"/>
          <w:szCs w:val="24"/>
          <w:lang w:eastAsia="fr-FR"/>
        </w:rPr>
        <w:t>enyoucef</w:t>
      </w:r>
      <w:r w:rsidRPr="005E58D9">
        <w:rPr>
          <w:rFonts w:ascii="Times New Roman" w:eastAsia="Times New Roman" w:hAnsi="Times New Roman"/>
          <w:sz w:val="24"/>
          <w:szCs w:val="24"/>
          <w:lang w:eastAsia="fr-FR"/>
        </w:rPr>
        <w:t xml:space="preserve"> tient ces mots révélateurs :</w:t>
      </w:r>
    </w:p>
    <w:p w:rsidR="0077412E" w:rsidRDefault="006A4EED" w:rsidP="00E86856">
      <w:pPr>
        <w:pStyle w:val="Citationintense"/>
        <w:spacing w:before="0" w:after="0"/>
        <w:ind w:left="567" w:right="0"/>
        <w:rPr>
          <w:sz w:val="20"/>
          <w:szCs w:val="20"/>
        </w:rPr>
      </w:pPr>
      <w:r w:rsidRPr="0077412E">
        <w:rPr>
          <w:sz w:val="20"/>
          <w:szCs w:val="20"/>
        </w:rPr>
        <w:t>C’est d'abord une fable, une histoire où le merveilleux côtoie la réa</w:t>
      </w:r>
      <w:r w:rsidR="00145307" w:rsidRPr="0077412E">
        <w:rPr>
          <w:sz w:val="20"/>
          <w:szCs w:val="20"/>
        </w:rPr>
        <w:t>lité, se mêle à elle de façon "</w:t>
      </w:r>
      <w:r w:rsidRPr="0077412E">
        <w:rPr>
          <w:sz w:val="20"/>
          <w:szCs w:val="20"/>
        </w:rPr>
        <w:t>naturelle</w:t>
      </w:r>
      <w:r w:rsidR="00145307" w:rsidRPr="0077412E">
        <w:rPr>
          <w:sz w:val="20"/>
          <w:szCs w:val="20"/>
        </w:rPr>
        <w:t>",</w:t>
      </w:r>
      <w:r w:rsidRPr="0077412E">
        <w:rPr>
          <w:sz w:val="20"/>
          <w:szCs w:val="20"/>
        </w:rPr>
        <w:t xml:space="preserve"> à moins qu’il n’y fasse une irruption fracassante, comme dans « À chacun son jugement », déstabilisant brutalement le spectateur et conférant au propos une dimension inattendue. Cette histoire comporte toujours une leçon, mais qui ne s’épuise pas dans l’évidence de son énoncé, à la différence du sketch moralisateur, mode dominant de l’activité théâtrale d’alors et qui a si radicalement contribué à la stériliser. Car une pièce de théâtre, c’est aussi pour Kaki une analyse subtile et nuancée de la société, de ses contradictions et de ses problèmes, analyse menée généralement sur le mode d'une critique sans concessions certes, mais jamais lisible qu’au second degré, entre les lignes. Kaki ne sacrifie pas à la proclamation, à la profession de foi, même si traînent encore, çà et là, chez lui, des débris de ce discours moralisateur dont la culture arabo-islamique </w:t>
      </w:r>
      <w:proofErr w:type="gramStart"/>
      <w:r w:rsidRPr="0077412E">
        <w:rPr>
          <w:sz w:val="20"/>
          <w:szCs w:val="20"/>
        </w:rPr>
        <w:t>est</w:t>
      </w:r>
      <w:proofErr w:type="gramEnd"/>
      <w:r w:rsidRPr="0077412E">
        <w:rPr>
          <w:sz w:val="20"/>
          <w:szCs w:val="20"/>
        </w:rPr>
        <w:t xml:space="preserve"> si </w:t>
      </w:r>
      <w:r w:rsidRPr="0077412E">
        <w:rPr>
          <w:sz w:val="20"/>
          <w:szCs w:val="20"/>
        </w:rPr>
        <w:lastRenderedPageBreak/>
        <w:t>profondément imprégnée. Une pièce de théâtre, c’est enfin, et surtout, pour Kaki, une mise en espace de la voix et du corps à travers la prose rimée, la poésie, le chant et les percussions, le tout réglé par le maître de céans, le grand ordonnateur de ce spectacle total, régisseur avisé de la parole et du rythme de la déclamation, le conteur. </w:t>
      </w:r>
      <w:r w:rsidR="0077412E">
        <w:rPr>
          <w:sz w:val="20"/>
          <w:szCs w:val="20"/>
        </w:rPr>
        <w:t>(M. Benyoucef, 2012)</w:t>
      </w:r>
      <w:r w:rsidR="00AC1BD4">
        <w:rPr>
          <w:sz w:val="20"/>
          <w:szCs w:val="20"/>
        </w:rPr>
        <w:t>.</w:t>
      </w:r>
    </w:p>
    <w:p w:rsidR="00BD1761" w:rsidRDefault="00BD1761" w:rsidP="00746B2C">
      <w:pPr>
        <w:spacing w:after="0" w:line="360" w:lineRule="auto"/>
        <w:ind w:firstLine="284"/>
        <w:jc w:val="both"/>
        <w:rPr>
          <w:rFonts w:ascii="Times New Roman" w:eastAsia="Times New Roman" w:hAnsi="Times New Roman"/>
          <w:sz w:val="24"/>
          <w:szCs w:val="24"/>
          <w:lang w:eastAsia="fr-FR"/>
        </w:rPr>
      </w:pPr>
    </w:p>
    <w:p w:rsidR="006A4EED" w:rsidRPr="00746B2C" w:rsidRDefault="006A4EED" w:rsidP="00746B2C">
      <w:pPr>
        <w:spacing w:after="0" w:line="360" w:lineRule="auto"/>
        <w:ind w:firstLine="284"/>
        <w:jc w:val="both"/>
        <w:rPr>
          <w:rFonts w:asciiTheme="majorBidi" w:hAnsiTheme="majorBidi" w:cstheme="majorBidi"/>
          <w:sz w:val="24"/>
          <w:szCs w:val="24"/>
        </w:rPr>
      </w:pPr>
      <w:r w:rsidRPr="00145307">
        <w:rPr>
          <w:rFonts w:ascii="Times New Roman" w:eastAsia="Times New Roman" w:hAnsi="Times New Roman"/>
          <w:sz w:val="24"/>
          <w:szCs w:val="24"/>
          <w:lang w:eastAsia="fr-FR"/>
        </w:rPr>
        <w:t>Notre intérêt et notre passion pour le théâtre de Kaki transparaîtra sans nul doute dans ce travail. L’université mère qui nous a pendant si longtemps abreuvé de ce théâtre formateur de la conscience de l’indépendance algérienne pose le principe selon lequel le théâtre recouvre une utilité</w:t>
      </w:r>
      <w:r w:rsidR="00145307" w:rsidRPr="00145307">
        <w:rPr>
          <w:rFonts w:ascii="Times New Roman" w:eastAsia="Times New Roman" w:hAnsi="Times New Roman"/>
          <w:sz w:val="24"/>
          <w:szCs w:val="24"/>
          <w:lang w:eastAsia="fr-FR"/>
        </w:rPr>
        <w:t xml:space="preserve"> sociale. Il serait</w:t>
      </w:r>
      <w:r w:rsidR="00746B2C">
        <w:rPr>
          <w:rFonts w:ascii="Times New Roman" w:eastAsia="Times New Roman" w:hAnsi="Times New Roman"/>
          <w:sz w:val="24"/>
          <w:szCs w:val="24"/>
          <w:lang w:eastAsia="fr-FR"/>
        </w:rPr>
        <w:t xml:space="preserve"> « </w:t>
      </w:r>
      <w:r w:rsidR="00746B2C" w:rsidRPr="00746B2C">
        <w:rPr>
          <w:rFonts w:asciiTheme="majorBidi" w:eastAsia="Times New Roman" w:hAnsiTheme="majorBidi" w:cstheme="majorBidi"/>
          <w:sz w:val="24"/>
          <w:szCs w:val="24"/>
          <w:lang w:eastAsia="fr-FR"/>
        </w:rPr>
        <w:t>l</w:t>
      </w:r>
      <w:r w:rsidRPr="00746B2C">
        <w:rPr>
          <w:rFonts w:asciiTheme="majorBidi" w:hAnsiTheme="majorBidi" w:cstheme="majorBidi"/>
          <w:sz w:val="24"/>
          <w:szCs w:val="24"/>
        </w:rPr>
        <w:t>e lieu de parole, de pensée, d’exploration de la lettre, de l’âme, de l’histoire, à une époque où tous ces lieux sont reniés et repoussés. Le théâtre reste un lieu où l’on apprend, où l’on essaie de comprendre, où l’on est touché, où l’on rencontre l’autre où l’on est l’autre</w:t>
      </w:r>
      <w:r w:rsidR="00746B2C">
        <w:rPr>
          <w:rFonts w:asciiTheme="majorBidi" w:hAnsiTheme="majorBidi" w:cstheme="majorBidi"/>
          <w:sz w:val="24"/>
          <w:szCs w:val="24"/>
        </w:rPr>
        <w:t> »</w:t>
      </w:r>
      <w:r w:rsidRPr="00746B2C">
        <w:rPr>
          <w:rFonts w:asciiTheme="majorBidi" w:hAnsiTheme="majorBidi" w:cstheme="majorBidi"/>
          <w:sz w:val="24"/>
          <w:szCs w:val="24"/>
        </w:rPr>
        <w:t>.</w:t>
      </w:r>
      <w:r w:rsidRPr="00746B2C">
        <w:rPr>
          <w:rFonts w:asciiTheme="majorBidi" w:hAnsiTheme="majorBidi" w:cstheme="majorBidi"/>
          <w:sz w:val="24"/>
          <w:szCs w:val="24"/>
          <w:vertAlign w:val="superscript"/>
        </w:rPr>
        <w:footnoteReference w:id="2"/>
      </w:r>
    </w:p>
    <w:p w:rsidR="006A4EED" w:rsidRDefault="006A4EED" w:rsidP="00750E66">
      <w:pPr>
        <w:spacing w:after="0" w:line="360" w:lineRule="auto"/>
        <w:ind w:firstLine="284"/>
        <w:jc w:val="both"/>
        <w:rPr>
          <w:rFonts w:ascii="Times New Roman" w:eastAsia="Times New Roman" w:hAnsi="Times New Roman"/>
          <w:sz w:val="24"/>
          <w:szCs w:val="24"/>
          <w:lang w:eastAsia="fr-FR"/>
        </w:rPr>
      </w:pPr>
      <w:r w:rsidRPr="00145307">
        <w:rPr>
          <w:rFonts w:ascii="Times New Roman" w:eastAsia="Times New Roman" w:hAnsi="Times New Roman"/>
          <w:sz w:val="24"/>
          <w:szCs w:val="24"/>
          <w:lang w:eastAsia="fr-FR"/>
        </w:rPr>
        <w:t>Un autre auteur nous interp</w:t>
      </w:r>
      <w:r w:rsidR="00002EE3">
        <w:rPr>
          <w:rFonts w:ascii="Times New Roman" w:eastAsia="Times New Roman" w:hAnsi="Times New Roman"/>
          <w:sz w:val="24"/>
          <w:szCs w:val="24"/>
          <w:lang w:eastAsia="fr-FR"/>
        </w:rPr>
        <w:t>elle dans cette thèse : Michel d</w:t>
      </w:r>
      <w:r w:rsidRPr="00145307">
        <w:rPr>
          <w:rFonts w:ascii="Times New Roman" w:eastAsia="Times New Roman" w:hAnsi="Times New Roman"/>
          <w:sz w:val="24"/>
          <w:szCs w:val="24"/>
          <w:lang w:eastAsia="fr-FR"/>
        </w:rPr>
        <w:t xml:space="preserve">e Ghelderode, l’auteur dramaturgique belge, d’obédience flamande, mais qui a cependant écrit ses pièces en français, </w:t>
      </w:r>
      <w:r w:rsidRPr="00AD2D57">
        <w:rPr>
          <w:rFonts w:ascii="Times New Roman" w:eastAsia="Times New Roman" w:hAnsi="Times New Roman"/>
          <w:sz w:val="24"/>
          <w:szCs w:val="24"/>
          <w:lang w:eastAsia="fr-FR"/>
        </w:rPr>
        <w:t>et dont le théâtre étale sur scène le surnaturel et la mort qui éclatent en images hallucinantes, demeure un précurseur, puisque ses pièces ont été écrites entre les deux grandes guerres, mais publiées après la deuxième. En effet, son angoisse devant la dérision humaine annonce la violence de l’interrogation métaphysique au cœur du nouveau théâtre. Ce dernier, le sien, qui s’est inspiré du folklore carnavalesque de son pays natal, les Flandres, en mettant volontiers en scène des sujets historiques ou religieux, s’est caractérisé par l’esthétique expressionniste de ses pièces, qui revêtent souvent le caractère des farces macabres.</w:t>
      </w:r>
    </w:p>
    <w:p w:rsidR="006A4EED" w:rsidRPr="002F29A0" w:rsidRDefault="006A4EED" w:rsidP="00624168">
      <w:pPr>
        <w:spacing w:after="0" w:line="360" w:lineRule="auto"/>
        <w:ind w:firstLine="284"/>
        <w:jc w:val="both"/>
        <w:rPr>
          <w:rFonts w:eastAsia="Times New Roman"/>
          <w:color w:val="FF0000"/>
          <w:vertAlign w:val="superscript"/>
          <w:lang w:eastAsia="fr-FR"/>
        </w:rPr>
      </w:pPr>
      <w:r w:rsidRPr="00AD2D57">
        <w:rPr>
          <w:rFonts w:ascii="Times New Roman" w:eastAsia="Times New Roman" w:hAnsi="Times New Roman"/>
          <w:sz w:val="24"/>
          <w:szCs w:val="24"/>
          <w:lang w:eastAsia="fr-FR"/>
        </w:rPr>
        <w:t>En optant pour Michel de Ghelderode, dont l'aura mondiale dans l'écriture dramaturgique est incontestable, nous pensons vouloir rendre hommage à l'un des plus grands dramaturges belges du XX</w:t>
      </w:r>
      <w:r w:rsidRPr="00AD2D57">
        <w:rPr>
          <w:rFonts w:ascii="Times New Roman" w:eastAsia="Times New Roman" w:hAnsi="Times New Roman"/>
          <w:sz w:val="24"/>
          <w:szCs w:val="24"/>
          <w:vertAlign w:val="superscript"/>
          <w:lang w:eastAsia="fr-FR"/>
        </w:rPr>
        <w:t>e</w:t>
      </w:r>
      <w:r w:rsidRPr="00AD2D57">
        <w:rPr>
          <w:rFonts w:ascii="Times New Roman" w:eastAsia="Times New Roman" w:hAnsi="Times New Roman"/>
          <w:sz w:val="24"/>
          <w:szCs w:val="24"/>
          <w:lang w:eastAsia="fr-FR"/>
        </w:rPr>
        <w:t xml:space="preserve"> siècle qui marqua, de par ses multiples œuvres, son époque. Hervé Cnudde rapporte dans son article  intitulé  « Rêver la Mort avec Michel de Ghelderode »  cette citation de Jean Cocteau : </w:t>
      </w:r>
      <w:r w:rsidR="00FA313C" w:rsidRPr="00FA313C">
        <w:rPr>
          <w:rFonts w:asciiTheme="majorBidi" w:eastAsia="Times New Roman" w:hAnsiTheme="majorBidi" w:cstheme="majorBidi"/>
          <w:sz w:val="24"/>
          <w:szCs w:val="24"/>
          <w:lang w:eastAsia="fr-FR"/>
        </w:rPr>
        <w:t>« </w:t>
      </w:r>
      <w:r w:rsidRPr="00FA313C">
        <w:rPr>
          <w:rFonts w:asciiTheme="majorBidi" w:hAnsiTheme="majorBidi" w:cstheme="majorBidi"/>
          <w:sz w:val="24"/>
          <w:szCs w:val="24"/>
        </w:rPr>
        <w:t xml:space="preserve">Ghelderode, c’est le diamant qui ferme le collier de poètes que la Belgique porte autour du cou. </w:t>
      </w:r>
      <w:r w:rsidRPr="00FA313C">
        <w:rPr>
          <w:rFonts w:asciiTheme="majorBidi" w:hAnsiTheme="majorBidi" w:cstheme="majorBidi"/>
          <w:sz w:val="24"/>
          <w:szCs w:val="24"/>
        </w:rPr>
        <w:lastRenderedPageBreak/>
        <w:t>Ce dimant noir jette des feux cruels et nobles. Ils ne blessent que les petites âmes. Ils éblouissent les autres</w:t>
      </w:r>
      <w:r w:rsidR="00FA313C">
        <w:rPr>
          <w:rFonts w:asciiTheme="majorBidi" w:hAnsiTheme="majorBidi" w:cstheme="majorBidi"/>
          <w:sz w:val="24"/>
          <w:szCs w:val="24"/>
        </w:rPr>
        <w:t> »</w:t>
      </w:r>
      <w:r w:rsidRPr="00FA313C">
        <w:rPr>
          <w:rFonts w:asciiTheme="majorBidi" w:eastAsia="Times New Roman" w:hAnsiTheme="majorBidi" w:cstheme="majorBidi"/>
          <w:sz w:val="24"/>
          <w:szCs w:val="24"/>
          <w:lang w:eastAsia="fr-FR"/>
        </w:rPr>
        <w:t>.</w:t>
      </w:r>
      <w:r w:rsidR="002F29A0">
        <w:rPr>
          <w:rFonts w:asciiTheme="majorBidi" w:eastAsia="Times New Roman" w:hAnsiTheme="majorBidi" w:cstheme="majorBidi"/>
          <w:sz w:val="24"/>
          <w:szCs w:val="24"/>
          <w:lang w:eastAsia="fr-FR"/>
        </w:rPr>
        <w:t xml:space="preserve"> (A-M. Beckers, 1987</w:t>
      </w:r>
      <w:r w:rsidR="002F29A0" w:rsidRPr="00624168">
        <w:rPr>
          <w:rFonts w:asciiTheme="majorBidi" w:eastAsia="Times New Roman" w:hAnsiTheme="majorBidi" w:cstheme="majorBidi"/>
          <w:sz w:val="24"/>
          <w:szCs w:val="24"/>
          <w:lang w:eastAsia="fr-FR"/>
        </w:rPr>
        <w:t>)</w:t>
      </w:r>
      <w:r w:rsidR="00AC1BD4" w:rsidRPr="00624168">
        <w:rPr>
          <w:rFonts w:asciiTheme="majorBidi" w:eastAsia="Times New Roman" w:hAnsiTheme="majorBidi" w:cstheme="majorBidi"/>
          <w:sz w:val="24"/>
          <w:szCs w:val="24"/>
          <w:lang w:eastAsia="fr-FR"/>
        </w:rPr>
        <w:t>.</w:t>
      </w:r>
    </w:p>
    <w:p w:rsidR="006A4EED" w:rsidRDefault="006A4EED" w:rsidP="004663C9">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Sa riche production tient à l'originalité de sa dramaturgie qui le distingue de tous les types de théâtre connus en France à cette époque. Même Artaud, l'auteur du « théâtre et son double»,  peine à le définir, le circonscrire, en affirmant que pour Ghelderode, le théâtre est avant tout spectacle. Le théâtre de Ghelderode commence toujours par les yeux. Quelques images puissantes de couleurs et de mouvement qui font de la scène</w:t>
      </w:r>
      <w:r w:rsidR="002F4807" w:rsidRPr="00AD2D57">
        <w:rPr>
          <w:rFonts w:ascii="Times New Roman" w:eastAsia="Times New Roman" w:hAnsi="Times New Roman"/>
          <w:sz w:val="24"/>
          <w:szCs w:val="24"/>
          <w:lang w:eastAsia="fr-FR"/>
        </w:rPr>
        <w:t xml:space="preserve"> u</w:t>
      </w:r>
      <w:r w:rsidRPr="00AD2D57">
        <w:rPr>
          <w:rFonts w:ascii="Times New Roman" w:eastAsia="Times New Roman" w:hAnsi="Times New Roman"/>
          <w:sz w:val="24"/>
          <w:szCs w:val="24"/>
          <w:lang w:eastAsia="fr-FR"/>
        </w:rPr>
        <w:t>n lieu physique ou tout est montré, un théâtre o</w:t>
      </w:r>
      <w:r w:rsidR="00002EE3">
        <w:rPr>
          <w:rFonts w:ascii="Times New Roman" w:eastAsia="Times New Roman" w:hAnsi="Times New Roman"/>
          <w:sz w:val="24"/>
          <w:szCs w:val="24"/>
          <w:lang w:eastAsia="fr-FR"/>
        </w:rPr>
        <w:t>ù</w:t>
      </w:r>
      <w:r w:rsidRPr="00AD2D57">
        <w:rPr>
          <w:rFonts w:ascii="Times New Roman" w:eastAsia="Times New Roman" w:hAnsi="Times New Roman"/>
          <w:sz w:val="24"/>
          <w:szCs w:val="24"/>
          <w:lang w:eastAsia="fr-FR"/>
        </w:rPr>
        <w:t xml:space="preserve"> la gestuelle remplace  la psychologie. C’est cela Ghelderode, un spectacle de cruauté sous le regard obsédant d'une mort menaçante et souvent imminente.</w:t>
      </w:r>
    </w:p>
    <w:p w:rsidR="006A4EED" w:rsidRDefault="006A4EED" w:rsidP="00F13C7B">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Son œuvre </w:t>
      </w:r>
      <w:r w:rsidRPr="00AD2D57">
        <w:rPr>
          <w:rFonts w:ascii="Times New Roman" w:eastAsia="Times New Roman" w:hAnsi="Times New Roman"/>
          <w:i/>
          <w:sz w:val="24"/>
          <w:szCs w:val="24"/>
          <w:lang w:eastAsia="fr-FR"/>
        </w:rPr>
        <w:t xml:space="preserve">Barabbas </w:t>
      </w:r>
      <w:r w:rsidRPr="00AD2D57">
        <w:rPr>
          <w:rFonts w:ascii="Times New Roman" w:eastAsia="Times New Roman" w:hAnsi="Times New Roman"/>
          <w:sz w:val="24"/>
          <w:szCs w:val="24"/>
          <w:lang w:eastAsia="fr-FR"/>
        </w:rPr>
        <w:t>est l'une des plus controversée, elle marqua un tournant dans le théâtre de l'auteur, de par sa couleur biblique où la Passion du Christ est désacralisée. Barabbas, celui que les Écritures de l'Évangile traitent de bandit, de séditieux et de hors la loi va se métamorphoser sous nos yeux, de l'insoumis qu'il est au premier acte de la pièce, il devient à la fin de celle-ci, une conscience qui aspire à l'inversion de l'ordre subi.</w:t>
      </w:r>
    </w:p>
    <w:p w:rsidR="006A4EED" w:rsidRDefault="006A4EED" w:rsidP="0052153E">
      <w:pPr>
        <w:spacing w:after="0" w:line="360" w:lineRule="auto"/>
        <w:ind w:firstLine="284"/>
        <w:jc w:val="both"/>
        <w:rPr>
          <w:rFonts w:ascii="Times New Roman" w:hAnsi="Times New Roman"/>
          <w:iCs/>
          <w:sz w:val="24"/>
          <w:szCs w:val="24"/>
          <w:lang w:eastAsia="fr-FR"/>
        </w:rPr>
      </w:pPr>
      <w:r w:rsidRPr="00AD2D57">
        <w:rPr>
          <w:rFonts w:ascii="Times New Roman" w:eastAsia="Times New Roman" w:hAnsi="Times New Roman"/>
          <w:sz w:val="24"/>
          <w:szCs w:val="24"/>
          <w:lang w:eastAsia="fr-FR"/>
        </w:rPr>
        <w:t xml:space="preserve">Dix huit personnages vont se relayer sur scène afin de nous dresser un univers crépusculaire, où le bien est voulu mais le mal est permanent. Une vision nouvelle de la Passion s'érige devant nous. </w:t>
      </w:r>
      <w:r w:rsidRPr="00002EE3">
        <w:rPr>
          <w:rFonts w:ascii="Times New Roman" w:eastAsia="Times New Roman" w:hAnsi="Times New Roman"/>
          <w:i/>
          <w:iCs/>
          <w:sz w:val="24"/>
          <w:szCs w:val="24"/>
          <w:lang w:eastAsia="fr-FR"/>
        </w:rPr>
        <w:t>Barabbas</w:t>
      </w:r>
      <w:r w:rsidRPr="00AD2D57">
        <w:rPr>
          <w:rFonts w:ascii="Times New Roman" w:eastAsia="Times New Roman" w:hAnsi="Times New Roman"/>
          <w:sz w:val="24"/>
          <w:szCs w:val="24"/>
          <w:lang w:eastAsia="fr-FR"/>
        </w:rPr>
        <w:t xml:space="preserve"> reprend en charge le mal pour son propre compte et revendique un nouveau désordre :</w:t>
      </w:r>
      <w:r w:rsidR="00B80FE4" w:rsidRPr="00AD2D57">
        <w:rPr>
          <w:rFonts w:ascii="Times New Roman" w:eastAsia="Times New Roman" w:hAnsi="Times New Roman"/>
          <w:sz w:val="24"/>
          <w:szCs w:val="24"/>
          <w:lang w:eastAsia="fr-FR"/>
        </w:rPr>
        <w:t xml:space="preserve"> </w:t>
      </w:r>
      <w:r w:rsidRPr="00F13C7B">
        <w:rPr>
          <w:rFonts w:ascii="Times New Roman" w:hAnsi="Times New Roman"/>
          <w:sz w:val="24"/>
          <w:szCs w:val="24"/>
          <w:lang w:eastAsia="fr-FR"/>
        </w:rPr>
        <w:t xml:space="preserve">« </w:t>
      </w:r>
      <w:r w:rsidRPr="00C24B60">
        <w:rPr>
          <w:rFonts w:ascii="Times New Roman" w:hAnsi="Times New Roman"/>
          <w:i/>
          <w:iCs/>
          <w:sz w:val="24"/>
          <w:szCs w:val="24"/>
          <w:lang w:eastAsia="fr-FR"/>
        </w:rPr>
        <w:t>Et que je serve d'exemple! Ayez mon cynisme et ma froide tête, ayez mon mépris de toute justice</w:t>
      </w:r>
      <w:r w:rsidR="0059606A">
        <w:rPr>
          <w:rFonts w:ascii="Times New Roman" w:hAnsi="Times New Roman"/>
          <w:i/>
          <w:iCs/>
          <w:sz w:val="24"/>
          <w:szCs w:val="24"/>
          <w:lang w:eastAsia="fr-FR"/>
        </w:rPr>
        <w:t xml:space="preserve"> » </w:t>
      </w:r>
      <w:r w:rsidR="0059606A" w:rsidRPr="0059606A">
        <w:rPr>
          <w:rFonts w:ascii="Times New Roman" w:hAnsi="Times New Roman"/>
          <w:iCs/>
          <w:sz w:val="24"/>
          <w:szCs w:val="24"/>
          <w:lang w:eastAsia="fr-FR"/>
        </w:rPr>
        <w:t>(</w:t>
      </w:r>
      <w:r w:rsidR="0052153E">
        <w:rPr>
          <w:rFonts w:ascii="Times New Roman" w:hAnsi="Times New Roman"/>
          <w:sz w:val="24"/>
          <w:szCs w:val="24"/>
          <w:lang w:eastAsia="fr-FR"/>
        </w:rPr>
        <w:t xml:space="preserve">M. </w:t>
      </w:r>
      <w:r w:rsidR="0023076D" w:rsidRPr="005D3549">
        <w:rPr>
          <w:rFonts w:ascii="Times New Roman" w:hAnsi="Times New Roman"/>
          <w:sz w:val="24"/>
          <w:szCs w:val="24"/>
          <w:lang w:eastAsia="fr-FR"/>
        </w:rPr>
        <w:t>G</w:t>
      </w:r>
      <w:r w:rsidR="0052153E">
        <w:rPr>
          <w:rFonts w:ascii="Times New Roman" w:hAnsi="Times New Roman"/>
          <w:sz w:val="24"/>
          <w:szCs w:val="24"/>
          <w:lang w:eastAsia="fr-FR"/>
        </w:rPr>
        <w:t>helderole, 1984</w:t>
      </w:r>
      <w:r w:rsidR="0023076D">
        <w:rPr>
          <w:rFonts w:ascii="Times New Roman" w:hAnsi="Times New Roman"/>
          <w:sz w:val="24"/>
          <w:szCs w:val="24"/>
          <w:lang w:eastAsia="fr-FR"/>
        </w:rPr>
        <w:t xml:space="preserve">, </w:t>
      </w:r>
      <w:r w:rsidR="0059606A" w:rsidRPr="0059606A">
        <w:rPr>
          <w:rFonts w:ascii="Times New Roman" w:hAnsi="Times New Roman"/>
          <w:iCs/>
          <w:sz w:val="24"/>
          <w:szCs w:val="24"/>
          <w:lang w:eastAsia="fr-FR"/>
        </w:rPr>
        <w:t>p.35)</w:t>
      </w:r>
      <w:r w:rsidR="00AC1BD4">
        <w:rPr>
          <w:rFonts w:ascii="Times New Roman" w:hAnsi="Times New Roman"/>
          <w:iCs/>
          <w:sz w:val="24"/>
          <w:szCs w:val="24"/>
          <w:lang w:eastAsia="fr-FR"/>
        </w:rPr>
        <w:t>.</w:t>
      </w:r>
    </w:p>
    <w:p w:rsidR="006A4EED" w:rsidRDefault="006A4EED" w:rsidP="002A0491">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Envisager d’introduire le</w:t>
      </w:r>
      <w:r w:rsidR="0059606A">
        <w:rPr>
          <w:rFonts w:ascii="Times New Roman" w:eastAsia="Times New Roman" w:hAnsi="Times New Roman"/>
          <w:sz w:val="24"/>
          <w:szCs w:val="24"/>
          <w:lang w:eastAsia="fr-FR"/>
        </w:rPr>
        <w:t>s thèmes de la métadiégèse et du théâtre</w:t>
      </w:r>
      <w:r w:rsidRPr="00AD2D57">
        <w:rPr>
          <w:rFonts w:ascii="Times New Roman" w:eastAsia="Times New Roman" w:hAnsi="Times New Roman"/>
          <w:sz w:val="24"/>
          <w:szCs w:val="24"/>
          <w:lang w:eastAsia="fr-FR"/>
        </w:rPr>
        <w:t xml:space="preserve"> dans l'œuvre de M. de Ghelderode </w:t>
      </w:r>
      <w:r w:rsidRPr="00AD2D57">
        <w:rPr>
          <w:rFonts w:ascii="Times New Roman" w:eastAsia="Times New Roman" w:hAnsi="Times New Roman"/>
          <w:i/>
          <w:sz w:val="24"/>
          <w:szCs w:val="24"/>
          <w:lang w:eastAsia="fr-FR"/>
        </w:rPr>
        <w:t>Barabbas</w:t>
      </w:r>
      <w:r w:rsidRPr="00AD2D57">
        <w:rPr>
          <w:rFonts w:ascii="Times New Roman" w:eastAsia="Times New Roman" w:hAnsi="Times New Roman"/>
          <w:sz w:val="24"/>
          <w:szCs w:val="24"/>
          <w:lang w:eastAsia="fr-FR"/>
        </w:rPr>
        <w:t xml:space="preserve"> peut sembler quelque peu démesuré. En réalité il s’avère que  cette œuvre cache bien une reconfiguration en profondeur de la composition dramatique à travers notamment la mixité des registres ; la production d'effets de représentation, des commentaires métatextuels et métadramatiques, l’autoréférentialité et la distance ironique, qui sont remarqués lors des différentes lectures de ce corpus. Une forte présence théâtrale du jeu et de l'action dramatique y émergent finalement. Le pathétique et le grotesque procéderaient par entrelacement dans la structure dramatique de la pièce. Ces deux modes d'expression se procèdent parfois en même temps, comme si l'un est en l'autre ou </w:t>
      </w:r>
      <w:r w:rsidRPr="00AD2D57">
        <w:rPr>
          <w:rFonts w:ascii="Times New Roman" w:eastAsia="Times New Roman" w:hAnsi="Times New Roman"/>
          <w:sz w:val="24"/>
          <w:szCs w:val="24"/>
          <w:lang w:eastAsia="fr-FR"/>
        </w:rPr>
        <w:lastRenderedPageBreak/>
        <w:t xml:space="preserve">l'un provoquait l’autre. </w:t>
      </w:r>
      <w:r w:rsidRPr="00AD2D57">
        <w:rPr>
          <w:rFonts w:ascii="Times New Roman" w:eastAsia="Times New Roman" w:hAnsi="Times New Roman"/>
          <w:i/>
          <w:sz w:val="24"/>
          <w:szCs w:val="24"/>
          <w:lang w:eastAsia="fr-FR"/>
        </w:rPr>
        <w:t>Barrabas</w:t>
      </w:r>
      <w:r w:rsidRPr="00AD2D57">
        <w:rPr>
          <w:rFonts w:ascii="Times New Roman" w:eastAsia="Times New Roman" w:hAnsi="Times New Roman"/>
          <w:sz w:val="24"/>
          <w:szCs w:val="24"/>
          <w:lang w:eastAsia="fr-FR"/>
        </w:rPr>
        <w:t xml:space="preserve"> nous enseignera en définitive que le théâtre possède une double immanence puisqu'il est texte et représentation. </w:t>
      </w:r>
    </w:p>
    <w:p w:rsidR="006A4EED" w:rsidRDefault="006A4EED" w:rsidP="00095FCC">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C’est autour de ces réflexions thématiques, contextuelles et littéraires qu’est bâtie la </w:t>
      </w:r>
      <w:r w:rsidR="00002EE3">
        <w:rPr>
          <w:rFonts w:ascii="Times New Roman" w:eastAsia="Times New Roman" w:hAnsi="Times New Roman"/>
          <w:sz w:val="24"/>
          <w:szCs w:val="24"/>
          <w:lang w:eastAsia="fr-FR"/>
        </w:rPr>
        <w:t>présente t</w:t>
      </w:r>
      <w:r w:rsidRPr="00AD2D57">
        <w:rPr>
          <w:rFonts w:ascii="Times New Roman" w:eastAsia="Times New Roman" w:hAnsi="Times New Roman"/>
          <w:sz w:val="24"/>
          <w:szCs w:val="24"/>
          <w:lang w:eastAsia="fr-FR"/>
        </w:rPr>
        <w:t xml:space="preserve">hèse. Elle constitue le prolongement d’une étude antérieure, portant sur le théâtre de Michel de Ghelderode. Mais nous avons cette fois, à titre d’approfondissement, opté pour une approche comparative avec donc un autre auteur de culture et d’époque différente (Kaki), à travers deux axes précis : la narratologie (métadiégèse) et la </w:t>
      </w:r>
      <w:r w:rsidR="00BE1E32">
        <w:rPr>
          <w:rFonts w:ascii="Times New Roman" w:eastAsia="Times New Roman" w:hAnsi="Times New Roman"/>
          <w:sz w:val="24"/>
          <w:szCs w:val="24"/>
          <w:lang w:eastAsia="fr-FR"/>
        </w:rPr>
        <w:t>sémiotique</w:t>
      </w:r>
      <w:r w:rsidRPr="00AD2D57">
        <w:rPr>
          <w:rFonts w:ascii="Times New Roman" w:eastAsia="Times New Roman" w:hAnsi="Times New Roman"/>
          <w:sz w:val="24"/>
          <w:szCs w:val="24"/>
          <w:lang w:eastAsia="fr-FR"/>
        </w:rPr>
        <w:t xml:space="preserve"> théâtrale. </w:t>
      </w:r>
    </w:p>
    <w:p w:rsidR="006A4EED" w:rsidRDefault="006A4EED" w:rsidP="00095FCC">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Notre questionnement tourne dès lors autour d’une question fondamentale : </w:t>
      </w:r>
    </w:p>
    <w:p w:rsidR="006A4EED" w:rsidRDefault="006A4EED" w:rsidP="00095FCC">
      <w:pPr>
        <w:spacing w:after="0" w:line="360" w:lineRule="auto"/>
        <w:ind w:firstLine="284"/>
        <w:jc w:val="both"/>
        <w:rPr>
          <w:rFonts w:ascii="Times New Roman" w:eastAsia="Times New Roman" w:hAnsi="Times New Roman"/>
          <w:iCs/>
          <w:sz w:val="24"/>
          <w:szCs w:val="24"/>
          <w:lang w:eastAsia="fr-FR"/>
        </w:rPr>
      </w:pPr>
      <w:r w:rsidRPr="0059606A">
        <w:rPr>
          <w:rFonts w:ascii="Times New Roman" w:eastAsia="Times New Roman" w:hAnsi="Times New Roman"/>
          <w:iCs/>
          <w:sz w:val="24"/>
          <w:szCs w:val="24"/>
          <w:lang w:eastAsia="fr-FR"/>
        </w:rPr>
        <w:t>Dans quelles mesures les formes et les procédés relevant de</w:t>
      </w:r>
      <w:r w:rsidR="00061A6C">
        <w:rPr>
          <w:rFonts w:ascii="Times New Roman" w:eastAsia="Times New Roman" w:hAnsi="Times New Roman"/>
          <w:iCs/>
          <w:sz w:val="24"/>
          <w:szCs w:val="24"/>
          <w:lang w:eastAsia="fr-FR"/>
        </w:rPr>
        <w:t xml:space="preserve"> la narratologie et de la sémiotique</w:t>
      </w:r>
      <w:r w:rsidR="00002EE3" w:rsidRPr="0059606A">
        <w:rPr>
          <w:rFonts w:ascii="Times New Roman" w:eastAsia="Times New Roman" w:hAnsi="Times New Roman"/>
          <w:iCs/>
          <w:sz w:val="24"/>
          <w:szCs w:val="24"/>
          <w:lang w:eastAsia="fr-FR"/>
        </w:rPr>
        <w:t xml:space="preserve"> </w:t>
      </w:r>
      <w:r w:rsidR="00C910D3">
        <w:rPr>
          <w:rFonts w:ascii="Times New Roman" w:eastAsia="Times New Roman" w:hAnsi="Times New Roman"/>
          <w:iCs/>
          <w:sz w:val="24"/>
          <w:szCs w:val="24"/>
          <w:lang w:eastAsia="fr-FR"/>
        </w:rPr>
        <w:t>discursive du théâtre</w:t>
      </w:r>
      <w:r w:rsidR="00002EE3" w:rsidRPr="0059606A">
        <w:rPr>
          <w:rFonts w:ascii="Times New Roman" w:eastAsia="Times New Roman" w:hAnsi="Times New Roman"/>
          <w:iCs/>
          <w:sz w:val="24"/>
          <w:szCs w:val="24"/>
          <w:lang w:eastAsia="fr-FR"/>
        </w:rPr>
        <w:t xml:space="preserve"> dans les œuvres </w:t>
      </w:r>
      <w:r w:rsidRPr="0059606A">
        <w:rPr>
          <w:rFonts w:ascii="Times New Roman" w:eastAsia="Times New Roman" w:hAnsi="Times New Roman"/>
          <w:i/>
          <w:sz w:val="24"/>
          <w:szCs w:val="24"/>
          <w:lang w:eastAsia="fr-FR"/>
        </w:rPr>
        <w:t>Bara</w:t>
      </w:r>
      <w:r w:rsidR="00140EBC" w:rsidRPr="0059606A">
        <w:rPr>
          <w:rFonts w:ascii="Times New Roman" w:eastAsia="Times New Roman" w:hAnsi="Times New Roman"/>
          <w:i/>
          <w:sz w:val="24"/>
          <w:szCs w:val="24"/>
          <w:lang w:eastAsia="fr-FR"/>
        </w:rPr>
        <w:t>b</w:t>
      </w:r>
      <w:r w:rsidRPr="0059606A">
        <w:rPr>
          <w:rFonts w:ascii="Times New Roman" w:eastAsia="Times New Roman" w:hAnsi="Times New Roman"/>
          <w:i/>
          <w:sz w:val="24"/>
          <w:szCs w:val="24"/>
          <w:lang w:eastAsia="fr-FR"/>
        </w:rPr>
        <w:t>bas</w:t>
      </w:r>
      <w:r w:rsidRPr="0059606A">
        <w:rPr>
          <w:rFonts w:ascii="Times New Roman" w:eastAsia="Times New Roman" w:hAnsi="Times New Roman"/>
          <w:iCs/>
          <w:sz w:val="24"/>
          <w:szCs w:val="24"/>
          <w:lang w:eastAsia="fr-FR"/>
        </w:rPr>
        <w:t xml:space="preserve"> de Ghelderode et </w:t>
      </w:r>
      <w:r w:rsidR="00140EBC" w:rsidRPr="0059606A">
        <w:rPr>
          <w:rFonts w:ascii="Times New Roman" w:hAnsi="Times New Roman"/>
          <w:bCs/>
          <w:i/>
          <w:iCs/>
          <w:sz w:val="24"/>
          <w:szCs w:val="24"/>
        </w:rPr>
        <w:t>Le Porteur d'eau et les Marabouts</w:t>
      </w:r>
      <w:r w:rsidRPr="0059606A">
        <w:rPr>
          <w:rFonts w:ascii="Times New Roman" w:eastAsia="Times New Roman" w:hAnsi="Times New Roman"/>
          <w:sz w:val="24"/>
          <w:szCs w:val="24"/>
          <w:lang w:eastAsia="fr-FR"/>
        </w:rPr>
        <w:t xml:space="preserve"> </w:t>
      </w:r>
      <w:r w:rsidRPr="0059606A">
        <w:rPr>
          <w:rFonts w:ascii="Times New Roman" w:eastAsia="Times New Roman" w:hAnsi="Times New Roman"/>
          <w:iCs/>
          <w:sz w:val="24"/>
          <w:szCs w:val="24"/>
          <w:lang w:eastAsia="fr-FR"/>
        </w:rPr>
        <w:t>de Kaki révèlent et valorisent-ils l’écriture dramatique?</w:t>
      </w:r>
    </w:p>
    <w:p w:rsidR="006A4EED" w:rsidRDefault="006A4EED" w:rsidP="00095FCC">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La question est posée. Elle vise à dégager, analyser et  évaluer la nature des rapports entre narratologie, </w:t>
      </w:r>
      <w:r w:rsidR="00BE1E32">
        <w:rPr>
          <w:rFonts w:ascii="Times New Roman" w:eastAsia="Times New Roman" w:hAnsi="Times New Roman"/>
          <w:sz w:val="24"/>
          <w:szCs w:val="24"/>
          <w:lang w:eastAsia="fr-FR"/>
        </w:rPr>
        <w:t>sémiotique</w:t>
      </w:r>
      <w:r w:rsidRPr="00AD2D57">
        <w:rPr>
          <w:rFonts w:ascii="Times New Roman" w:eastAsia="Times New Roman" w:hAnsi="Times New Roman"/>
          <w:sz w:val="24"/>
          <w:szCs w:val="24"/>
          <w:lang w:eastAsia="fr-FR"/>
        </w:rPr>
        <w:t xml:space="preserve"> et théâtralité. Elle s’interroge en somme sur la capacité des deux auteurs à puiser dans la technique et le jeu de ces deux procédés (métadiégèse et </w:t>
      </w:r>
      <w:r w:rsidR="00BE1E32">
        <w:rPr>
          <w:rFonts w:ascii="Times New Roman" w:eastAsia="Times New Roman" w:hAnsi="Times New Roman"/>
          <w:sz w:val="24"/>
          <w:szCs w:val="24"/>
          <w:lang w:eastAsia="fr-FR"/>
        </w:rPr>
        <w:t>sémiotique</w:t>
      </w:r>
      <w:r w:rsidRPr="00AD2D57">
        <w:rPr>
          <w:rFonts w:ascii="Times New Roman" w:eastAsia="Times New Roman" w:hAnsi="Times New Roman"/>
          <w:sz w:val="24"/>
          <w:szCs w:val="24"/>
          <w:lang w:eastAsia="fr-FR"/>
        </w:rPr>
        <w:t xml:space="preserve">) pour enrichir et célébrer le théâtre, lui permettant </w:t>
      </w:r>
      <w:r w:rsidR="00002EE3">
        <w:rPr>
          <w:rFonts w:ascii="Times New Roman" w:eastAsia="Times New Roman" w:hAnsi="Times New Roman"/>
          <w:sz w:val="24"/>
          <w:szCs w:val="24"/>
          <w:lang w:eastAsia="fr-FR"/>
        </w:rPr>
        <w:t>d</w:t>
      </w:r>
      <w:r w:rsidRPr="00AD2D57">
        <w:rPr>
          <w:rFonts w:ascii="Times New Roman" w:eastAsia="Times New Roman" w:hAnsi="Times New Roman"/>
          <w:sz w:val="24"/>
          <w:szCs w:val="24"/>
          <w:lang w:eastAsia="fr-FR"/>
        </w:rPr>
        <w:t xml:space="preserve">’atteindre ses objectifs littéraires et sociaux. </w:t>
      </w:r>
    </w:p>
    <w:p w:rsidR="006A4EED" w:rsidRDefault="006A4EED" w:rsidP="00C24B60">
      <w:pPr>
        <w:pStyle w:val="Default"/>
        <w:spacing w:line="360" w:lineRule="auto"/>
        <w:ind w:firstLine="284"/>
        <w:jc w:val="both"/>
      </w:pPr>
      <w:r w:rsidRPr="0059606A">
        <w:t>Un tel questionnement commande en réalité, d’adjoindre à la problématique quelques questions associées (Q1, Q2 et Q3, Q4) qui sont le prolongement de la question fondamentale et permettent de l’opérationnaliser. Ces questions secondaires sont en outre reliées aux différentes dimensions de ce travail et vont constituer autant d’axes d’analyse :</w:t>
      </w:r>
    </w:p>
    <w:p w:rsidR="006A4EED" w:rsidRPr="00DF5B0B" w:rsidRDefault="006A4EED" w:rsidP="00230C65">
      <w:pPr>
        <w:pStyle w:val="Default"/>
        <w:numPr>
          <w:ilvl w:val="0"/>
          <w:numId w:val="48"/>
        </w:numPr>
        <w:spacing w:line="360" w:lineRule="auto"/>
        <w:ind w:left="1066" w:hanging="357"/>
        <w:jc w:val="both"/>
      </w:pPr>
      <w:r w:rsidRPr="0059606A">
        <w:t xml:space="preserve">La dimension de la narratologie : quelles sont les formes et procédés relevant de la narratologie et </w:t>
      </w:r>
      <w:r w:rsidRPr="00DF5B0B">
        <w:t>précisément de la métadiégèse dans les deux œuvres ?</w:t>
      </w:r>
    </w:p>
    <w:p w:rsidR="00061A6C" w:rsidRPr="00DF5B0B" w:rsidRDefault="006A4EED" w:rsidP="00230C65">
      <w:pPr>
        <w:pStyle w:val="Default"/>
        <w:numPr>
          <w:ilvl w:val="0"/>
          <w:numId w:val="48"/>
        </w:numPr>
        <w:spacing w:line="360" w:lineRule="auto"/>
        <w:ind w:left="1066" w:hanging="357"/>
        <w:jc w:val="both"/>
      </w:pPr>
      <w:r w:rsidRPr="00DF5B0B">
        <w:t>La dimension de la sémiotique </w:t>
      </w:r>
      <w:r w:rsidR="00061A6C" w:rsidRPr="00DF5B0B">
        <w:t xml:space="preserve">discursive </w:t>
      </w:r>
      <w:r w:rsidRPr="00DF5B0B">
        <w:t xml:space="preserve">: </w:t>
      </w:r>
      <w:r w:rsidR="00061A6C" w:rsidRPr="00DF5B0B">
        <w:t>q</w:t>
      </w:r>
      <w:r w:rsidRPr="00DF5B0B">
        <w:t xml:space="preserve">uelles sont les formes et </w:t>
      </w:r>
      <w:r w:rsidR="00061A6C" w:rsidRPr="00DF5B0B">
        <w:t xml:space="preserve">les </w:t>
      </w:r>
      <w:r w:rsidRPr="00DF5B0B">
        <w:t xml:space="preserve">procédés </w:t>
      </w:r>
      <w:r w:rsidR="00061A6C" w:rsidRPr="00DF5B0B">
        <w:t>de</w:t>
      </w:r>
      <w:r w:rsidRPr="00DF5B0B">
        <w:t xml:space="preserve"> la </w:t>
      </w:r>
      <w:r w:rsidR="00BE1E32" w:rsidRPr="00DF5B0B">
        <w:t>sémiotique</w:t>
      </w:r>
      <w:r w:rsidRPr="00DF5B0B">
        <w:t xml:space="preserve"> théâtrale dans les deux œuvres ?</w:t>
      </w:r>
      <w:r w:rsidR="00061A6C" w:rsidRPr="00DF5B0B">
        <w:t xml:space="preserve"> Notamment en termes de procédés d’énonciation ou de polyphonie des genres et des discours</w:t>
      </w:r>
    </w:p>
    <w:p w:rsidR="006A4EED" w:rsidRPr="00DF5B0B" w:rsidRDefault="006A4EED" w:rsidP="00230C65">
      <w:pPr>
        <w:pStyle w:val="Default"/>
        <w:numPr>
          <w:ilvl w:val="0"/>
          <w:numId w:val="48"/>
        </w:numPr>
        <w:spacing w:line="360" w:lineRule="auto"/>
        <w:ind w:left="1066" w:hanging="357"/>
        <w:jc w:val="both"/>
      </w:pPr>
      <w:r w:rsidRPr="00DF5B0B">
        <w:t>La dimension de la confrontation de nos œuvres : quels rapprochement</w:t>
      </w:r>
      <w:r w:rsidR="007D4387">
        <w:t>s</w:t>
      </w:r>
      <w:r w:rsidRPr="00DF5B0B">
        <w:t xml:space="preserve"> narratolog</w:t>
      </w:r>
      <w:r w:rsidR="00061A6C" w:rsidRPr="00DF5B0B">
        <w:t>iques et sémiologiques peut-on opérer</w:t>
      </w:r>
      <w:r w:rsidRPr="00DF5B0B">
        <w:t xml:space="preserve"> entre les deux œuvres ?</w:t>
      </w:r>
    </w:p>
    <w:p w:rsidR="006A4EED" w:rsidRDefault="006A4EED" w:rsidP="00230C65">
      <w:pPr>
        <w:pStyle w:val="Default"/>
        <w:numPr>
          <w:ilvl w:val="0"/>
          <w:numId w:val="48"/>
        </w:numPr>
        <w:spacing w:line="360" w:lineRule="auto"/>
        <w:ind w:left="1066" w:hanging="357"/>
        <w:jc w:val="both"/>
      </w:pPr>
      <w:r w:rsidRPr="00DF5B0B">
        <w:lastRenderedPageBreak/>
        <w:t>La dimension des enseignements : comment ces procédés</w:t>
      </w:r>
      <w:r w:rsidRPr="0059606A">
        <w:t xml:space="preserve"> révèlent et valorisent la théâtralité ?</w:t>
      </w:r>
    </w:p>
    <w:p w:rsidR="006A4EED" w:rsidRPr="00AD2D57" w:rsidRDefault="006A4EED" w:rsidP="00A25020">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Répondre à la problématique centrale et précisément à ces différentes questions associées va dès lors constituer le corpus de cette thèse.</w:t>
      </w:r>
    </w:p>
    <w:p w:rsidR="006A4EED" w:rsidRDefault="006A4EED" w:rsidP="00A25020">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Parlons tout d’abord de narratologie et de métadiégèse. Il faut dire que la théâtralité ne serait pas le privilège de la chose représentée mais bel et bien du mouvement d'écriture par lequel on représente. A l’instar de toute œuvre littéraire, le théâtre s’adosse sur des manières particulières d’écriture, dont la diégèse en constitue une des principales. Ainsi, le substantif diégèse (du grec ancien διήγησις / diếgêsis) recouvre plusieurs acceptions</w:t>
      </w:r>
      <w:r w:rsidRPr="00AD2D57">
        <w:rPr>
          <w:rStyle w:val="Appelnotedebasdep"/>
          <w:rFonts w:ascii="Times New Roman" w:hAnsi="Times New Roman"/>
          <w:sz w:val="24"/>
          <w:szCs w:val="24"/>
          <w:lang w:eastAsia="fr-FR"/>
        </w:rPr>
        <w:footnoteReference w:id="3"/>
      </w:r>
      <w:r w:rsidRPr="00AD2D57">
        <w:rPr>
          <w:rFonts w:ascii="Times New Roman" w:eastAsia="Times New Roman" w:hAnsi="Times New Roman"/>
          <w:sz w:val="24"/>
          <w:szCs w:val="24"/>
          <w:lang w:eastAsia="fr-FR"/>
        </w:rPr>
        <w:t xml:space="preserve"> :</w:t>
      </w:r>
    </w:p>
    <w:p w:rsidR="006A4EED" w:rsidRPr="00061A6C" w:rsidRDefault="006A4EED" w:rsidP="00230C65">
      <w:pPr>
        <w:numPr>
          <w:ilvl w:val="0"/>
          <w:numId w:val="15"/>
        </w:numPr>
        <w:spacing w:after="0" w:line="360" w:lineRule="auto"/>
        <w:ind w:left="1066" w:hanging="357"/>
        <w:contextualSpacing/>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dans les mécanismes de narration, la diégèse est le fait de </w:t>
      </w:r>
      <w:r w:rsidRPr="00AD2D57">
        <w:rPr>
          <w:rFonts w:ascii="Times New Roman" w:eastAsia="Times New Roman" w:hAnsi="Times New Roman"/>
          <w:i/>
          <w:sz w:val="24"/>
          <w:szCs w:val="24"/>
          <w:lang w:eastAsia="fr-FR"/>
        </w:rPr>
        <w:t>raconter les choses</w:t>
      </w:r>
      <w:r w:rsidRPr="00AD2D57">
        <w:rPr>
          <w:rFonts w:ascii="Times New Roman" w:eastAsia="Times New Roman" w:hAnsi="Times New Roman"/>
          <w:sz w:val="24"/>
          <w:szCs w:val="24"/>
          <w:lang w:eastAsia="fr-FR"/>
        </w:rPr>
        <w:t xml:space="preserve">, et s'oppose au principe de mimesis qui consiste à </w:t>
      </w:r>
      <w:r w:rsidRPr="00AD2D57">
        <w:rPr>
          <w:rFonts w:ascii="Times New Roman" w:eastAsia="Times New Roman" w:hAnsi="Times New Roman"/>
          <w:i/>
          <w:sz w:val="24"/>
          <w:szCs w:val="24"/>
          <w:lang w:eastAsia="fr-FR"/>
        </w:rPr>
        <w:t>montrer les choses</w:t>
      </w:r>
      <w:r w:rsidRPr="00AD2D57">
        <w:rPr>
          <w:rFonts w:ascii="Times New Roman" w:eastAsia="Times New Roman" w:hAnsi="Times New Roman"/>
          <w:sz w:val="24"/>
          <w:szCs w:val="24"/>
          <w:lang w:eastAsia="fr-FR"/>
        </w:rPr>
        <w:t xml:space="preserve"> ;</w:t>
      </w:r>
      <w:r w:rsidR="00061A6C">
        <w:rPr>
          <w:rFonts w:ascii="Times New Roman" w:eastAsia="Times New Roman" w:hAnsi="Times New Roman"/>
          <w:sz w:val="24"/>
          <w:szCs w:val="24"/>
          <w:lang w:eastAsia="fr-FR"/>
        </w:rPr>
        <w:t xml:space="preserve">  </w:t>
      </w:r>
      <w:r w:rsidRPr="00061A6C">
        <w:rPr>
          <w:rFonts w:ascii="Times New Roman" w:eastAsia="Times New Roman" w:hAnsi="Times New Roman"/>
          <w:sz w:val="24"/>
          <w:szCs w:val="24"/>
          <w:lang w:eastAsia="fr-FR"/>
        </w:rPr>
        <w:t>c'est l'univers d'une œuvre, le monde qu'elle évoque et dont elle représente une partie. Pour le cas d’espèce, nous sommes intéressés par la première acception, à savoir la narratologie, pour laquelle on peut distinguer plusieurs niveaux diégétiques</w:t>
      </w:r>
      <w:r w:rsidRPr="00AD2D57">
        <w:rPr>
          <w:rStyle w:val="Appelnotedebasdep"/>
          <w:rFonts w:ascii="Times New Roman" w:hAnsi="Times New Roman"/>
          <w:sz w:val="24"/>
          <w:szCs w:val="24"/>
          <w:lang w:eastAsia="fr-FR"/>
        </w:rPr>
        <w:footnoteReference w:id="4"/>
      </w:r>
      <w:r w:rsidRPr="00061A6C">
        <w:rPr>
          <w:rFonts w:ascii="Times New Roman" w:eastAsia="Times New Roman" w:hAnsi="Times New Roman"/>
          <w:sz w:val="24"/>
          <w:szCs w:val="24"/>
          <w:lang w:eastAsia="fr-FR"/>
        </w:rPr>
        <w:t xml:space="preserve"> :</w:t>
      </w:r>
    </w:p>
    <w:p w:rsidR="006A4EED" w:rsidRPr="00AD2D57" w:rsidRDefault="006A4EED" w:rsidP="00230C65">
      <w:pPr>
        <w:numPr>
          <w:ilvl w:val="0"/>
          <w:numId w:val="15"/>
        </w:numPr>
        <w:spacing w:after="0" w:line="360" w:lineRule="auto"/>
        <w:ind w:left="1066" w:hanging="357"/>
        <w:contextualSpacing/>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le niveau extradiégétique : c'est le niveau du narrateur lorsque celui-ci ne fait pas partie de la fiction (par exemple narrateur omniscient), cela désigne tout ce qui est extérieur à la fiction ;</w:t>
      </w:r>
    </w:p>
    <w:p w:rsidR="006A4EED" w:rsidRPr="00AD2D57" w:rsidRDefault="006A4EED" w:rsidP="00230C65">
      <w:pPr>
        <w:numPr>
          <w:ilvl w:val="0"/>
          <w:numId w:val="15"/>
        </w:numPr>
        <w:spacing w:after="0" w:line="360" w:lineRule="auto"/>
        <w:ind w:left="1066" w:hanging="357"/>
        <w:contextualSpacing/>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le niveau diégétique ou intradiégétique : c'est le niveau des personnages, de leurs pensées, de leurs actions ;</w:t>
      </w:r>
    </w:p>
    <w:p w:rsidR="006A4EED" w:rsidRDefault="006A4EED" w:rsidP="00230C65">
      <w:pPr>
        <w:numPr>
          <w:ilvl w:val="0"/>
          <w:numId w:val="15"/>
        </w:numPr>
        <w:spacing w:after="0" w:line="360" w:lineRule="auto"/>
        <w:ind w:left="1066" w:hanging="357"/>
        <w:contextualSpacing/>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le niveau métadiégétique ou hypodiégétique : c'est lorsque la diégèse contient elle-même une diégèse, par exemple un personnage-narrateur. Au niveau métadiégétique, lorsque le personnage-narrateur prend lui-même part aux éléments du récit qu'il raconte, il est dit « homodiégétique » ; lorsqu'il raconte des histoires dont il est absent, il est dit « hétérodiégétique »</w:t>
      </w:r>
      <w:r w:rsidRPr="009E414B">
        <w:rPr>
          <w:rFonts w:ascii="Times New Roman" w:eastAsia="Times New Roman" w:hAnsi="Times New Roman"/>
          <w:sz w:val="24"/>
          <w:szCs w:val="24"/>
          <w:lang w:eastAsia="fr-FR"/>
        </w:rPr>
        <w:t>.</w:t>
      </w:r>
    </w:p>
    <w:p w:rsidR="006A4EED" w:rsidRDefault="006A4EED" w:rsidP="000D2D9E">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Les corpus que nous nous proposons d’analyser, chez Kaki comme chez Ghelderode, nous mettent en relation avec le personnage de l’auteur/acteur, avec cet être qui est toujours au seuil, ni complètement à l’intérieur, ni complètement à </w:t>
      </w:r>
      <w:r w:rsidRPr="00AD2D57">
        <w:rPr>
          <w:rFonts w:ascii="Times New Roman" w:eastAsia="Times New Roman" w:hAnsi="Times New Roman"/>
          <w:sz w:val="24"/>
          <w:szCs w:val="24"/>
          <w:lang w:eastAsia="fr-FR"/>
        </w:rPr>
        <w:lastRenderedPageBreak/>
        <w:t xml:space="preserve">l’extérieur du texte, puisqu’on parle de théâtre et donc aussi de spectacle. Les deux pièces présentent chacune des caractéristiques spécifiques que nous éluderons au profit de la seule métadiégèse et de la théâtralité, telles qu’elles s’expriment dans les deux œuvres. </w:t>
      </w:r>
    </w:p>
    <w:p w:rsidR="006A4EED" w:rsidRDefault="00D9361C" w:rsidP="000D2D9E">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Dans notre t</w:t>
      </w:r>
      <w:r w:rsidR="006A4EED" w:rsidRPr="00AD2D57">
        <w:rPr>
          <w:rFonts w:ascii="Times New Roman" w:eastAsia="Times New Roman" w:hAnsi="Times New Roman"/>
          <w:sz w:val="24"/>
          <w:szCs w:val="24"/>
          <w:lang w:eastAsia="fr-FR"/>
        </w:rPr>
        <w:t xml:space="preserve">hèse, nous rentrerons naturellement au cœur de cette technique afin de comprendre ses mécanismes littéraires et dramatiques. Mais la question qui se pose déjà est bien évidemment celle de savoir : que révèle </w:t>
      </w:r>
      <w:r w:rsidR="006A4EED" w:rsidRPr="00AD2D57">
        <w:rPr>
          <w:rFonts w:ascii="Times New Roman" w:eastAsia="Times New Roman" w:hAnsi="Times New Roman"/>
          <w:i/>
          <w:sz w:val="24"/>
          <w:szCs w:val="24"/>
          <w:lang w:eastAsia="fr-FR"/>
        </w:rPr>
        <w:t>in fine</w:t>
      </w:r>
      <w:r w:rsidR="006A4EED" w:rsidRPr="00AD2D57">
        <w:rPr>
          <w:rFonts w:ascii="Times New Roman" w:eastAsia="Times New Roman" w:hAnsi="Times New Roman"/>
          <w:sz w:val="24"/>
          <w:szCs w:val="24"/>
          <w:lang w:eastAsia="fr-FR"/>
        </w:rPr>
        <w:t xml:space="preserve"> cette métadiégèse ?  </w:t>
      </w:r>
      <w:r>
        <w:rPr>
          <w:rFonts w:ascii="Times New Roman" w:eastAsia="Times New Roman" w:hAnsi="Times New Roman"/>
          <w:sz w:val="24"/>
          <w:szCs w:val="24"/>
          <w:lang w:eastAsia="fr-FR"/>
        </w:rPr>
        <w:t>À</w:t>
      </w:r>
      <w:r w:rsidR="006A4EED" w:rsidRPr="00AD2D57">
        <w:rPr>
          <w:rFonts w:ascii="Times New Roman" w:eastAsia="Times New Roman" w:hAnsi="Times New Roman"/>
          <w:sz w:val="24"/>
          <w:szCs w:val="24"/>
          <w:lang w:eastAsia="fr-FR"/>
        </w:rPr>
        <w:t xml:space="preserve"> quelles fins ce procédé est-il utilisé chez Kaki comme chez Ghelderode et quel</w:t>
      </w:r>
      <w:r>
        <w:rPr>
          <w:rFonts w:ascii="Times New Roman" w:eastAsia="Times New Roman" w:hAnsi="Times New Roman"/>
          <w:sz w:val="24"/>
          <w:szCs w:val="24"/>
          <w:lang w:eastAsia="fr-FR"/>
        </w:rPr>
        <w:t>le</w:t>
      </w:r>
      <w:r w:rsidR="006A4EED" w:rsidRPr="00AD2D57">
        <w:rPr>
          <w:rFonts w:ascii="Times New Roman" w:eastAsia="Times New Roman" w:hAnsi="Times New Roman"/>
          <w:sz w:val="24"/>
          <w:szCs w:val="24"/>
          <w:lang w:eastAsia="fr-FR"/>
        </w:rPr>
        <w:t>s en sont les incidences sur le théâtre et</w:t>
      </w:r>
      <w:r>
        <w:rPr>
          <w:rFonts w:ascii="Times New Roman" w:eastAsia="Times New Roman" w:hAnsi="Times New Roman"/>
          <w:sz w:val="24"/>
          <w:szCs w:val="24"/>
          <w:lang w:eastAsia="fr-FR"/>
        </w:rPr>
        <w:t xml:space="preserve"> la théâtralité ? Nous allons tâ</w:t>
      </w:r>
      <w:r w:rsidR="006A4EED" w:rsidRPr="00AD2D57">
        <w:rPr>
          <w:rFonts w:ascii="Times New Roman" w:eastAsia="Times New Roman" w:hAnsi="Times New Roman"/>
          <w:sz w:val="24"/>
          <w:szCs w:val="24"/>
          <w:lang w:eastAsia="fr-FR"/>
        </w:rPr>
        <w:t xml:space="preserve">cher de le découvrir. Disons déjà, à ce niveau, qu’on y trouve les ingrédients d’une volonté de peindre la société et de glisser des messages à travers des mots, des attitudes ou des actes du personnage narrateur qui raconte et se raconte. Peut-être les prémisses de l’engagement dans le théâtre ? </w:t>
      </w:r>
    </w:p>
    <w:p w:rsidR="006A4EED" w:rsidRDefault="00061A6C" w:rsidP="007D4387">
      <w:pPr>
        <w:spacing w:after="0" w:line="360" w:lineRule="auto"/>
        <w:ind w:firstLine="284"/>
        <w:jc w:val="both"/>
        <w:rPr>
          <w:rFonts w:ascii="Times New Roman" w:eastAsia="Times New Roman" w:hAnsi="Times New Roman"/>
          <w:sz w:val="24"/>
          <w:szCs w:val="24"/>
          <w:lang w:eastAsia="fr-FR"/>
        </w:rPr>
      </w:pPr>
      <w:r w:rsidRPr="00DF5B0B">
        <w:rPr>
          <w:rFonts w:ascii="Times New Roman" w:eastAsia="Times New Roman" w:hAnsi="Times New Roman"/>
          <w:sz w:val="24"/>
          <w:szCs w:val="24"/>
          <w:lang w:eastAsia="fr-FR"/>
        </w:rPr>
        <w:t xml:space="preserve">Si on </w:t>
      </w:r>
      <w:r w:rsidR="007D4387" w:rsidRPr="00DF5B0B">
        <w:rPr>
          <w:rFonts w:ascii="Times New Roman" w:eastAsia="Times New Roman" w:hAnsi="Times New Roman"/>
          <w:sz w:val="24"/>
          <w:szCs w:val="24"/>
          <w:lang w:eastAsia="fr-FR"/>
        </w:rPr>
        <w:t>considère</w:t>
      </w:r>
      <w:r w:rsidR="007D4387">
        <w:rPr>
          <w:rFonts w:ascii="Times New Roman" w:eastAsia="Times New Roman" w:hAnsi="Times New Roman"/>
          <w:sz w:val="24"/>
          <w:szCs w:val="24"/>
          <w:lang w:eastAsia="fr-FR"/>
        </w:rPr>
        <w:t xml:space="preserve"> le théâtre de </w:t>
      </w:r>
      <w:r w:rsidR="006A4EED" w:rsidRPr="00DF5B0B">
        <w:rPr>
          <w:rFonts w:ascii="Times New Roman" w:eastAsia="Times New Roman" w:hAnsi="Times New Roman"/>
          <w:sz w:val="24"/>
          <w:szCs w:val="24"/>
          <w:lang w:eastAsia="fr-FR"/>
        </w:rPr>
        <w:t>Kak</w:t>
      </w:r>
      <w:r w:rsidRPr="00DF5B0B">
        <w:rPr>
          <w:rFonts w:ascii="Times New Roman" w:eastAsia="Times New Roman" w:hAnsi="Times New Roman"/>
          <w:sz w:val="24"/>
          <w:szCs w:val="24"/>
          <w:lang w:eastAsia="fr-FR"/>
        </w:rPr>
        <w:t xml:space="preserve">i, l’on peut </w:t>
      </w:r>
      <w:r w:rsidR="007D4387">
        <w:rPr>
          <w:rFonts w:ascii="Times New Roman" w:eastAsia="Times New Roman" w:hAnsi="Times New Roman"/>
          <w:sz w:val="24"/>
          <w:szCs w:val="24"/>
          <w:lang w:eastAsia="fr-FR"/>
        </w:rPr>
        <w:t xml:space="preserve">vraisemblablement </w:t>
      </w:r>
      <w:r w:rsidRPr="00DF5B0B">
        <w:rPr>
          <w:rFonts w:ascii="Times New Roman" w:eastAsia="Times New Roman" w:hAnsi="Times New Roman"/>
          <w:sz w:val="24"/>
          <w:szCs w:val="24"/>
          <w:lang w:eastAsia="fr-FR"/>
        </w:rPr>
        <w:t>dire que l’</w:t>
      </w:r>
      <w:r w:rsidR="006A4EED" w:rsidRPr="00DF5B0B">
        <w:rPr>
          <w:rFonts w:ascii="Times New Roman" w:eastAsia="Times New Roman" w:hAnsi="Times New Roman"/>
          <w:sz w:val="24"/>
          <w:szCs w:val="24"/>
          <w:lang w:eastAsia="fr-FR"/>
        </w:rPr>
        <w:t>engagement semble être permanent, pour le théâtre de Kaki</w:t>
      </w:r>
      <w:r w:rsidR="006A4EED" w:rsidRPr="00AD2D57">
        <w:rPr>
          <w:rFonts w:ascii="Times New Roman" w:eastAsia="Times New Roman" w:hAnsi="Times New Roman"/>
          <w:sz w:val="24"/>
          <w:szCs w:val="24"/>
          <w:lang w:eastAsia="fr-FR"/>
        </w:rPr>
        <w:t xml:space="preserve"> comme pour le théâtre algérien. Les dramaturges algériens font ainsi partie de ces intellectuels, dont la pratique du théâtre est liée, non seulement à une esthétique, mais plus encore à un profond engagement politique et social, liant le théâtre à une certaine forme de responsabilité historique. Son but n’est plus de servir de miroir, mais d’offrir une image autre de certains mouvements de l’histoire, de certains destins, afin que le lecteur ou le spectateur y reconnaisse la parenté avec l’histoire de son temps</w:t>
      </w:r>
      <w:r w:rsidR="006A4EED" w:rsidRPr="00AD2D57">
        <w:rPr>
          <w:rFonts w:ascii="Times New Roman" w:eastAsia="Times New Roman" w:hAnsi="Times New Roman"/>
          <w:sz w:val="24"/>
          <w:szCs w:val="24"/>
          <w:vertAlign w:val="superscript"/>
          <w:lang w:eastAsia="fr-FR"/>
        </w:rPr>
        <w:footnoteReference w:id="5"/>
      </w:r>
      <w:r w:rsidR="006A4EED" w:rsidRPr="00AD2D57">
        <w:rPr>
          <w:rFonts w:ascii="Times New Roman" w:eastAsia="Times New Roman" w:hAnsi="Times New Roman"/>
          <w:sz w:val="24"/>
          <w:szCs w:val="24"/>
          <w:lang w:eastAsia="fr-FR"/>
        </w:rPr>
        <w:t>.</w:t>
      </w:r>
    </w:p>
    <w:p w:rsidR="006A4EED" w:rsidRDefault="006A4EED" w:rsidP="000C5249">
      <w:pPr>
        <w:spacing w:after="0" w:line="360" w:lineRule="auto"/>
        <w:ind w:firstLine="284"/>
        <w:jc w:val="both"/>
        <w:rPr>
          <w:rFonts w:ascii="Times New Roman" w:eastAsia="Times New Roman" w:hAnsi="Times New Roman"/>
          <w:sz w:val="24"/>
          <w:szCs w:val="24"/>
          <w:lang w:eastAsia="fr-FR"/>
        </w:rPr>
      </w:pPr>
      <w:r w:rsidRPr="000C5249">
        <w:rPr>
          <w:rFonts w:ascii="Times New Roman" w:eastAsia="Times New Roman" w:hAnsi="Times New Roman"/>
          <w:sz w:val="24"/>
          <w:szCs w:val="24"/>
          <w:lang w:eastAsia="fr-FR"/>
        </w:rPr>
        <w:t>Comment</w:t>
      </w:r>
      <w:r w:rsidRPr="00AD2D57">
        <w:rPr>
          <w:rFonts w:ascii="Times New Roman" w:eastAsia="Times New Roman" w:hAnsi="Times New Roman"/>
          <w:sz w:val="24"/>
          <w:szCs w:val="24"/>
          <w:lang w:eastAsia="fr-FR"/>
        </w:rPr>
        <w:t xml:space="preserve"> cela se traduit-il d’un point de vue littéraire et comment le relier à la narratologie? Revenons au théâtre classique pour le comprendre. Comme toutes les manifestations antiques, le théâtre grec tient une forte composante religieuse. Cet aspect s’explique par son origine. En effet, il est né des hymnes en l’honneur de Dionysos, dieu du vin, de l’ivresse et de la fête. Ces dionysies se sont peu à peu transformés en pièces de théâtre : un chanteur se détache des autres et leur répond, puis un acteur donne la réplique au chœur (l’ensemble des chanteurs). Un deuxième acteur puis un troisième sont introduits par Eschyle puis par Sophocle. De cette origine religieuse, le théâtre a conservé des scènes rituelles (scènes de </w:t>
      </w:r>
      <w:r w:rsidRPr="00AD2D57">
        <w:rPr>
          <w:rFonts w:ascii="Times New Roman" w:eastAsia="Times New Roman" w:hAnsi="Times New Roman"/>
          <w:sz w:val="24"/>
          <w:szCs w:val="24"/>
          <w:lang w:eastAsia="fr-FR"/>
        </w:rPr>
        <w:lastRenderedPageBreak/>
        <w:t>deuil, de sacrifice, de supplication) et des chants en l’honneur des dieux. On est dans le procédé narratologique, avec l’objectif de narrer, enseigner, éduquer. On est dans l’engagement.</w:t>
      </w:r>
    </w:p>
    <w:p w:rsidR="00140EBC" w:rsidRDefault="006A4EED" w:rsidP="00EC3F2A">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D’autres aspects relient cette narratologie, cette métadiégèse à l’engagement dans le théâtre. D’abord son public. Le théâtre, dans son acception populaire, a toujours fait partie intégrante de la vie de la cité et des cités. Le prix des places était très modique et les plus pauvres pouvaient assister gratuitement au spectacle, recevant même de l’argent pour compenser la perte de leur journée de travail. Le théâtre n’est donc pas, à l’origine, un spectacle réservé aux plus riches. C’est une cérémonie qui rassemble toute la cité.</w:t>
      </w:r>
    </w:p>
    <w:p w:rsidR="006A4EED" w:rsidRDefault="006A4EED" w:rsidP="002A028F">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Ensuite le rapport au réel. Aristote emploie le mot </w:t>
      </w:r>
      <w:r w:rsidRPr="00AD2D57">
        <w:rPr>
          <w:rFonts w:ascii="Times New Roman" w:eastAsia="Times New Roman" w:hAnsi="Times New Roman"/>
          <w:i/>
          <w:sz w:val="24"/>
          <w:szCs w:val="24"/>
          <w:lang w:eastAsia="fr-FR"/>
        </w:rPr>
        <w:t>mimesis</w:t>
      </w:r>
      <w:r w:rsidRPr="00AD2D57">
        <w:rPr>
          <w:rFonts w:ascii="Times New Roman" w:eastAsia="Times New Roman" w:hAnsi="Times New Roman"/>
          <w:sz w:val="24"/>
          <w:szCs w:val="24"/>
          <w:lang w:eastAsia="fr-FR"/>
        </w:rPr>
        <w:t xml:space="preserve"> dans sa poétique pour décrire l'imitation, la représentation du réel par la littérature. Le mot est utilisé par divers chercheurs pour désigner des types variés d'imitation. Les grecs jouaient donc du théâtre pour faire face aux mystères et conflits qui les inquiétaient. Ils cherchaient à créer un miroir social, un reflet plus ou moins caricatural de la société, qui leur permettait de mieux la comprendre, et de mieux dénoncer ses imperfections, et de véhiculer les courants de pensées de l’époque. La religion et la politique en étaient deux thèmes récurrents. </w:t>
      </w:r>
    </w:p>
    <w:p w:rsidR="006A4EED" w:rsidRPr="00BD34A2" w:rsidRDefault="006A4EED" w:rsidP="009C1B42">
      <w:pPr>
        <w:spacing w:after="0" w:line="360" w:lineRule="auto"/>
        <w:ind w:firstLine="284"/>
        <w:jc w:val="both"/>
        <w:rPr>
          <w:rFonts w:asciiTheme="majorBidi" w:hAnsiTheme="majorBidi" w:cstheme="majorBidi"/>
          <w:sz w:val="24"/>
          <w:szCs w:val="24"/>
          <w:lang w:eastAsia="fr-FR"/>
        </w:rPr>
      </w:pPr>
      <w:r w:rsidRPr="00AD2D57">
        <w:rPr>
          <w:rFonts w:ascii="Times New Roman" w:eastAsia="Times New Roman" w:hAnsi="Times New Roman"/>
          <w:sz w:val="24"/>
          <w:szCs w:val="24"/>
          <w:lang w:eastAsia="fr-FR"/>
        </w:rPr>
        <w:t xml:space="preserve">La catharsis est l’épuration des passions par le moyen de la représentation dramatique : en assistant à un spectacle théâtral, l'être humain se libère de ses pulsions, angoisses ou fantasmes en les vivant à travers le héros ou les situations représentées sous ses yeux. Pour Aristote le terme est surtout médical mais il sera interprété ensuite comme une purification morale. En s'identifiant à des personnages dont les passions coupables sont punies par le destin, le spectateur de la tragédie se voit délivré, purgé des sentiments inavouables qu'il peut éprouver secrètement. Le théâtre a dès lors pour les théoriciens du classicisme une valeur morale, une fonction édifiante. Plus largement, la catharsis consiste à se délivrer d'un sentiment encore inavoué. Le spectateur ne se libère pas de ses émotions en voyant des exemples édifiants, mais c'est plutôt le dispositif scénique, le mode de la représentation, qui le purge de ses émotions. L'homme peut « prendre plaisir aux représentations » : </w:t>
      </w:r>
      <w:r w:rsidR="00BD34A2" w:rsidRPr="00BD34A2">
        <w:rPr>
          <w:rFonts w:asciiTheme="majorBidi" w:eastAsia="Times New Roman" w:hAnsiTheme="majorBidi" w:cstheme="majorBidi"/>
          <w:sz w:val="24"/>
          <w:szCs w:val="24"/>
          <w:lang w:eastAsia="fr-FR"/>
        </w:rPr>
        <w:t xml:space="preserve">« </w:t>
      </w:r>
      <w:r w:rsidRPr="00BD34A2">
        <w:rPr>
          <w:rFonts w:asciiTheme="majorBidi" w:hAnsiTheme="majorBidi" w:cstheme="majorBidi"/>
          <w:sz w:val="24"/>
          <w:szCs w:val="24"/>
          <w:lang w:eastAsia="fr-FR"/>
        </w:rPr>
        <w:t xml:space="preserve">Nous prenons plaisir à contempler les images les plus exactes </w:t>
      </w:r>
      <w:r w:rsidRPr="00BD34A2">
        <w:rPr>
          <w:rFonts w:asciiTheme="majorBidi" w:hAnsiTheme="majorBidi" w:cstheme="majorBidi"/>
          <w:sz w:val="24"/>
          <w:szCs w:val="24"/>
          <w:lang w:eastAsia="fr-FR"/>
        </w:rPr>
        <w:lastRenderedPageBreak/>
        <w:t>de choses dont la vue nous est pénible dans la réalité, comme les formes d'animaux les plus méprisés et des cadavres</w:t>
      </w:r>
      <w:r w:rsidR="00BD34A2" w:rsidRPr="00BD34A2">
        <w:rPr>
          <w:rFonts w:asciiTheme="majorBidi" w:hAnsiTheme="majorBidi" w:cstheme="majorBidi"/>
          <w:sz w:val="24"/>
          <w:szCs w:val="24"/>
          <w:lang w:eastAsia="fr-FR"/>
        </w:rPr>
        <w:t> »</w:t>
      </w:r>
      <w:r w:rsidRPr="00BD34A2">
        <w:rPr>
          <w:rFonts w:asciiTheme="majorBidi" w:hAnsiTheme="majorBidi" w:cstheme="majorBidi"/>
          <w:sz w:val="24"/>
          <w:szCs w:val="24"/>
          <w:vertAlign w:val="superscript"/>
          <w:lang w:eastAsia="fr-FR"/>
        </w:rPr>
        <w:footnoteReference w:id="6"/>
      </w:r>
      <w:r w:rsidR="009C1B42">
        <w:rPr>
          <w:rFonts w:asciiTheme="majorBidi" w:hAnsiTheme="majorBidi" w:cstheme="majorBidi"/>
          <w:sz w:val="24"/>
          <w:szCs w:val="24"/>
          <w:lang w:eastAsia="fr-FR"/>
        </w:rPr>
        <w:t>.</w:t>
      </w:r>
      <w:r w:rsidRPr="00BD34A2">
        <w:rPr>
          <w:rFonts w:asciiTheme="majorBidi" w:hAnsiTheme="majorBidi" w:cstheme="majorBidi"/>
          <w:sz w:val="24"/>
          <w:szCs w:val="24"/>
          <w:lang w:eastAsia="fr-FR"/>
        </w:rPr>
        <w:t xml:space="preserve"> </w:t>
      </w:r>
    </w:p>
    <w:p w:rsidR="006A4EED" w:rsidRDefault="006A4EED" w:rsidP="00BD34A2">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La catharsis montre le destin tragique de ceux qui ont cédé à ces pulsions. En vivant ces destins malheureux par procuration, les spectateurs ou lecteurs sont censés prendre en aversion les passions qui les ont provoquées. Pour que cette catharsis soit possible, il faut que les personnages soient en imitation (mimêsis) des passions humaines, vécues comme le meilleur exemple.  La catharsis fait donc intervenir une représentation d'un acte réprimé (par la morale, voire par la Loi), et c'est cette représentation qui permet au spectateur de se «défouler». On peut cependant opposer le fait que la représentation de l'acte peut aussi inspirer le spectateur, lui donner l'idée de commettre l'acte, ou bien peut rendre l'acte acceptable : puisqu'il est représenté en public, il est accepté par l'assemblée, par la société.</w:t>
      </w:r>
    </w:p>
    <w:p w:rsidR="00815402" w:rsidRPr="00DF5B0B" w:rsidRDefault="006A4EED" w:rsidP="00F6607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L’autre versant de notre </w:t>
      </w:r>
      <w:r w:rsidRPr="00DF5B0B">
        <w:rPr>
          <w:rFonts w:ascii="Times New Roman" w:eastAsia="Times New Roman" w:hAnsi="Times New Roman"/>
          <w:sz w:val="24"/>
          <w:szCs w:val="24"/>
          <w:lang w:eastAsia="fr-FR"/>
        </w:rPr>
        <w:t xml:space="preserve">analyse porte sur la </w:t>
      </w:r>
      <w:r w:rsidR="00BE1E32" w:rsidRPr="00DF5B0B">
        <w:rPr>
          <w:rFonts w:ascii="Times New Roman" w:eastAsia="Times New Roman" w:hAnsi="Times New Roman"/>
          <w:sz w:val="24"/>
          <w:szCs w:val="24"/>
          <w:lang w:eastAsia="fr-FR"/>
        </w:rPr>
        <w:t>sémiotique</w:t>
      </w:r>
      <w:r w:rsidRPr="00DF5B0B">
        <w:rPr>
          <w:rFonts w:ascii="Times New Roman" w:eastAsia="Times New Roman" w:hAnsi="Times New Roman"/>
          <w:sz w:val="24"/>
          <w:szCs w:val="24"/>
          <w:lang w:eastAsia="fr-FR"/>
        </w:rPr>
        <w:t xml:space="preserve"> </w:t>
      </w:r>
      <w:r w:rsidR="00815402" w:rsidRPr="00DF5B0B">
        <w:rPr>
          <w:rFonts w:ascii="Times New Roman" w:eastAsia="Times New Roman" w:hAnsi="Times New Roman"/>
          <w:sz w:val="24"/>
          <w:szCs w:val="24"/>
          <w:lang w:eastAsia="fr-FR"/>
        </w:rPr>
        <w:t>discursive dans le</w:t>
      </w:r>
      <w:r w:rsidRPr="00DF5B0B">
        <w:rPr>
          <w:rFonts w:ascii="Times New Roman" w:eastAsia="Times New Roman" w:hAnsi="Times New Roman"/>
          <w:sz w:val="24"/>
          <w:szCs w:val="24"/>
          <w:lang w:eastAsia="fr-FR"/>
        </w:rPr>
        <w:t xml:space="preserve"> théâtre, laquelle pourra aussi être source d’enseignements relativement au théâtre et à la théâtralité. </w:t>
      </w:r>
    </w:p>
    <w:p w:rsidR="00815402" w:rsidRDefault="00F6607B" w:rsidP="00F6607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 xml:space="preserve">À </w:t>
      </w:r>
      <w:r w:rsidR="00815402" w:rsidRPr="00DF5B0B">
        <w:rPr>
          <w:rFonts w:ascii="Times New Roman" w:eastAsia="Times New Roman" w:hAnsi="Times New Roman"/>
          <w:sz w:val="24"/>
          <w:szCs w:val="24"/>
          <w:lang w:eastAsia="fr-FR"/>
        </w:rPr>
        <w:t xml:space="preserve">ce propos, le questionnement de notre analyse sémiotique s’inscrit autour de  l’énonciation et du discours dramatique afin de déterminer les lieux où se manifestent l’intertexte, la polyphonie des genres et des discours. A ce titre nous explorerons, chez Kaki comme chez Ghelderode, la nature sémiotique des objets comme : le sacré, l’imaginaire, le mythe, l’oralité, le rite et le rituel, le socio-culturel et la réalité. Nous tenterons aussi de comprendre ce que </w:t>
      </w:r>
      <w:r w:rsidR="00C910D3" w:rsidRPr="00DF5B0B">
        <w:rPr>
          <w:rFonts w:ascii="Times New Roman" w:eastAsia="Times New Roman" w:hAnsi="Times New Roman"/>
          <w:sz w:val="24"/>
          <w:szCs w:val="24"/>
          <w:lang w:eastAsia="fr-FR"/>
        </w:rPr>
        <w:t>révèlent</w:t>
      </w:r>
      <w:r w:rsidR="00815402" w:rsidRPr="00DF5B0B">
        <w:rPr>
          <w:rFonts w:ascii="Times New Roman" w:eastAsia="Times New Roman" w:hAnsi="Times New Roman"/>
          <w:sz w:val="24"/>
          <w:szCs w:val="24"/>
          <w:lang w:eastAsia="fr-FR"/>
        </w:rPr>
        <w:t xml:space="preserve"> des confrontations entre  des objets comme l’implicite/l’explicite, le dit et le non-dit dans les deux discours des pièces examinées.</w:t>
      </w:r>
    </w:p>
    <w:p w:rsidR="006A4EED" w:rsidRDefault="006A4EED" w:rsidP="00614E2C">
      <w:pPr>
        <w:autoSpaceDE w:val="0"/>
        <w:autoSpaceDN w:val="0"/>
        <w:adjustRightInd w:val="0"/>
        <w:spacing w:after="0" w:line="360" w:lineRule="auto"/>
        <w:ind w:firstLine="284"/>
        <w:jc w:val="both"/>
        <w:rPr>
          <w:rFonts w:ascii="Times New Roman" w:hAnsi="Times New Roman"/>
          <w:sz w:val="24"/>
          <w:szCs w:val="24"/>
        </w:rPr>
      </w:pPr>
      <w:r w:rsidRPr="00AD2D57">
        <w:rPr>
          <w:rFonts w:ascii="Times New Roman" w:hAnsi="Times New Roman"/>
          <w:sz w:val="24"/>
          <w:szCs w:val="24"/>
        </w:rPr>
        <w:t>Chez Kaki par exemple, le théâtre se caractérise essentiellement par la mise en condition de plusieurs signes. Kaki élabore du sens et la construction d’un discours théâtral global à travers l'int</w:t>
      </w:r>
      <w:r w:rsidR="007D08CB">
        <w:rPr>
          <w:rFonts w:ascii="Times New Roman" w:hAnsi="Times New Roman"/>
          <w:sz w:val="24"/>
          <w:szCs w:val="24"/>
        </w:rPr>
        <w:t>roduction, subtile, d’éléments "</w:t>
      </w:r>
      <w:r w:rsidRPr="00AD2D57">
        <w:rPr>
          <w:rFonts w:ascii="Times New Roman" w:hAnsi="Times New Roman"/>
          <w:sz w:val="24"/>
          <w:szCs w:val="24"/>
        </w:rPr>
        <w:t>médiateurs</w:t>
      </w:r>
      <w:r w:rsidR="007D08CB">
        <w:rPr>
          <w:rFonts w:ascii="Times New Roman" w:hAnsi="Times New Roman"/>
          <w:sz w:val="24"/>
          <w:szCs w:val="24"/>
        </w:rPr>
        <w:t>"</w:t>
      </w:r>
      <w:r w:rsidRPr="00AD2D57">
        <w:rPr>
          <w:rFonts w:ascii="Times New Roman" w:hAnsi="Times New Roman"/>
          <w:sz w:val="24"/>
          <w:szCs w:val="24"/>
        </w:rPr>
        <w:t xml:space="preserve">. Dire sans parler, exposer sans présenter, défendre sans argumenter, l’analyse de ces signes littéraires et scéniques est l’objet de l’exercice auquel nous nous livrerons. </w:t>
      </w:r>
      <w:r w:rsidR="007D08CB">
        <w:rPr>
          <w:rFonts w:ascii="Times New Roman" w:hAnsi="Times New Roman"/>
          <w:sz w:val="24"/>
          <w:szCs w:val="24"/>
        </w:rPr>
        <w:t>À</w:t>
      </w:r>
      <w:r w:rsidRPr="00AD2D57">
        <w:rPr>
          <w:rFonts w:ascii="Times New Roman" w:hAnsi="Times New Roman"/>
          <w:sz w:val="24"/>
          <w:szCs w:val="24"/>
        </w:rPr>
        <w:t xml:space="preserve"> titre d’illustration, Kaki choisira pour toucher le grand public réfractaire au théâtre classique de recourir à des signes de la culture populaire. Son parcours lui </w:t>
      </w:r>
      <w:r w:rsidRPr="00AD2D57">
        <w:rPr>
          <w:rFonts w:ascii="Times New Roman" w:hAnsi="Times New Roman"/>
          <w:sz w:val="24"/>
          <w:szCs w:val="24"/>
        </w:rPr>
        <w:lastRenderedPageBreak/>
        <w:t>permettait en effet de se familiariser avec les techniques d'écriture modern</w:t>
      </w:r>
      <w:r w:rsidR="007D08CB">
        <w:rPr>
          <w:rFonts w:ascii="Times New Roman" w:hAnsi="Times New Roman"/>
          <w:sz w:val="24"/>
          <w:szCs w:val="24"/>
        </w:rPr>
        <w:t>e tout en se plongeant dans la "</w:t>
      </w:r>
      <w:r w:rsidRPr="00AD2D57">
        <w:rPr>
          <w:rFonts w:ascii="Times New Roman" w:hAnsi="Times New Roman"/>
          <w:sz w:val="24"/>
          <w:szCs w:val="24"/>
        </w:rPr>
        <w:t>tradition</w:t>
      </w:r>
      <w:r w:rsidR="007D08CB">
        <w:rPr>
          <w:rFonts w:ascii="Times New Roman" w:hAnsi="Times New Roman"/>
          <w:sz w:val="24"/>
          <w:szCs w:val="24"/>
        </w:rPr>
        <w:t>"</w:t>
      </w:r>
      <w:r w:rsidRPr="00AD2D57">
        <w:rPr>
          <w:rFonts w:ascii="Times New Roman" w:hAnsi="Times New Roman"/>
          <w:sz w:val="24"/>
          <w:szCs w:val="24"/>
        </w:rPr>
        <w:t xml:space="preserve"> populaire de sa ville et de son pays.</w:t>
      </w:r>
    </w:p>
    <w:p w:rsidR="00543F39" w:rsidRDefault="006A4EED" w:rsidP="00543F39">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En étudiant la narratologie et la </w:t>
      </w:r>
      <w:r w:rsidR="00BE1E32">
        <w:rPr>
          <w:rFonts w:ascii="Times New Roman" w:eastAsia="Times New Roman" w:hAnsi="Times New Roman"/>
          <w:sz w:val="24"/>
          <w:szCs w:val="24"/>
          <w:lang w:eastAsia="fr-FR"/>
        </w:rPr>
        <w:t>sémiotique</w:t>
      </w:r>
      <w:r w:rsidRPr="00AD2D57">
        <w:rPr>
          <w:rFonts w:ascii="Times New Roman" w:eastAsia="Times New Roman" w:hAnsi="Times New Roman"/>
          <w:sz w:val="24"/>
          <w:szCs w:val="24"/>
          <w:lang w:eastAsia="fr-FR"/>
        </w:rPr>
        <w:t xml:space="preserve"> dans le théâtre et précisément chez ces deux auteurs, notre ambition est finalement donc d’apporter notre témoignage, ou plutôt notre contribution à la construction de la personnalité de deux auteurs aussi intéressants dans les productions que dans les procédés. Ce geste consacre l’universalisme du théâtre, fait de frénétiques allers-retours entre le texte et la scène et toujours fait comme on le verra d’engagement, souvent sociopolitique</w:t>
      </w:r>
      <w:r w:rsidR="00543F39">
        <w:rPr>
          <w:rFonts w:ascii="Times New Roman" w:eastAsia="Times New Roman" w:hAnsi="Times New Roman"/>
          <w:sz w:val="24"/>
          <w:szCs w:val="24"/>
          <w:lang w:eastAsia="fr-FR"/>
        </w:rPr>
        <w:t>.</w:t>
      </w:r>
    </w:p>
    <w:p w:rsidR="006A4EED" w:rsidRPr="009551CB" w:rsidRDefault="006A4EED" w:rsidP="00543F39">
      <w:pPr>
        <w:spacing w:after="0" w:line="360" w:lineRule="auto"/>
        <w:ind w:firstLine="284"/>
        <w:jc w:val="both"/>
        <w:rPr>
          <w:rFonts w:ascii="Times New Roman" w:eastAsia="Times New Roman" w:hAnsi="Times New Roman"/>
          <w:sz w:val="24"/>
          <w:szCs w:val="24"/>
          <w:lang w:eastAsia="fr-FR"/>
        </w:rPr>
      </w:pPr>
      <w:r w:rsidRPr="00AD2D57">
        <w:rPr>
          <w:rFonts w:ascii="Times New Roman" w:eastAsia="Times New Roman" w:hAnsi="Times New Roman"/>
          <w:sz w:val="24"/>
          <w:szCs w:val="24"/>
          <w:lang w:eastAsia="fr-FR"/>
        </w:rPr>
        <w:t xml:space="preserve">Notre première partie portera essentiellement la marque du temps en ces deux auteurs. Elle s’intitule en effet : </w:t>
      </w:r>
      <w:r w:rsidR="00747116">
        <w:rPr>
          <w:rFonts w:ascii="Times New Roman" w:eastAsia="Times New Roman" w:hAnsi="Times New Roman"/>
          <w:sz w:val="24"/>
          <w:szCs w:val="24"/>
          <w:lang w:eastAsia="fr-FR"/>
        </w:rPr>
        <w:t>« </w:t>
      </w:r>
      <w:r w:rsidR="0059606A" w:rsidRPr="00747116">
        <w:rPr>
          <w:rFonts w:ascii="Times New Roman" w:eastAsia="Times New Roman" w:hAnsi="Times New Roman"/>
          <w:iCs/>
          <w:sz w:val="24"/>
          <w:szCs w:val="24"/>
          <w:lang w:eastAsia="fr-FR"/>
        </w:rPr>
        <w:t>Les théâtres de Kaki et Ghelderode : textes, contexte et paratexte</w:t>
      </w:r>
      <w:r w:rsidR="00747116">
        <w:rPr>
          <w:rFonts w:ascii="Times New Roman" w:eastAsia="Times New Roman" w:hAnsi="Times New Roman"/>
          <w:iCs/>
          <w:sz w:val="24"/>
          <w:szCs w:val="24"/>
          <w:lang w:eastAsia="fr-FR"/>
        </w:rPr>
        <w:t> »</w:t>
      </w:r>
      <w:r w:rsidRPr="00AD2D57">
        <w:rPr>
          <w:rFonts w:ascii="Times New Roman" w:eastAsia="Times New Roman" w:hAnsi="Times New Roman"/>
          <w:sz w:val="24"/>
          <w:szCs w:val="24"/>
          <w:lang w:eastAsia="fr-FR"/>
        </w:rPr>
        <w:t>. En effet, le dramaturge comme tout écrivain est fortement influencé par son temps. De ce fait, Kaki écrit durant la période post-coloniale principalement. Le postcolonialisme</w:t>
      </w:r>
      <w:r w:rsidRPr="00AD2D57">
        <w:rPr>
          <w:rFonts w:ascii="Times New Roman" w:eastAsia="Times New Roman" w:hAnsi="Times New Roman"/>
          <w:sz w:val="24"/>
          <w:szCs w:val="24"/>
          <w:vertAlign w:val="superscript"/>
          <w:lang w:eastAsia="fr-FR"/>
        </w:rPr>
        <w:footnoteReference w:id="7"/>
      </w:r>
      <w:r w:rsidRPr="00AD2D57">
        <w:rPr>
          <w:rFonts w:ascii="Times New Roman" w:eastAsia="Times New Roman" w:hAnsi="Times New Roman"/>
          <w:sz w:val="24"/>
          <w:szCs w:val="24"/>
          <w:lang w:eastAsia="fr-FR"/>
        </w:rPr>
        <w:t xml:space="preserve"> en littérature est une position de lecture qui renvoie à un repérage de discours de résistance au fait colonial et à ses séquelles dans l’imaginaire. Il propose un</w:t>
      </w:r>
      <w:r w:rsidR="007D08CB">
        <w:rPr>
          <w:rFonts w:ascii="Times New Roman" w:eastAsia="Times New Roman" w:hAnsi="Times New Roman"/>
          <w:sz w:val="24"/>
          <w:szCs w:val="24"/>
          <w:lang w:eastAsia="fr-FR"/>
        </w:rPr>
        <w:t>e relecture du rapport colonisé</w:t>
      </w:r>
      <w:r w:rsidRPr="00AD2D57">
        <w:rPr>
          <w:rFonts w:ascii="Times New Roman" w:eastAsia="Times New Roman" w:hAnsi="Times New Roman"/>
          <w:sz w:val="24"/>
          <w:szCs w:val="24"/>
          <w:lang w:eastAsia="fr-FR"/>
        </w:rPr>
        <w:t xml:space="preserve">/colonisateur, en le problématisant et en l’inscrivant dans une catégorie plus vaste, celle du rapport entre le centre et la périphérie. Le postcolonialisme est aussi un style, dans la mesure où la mise en cause de l’autorité coloniale et néo-coloniale sur le plan thématique va de pair avec une série de pratiques discursives caractérisées par le questionnement sur les fonctionnements internes de la société en question. À propos de la recherche universitaire, Edward </w:t>
      </w:r>
      <w:r w:rsidR="009551CB" w:rsidRPr="00AD2D57">
        <w:rPr>
          <w:rFonts w:ascii="Times New Roman" w:eastAsia="Times New Roman" w:hAnsi="Times New Roman"/>
          <w:sz w:val="24"/>
          <w:szCs w:val="24"/>
          <w:lang w:eastAsia="fr-FR"/>
        </w:rPr>
        <w:t>Saïd</w:t>
      </w:r>
      <w:r w:rsidRPr="00AD2D57">
        <w:rPr>
          <w:rFonts w:ascii="Times New Roman" w:eastAsia="Times New Roman" w:hAnsi="Times New Roman"/>
          <w:sz w:val="24"/>
          <w:szCs w:val="24"/>
          <w:lang w:eastAsia="fr-FR"/>
        </w:rPr>
        <w:t xml:space="preserve"> notait dans </w:t>
      </w:r>
      <w:r w:rsidRPr="00AD2D57">
        <w:rPr>
          <w:rFonts w:ascii="Times New Roman" w:eastAsia="Times New Roman" w:hAnsi="Times New Roman"/>
          <w:i/>
          <w:sz w:val="24"/>
          <w:szCs w:val="24"/>
          <w:lang w:eastAsia="fr-FR"/>
        </w:rPr>
        <w:t>Culture et Impérialisme</w:t>
      </w:r>
      <w:r w:rsidRPr="00AD2D57">
        <w:rPr>
          <w:rFonts w:ascii="Times New Roman" w:eastAsia="Times New Roman" w:hAnsi="Times New Roman"/>
          <w:sz w:val="24"/>
          <w:szCs w:val="24"/>
          <w:lang w:eastAsia="fr-FR"/>
        </w:rPr>
        <w:t> :</w:t>
      </w:r>
    </w:p>
    <w:p w:rsidR="006A4EED" w:rsidRPr="00C257BD" w:rsidRDefault="006A4EED" w:rsidP="00C257BD">
      <w:pPr>
        <w:pStyle w:val="Citationintense"/>
        <w:spacing w:before="0" w:after="0"/>
        <w:ind w:left="567" w:right="0"/>
        <w:rPr>
          <w:sz w:val="20"/>
          <w:szCs w:val="20"/>
        </w:rPr>
      </w:pPr>
      <w:r w:rsidRPr="00C257BD">
        <w:rPr>
          <w:sz w:val="20"/>
          <w:szCs w:val="20"/>
        </w:rPr>
        <w:t>Un regard sur certains domaines académiques créés depuis la Seconde Guerre mondiale, en particulier suite à des luttes nationalistes non européennes, révèle une topographie différente et un autre ensemble d’impératifs. D’une part, les étudiants et enseignants, des littératures non occidentales, doivent d’emblée prendre en compte leur dimension politique. Impossible de remettre à plus tard l’analyse de l’esclavage, du colonialisme, du racisme, dans toute recherche sérieuse sur les littératures modernes indienne, africaine, latino-américaine, centraméricaine, arabe, caraïbe et du Commonwealth. Il serait intellectuellement irresponsable de les analyser sans évoquer les luttes qui les entourent, soit dans la société post-coloniale, soit comme sujets marginalisés et /ou subordonnés confinés à des positions secondaires dans les programmes de centre métropolitains.</w:t>
      </w:r>
      <w:r w:rsidRPr="00C257BD">
        <w:rPr>
          <w:sz w:val="20"/>
          <w:szCs w:val="20"/>
          <w:vertAlign w:val="superscript"/>
        </w:rPr>
        <w:footnoteReference w:id="8"/>
      </w:r>
    </w:p>
    <w:p w:rsidR="009551CB" w:rsidRPr="009551CB" w:rsidRDefault="009551CB" w:rsidP="009551CB">
      <w:pPr>
        <w:spacing w:after="0" w:line="240" w:lineRule="auto"/>
        <w:rPr>
          <w:lang w:eastAsia="fr-FR"/>
        </w:rPr>
      </w:pPr>
    </w:p>
    <w:p w:rsidR="006A4EED" w:rsidRPr="009551CB" w:rsidRDefault="006A4EED" w:rsidP="00E86F9F">
      <w:pPr>
        <w:spacing w:after="0" w:line="360" w:lineRule="auto"/>
        <w:ind w:firstLine="284"/>
        <w:jc w:val="both"/>
        <w:rPr>
          <w:lang w:eastAsia="fr-FR"/>
        </w:rPr>
      </w:pPr>
      <w:r w:rsidRPr="009551CB">
        <w:rPr>
          <w:rFonts w:ascii="Times New Roman" w:eastAsia="Times New Roman" w:hAnsi="Times New Roman"/>
          <w:sz w:val="24"/>
          <w:szCs w:val="24"/>
          <w:lang w:eastAsia="fr-FR"/>
        </w:rPr>
        <w:lastRenderedPageBreak/>
        <w:t xml:space="preserve">Cette nouvelle approche  définit un ensemble de recherches et d’investigations sur des espaces politiques et culturels réunissant diverses sciences humaines. Pour définir le postcolonialisme, il faut cerner une situation historique. Ecrites dans une langue acquise du colonialisme, les œuvres partagent nombres de marques liées à cet événement. Jean Marc-Moura souligne, dans sa définition, l’aspect pluridisciplinaire de l’étude postcoloniale : </w:t>
      </w:r>
      <w:r w:rsidR="00E86F9F">
        <w:rPr>
          <w:rFonts w:ascii="Times New Roman" w:eastAsia="Times New Roman" w:hAnsi="Times New Roman"/>
          <w:sz w:val="24"/>
          <w:szCs w:val="24"/>
          <w:lang w:eastAsia="fr-FR"/>
        </w:rPr>
        <w:t>« </w:t>
      </w:r>
      <w:r w:rsidRPr="00E86F9F">
        <w:rPr>
          <w:rFonts w:asciiTheme="majorBidi" w:hAnsiTheme="majorBidi" w:cstheme="majorBidi"/>
          <w:sz w:val="24"/>
          <w:szCs w:val="24"/>
          <w:lang w:eastAsia="fr-FR"/>
        </w:rPr>
        <w:t>La critique/théorie postcoloniale se caractérise par une pluridisciplinarité, étudiant non seulement la littérature mais interrogeant l’histoire coloniale et ses traces jusque dans le monde contemporain</w:t>
      </w:r>
      <w:r w:rsidR="00E86F9F">
        <w:rPr>
          <w:rFonts w:asciiTheme="majorBidi" w:hAnsiTheme="majorBidi" w:cstheme="majorBidi"/>
          <w:sz w:val="24"/>
          <w:szCs w:val="24"/>
          <w:lang w:eastAsia="fr-FR"/>
        </w:rPr>
        <w:t> »</w:t>
      </w:r>
      <w:r w:rsidRPr="00E86F9F">
        <w:rPr>
          <w:rFonts w:asciiTheme="majorBidi" w:hAnsiTheme="majorBidi" w:cstheme="majorBidi"/>
          <w:sz w:val="24"/>
          <w:szCs w:val="24"/>
          <w:lang w:eastAsia="fr-FR"/>
        </w:rPr>
        <w:t>.</w:t>
      </w:r>
      <w:r w:rsidRPr="009551CB">
        <w:rPr>
          <w:vertAlign w:val="superscript"/>
          <w:lang w:eastAsia="fr-FR"/>
        </w:rPr>
        <w:footnoteReference w:id="9"/>
      </w:r>
    </w:p>
    <w:p w:rsidR="0059606A" w:rsidRPr="00523B75" w:rsidRDefault="006A4EED" w:rsidP="00523B75">
      <w:pPr>
        <w:spacing w:after="0" w:line="360" w:lineRule="auto"/>
        <w:ind w:firstLine="284"/>
        <w:jc w:val="both"/>
        <w:rPr>
          <w:rFonts w:asciiTheme="majorBidi" w:hAnsiTheme="majorBidi" w:cstheme="majorBidi"/>
          <w:sz w:val="24"/>
          <w:szCs w:val="24"/>
          <w:lang w:eastAsia="fr-FR"/>
        </w:rPr>
      </w:pPr>
      <w:r w:rsidRPr="009551CB">
        <w:rPr>
          <w:rFonts w:ascii="Times New Roman" w:eastAsia="Times New Roman" w:hAnsi="Times New Roman"/>
          <w:sz w:val="24"/>
          <w:szCs w:val="24"/>
          <w:lang w:eastAsia="fr-FR"/>
        </w:rPr>
        <w:t>De son côté, bien que né dans une famille flamande de Bruxelles, le jeune Adémar fait toutes ses études en français, dans un but de promotion sociale. De son père, employé aux Archives du royaume, il hérite un goût pour l'histoire, en particulier pour les époques du Moyen Âge, de la Renaissance et de l'Inquisition. Il dira à ce propos</w:t>
      </w:r>
      <w:r w:rsidR="00E53361">
        <w:rPr>
          <w:rFonts w:ascii="Times New Roman" w:eastAsia="Times New Roman" w:hAnsi="Times New Roman"/>
          <w:sz w:val="24"/>
          <w:szCs w:val="24"/>
          <w:lang w:eastAsia="fr-FR"/>
        </w:rPr>
        <w:t> :</w:t>
      </w:r>
      <w:r w:rsidR="00523B75">
        <w:rPr>
          <w:rFonts w:ascii="Times New Roman" w:eastAsia="Times New Roman" w:hAnsi="Times New Roman"/>
          <w:sz w:val="24"/>
          <w:szCs w:val="24"/>
          <w:lang w:eastAsia="fr-FR"/>
        </w:rPr>
        <w:t xml:space="preserve"> </w:t>
      </w:r>
      <w:r w:rsidR="00523B75" w:rsidRPr="00523B75">
        <w:rPr>
          <w:rFonts w:asciiTheme="majorBidi" w:eastAsia="Times New Roman" w:hAnsiTheme="majorBidi" w:cstheme="majorBidi"/>
          <w:sz w:val="24"/>
          <w:szCs w:val="24"/>
          <w:lang w:eastAsia="fr-FR"/>
        </w:rPr>
        <w:t>« </w:t>
      </w:r>
      <w:r w:rsidRPr="00523B75">
        <w:rPr>
          <w:rFonts w:asciiTheme="majorBidi" w:hAnsiTheme="majorBidi" w:cstheme="majorBidi"/>
          <w:sz w:val="24"/>
          <w:szCs w:val="24"/>
          <w:lang w:eastAsia="fr-FR"/>
        </w:rPr>
        <w:t xml:space="preserve">Je me sens vraiment le contemporain de ces gens du Moyen </w:t>
      </w:r>
      <w:r w:rsidR="007D08CB" w:rsidRPr="00523B75">
        <w:rPr>
          <w:rFonts w:asciiTheme="majorBidi" w:hAnsiTheme="majorBidi" w:cstheme="majorBidi"/>
          <w:sz w:val="24"/>
          <w:szCs w:val="24"/>
          <w:lang w:eastAsia="fr-FR"/>
        </w:rPr>
        <w:t>Â</w:t>
      </w:r>
      <w:r w:rsidRPr="00523B75">
        <w:rPr>
          <w:rFonts w:asciiTheme="majorBidi" w:hAnsiTheme="majorBidi" w:cstheme="majorBidi"/>
          <w:sz w:val="24"/>
          <w:szCs w:val="24"/>
          <w:lang w:eastAsia="fr-FR"/>
        </w:rPr>
        <w:t>ge ou de la pré-Renaissance. Je sais d’eux comment ils vivent et connais chacune de leurs occupations. Je suis familier de leur cerveau et de leur cœur comme de leur logis et de leur boutique</w:t>
      </w:r>
      <w:r w:rsidR="00523B75">
        <w:rPr>
          <w:rFonts w:asciiTheme="majorBidi" w:hAnsiTheme="majorBidi" w:cstheme="majorBidi"/>
          <w:sz w:val="24"/>
          <w:szCs w:val="24"/>
          <w:lang w:eastAsia="fr-FR"/>
        </w:rPr>
        <w:t> »</w:t>
      </w:r>
      <w:r w:rsidRPr="00523B75">
        <w:rPr>
          <w:rStyle w:val="Appelnotedebasdep"/>
          <w:rFonts w:asciiTheme="majorBidi" w:hAnsiTheme="majorBidi" w:cstheme="majorBidi"/>
          <w:sz w:val="24"/>
          <w:szCs w:val="24"/>
          <w:lang w:eastAsia="fr-FR"/>
        </w:rPr>
        <w:footnoteReference w:id="10"/>
      </w:r>
      <w:r w:rsidRPr="00523B75">
        <w:rPr>
          <w:rFonts w:asciiTheme="majorBidi" w:hAnsiTheme="majorBidi" w:cstheme="majorBidi"/>
          <w:sz w:val="24"/>
          <w:szCs w:val="24"/>
          <w:lang w:eastAsia="fr-FR"/>
        </w:rPr>
        <w:t xml:space="preserve">.  </w:t>
      </w:r>
    </w:p>
    <w:p w:rsidR="006A4EED" w:rsidRPr="009551CB" w:rsidRDefault="006A4EED" w:rsidP="00CB0D44">
      <w:pPr>
        <w:spacing w:after="0" w:line="360" w:lineRule="auto"/>
        <w:ind w:firstLine="284"/>
        <w:jc w:val="both"/>
        <w:rPr>
          <w:rFonts w:ascii="Times New Roman" w:eastAsia="Times New Roman" w:hAnsi="Times New Roman"/>
          <w:sz w:val="24"/>
          <w:szCs w:val="24"/>
          <w:lang w:eastAsia="fr-FR"/>
        </w:rPr>
      </w:pPr>
      <w:r w:rsidRPr="009551CB">
        <w:rPr>
          <w:rFonts w:ascii="Times New Roman" w:eastAsia="Times New Roman" w:hAnsi="Times New Roman"/>
          <w:sz w:val="24"/>
          <w:szCs w:val="24"/>
          <w:lang w:eastAsia="fr-FR"/>
        </w:rPr>
        <w:t>De sa mère, il retient les légendes et histoires des petites gens racontées au coin du feu. Élevé dans un collège catholique de Bruxelles, l'Institut Saint-Louis, il vit dans une ambiance religieuse qui le terrifie et, lorsqu'il perd la foi à l'adolescence, il continue à croire aux puissances du mal. Il écrit :</w:t>
      </w:r>
      <w:r w:rsidR="00CB0D44">
        <w:rPr>
          <w:rFonts w:ascii="Times New Roman" w:eastAsia="Times New Roman" w:hAnsi="Times New Roman"/>
          <w:sz w:val="24"/>
          <w:szCs w:val="24"/>
          <w:lang w:eastAsia="fr-FR"/>
        </w:rPr>
        <w:t xml:space="preserve"> </w:t>
      </w:r>
    </w:p>
    <w:p w:rsidR="006A4EED" w:rsidRPr="00CB0D44" w:rsidRDefault="006A4EED" w:rsidP="00CB0D44">
      <w:pPr>
        <w:pStyle w:val="Citationintense"/>
        <w:spacing w:before="0" w:after="0"/>
        <w:ind w:left="567" w:right="0"/>
        <w:rPr>
          <w:sz w:val="20"/>
          <w:szCs w:val="20"/>
        </w:rPr>
      </w:pPr>
      <w:r w:rsidRPr="00CB0D44">
        <w:rPr>
          <w:sz w:val="20"/>
          <w:szCs w:val="20"/>
        </w:rPr>
        <w:t>On m'a trop menacé naguère, mes parents et les prêtres, et ma vie s'est édifiée sur la peur […] Le prêtre clamait dans l'oratoire où l'on nous rassemblait le soir, pareils à des coupables. Et nous baissions le front. Un vent glacial nous frôlait la nuque et nous redoutions que la porte s'ouvrît et que quelqu'un d'invisible vînt appréhender l'un de nous.</w:t>
      </w:r>
      <w:r w:rsidRPr="00CB0D44">
        <w:rPr>
          <w:rStyle w:val="Appelnotedebasdep"/>
          <w:sz w:val="20"/>
          <w:szCs w:val="20"/>
        </w:rPr>
        <w:footnoteReference w:id="11"/>
      </w:r>
      <w:r w:rsidRPr="00CB0D44">
        <w:rPr>
          <w:sz w:val="20"/>
          <w:szCs w:val="20"/>
          <w:vertAlign w:val="superscript"/>
        </w:rPr>
        <w:t xml:space="preserve">  </w:t>
      </w:r>
    </w:p>
    <w:p w:rsidR="001F72D7" w:rsidRDefault="001F72D7" w:rsidP="001F72D7">
      <w:pPr>
        <w:pStyle w:val="Citationintense"/>
        <w:spacing w:before="0" w:after="0"/>
        <w:ind w:left="0"/>
        <w:rPr>
          <w:rFonts w:eastAsia="Times New Roman"/>
          <w:sz w:val="24"/>
          <w:szCs w:val="24"/>
          <w:lang w:eastAsia="fr-FR"/>
        </w:rPr>
      </w:pPr>
    </w:p>
    <w:p w:rsidR="006A4EED" w:rsidRPr="00480913" w:rsidRDefault="006A4EED" w:rsidP="00480913">
      <w:pPr>
        <w:pStyle w:val="Citationintense"/>
        <w:spacing w:before="0" w:after="0" w:line="360" w:lineRule="auto"/>
        <w:ind w:left="0" w:right="0" w:firstLine="284"/>
        <w:rPr>
          <w:sz w:val="24"/>
          <w:szCs w:val="24"/>
        </w:rPr>
      </w:pPr>
      <w:r w:rsidRPr="00480913">
        <w:rPr>
          <w:rFonts w:eastAsia="Times New Roman"/>
          <w:sz w:val="24"/>
          <w:szCs w:val="24"/>
          <w:lang w:eastAsia="fr-FR"/>
        </w:rPr>
        <w:t>Ou encore :</w:t>
      </w:r>
      <w:r w:rsidRPr="00480913">
        <w:rPr>
          <w:sz w:val="24"/>
          <w:szCs w:val="24"/>
          <w:lang w:eastAsia="fr-FR"/>
        </w:rPr>
        <w:t xml:space="preserve"> </w:t>
      </w:r>
      <w:r w:rsidR="00480913" w:rsidRPr="00480913">
        <w:rPr>
          <w:sz w:val="24"/>
          <w:szCs w:val="24"/>
          <w:lang w:eastAsia="fr-FR"/>
        </w:rPr>
        <w:t>« </w:t>
      </w:r>
      <w:r w:rsidRPr="00480913">
        <w:rPr>
          <w:sz w:val="24"/>
          <w:szCs w:val="24"/>
        </w:rPr>
        <w:t>L'existence du diable est certaine, il suffit de regarder autour de soi. Dieu se manifeste rarement.»</w:t>
      </w:r>
      <w:r w:rsidRPr="00480913">
        <w:rPr>
          <w:rStyle w:val="Appelnotedebasdep"/>
          <w:sz w:val="24"/>
          <w:szCs w:val="24"/>
        </w:rPr>
        <w:footnoteReference w:id="12"/>
      </w:r>
      <w:r w:rsidRPr="00480913">
        <w:rPr>
          <w:sz w:val="24"/>
          <w:szCs w:val="24"/>
          <w:vertAlign w:val="superscript"/>
        </w:rPr>
        <w:t xml:space="preserve"> </w:t>
      </w:r>
    </w:p>
    <w:p w:rsidR="006A4EED" w:rsidRDefault="006A4EED" w:rsidP="00B45B76">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 xml:space="preserve">L’intérêt de Ghelderode pour le brigand Barrabas sur lequel les évangiles sont si discrets paraît remonter à environ 1923. C’est à cette époque, en effet, que le </w:t>
      </w:r>
      <w:r w:rsidRPr="001F72D7">
        <w:rPr>
          <w:rFonts w:ascii="Times New Roman" w:eastAsia="Times New Roman" w:hAnsi="Times New Roman"/>
          <w:sz w:val="24"/>
          <w:szCs w:val="24"/>
          <w:lang w:eastAsia="fr-FR"/>
        </w:rPr>
        <w:lastRenderedPageBreak/>
        <w:t>jeune écrivain, si l’on en croit des paroles qu’il avait dites à Jan Stevo</w:t>
      </w:r>
      <w:r w:rsidRPr="001F72D7">
        <w:rPr>
          <w:rStyle w:val="Appelnotedebasdep"/>
          <w:rFonts w:ascii="Times New Roman" w:hAnsi="Times New Roman"/>
          <w:sz w:val="24"/>
          <w:szCs w:val="24"/>
          <w:lang w:eastAsia="fr-FR"/>
        </w:rPr>
        <w:footnoteReference w:id="13"/>
      </w:r>
      <w:r w:rsidR="00B45B76">
        <w:rPr>
          <w:rFonts w:ascii="Times New Roman" w:eastAsia="Times New Roman" w:hAnsi="Times New Roman"/>
          <w:sz w:val="24"/>
          <w:szCs w:val="24"/>
          <w:lang w:eastAsia="fr-FR"/>
        </w:rPr>
        <w:t xml:space="preserve">, </w:t>
      </w:r>
      <w:r w:rsidRPr="001F72D7">
        <w:rPr>
          <w:rFonts w:ascii="Times New Roman" w:eastAsia="Times New Roman" w:hAnsi="Times New Roman"/>
          <w:sz w:val="24"/>
          <w:szCs w:val="24"/>
          <w:lang w:eastAsia="fr-FR"/>
        </w:rPr>
        <w:t>aurait song</w:t>
      </w:r>
      <w:r w:rsidR="007D08CB">
        <w:rPr>
          <w:rFonts w:ascii="Times New Roman" w:eastAsia="Times New Roman" w:hAnsi="Times New Roman"/>
          <w:sz w:val="24"/>
          <w:szCs w:val="24"/>
          <w:lang w:eastAsia="fr-FR"/>
        </w:rPr>
        <w:t>é à écrire un conte où il eût "</w:t>
      </w:r>
      <w:r w:rsidRPr="001F72D7">
        <w:rPr>
          <w:rFonts w:ascii="Times New Roman" w:eastAsia="Times New Roman" w:hAnsi="Times New Roman"/>
          <w:sz w:val="24"/>
          <w:szCs w:val="24"/>
          <w:lang w:eastAsia="fr-FR"/>
        </w:rPr>
        <w:t>réhabilité</w:t>
      </w:r>
      <w:r w:rsidR="007D08CB">
        <w:rPr>
          <w:rFonts w:ascii="Times New Roman" w:eastAsia="Times New Roman" w:hAnsi="Times New Roman"/>
          <w:sz w:val="24"/>
          <w:szCs w:val="24"/>
          <w:lang w:eastAsia="fr-FR"/>
        </w:rPr>
        <w:t>"</w:t>
      </w:r>
      <w:r w:rsidRPr="001F72D7">
        <w:rPr>
          <w:rFonts w:ascii="Times New Roman" w:eastAsia="Times New Roman" w:hAnsi="Times New Roman"/>
          <w:sz w:val="24"/>
          <w:szCs w:val="24"/>
          <w:lang w:eastAsia="fr-FR"/>
        </w:rPr>
        <w:t xml:space="preserve"> Barabbas. </w:t>
      </w:r>
    </w:p>
    <w:p w:rsidR="00360636" w:rsidRPr="00AF6552" w:rsidRDefault="006A4EED" w:rsidP="008E4793">
      <w:pPr>
        <w:spacing w:after="0" w:line="360" w:lineRule="auto"/>
        <w:ind w:firstLine="284"/>
        <w:jc w:val="both"/>
        <w:rPr>
          <w:rFonts w:asciiTheme="majorBidi" w:hAnsiTheme="majorBidi" w:cstheme="majorBidi"/>
          <w:sz w:val="24"/>
          <w:szCs w:val="24"/>
          <w:lang w:eastAsia="fr-FR"/>
        </w:rPr>
      </w:pPr>
      <w:r w:rsidRPr="001F72D7">
        <w:rPr>
          <w:rFonts w:ascii="Times New Roman" w:eastAsia="Times New Roman" w:hAnsi="Times New Roman"/>
          <w:sz w:val="24"/>
          <w:szCs w:val="24"/>
          <w:lang w:eastAsia="fr-FR"/>
        </w:rPr>
        <w:t xml:space="preserve">Pourquoi, écrit Jan Stevo paraphrasant Ghelderode, </w:t>
      </w:r>
      <w:r w:rsidRPr="00AF6552">
        <w:rPr>
          <w:rFonts w:asciiTheme="majorBidi" w:hAnsiTheme="majorBidi" w:cstheme="majorBidi"/>
          <w:sz w:val="24"/>
          <w:szCs w:val="24"/>
          <w:lang w:eastAsia="fr-FR"/>
        </w:rPr>
        <w:t>«</w:t>
      </w:r>
      <w:r w:rsidRPr="004549E8">
        <w:rPr>
          <w:rFonts w:asciiTheme="majorBidi" w:hAnsiTheme="majorBidi" w:cstheme="majorBidi"/>
          <w:i/>
          <w:iCs/>
          <w:sz w:val="24"/>
          <w:szCs w:val="24"/>
          <w:lang w:eastAsia="fr-FR"/>
        </w:rPr>
        <w:t xml:space="preserve">Barabbas n’aurait-il pas réfléchi (peut-être pour la première fois de sa vie) ? </w:t>
      </w:r>
      <w:r w:rsidRPr="00AF6552">
        <w:rPr>
          <w:rFonts w:asciiTheme="majorBidi" w:hAnsiTheme="majorBidi" w:cstheme="majorBidi"/>
          <w:sz w:val="24"/>
          <w:szCs w:val="24"/>
          <w:lang w:eastAsia="fr-FR"/>
        </w:rPr>
        <w:t>» (</w:t>
      </w:r>
      <w:r w:rsidR="00AF6552">
        <w:rPr>
          <w:rFonts w:asciiTheme="majorBidi" w:hAnsiTheme="majorBidi" w:cstheme="majorBidi"/>
          <w:sz w:val="24"/>
          <w:szCs w:val="24"/>
          <w:lang w:eastAsia="fr-FR"/>
        </w:rPr>
        <w:t xml:space="preserve">J. Stevo, 1986, </w:t>
      </w:r>
      <w:r w:rsidRPr="00AF6552">
        <w:rPr>
          <w:rFonts w:asciiTheme="majorBidi" w:hAnsiTheme="majorBidi" w:cstheme="majorBidi"/>
          <w:sz w:val="24"/>
          <w:szCs w:val="24"/>
          <w:lang w:eastAsia="fr-FR"/>
        </w:rPr>
        <w:t>p.05). Et «</w:t>
      </w:r>
      <w:r w:rsidRPr="004549E8">
        <w:rPr>
          <w:rFonts w:asciiTheme="majorBidi" w:hAnsiTheme="majorBidi" w:cstheme="majorBidi"/>
          <w:i/>
          <w:iCs/>
          <w:sz w:val="24"/>
          <w:szCs w:val="24"/>
          <w:lang w:eastAsia="fr-FR"/>
        </w:rPr>
        <w:t>n’aurait-il pas réalisé qu’il était le jouet d’une épouvantable machination</w:t>
      </w:r>
      <w:r w:rsidRPr="00AF6552">
        <w:rPr>
          <w:rFonts w:asciiTheme="majorBidi" w:hAnsiTheme="majorBidi" w:cstheme="majorBidi"/>
          <w:sz w:val="24"/>
          <w:szCs w:val="24"/>
          <w:lang w:eastAsia="fr-FR"/>
        </w:rPr>
        <w:t xml:space="preserve"> ? » (</w:t>
      </w:r>
      <w:r w:rsidR="004E3534">
        <w:rPr>
          <w:rFonts w:asciiTheme="majorBidi" w:hAnsiTheme="majorBidi" w:cstheme="majorBidi"/>
          <w:i/>
          <w:iCs/>
          <w:sz w:val="24"/>
          <w:szCs w:val="24"/>
          <w:lang w:eastAsia="fr-FR"/>
        </w:rPr>
        <w:t>Ibid</w:t>
      </w:r>
      <w:r w:rsidRPr="00AF6552">
        <w:rPr>
          <w:rFonts w:asciiTheme="majorBidi" w:hAnsiTheme="majorBidi" w:cstheme="majorBidi"/>
          <w:sz w:val="24"/>
          <w:szCs w:val="24"/>
          <w:lang w:eastAsia="fr-FR"/>
        </w:rPr>
        <w:t>)</w:t>
      </w:r>
      <w:r w:rsidR="007A6F61">
        <w:rPr>
          <w:rFonts w:asciiTheme="majorBidi" w:hAnsiTheme="majorBidi" w:cstheme="majorBidi"/>
          <w:sz w:val="24"/>
          <w:szCs w:val="24"/>
          <w:lang w:eastAsia="fr-FR"/>
        </w:rPr>
        <w:t>.</w:t>
      </w:r>
      <w:r w:rsidRPr="00AF6552">
        <w:rPr>
          <w:rFonts w:asciiTheme="majorBidi" w:hAnsiTheme="majorBidi" w:cstheme="majorBidi"/>
          <w:sz w:val="24"/>
          <w:szCs w:val="24"/>
          <w:lang w:eastAsia="fr-FR"/>
        </w:rPr>
        <w:t xml:space="preserve"> </w:t>
      </w:r>
    </w:p>
    <w:p w:rsidR="006A4EED" w:rsidRPr="001F72D7" w:rsidRDefault="006A4EED" w:rsidP="008B740D">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Les propos de Jan Stevo ne sont pas tout à fait éclairants dans la mesure où ils n’établissent pas d’une manière satisfaisante en quoi eût consisté la réhabilitation de Barabbas. La réflexion du brigand est un peu insuffisante pour constituer cette réhabilitation. Elle devrait déboucher au moins sur une protestation contre la criminelle injustice dont Jésus avait été victime. D’autre part, on se retient mal de se demander si, en 1954, Ghelderode, faisant consister, incomplètement sans doute, la réhabilitation de Barabbas en une réflexion qui a pour terme le constat qu’il a été le complice involontaire d’une machination, n’impose pas à son projet de fiction narrative le contenu de la fin du deuxième acte et celui du troisième acte de Barabbas</w:t>
      </w:r>
      <w:r w:rsidRPr="001F72D7">
        <w:rPr>
          <w:rFonts w:ascii="Times New Roman" w:eastAsia="Times New Roman" w:hAnsi="Times New Roman"/>
          <w:sz w:val="24"/>
          <w:szCs w:val="24"/>
          <w:vertAlign w:val="superscript"/>
          <w:lang w:eastAsia="fr-FR"/>
        </w:rPr>
        <w:footnoteReference w:id="14"/>
      </w:r>
      <w:r w:rsidRPr="001F72D7">
        <w:rPr>
          <w:rFonts w:ascii="Times New Roman" w:eastAsia="Times New Roman" w:hAnsi="Times New Roman"/>
          <w:sz w:val="24"/>
          <w:szCs w:val="24"/>
          <w:lang w:eastAsia="fr-FR"/>
        </w:rPr>
        <w:t xml:space="preserve">.    </w:t>
      </w:r>
    </w:p>
    <w:p w:rsidR="006A4EED" w:rsidRPr="001F72D7" w:rsidRDefault="006A4EED" w:rsidP="00A22DF0">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La différence d’écriture chez les deux dramaturges pose la question du rapport à la langue française. À partir du corpus proposé, nous allons essayer de montrer les différentes positions quant à l’utilisation de la langue française. Cette langue est pour les écrivains un moyen qui sert l’engagement. Il s’agit de deux types d’intellectuels engagés. Kaki  dans son registre lutte contre le charlatanisme qui caractérise la société algérienne, fraichement délivrée des jougs et du boulet de la misère, de l’aliénation, de l’asservissement, de l’ignorance causés par un colonialisme de 132 sabliers de calvaire. Tandis que Ghelderode veut affirmer son athéisme envers et contre tous.</w:t>
      </w:r>
    </w:p>
    <w:p w:rsidR="006A4EED" w:rsidRDefault="006A4EED" w:rsidP="00F862C8">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lastRenderedPageBreak/>
        <w:t>Pour Ariane Mnouchkine</w:t>
      </w:r>
      <w:r w:rsidRPr="001F72D7">
        <w:rPr>
          <w:rFonts w:ascii="Times New Roman" w:eastAsia="Times New Roman" w:hAnsi="Times New Roman"/>
          <w:sz w:val="24"/>
          <w:szCs w:val="24"/>
          <w:vertAlign w:val="superscript"/>
          <w:lang w:eastAsia="fr-FR"/>
        </w:rPr>
        <w:footnoteReference w:id="15"/>
      </w:r>
      <w:r w:rsidRPr="001F72D7">
        <w:rPr>
          <w:rFonts w:ascii="Times New Roman" w:eastAsia="Times New Roman" w:hAnsi="Times New Roman"/>
          <w:sz w:val="24"/>
          <w:szCs w:val="24"/>
          <w:lang w:eastAsia="fr-FR"/>
        </w:rPr>
        <w:t xml:space="preserve">, l’utilité sociale du théâtre correspond à </w:t>
      </w:r>
      <w:r w:rsidR="001D3F64" w:rsidRPr="001D3F64">
        <w:rPr>
          <w:rFonts w:asciiTheme="majorBidi" w:eastAsia="Times New Roman" w:hAnsiTheme="majorBidi" w:cstheme="majorBidi"/>
          <w:sz w:val="24"/>
          <w:szCs w:val="24"/>
          <w:lang w:eastAsia="fr-FR"/>
        </w:rPr>
        <w:t>« </w:t>
      </w:r>
      <w:r w:rsidRPr="001D3F64">
        <w:rPr>
          <w:rFonts w:asciiTheme="majorBidi" w:hAnsiTheme="majorBidi" w:cstheme="majorBidi"/>
          <w:sz w:val="24"/>
          <w:szCs w:val="24"/>
          <w:lang w:eastAsia="fr-FR"/>
        </w:rPr>
        <w:t>Un lieu de parole, de pensée, d’exploration de la lettre, de l’âme, de l’histoire, à une époque où tous ces lieux sont reniés et repoussés. Le théâtre reste un lieu où l’on apprend, où l’on essaie de comprendre, où l’on est touché, où l’on rencontre l’autre où l’on est l’autre</w:t>
      </w:r>
      <w:r w:rsidR="001D3F64">
        <w:rPr>
          <w:rFonts w:asciiTheme="majorBidi" w:hAnsiTheme="majorBidi" w:cstheme="majorBidi"/>
          <w:sz w:val="24"/>
          <w:szCs w:val="24"/>
          <w:lang w:eastAsia="fr-FR"/>
        </w:rPr>
        <w:t> »</w:t>
      </w:r>
      <w:r w:rsidRPr="001D3F64">
        <w:rPr>
          <w:rFonts w:asciiTheme="majorBidi" w:hAnsiTheme="majorBidi" w:cstheme="majorBidi"/>
          <w:sz w:val="24"/>
          <w:szCs w:val="24"/>
          <w:lang w:eastAsia="fr-FR"/>
        </w:rPr>
        <w:t>.</w:t>
      </w:r>
      <w:r w:rsidRPr="001D3F64">
        <w:rPr>
          <w:rFonts w:asciiTheme="majorBidi" w:hAnsiTheme="majorBidi" w:cstheme="majorBidi"/>
          <w:sz w:val="24"/>
          <w:szCs w:val="24"/>
          <w:vertAlign w:val="superscript"/>
          <w:lang w:eastAsia="fr-FR"/>
        </w:rPr>
        <w:footnoteReference w:id="16"/>
      </w:r>
      <w:r w:rsidRPr="001D3F64">
        <w:rPr>
          <w:rFonts w:asciiTheme="majorBidi" w:hAnsiTheme="majorBidi" w:cstheme="majorBidi"/>
          <w:sz w:val="24"/>
          <w:szCs w:val="24"/>
          <w:lang w:eastAsia="fr-FR"/>
        </w:rPr>
        <w:t xml:space="preserve"> </w:t>
      </w:r>
      <w:r w:rsidRPr="001F72D7">
        <w:rPr>
          <w:rFonts w:ascii="Times New Roman" w:eastAsia="Times New Roman" w:hAnsi="Times New Roman"/>
          <w:sz w:val="24"/>
          <w:szCs w:val="24"/>
          <w:lang w:eastAsia="fr-FR"/>
        </w:rPr>
        <w:t xml:space="preserve">Il s’agit d’un lieu de distanciation. </w:t>
      </w:r>
    </w:p>
    <w:p w:rsidR="00360636" w:rsidRPr="00DF5B0B" w:rsidRDefault="006A4EED" w:rsidP="00B9454D">
      <w:pPr>
        <w:spacing w:after="0" w:line="360" w:lineRule="auto"/>
        <w:ind w:firstLine="284"/>
        <w:jc w:val="both"/>
        <w:rPr>
          <w:rFonts w:ascii="Times New Roman" w:eastAsia="Times New Roman" w:hAnsi="Times New Roman"/>
          <w:sz w:val="24"/>
          <w:szCs w:val="24"/>
          <w:lang w:eastAsia="fr-FR"/>
        </w:rPr>
      </w:pPr>
      <w:r w:rsidRPr="00DF5B0B">
        <w:rPr>
          <w:rFonts w:ascii="Times New Roman" w:eastAsia="Times New Roman" w:hAnsi="Times New Roman"/>
          <w:sz w:val="24"/>
          <w:szCs w:val="24"/>
          <w:lang w:eastAsia="fr-FR"/>
        </w:rPr>
        <w:t xml:space="preserve">Dans la deuxième partie, intitulée </w:t>
      </w:r>
      <w:r w:rsidR="00360636" w:rsidRPr="00DF5B0B">
        <w:rPr>
          <w:rFonts w:ascii="Times New Roman" w:eastAsia="Times New Roman" w:hAnsi="Times New Roman"/>
          <w:sz w:val="24"/>
          <w:szCs w:val="24"/>
          <w:lang w:eastAsia="fr-FR"/>
        </w:rPr>
        <w:t xml:space="preserve">« Etude narratologique des deux pièces », </w:t>
      </w:r>
      <w:r w:rsidRPr="00DF5B0B">
        <w:rPr>
          <w:rFonts w:ascii="Times New Roman" w:eastAsia="Times New Roman" w:hAnsi="Times New Roman"/>
          <w:sz w:val="24"/>
          <w:szCs w:val="24"/>
          <w:lang w:eastAsia="fr-FR"/>
        </w:rPr>
        <w:t>il s’agit de l’analyse du corpus</w:t>
      </w:r>
      <w:r w:rsidR="00360636" w:rsidRPr="00DF5B0B">
        <w:rPr>
          <w:rFonts w:ascii="Times New Roman" w:eastAsia="Times New Roman" w:hAnsi="Times New Roman"/>
          <w:sz w:val="24"/>
          <w:szCs w:val="24"/>
          <w:lang w:eastAsia="fr-FR"/>
        </w:rPr>
        <w:t xml:space="preserve"> narratologique</w:t>
      </w:r>
      <w:r w:rsidRPr="00DF5B0B">
        <w:rPr>
          <w:rFonts w:ascii="Times New Roman" w:eastAsia="Times New Roman" w:hAnsi="Times New Roman"/>
          <w:sz w:val="24"/>
          <w:szCs w:val="24"/>
          <w:lang w:eastAsia="fr-FR"/>
        </w:rPr>
        <w:t xml:space="preserve">, que nous allons </w:t>
      </w:r>
      <w:r w:rsidR="00360636" w:rsidRPr="00DF5B0B">
        <w:rPr>
          <w:rFonts w:ascii="Times New Roman" w:eastAsia="Times New Roman" w:hAnsi="Times New Roman"/>
          <w:sz w:val="24"/>
          <w:szCs w:val="24"/>
          <w:lang w:eastAsia="fr-FR"/>
        </w:rPr>
        <w:t>amorcer</w:t>
      </w:r>
      <w:r w:rsidRPr="00DF5B0B">
        <w:rPr>
          <w:rFonts w:ascii="Times New Roman" w:eastAsia="Times New Roman" w:hAnsi="Times New Roman"/>
          <w:sz w:val="24"/>
          <w:szCs w:val="24"/>
          <w:lang w:eastAsia="fr-FR"/>
        </w:rPr>
        <w:t xml:space="preserve"> par une </w:t>
      </w:r>
      <w:r w:rsidR="00360636" w:rsidRPr="00DF5B0B">
        <w:rPr>
          <w:rFonts w:ascii="Times New Roman" w:eastAsia="Times New Roman" w:hAnsi="Times New Roman"/>
          <w:sz w:val="24"/>
          <w:szCs w:val="24"/>
          <w:lang w:eastAsia="fr-FR"/>
        </w:rPr>
        <w:t>étude</w:t>
      </w:r>
      <w:r w:rsidRPr="00DF5B0B">
        <w:rPr>
          <w:rFonts w:ascii="Times New Roman" w:eastAsia="Times New Roman" w:hAnsi="Times New Roman"/>
          <w:sz w:val="24"/>
          <w:szCs w:val="24"/>
          <w:lang w:eastAsia="fr-FR"/>
        </w:rPr>
        <w:t xml:space="preserve"> </w:t>
      </w:r>
      <w:r w:rsidR="00360636" w:rsidRPr="00DF5B0B">
        <w:rPr>
          <w:rFonts w:ascii="Times New Roman" w:eastAsia="Times New Roman" w:hAnsi="Times New Roman"/>
          <w:sz w:val="24"/>
          <w:szCs w:val="24"/>
          <w:lang w:eastAsia="fr-FR"/>
        </w:rPr>
        <w:t xml:space="preserve">formelle des comportements et choix du narrateur (espace, temps et personnage). </w:t>
      </w:r>
    </w:p>
    <w:p w:rsidR="006A4EED" w:rsidRPr="00DF5B0B" w:rsidRDefault="00360636" w:rsidP="00E727B3">
      <w:pPr>
        <w:spacing w:after="0" w:line="360" w:lineRule="auto"/>
        <w:ind w:firstLine="284"/>
        <w:jc w:val="both"/>
        <w:rPr>
          <w:rFonts w:ascii="Times New Roman" w:eastAsia="Times New Roman" w:hAnsi="Times New Roman"/>
          <w:sz w:val="24"/>
          <w:szCs w:val="24"/>
          <w:lang w:eastAsia="fr-FR"/>
        </w:rPr>
      </w:pPr>
      <w:r w:rsidRPr="00DF5B0B">
        <w:rPr>
          <w:rFonts w:ascii="Times New Roman" w:eastAsia="Times New Roman" w:hAnsi="Times New Roman"/>
          <w:sz w:val="24"/>
          <w:szCs w:val="24"/>
          <w:lang w:eastAsia="fr-FR"/>
        </w:rPr>
        <w:t>La troisième partie quant à elle portera sur l’analyse discursive  dont la sémiotique du discours (intertexte, polyphonie des genres et des discours, l’implicite  et l’explicite, le dit et le non-dit, etc.,).</w:t>
      </w:r>
      <w:r w:rsidR="006A4EED" w:rsidRPr="00DF5B0B">
        <w:rPr>
          <w:rFonts w:ascii="Times New Roman" w:eastAsia="Times New Roman" w:hAnsi="Times New Roman"/>
          <w:sz w:val="24"/>
          <w:szCs w:val="24"/>
          <w:lang w:eastAsia="fr-FR"/>
        </w:rPr>
        <w:t xml:space="preserve"> </w:t>
      </w:r>
    </w:p>
    <w:p w:rsidR="006A4EED" w:rsidRPr="001F72D7" w:rsidRDefault="006A4EED" w:rsidP="00E727B3">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Nous tenterons donc une incursion dans les démarches artistiques des deux écrivains, à tour de rôle. Ce qui signifie que la question de l’action dramatique, de l’espace et du temps, celle de l’analyse des personnages et celle du discours dramatique s’impose.</w:t>
      </w:r>
    </w:p>
    <w:p w:rsidR="006A4EED" w:rsidRPr="003A0080" w:rsidRDefault="006A4EED" w:rsidP="00E727B3">
      <w:pPr>
        <w:spacing w:after="0" w:line="360" w:lineRule="auto"/>
        <w:ind w:firstLine="284"/>
        <w:jc w:val="both"/>
        <w:rPr>
          <w:rFonts w:asciiTheme="majorBidi" w:hAnsiTheme="majorBidi" w:cstheme="majorBidi"/>
          <w:sz w:val="24"/>
          <w:szCs w:val="24"/>
          <w:lang w:eastAsia="fr-FR"/>
        </w:rPr>
      </w:pPr>
      <w:r w:rsidRPr="001F72D7">
        <w:rPr>
          <w:rFonts w:ascii="Times New Roman" w:eastAsia="Times New Roman" w:hAnsi="Times New Roman"/>
          <w:sz w:val="24"/>
          <w:szCs w:val="24"/>
          <w:lang w:eastAsia="fr-FR"/>
        </w:rPr>
        <w:t xml:space="preserve">Ainsi nous jugeons nécessaire d’analyser l’action dramatique, car elle est étroitement liée à l’objet de notre étude : la manifestation des tensions entre les différents personnages sur le plan scénique. L’action dramatique étant définie comme </w:t>
      </w:r>
      <w:r w:rsidR="00E727B3" w:rsidRPr="00E727B3">
        <w:rPr>
          <w:rFonts w:asciiTheme="majorBidi" w:eastAsia="Times New Roman" w:hAnsiTheme="majorBidi" w:cstheme="majorBidi"/>
          <w:sz w:val="24"/>
          <w:szCs w:val="24"/>
          <w:lang w:eastAsia="fr-FR"/>
        </w:rPr>
        <w:t>« l</w:t>
      </w:r>
      <w:r w:rsidRPr="00E727B3">
        <w:rPr>
          <w:rFonts w:asciiTheme="majorBidi" w:hAnsiTheme="majorBidi" w:cstheme="majorBidi"/>
          <w:sz w:val="24"/>
          <w:szCs w:val="24"/>
          <w:lang w:eastAsia="fr-FR"/>
        </w:rPr>
        <w:t>a suite des événements montrés ou racontés sur scène et qui permettent de passer de la situation A à une situation B  d’arrivée par toute une série de médiations.»</w:t>
      </w:r>
      <w:r w:rsidR="00E727B3">
        <w:rPr>
          <w:rFonts w:asciiTheme="majorBidi" w:hAnsiTheme="majorBidi" w:cstheme="majorBidi"/>
          <w:sz w:val="24"/>
          <w:szCs w:val="24"/>
          <w:lang w:eastAsia="fr-FR"/>
        </w:rPr>
        <w:t xml:space="preserve"> </w:t>
      </w:r>
      <w:r w:rsidR="00E727B3" w:rsidRPr="003A0080">
        <w:rPr>
          <w:rFonts w:asciiTheme="majorBidi" w:hAnsiTheme="majorBidi" w:cstheme="majorBidi"/>
          <w:sz w:val="24"/>
          <w:szCs w:val="24"/>
          <w:lang w:eastAsia="fr-FR"/>
        </w:rPr>
        <w:t>(</w:t>
      </w:r>
      <w:r w:rsidR="00E727B3" w:rsidRPr="003A0080">
        <w:rPr>
          <w:rFonts w:ascii="Times New Roman" w:hAnsi="Times New Roman"/>
          <w:sz w:val="24"/>
          <w:szCs w:val="24"/>
        </w:rPr>
        <w:t>A. Ubersfeld, 1996, p.10)</w:t>
      </w:r>
      <w:r w:rsidR="007A6F61">
        <w:rPr>
          <w:rFonts w:ascii="Times New Roman" w:hAnsi="Times New Roman"/>
          <w:sz w:val="24"/>
          <w:szCs w:val="24"/>
        </w:rPr>
        <w:t>.</w:t>
      </w:r>
    </w:p>
    <w:p w:rsidR="006A4EED" w:rsidRPr="001F72D7" w:rsidRDefault="003933F0" w:rsidP="00380DC6">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De ce fait</w:t>
      </w:r>
      <w:r w:rsidR="006A4EED" w:rsidRPr="001F72D7">
        <w:rPr>
          <w:rFonts w:ascii="Times New Roman" w:eastAsia="Times New Roman" w:hAnsi="Times New Roman"/>
          <w:sz w:val="24"/>
          <w:szCs w:val="24"/>
          <w:lang w:eastAsia="fr-FR"/>
        </w:rPr>
        <w:t xml:space="preserve">, </w:t>
      </w:r>
      <w:r w:rsidRPr="001F72D7">
        <w:rPr>
          <w:rFonts w:ascii="Times New Roman" w:eastAsia="Times New Roman" w:hAnsi="Times New Roman"/>
          <w:sz w:val="24"/>
          <w:szCs w:val="24"/>
          <w:lang w:eastAsia="fr-FR"/>
        </w:rPr>
        <w:t>les deux</w:t>
      </w:r>
      <w:r w:rsidR="006A4EED" w:rsidRPr="001F72D7">
        <w:rPr>
          <w:rFonts w:ascii="Times New Roman" w:eastAsia="Times New Roman" w:hAnsi="Times New Roman"/>
          <w:sz w:val="24"/>
          <w:szCs w:val="24"/>
          <w:lang w:eastAsia="fr-FR"/>
        </w:rPr>
        <w:t xml:space="preserve"> </w:t>
      </w:r>
      <w:r w:rsidRPr="001F72D7">
        <w:rPr>
          <w:rFonts w:ascii="Times New Roman" w:eastAsia="Times New Roman" w:hAnsi="Times New Roman"/>
          <w:sz w:val="24"/>
          <w:szCs w:val="24"/>
          <w:lang w:eastAsia="fr-FR"/>
        </w:rPr>
        <w:t xml:space="preserve">premiers </w:t>
      </w:r>
      <w:r w:rsidR="006A4EED" w:rsidRPr="001F72D7">
        <w:rPr>
          <w:rFonts w:ascii="Times New Roman" w:eastAsia="Times New Roman" w:hAnsi="Times New Roman"/>
          <w:sz w:val="24"/>
          <w:szCs w:val="24"/>
          <w:lang w:eastAsia="fr-FR"/>
        </w:rPr>
        <w:t>chapitre</w:t>
      </w:r>
      <w:r w:rsidRPr="001F72D7">
        <w:rPr>
          <w:rFonts w:ascii="Times New Roman" w:eastAsia="Times New Roman" w:hAnsi="Times New Roman"/>
          <w:sz w:val="24"/>
          <w:szCs w:val="24"/>
          <w:lang w:eastAsia="fr-FR"/>
        </w:rPr>
        <w:t>s</w:t>
      </w:r>
      <w:r w:rsidR="006A4EED" w:rsidRPr="001F72D7">
        <w:rPr>
          <w:rFonts w:ascii="Times New Roman" w:eastAsia="Times New Roman" w:hAnsi="Times New Roman"/>
          <w:sz w:val="24"/>
          <w:szCs w:val="24"/>
          <w:lang w:eastAsia="fr-FR"/>
        </w:rPr>
        <w:t xml:space="preserve"> de cette seconde partie ser</w:t>
      </w:r>
      <w:r w:rsidRPr="001F72D7">
        <w:rPr>
          <w:rFonts w:ascii="Times New Roman" w:eastAsia="Times New Roman" w:hAnsi="Times New Roman"/>
          <w:sz w:val="24"/>
          <w:szCs w:val="24"/>
          <w:lang w:eastAsia="fr-FR"/>
        </w:rPr>
        <w:t>ont</w:t>
      </w:r>
      <w:r w:rsidR="006A4EED" w:rsidRPr="001F72D7">
        <w:rPr>
          <w:rFonts w:ascii="Times New Roman" w:eastAsia="Times New Roman" w:hAnsi="Times New Roman"/>
          <w:sz w:val="24"/>
          <w:szCs w:val="24"/>
          <w:lang w:eastAsia="fr-FR"/>
        </w:rPr>
        <w:t xml:space="preserve"> consacré</w:t>
      </w:r>
      <w:r w:rsidRPr="001F72D7">
        <w:rPr>
          <w:rFonts w:ascii="Times New Roman" w:eastAsia="Times New Roman" w:hAnsi="Times New Roman"/>
          <w:sz w:val="24"/>
          <w:szCs w:val="24"/>
          <w:lang w:eastAsia="fr-FR"/>
        </w:rPr>
        <w:t>s</w:t>
      </w:r>
      <w:r w:rsidR="006A4EED" w:rsidRPr="001F72D7">
        <w:rPr>
          <w:rFonts w:ascii="Times New Roman" w:eastAsia="Times New Roman" w:hAnsi="Times New Roman"/>
          <w:sz w:val="24"/>
          <w:szCs w:val="24"/>
          <w:lang w:eastAsia="fr-FR"/>
        </w:rPr>
        <w:t xml:space="preserve"> à l’analyse </w:t>
      </w:r>
      <w:r w:rsidRPr="001F72D7">
        <w:rPr>
          <w:rFonts w:ascii="Times New Roman" w:eastAsia="Times New Roman" w:hAnsi="Times New Roman"/>
          <w:sz w:val="24"/>
          <w:szCs w:val="24"/>
          <w:lang w:eastAsia="fr-FR"/>
        </w:rPr>
        <w:t xml:space="preserve">respectivement de l’œuvre </w:t>
      </w:r>
      <w:proofErr w:type="gramStart"/>
      <w:r w:rsidRPr="001F72D7">
        <w:rPr>
          <w:rFonts w:ascii="Times New Roman" w:eastAsia="Times New Roman" w:hAnsi="Times New Roman"/>
          <w:sz w:val="24"/>
          <w:szCs w:val="24"/>
          <w:lang w:eastAsia="fr-FR"/>
        </w:rPr>
        <w:t>de Ould</w:t>
      </w:r>
      <w:proofErr w:type="gramEnd"/>
      <w:r w:rsidRPr="001F72D7">
        <w:rPr>
          <w:rFonts w:ascii="Times New Roman" w:eastAsia="Times New Roman" w:hAnsi="Times New Roman"/>
          <w:sz w:val="24"/>
          <w:szCs w:val="24"/>
          <w:lang w:eastAsia="fr-FR"/>
        </w:rPr>
        <w:t xml:space="preserve"> Abderahmane Kaki, </w:t>
      </w:r>
      <w:r w:rsidRPr="001F72D7">
        <w:rPr>
          <w:rFonts w:ascii="Times New Roman" w:eastAsia="Times New Roman" w:hAnsi="Times New Roman"/>
          <w:i/>
          <w:iCs/>
          <w:sz w:val="24"/>
          <w:szCs w:val="24"/>
          <w:lang w:eastAsia="fr-FR"/>
        </w:rPr>
        <w:t>Le porteur d’eau et les Marabouts</w:t>
      </w:r>
      <w:r w:rsidRPr="001F72D7">
        <w:rPr>
          <w:rFonts w:ascii="Times New Roman" w:eastAsia="Times New Roman" w:hAnsi="Times New Roman"/>
          <w:sz w:val="24"/>
          <w:szCs w:val="24"/>
          <w:lang w:eastAsia="fr-FR"/>
        </w:rPr>
        <w:t xml:space="preserve"> et de</w:t>
      </w:r>
      <w:r w:rsidR="006A4EED" w:rsidRPr="001F72D7">
        <w:rPr>
          <w:rFonts w:ascii="Times New Roman" w:eastAsia="Times New Roman" w:hAnsi="Times New Roman"/>
          <w:sz w:val="24"/>
          <w:szCs w:val="24"/>
          <w:lang w:eastAsia="fr-FR"/>
        </w:rPr>
        <w:t xml:space="preserve"> l’œuvre de Michel de Ghelderode, </w:t>
      </w:r>
      <w:r w:rsidR="006A4EED" w:rsidRPr="001F72D7">
        <w:rPr>
          <w:rFonts w:ascii="Times New Roman" w:eastAsia="Times New Roman" w:hAnsi="Times New Roman"/>
          <w:i/>
          <w:sz w:val="24"/>
          <w:szCs w:val="24"/>
          <w:lang w:eastAsia="fr-FR"/>
        </w:rPr>
        <w:t>Bara</w:t>
      </w:r>
      <w:r w:rsidR="00140EBC" w:rsidRPr="001F72D7">
        <w:rPr>
          <w:rFonts w:ascii="Times New Roman" w:eastAsia="Times New Roman" w:hAnsi="Times New Roman"/>
          <w:i/>
          <w:sz w:val="24"/>
          <w:szCs w:val="24"/>
          <w:lang w:eastAsia="fr-FR"/>
        </w:rPr>
        <w:t>b</w:t>
      </w:r>
      <w:r w:rsidR="006A4EED" w:rsidRPr="001F72D7">
        <w:rPr>
          <w:rFonts w:ascii="Times New Roman" w:eastAsia="Times New Roman" w:hAnsi="Times New Roman"/>
          <w:i/>
          <w:sz w:val="24"/>
          <w:szCs w:val="24"/>
          <w:lang w:eastAsia="fr-FR"/>
        </w:rPr>
        <w:t>bas</w:t>
      </w:r>
      <w:r w:rsidR="005E2CA2">
        <w:rPr>
          <w:rFonts w:ascii="Times New Roman" w:eastAsia="Times New Roman" w:hAnsi="Times New Roman"/>
          <w:i/>
          <w:sz w:val="24"/>
          <w:szCs w:val="24"/>
          <w:lang w:eastAsia="fr-FR"/>
        </w:rPr>
        <w:t xml:space="preserve"> </w:t>
      </w:r>
      <w:r w:rsidRPr="00DF5B0B">
        <w:rPr>
          <w:rFonts w:ascii="Times New Roman" w:eastAsia="Times New Roman" w:hAnsi="Times New Roman"/>
          <w:i/>
          <w:sz w:val="24"/>
          <w:szCs w:val="24"/>
          <w:lang w:eastAsia="fr-FR"/>
        </w:rPr>
        <w:t>;</w:t>
      </w:r>
      <w:r w:rsidR="006A4EED" w:rsidRPr="00DF5B0B">
        <w:rPr>
          <w:rFonts w:ascii="Times New Roman" w:eastAsia="Times New Roman" w:hAnsi="Times New Roman"/>
          <w:sz w:val="24"/>
          <w:szCs w:val="24"/>
          <w:lang w:eastAsia="fr-FR"/>
        </w:rPr>
        <w:t xml:space="preserve"> la méthodologie </w:t>
      </w:r>
      <w:r w:rsidR="00360636" w:rsidRPr="00DF5B0B">
        <w:rPr>
          <w:rFonts w:ascii="Times New Roman" w:eastAsia="Times New Roman" w:hAnsi="Times New Roman"/>
          <w:sz w:val="24"/>
          <w:szCs w:val="24"/>
          <w:lang w:eastAsia="fr-FR"/>
        </w:rPr>
        <w:t xml:space="preserve">que nous appliquerons </w:t>
      </w:r>
      <w:r w:rsidR="00380DC6">
        <w:rPr>
          <w:rFonts w:ascii="Times New Roman" w:eastAsia="Times New Roman" w:hAnsi="Times New Roman"/>
          <w:sz w:val="24"/>
          <w:szCs w:val="24"/>
          <w:lang w:eastAsia="fr-FR"/>
        </w:rPr>
        <w:t>pour la première œuvre</w:t>
      </w:r>
      <w:r w:rsidR="006A4EED" w:rsidRPr="00DF5B0B">
        <w:rPr>
          <w:rFonts w:ascii="Times New Roman" w:eastAsia="Times New Roman" w:hAnsi="Times New Roman"/>
          <w:sz w:val="24"/>
          <w:szCs w:val="24"/>
          <w:lang w:eastAsia="fr-FR"/>
        </w:rPr>
        <w:t xml:space="preserve"> sera identique à celle appliquée pour l</w:t>
      </w:r>
      <w:r w:rsidR="00380DC6">
        <w:rPr>
          <w:rFonts w:ascii="Times New Roman" w:eastAsia="Times New Roman" w:hAnsi="Times New Roman"/>
          <w:sz w:val="24"/>
          <w:szCs w:val="24"/>
          <w:lang w:eastAsia="fr-FR"/>
        </w:rPr>
        <w:t>a</w:t>
      </w:r>
      <w:r w:rsidR="006A4EED" w:rsidRPr="00DF5B0B">
        <w:rPr>
          <w:rFonts w:ascii="Times New Roman" w:eastAsia="Times New Roman" w:hAnsi="Times New Roman"/>
          <w:sz w:val="24"/>
          <w:szCs w:val="24"/>
          <w:lang w:eastAsia="fr-FR"/>
        </w:rPr>
        <w:t xml:space="preserve"> second</w:t>
      </w:r>
      <w:r w:rsidR="00380DC6">
        <w:rPr>
          <w:rFonts w:ascii="Times New Roman" w:eastAsia="Times New Roman" w:hAnsi="Times New Roman"/>
          <w:sz w:val="24"/>
          <w:szCs w:val="24"/>
          <w:lang w:eastAsia="fr-FR"/>
        </w:rPr>
        <w:t>es</w:t>
      </w:r>
      <w:r w:rsidR="006A4EED" w:rsidRPr="00DF5B0B">
        <w:rPr>
          <w:rFonts w:ascii="Times New Roman" w:eastAsia="Times New Roman" w:hAnsi="Times New Roman"/>
          <w:sz w:val="24"/>
          <w:szCs w:val="24"/>
          <w:lang w:eastAsia="fr-FR"/>
        </w:rPr>
        <w:t>. Il s’agit de l’étude de la structure dramatique qui consiste à reconstituer la charpente qui les</w:t>
      </w:r>
      <w:r w:rsidR="006A4EED" w:rsidRPr="001F72D7">
        <w:rPr>
          <w:rFonts w:ascii="Times New Roman" w:eastAsia="Times New Roman" w:hAnsi="Times New Roman"/>
          <w:sz w:val="24"/>
          <w:szCs w:val="24"/>
          <w:lang w:eastAsia="fr-FR"/>
        </w:rPr>
        <w:t xml:space="preserve"> sous-tend en vue de voir si elles répondent à un modèle générique défini. </w:t>
      </w:r>
    </w:p>
    <w:p w:rsidR="006A4EED" w:rsidRPr="001F72D7" w:rsidRDefault="006A4EED" w:rsidP="00C7570E">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lastRenderedPageBreak/>
        <w:t xml:space="preserve">En ce sens, nous allons adopter la démarche suivante : décomposer ces pièces en fonction des unités structurelles, actes, scènes, séquences et identifier par la suite leurs corrélations, afin de déterminer les rapports qu’elles entretiennent avec les caractéristiques générales de l’écriture dramatique de chacun des auteurs, autrement dit, en quoi se rapprochent-elles des caractéristiques propres à chacun des auteurs. L’analyse des personnages reste un des modes d’accès, à la fois les plus immédiats et les plus éclairants, au texte dramatique. </w:t>
      </w:r>
    </w:p>
    <w:p w:rsidR="006A4EED" w:rsidRPr="001F72D7" w:rsidRDefault="006A4EED" w:rsidP="005D05D5">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 xml:space="preserve">Ces personnages évoluent dans un cadre spatio-temporel que nous devons définir pour voir le rapport à la réalité d’une part, et de déterminer leurs fonctions quant à la signification ; l’espace et le temps sont-ils là pour ancrer l’histoire dans la réalité ou remplissent-ils le rôle de personnages à part entière ? </w:t>
      </w:r>
    </w:p>
    <w:p w:rsidR="006A4EED" w:rsidRPr="001F72D7" w:rsidRDefault="006A4EED" w:rsidP="00BC50AD">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L’espace est particulièrement complexe : il est à la fois concret (l’espace théâtral pour lequel écrivent les dramaturges, l’espace scénique, où se nouent les interprètes) et fictif (l’espace dramatique, investi des trois dimensions de lieu géographique, lieu milieu et lieu symbole), inhérentes à tout espace fictionnel ; à la fois ici, déterminé par l’usage, fait de la scène, et ailleurs qui, lui, est virtuel, constitué par le hors-scène; construit à la fois par les didascalies et par le discours des personnages. L’espace dramatique est donc une abstraction: il comprend, non seulement les signes de la représentation, mais aussi toute la spatialité virtuelle du texte. Les points que nous venons d’évoquer nous imposent l’analyse des modèles actanciels qui mettent en lumière les fonctions et les liaisons qu’entretiennent les personnages. Il convient donc de se livrer à  différents essayages. Quels sont les procédés techniques utilisés pour amener le spectateur à avoir une attitude envers les faits représentés ?</w:t>
      </w:r>
    </w:p>
    <w:p w:rsidR="006A4EED" w:rsidRPr="00DF5B0B" w:rsidRDefault="006A4EED" w:rsidP="00CB3EB1">
      <w:pPr>
        <w:spacing w:after="0" w:line="360" w:lineRule="auto"/>
        <w:ind w:firstLine="284"/>
        <w:jc w:val="both"/>
        <w:rPr>
          <w:rFonts w:ascii="Times New Roman" w:eastAsia="Times New Roman" w:hAnsi="Times New Roman"/>
          <w:sz w:val="24"/>
          <w:szCs w:val="24"/>
          <w:lang w:eastAsia="fr-FR"/>
        </w:rPr>
      </w:pPr>
      <w:r w:rsidRPr="001F72D7">
        <w:rPr>
          <w:rFonts w:ascii="Times New Roman" w:eastAsia="Times New Roman" w:hAnsi="Times New Roman"/>
          <w:sz w:val="24"/>
          <w:szCs w:val="24"/>
          <w:lang w:eastAsia="fr-FR"/>
        </w:rPr>
        <w:t xml:space="preserve">Pour refermer d’ailleurs cette seconde partie, nous étudierons la métanarration à travers la métadiégèse. L’analyse s’attachera précisément à élucider les différentes formes théâtrales qui mettent en exergue la métadiégèse, qui est une inversion entre le narrateur et l’actant. Cette forme de distanciation nous permettra de voir comment les deux auteurs mettent sur pied un </w:t>
      </w:r>
      <w:r w:rsidRPr="00DF5B0B">
        <w:rPr>
          <w:rFonts w:ascii="Times New Roman" w:eastAsia="Times New Roman" w:hAnsi="Times New Roman"/>
          <w:sz w:val="24"/>
          <w:szCs w:val="24"/>
          <w:lang w:eastAsia="fr-FR"/>
        </w:rPr>
        <w:t>personnage qui peut jouer plusieurs rôles à la fois</w:t>
      </w:r>
      <w:r w:rsidR="00BA0527">
        <w:rPr>
          <w:rFonts w:ascii="Times New Roman" w:eastAsia="Times New Roman" w:hAnsi="Times New Roman"/>
          <w:sz w:val="24"/>
          <w:szCs w:val="24"/>
          <w:lang w:eastAsia="fr-FR"/>
        </w:rPr>
        <w:t>.</w:t>
      </w:r>
    </w:p>
    <w:p w:rsidR="009C07FA" w:rsidRDefault="009C07FA" w:rsidP="00CB3EB1">
      <w:pPr>
        <w:spacing w:after="0" w:line="360" w:lineRule="auto"/>
        <w:ind w:firstLine="284"/>
        <w:jc w:val="both"/>
        <w:rPr>
          <w:rFonts w:ascii="Times New Roman" w:eastAsia="Times New Roman" w:hAnsi="Times New Roman"/>
          <w:sz w:val="24"/>
          <w:szCs w:val="24"/>
          <w:lang w:eastAsia="fr-FR"/>
        </w:rPr>
      </w:pPr>
      <w:r w:rsidRPr="00DF5B0B">
        <w:rPr>
          <w:rFonts w:ascii="Times New Roman" w:eastAsia="Times New Roman" w:hAnsi="Times New Roman"/>
          <w:sz w:val="24"/>
          <w:szCs w:val="24"/>
          <w:lang w:eastAsia="fr-FR"/>
        </w:rPr>
        <w:t>Au</w:t>
      </w:r>
      <w:r w:rsidR="006A4EED" w:rsidRPr="00DF5B0B">
        <w:rPr>
          <w:rFonts w:ascii="Times New Roman" w:eastAsia="Times New Roman" w:hAnsi="Times New Roman"/>
          <w:sz w:val="24"/>
          <w:szCs w:val="24"/>
          <w:lang w:eastAsia="fr-FR"/>
        </w:rPr>
        <w:t xml:space="preserve"> final et dans la troisième partie, que nous avons titré :</w:t>
      </w:r>
      <w:r w:rsidR="00360636" w:rsidRPr="00DF5B0B">
        <w:rPr>
          <w:rFonts w:ascii="Times New Roman" w:eastAsia="Times New Roman" w:hAnsi="Times New Roman"/>
          <w:sz w:val="24"/>
          <w:szCs w:val="24"/>
          <w:lang w:eastAsia="fr-FR"/>
        </w:rPr>
        <w:t xml:space="preserve"> « Analyse sémiotique des deux pièces», </w:t>
      </w:r>
      <w:r w:rsidRPr="00DF5B0B">
        <w:t xml:space="preserve"> </w:t>
      </w:r>
      <w:r w:rsidRPr="00DF5B0B">
        <w:rPr>
          <w:rFonts w:ascii="Times New Roman" w:eastAsia="Times New Roman" w:hAnsi="Times New Roman"/>
          <w:sz w:val="24"/>
          <w:szCs w:val="24"/>
          <w:lang w:eastAsia="fr-FR"/>
        </w:rPr>
        <w:t>nous nous proposons d’approfondir notre analyse du discours dramatique (sémiotique discursive) à travers</w:t>
      </w:r>
      <w:r w:rsidR="006A4EED" w:rsidRPr="00DF5B0B">
        <w:rPr>
          <w:rFonts w:ascii="Times New Roman" w:eastAsia="Times New Roman" w:hAnsi="Times New Roman"/>
          <w:sz w:val="24"/>
          <w:szCs w:val="24"/>
          <w:lang w:eastAsia="fr-FR"/>
        </w:rPr>
        <w:t xml:space="preserve"> une réflexion qui s’attachera à </w:t>
      </w:r>
      <w:r w:rsidR="006A4EED" w:rsidRPr="00DF5B0B">
        <w:rPr>
          <w:rFonts w:ascii="Times New Roman" w:eastAsia="Times New Roman" w:hAnsi="Times New Roman"/>
          <w:sz w:val="24"/>
          <w:szCs w:val="24"/>
          <w:lang w:eastAsia="fr-FR"/>
        </w:rPr>
        <w:lastRenderedPageBreak/>
        <w:t>déchiffrer des significations et à porter au jour les opérations cognitives par lesquelles les agents les produisent et les déchiffrent.</w:t>
      </w:r>
      <w:r w:rsidR="006A4EED" w:rsidRPr="001F72D7">
        <w:rPr>
          <w:rFonts w:ascii="Times New Roman" w:eastAsia="Times New Roman" w:hAnsi="Times New Roman"/>
          <w:sz w:val="24"/>
          <w:szCs w:val="24"/>
          <w:lang w:eastAsia="fr-FR"/>
        </w:rPr>
        <w:t xml:space="preserve"> </w:t>
      </w:r>
    </w:p>
    <w:p w:rsidR="006A4EED" w:rsidRDefault="009C07FA" w:rsidP="00380DC6">
      <w:pPr>
        <w:spacing w:after="0" w:line="360" w:lineRule="auto"/>
        <w:ind w:firstLine="284"/>
        <w:jc w:val="both"/>
        <w:rPr>
          <w:rFonts w:ascii="Times New Roman" w:hAnsi="Times New Roman"/>
          <w:sz w:val="24"/>
          <w:szCs w:val="24"/>
        </w:rPr>
      </w:pPr>
      <w:r>
        <w:rPr>
          <w:rFonts w:ascii="Times New Roman" w:eastAsia="Times New Roman" w:hAnsi="Times New Roman"/>
          <w:sz w:val="24"/>
          <w:szCs w:val="24"/>
          <w:lang w:eastAsia="fr-FR"/>
        </w:rPr>
        <w:t>Finalement</w:t>
      </w:r>
      <w:r w:rsidR="00380DC6">
        <w:rPr>
          <w:rFonts w:ascii="Times New Roman" w:eastAsia="Times New Roman" w:hAnsi="Times New Roman"/>
          <w:sz w:val="24"/>
          <w:szCs w:val="24"/>
          <w:lang w:eastAsia="fr-FR"/>
        </w:rPr>
        <w:t>,</w:t>
      </w:r>
      <w:r>
        <w:rPr>
          <w:rFonts w:ascii="Times New Roman" w:eastAsia="Times New Roman" w:hAnsi="Times New Roman"/>
          <w:sz w:val="24"/>
          <w:szCs w:val="24"/>
          <w:lang w:eastAsia="fr-FR"/>
        </w:rPr>
        <w:t xml:space="preserve"> pour conclure,</w:t>
      </w:r>
      <w:r w:rsidR="006A4EED" w:rsidRPr="001F72D7">
        <w:rPr>
          <w:rFonts w:ascii="Times New Roman" w:eastAsia="Times New Roman" w:hAnsi="Times New Roman"/>
          <w:sz w:val="24"/>
          <w:szCs w:val="24"/>
          <w:lang w:eastAsia="fr-FR"/>
        </w:rPr>
        <w:t xml:space="preserve"> nous </w:t>
      </w:r>
      <w:r w:rsidR="00380DC6">
        <w:rPr>
          <w:rFonts w:ascii="Times New Roman" w:eastAsia="Times New Roman" w:hAnsi="Times New Roman"/>
          <w:sz w:val="24"/>
          <w:szCs w:val="24"/>
          <w:lang w:eastAsia="fr-FR"/>
        </w:rPr>
        <w:t xml:space="preserve">nous </w:t>
      </w:r>
      <w:r w:rsidR="006A4EED" w:rsidRPr="001F72D7">
        <w:rPr>
          <w:rFonts w:ascii="Times New Roman" w:eastAsia="Times New Roman" w:hAnsi="Times New Roman"/>
          <w:sz w:val="24"/>
          <w:szCs w:val="24"/>
          <w:lang w:eastAsia="fr-FR"/>
        </w:rPr>
        <w:t>emploierons, à situer</w:t>
      </w:r>
      <w:r w:rsidR="00380DC6">
        <w:rPr>
          <w:rFonts w:ascii="Times New Roman" w:eastAsia="Times New Roman" w:hAnsi="Times New Roman"/>
          <w:sz w:val="24"/>
          <w:szCs w:val="24"/>
          <w:lang w:eastAsia="fr-FR"/>
        </w:rPr>
        <w:t xml:space="preserve"> et</w:t>
      </w:r>
      <w:r w:rsidR="006A4EED" w:rsidRPr="001F72D7">
        <w:rPr>
          <w:rFonts w:ascii="Times New Roman" w:eastAsia="Times New Roman" w:hAnsi="Times New Roman"/>
          <w:sz w:val="24"/>
          <w:szCs w:val="24"/>
          <w:lang w:eastAsia="fr-FR"/>
        </w:rPr>
        <w:t xml:space="preserve"> synthétiser les</w:t>
      </w:r>
      <w:r w:rsidR="006A4EED" w:rsidRPr="001F72D7">
        <w:rPr>
          <w:rFonts w:ascii="Times New Roman" w:hAnsi="Times New Roman"/>
          <w:sz w:val="24"/>
          <w:szCs w:val="24"/>
        </w:rPr>
        <w:t xml:space="preserve"> éléments de </w:t>
      </w:r>
      <w:r w:rsidR="00BE1E32">
        <w:rPr>
          <w:rFonts w:ascii="Times New Roman" w:hAnsi="Times New Roman"/>
          <w:sz w:val="24"/>
          <w:szCs w:val="24"/>
        </w:rPr>
        <w:t>sémiotique</w:t>
      </w:r>
      <w:r w:rsidR="006A4EED" w:rsidRPr="001F72D7">
        <w:rPr>
          <w:rFonts w:ascii="Times New Roman" w:hAnsi="Times New Roman"/>
          <w:sz w:val="24"/>
          <w:szCs w:val="24"/>
        </w:rPr>
        <w:t xml:space="preserve"> du théâtre extraits des pièces étudié</w:t>
      </w:r>
      <w:r w:rsidR="003933F0" w:rsidRPr="001F72D7">
        <w:rPr>
          <w:rFonts w:ascii="Times New Roman" w:hAnsi="Times New Roman"/>
          <w:sz w:val="24"/>
          <w:szCs w:val="24"/>
        </w:rPr>
        <w:t>e</w:t>
      </w:r>
      <w:r w:rsidR="006A4EED" w:rsidRPr="001F72D7">
        <w:rPr>
          <w:rFonts w:ascii="Times New Roman" w:hAnsi="Times New Roman"/>
          <w:sz w:val="24"/>
          <w:szCs w:val="24"/>
        </w:rPr>
        <w:t>s et qui auront été e</w:t>
      </w:r>
      <w:r w:rsidR="00D43EDC">
        <w:rPr>
          <w:rFonts w:ascii="Times New Roman" w:hAnsi="Times New Roman"/>
          <w:sz w:val="24"/>
          <w:szCs w:val="24"/>
        </w:rPr>
        <w:t>ffleurés tout au long de cette t</w:t>
      </w:r>
      <w:r w:rsidR="006A4EED" w:rsidRPr="001F72D7">
        <w:rPr>
          <w:rFonts w:ascii="Times New Roman" w:hAnsi="Times New Roman"/>
          <w:sz w:val="24"/>
          <w:szCs w:val="24"/>
        </w:rPr>
        <w:t xml:space="preserve">hèse, depuis l’étude narratologique des deux pièces, jusqu’au rôle des personnages-narrateurs. Une synthèse confrontée des approches sémiotiques dans les théâtres de Kaki et de Ghelderode sera donc proposée afin de dégager les grands axes révélateurs de la </w:t>
      </w:r>
      <w:r w:rsidR="00BE1E32">
        <w:rPr>
          <w:rFonts w:ascii="Times New Roman" w:hAnsi="Times New Roman"/>
          <w:sz w:val="24"/>
          <w:szCs w:val="24"/>
        </w:rPr>
        <w:t>sémiotique</w:t>
      </w:r>
      <w:r w:rsidR="006A4EED" w:rsidRPr="001F72D7">
        <w:rPr>
          <w:rFonts w:ascii="Times New Roman" w:hAnsi="Times New Roman"/>
          <w:sz w:val="24"/>
          <w:szCs w:val="24"/>
        </w:rPr>
        <w:t xml:space="preserve"> dans chacune des œuvres et d’opérer des corrélations. </w:t>
      </w:r>
    </w:p>
    <w:p w:rsidR="001F72D7" w:rsidRDefault="001F72D7" w:rsidP="001F72D7">
      <w:pPr>
        <w:spacing w:after="0" w:line="312" w:lineRule="auto"/>
        <w:jc w:val="both"/>
        <w:rPr>
          <w:rFonts w:ascii="Times New Roman" w:hAnsi="Times New Roman"/>
          <w:sz w:val="24"/>
          <w:szCs w:val="24"/>
        </w:rPr>
      </w:pPr>
    </w:p>
    <w:p w:rsidR="001F72D7" w:rsidRDefault="001F72D7" w:rsidP="001F72D7">
      <w:pPr>
        <w:spacing w:after="0" w:line="312" w:lineRule="auto"/>
        <w:jc w:val="both"/>
        <w:rPr>
          <w:rFonts w:ascii="Times New Roman" w:hAnsi="Times New Roman"/>
          <w:sz w:val="24"/>
          <w:szCs w:val="24"/>
        </w:rPr>
      </w:pPr>
    </w:p>
    <w:p w:rsidR="001F72D7" w:rsidRDefault="001F72D7" w:rsidP="001F72D7">
      <w:pPr>
        <w:spacing w:after="0" w:line="312" w:lineRule="auto"/>
        <w:jc w:val="both"/>
        <w:rPr>
          <w:rFonts w:ascii="Times New Roman" w:hAnsi="Times New Roman"/>
          <w:sz w:val="24"/>
          <w:szCs w:val="24"/>
        </w:rPr>
      </w:pPr>
    </w:p>
    <w:p w:rsidR="001F72D7" w:rsidRDefault="001F72D7" w:rsidP="001F72D7">
      <w:pPr>
        <w:spacing w:after="0" w:line="312" w:lineRule="auto"/>
        <w:jc w:val="both"/>
        <w:rPr>
          <w:rFonts w:ascii="Times New Roman" w:hAnsi="Times New Roman"/>
          <w:sz w:val="24"/>
          <w:szCs w:val="24"/>
        </w:rPr>
      </w:pPr>
    </w:p>
    <w:p w:rsidR="001F72D7" w:rsidRDefault="001F72D7" w:rsidP="001F72D7">
      <w:pPr>
        <w:spacing w:after="0" w:line="312" w:lineRule="auto"/>
        <w:jc w:val="both"/>
        <w:rPr>
          <w:rFonts w:ascii="Times New Roman" w:hAnsi="Times New Roman"/>
          <w:sz w:val="24"/>
          <w:szCs w:val="24"/>
        </w:rPr>
      </w:pPr>
    </w:p>
    <w:p w:rsidR="001F72D7" w:rsidRPr="001F72D7" w:rsidRDefault="009C07FA" w:rsidP="001F72D7">
      <w:pPr>
        <w:spacing w:after="0" w:line="312" w:lineRule="auto"/>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br w:type="page"/>
      </w:r>
    </w:p>
    <w:p w:rsidR="006A4EED" w:rsidRPr="00856357" w:rsidRDefault="006A4EED" w:rsidP="001D4E16">
      <w:pPr>
        <w:pStyle w:val="Titre1"/>
        <w:spacing w:before="0"/>
        <w:jc w:val="center"/>
        <w:rPr>
          <w:rFonts w:ascii="Times New Roman" w:hAnsi="Times New Roman"/>
          <w:b/>
          <w:bCs w:val="0"/>
          <w:color w:val="auto"/>
          <w:sz w:val="24"/>
          <w:szCs w:val="24"/>
          <w:rtl/>
        </w:rPr>
      </w:pPr>
      <w:bookmarkStart w:id="13" w:name="_Toc471484391"/>
      <w:r w:rsidRPr="00856357">
        <w:rPr>
          <w:rFonts w:ascii="Times New Roman" w:hAnsi="Times New Roman"/>
          <w:b/>
          <w:bCs w:val="0"/>
          <w:color w:val="auto"/>
          <w:sz w:val="24"/>
          <w:szCs w:val="24"/>
          <w:lang w:val="fr-FR"/>
        </w:rPr>
        <w:lastRenderedPageBreak/>
        <w:t>PARTIE I</w:t>
      </w:r>
      <w:r w:rsidR="001679AD">
        <w:rPr>
          <w:rFonts w:ascii="Times New Roman" w:hAnsi="Times New Roman"/>
          <w:b/>
          <w:bCs w:val="0"/>
          <w:color w:val="auto"/>
          <w:sz w:val="24"/>
          <w:szCs w:val="24"/>
          <w:lang w:val="fr-FR"/>
        </w:rPr>
        <w:t> :</w:t>
      </w:r>
      <w:r w:rsidRPr="00856357">
        <w:rPr>
          <w:rFonts w:ascii="Times New Roman" w:hAnsi="Times New Roman"/>
          <w:b/>
          <w:bCs w:val="0"/>
          <w:color w:val="auto"/>
          <w:sz w:val="24"/>
          <w:szCs w:val="24"/>
          <w:lang w:val="fr-FR"/>
        </w:rPr>
        <w:t xml:space="preserve"> L</w:t>
      </w:r>
      <w:r w:rsidR="0072253A" w:rsidRPr="00856357">
        <w:rPr>
          <w:rFonts w:ascii="Times New Roman" w:hAnsi="Times New Roman"/>
          <w:b/>
          <w:bCs w:val="0"/>
          <w:color w:val="auto"/>
          <w:sz w:val="24"/>
          <w:szCs w:val="24"/>
          <w:lang w:val="fr-FR"/>
        </w:rPr>
        <w:t>es théâtres de</w:t>
      </w:r>
      <w:r w:rsidRPr="00856357">
        <w:rPr>
          <w:rFonts w:ascii="Times New Roman" w:hAnsi="Times New Roman"/>
          <w:b/>
          <w:bCs w:val="0"/>
          <w:color w:val="auto"/>
          <w:sz w:val="24"/>
          <w:szCs w:val="24"/>
          <w:lang w:val="fr-FR"/>
        </w:rPr>
        <w:t xml:space="preserve"> K</w:t>
      </w:r>
      <w:r w:rsidR="0072253A" w:rsidRPr="00856357">
        <w:rPr>
          <w:rFonts w:ascii="Times New Roman" w:hAnsi="Times New Roman"/>
          <w:b/>
          <w:bCs w:val="0"/>
          <w:color w:val="auto"/>
          <w:sz w:val="24"/>
          <w:szCs w:val="24"/>
          <w:lang w:val="fr-FR"/>
        </w:rPr>
        <w:t>aki</w:t>
      </w:r>
      <w:r w:rsidRPr="00856357">
        <w:rPr>
          <w:rFonts w:ascii="Times New Roman" w:hAnsi="Times New Roman"/>
          <w:b/>
          <w:bCs w:val="0"/>
          <w:color w:val="auto"/>
          <w:sz w:val="24"/>
          <w:szCs w:val="24"/>
          <w:lang w:val="fr-FR"/>
        </w:rPr>
        <w:t xml:space="preserve"> </w:t>
      </w:r>
      <w:r w:rsidR="0072253A" w:rsidRPr="00856357">
        <w:rPr>
          <w:rFonts w:ascii="Times New Roman" w:hAnsi="Times New Roman"/>
          <w:b/>
          <w:bCs w:val="0"/>
          <w:color w:val="auto"/>
          <w:sz w:val="24"/>
          <w:szCs w:val="24"/>
          <w:lang w:val="fr-FR"/>
        </w:rPr>
        <w:t>et</w:t>
      </w:r>
      <w:r w:rsidR="0072253A">
        <w:rPr>
          <w:rFonts w:ascii="Times New Roman" w:hAnsi="Times New Roman"/>
          <w:b/>
          <w:bCs w:val="0"/>
          <w:color w:val="auto"/>
          <w:sz w:val="24"/>
          <w:szCs w:val="24"/>
          <w:lang w:val="fr-FR"/>
        </w:rPr>
        <w:t xml:space="preserve"> de</w:t>
      </w:r>
      <w:r w:rsidRPr="00856357">
        <w:rPr>
          <w:rFonts w:ascii="Times New Roman" w:hAnsi="Times New Roman"/>
          <w:b/>
          <w:bCs w:val="0"/>
          <w:color w:val="auto"/>
          <w:sz w:val="24"/>
          <w:szCs w:val="24"/>
          <w:lang w:val="fr-FR"/>
        </w:rPr>
        <w:t xml:space="preserve"> G</w:t>
      </w:r>
      <w:r w:rsidR="0072253A" w:rsidRPr="00856357">
        <w:rPr>
          <w:rFonts w:ascii="Times New Roman" w:hAnsi="Times New Roman"/>
          <w:b/>
          <w:bCs w:val="0"/>
          <w:color w:val="auto"/>
          <w:sz w:val="24"/>
          <w:szCs w:val="24"/>
          <w:lang w:val="fr-FR"/>
        </w:rPr>
        <w:t>helderode</w:t>
      </w:r>
      <w:r w:rsidRPr="00856357">
        <w:rPr>
          <w:rFonts w:ascii="Times New Roman" w:hAnsi="Times New Roman"/>
          <w:b/>
          <w:bCs w:val="0"/>
          <w:color w:val="auto"/>
          <w:sz w:val="24"/>
          <w:szCs w:val="24"/>
          <w:lang w:val="fr-FR"/>
        </w:rPr>
        <w:t>: T</w:t>
      </w:r>
      <w:r w:rsidR="0072253A" w:rsidRPr="00856357">
        <w:rPr>
          <w:rFonts w:ascii="Times New Roman" w:hAnsi="Times New Roman"/>
          <w:b/>
          <w:bCs w:val="0"/>
          <w:color w:val="auto"/>
          <w:sz w:val="24"/>
          <w:szCs w:val="24"/>
          <w:lang w:val="fr-FR"/>
        </w:rPr>
        <w:t>extes</w:t>
      </w:r>
      <w:r w:rsidRPr="00856357">
        <w:rPr>
          <w:rFonts w:ascii="Times New Roman" w:hAnsi="Times New Roman"/>
          <w:b/>
          <w:bCs w:val="0"/>
          <w:color w:val="auto"/>
          <w:sz w:val="24"/>
          <w:szCs w:val="24"/>
          <w:lang w:val="fr-FR"/>
        </w:rPr>
        <w:t xml:space="preserve">, </w:t>
      </w:r>
      <w:r w:rsidR="0072253A" w:rsidRPr="00856357">
        <w:rPr>
          <w:rFonts w:ascii="Times New Roman" w:hAnsi="Times New Roman"/>
          <w:b/>
          <w:bCs w:val="0"/>
          <w:color w:val="auto"/>
          <w:sz w:val="24"/>
          <w:szCs w:val="24"/>
          <w:lang w:val="fr-FR"/>
        </w:rPr>
        <w:t>contexte et paratexte</w:t>
      </w:r>
      <w:bookmarkEnd w:id="13"/>
    </w:p>
    <w:p w:rsidR="0073675C" w:rsidRDefault="0073675C" w:rsidP="0073675C">
      <w:pPr>
        <w:spacing w:after="0" w:line="360" w:lineRule="auto"/>
        <w:ind w:firstLine="284"/>
        <w:jc w:val="both"/>
        <w:rPr>
          <w:rFonts w:ascii="Times New Roman" w:hAnsi="Times New Roman"/>
          <w:sz w:val="24"/>
          <w:szCs w:val="24"/>
        </w:rPr>
      </w:pPr>
    </w:p>
    <w:p w:rsidR="006A4EED" w:rsidRPr="005E58D9" w:rsidRDefault="006A4EED" w:rsidP="0073675C">
      <w:pPr>
        <w:spacing w:after="0" w:line="360" w:lineRule="auto"/>
        <w:ind w:firstLine="284"/>
        <w:jc w:val="both"/>
        <w:rPr>
          <w:rFonts w:ascii="Times New Roman" w:hAnsi="Times New Roman"/>
          <w:sz w:val="24"/>
          <w:szCs w:val="24"/>
        </w:rPr>
      </w:pPr>
      <w:r w:rsidRPr="005E58D9">
        <w:rPr>
          <w:rFonts w:ascii="Times New Roman" w:hAnsi="Times New Roman"/>
          <w:sz w:val="24"/>
          <w:szCs w:val="24"/>
        </w:rPr>
        <w:t>Cette première partie propose une mise en contexte des œuvres de Kaki et Ghelderode. Pour cela un panorama des auteurs et de leurs œuvres sera proposé afin de comprendre le théâtre de chacun et la nature de son ancrage dans les sociétés respectives, c'est-à-dire l’Europe pour Ghelderode et l’Algérie pour Kaki. Cette partie est composée de trois chapitres :</w:t>
      </w:r>
    </w:p>
    <w:p w:rsidR="006A4EED" w:rsidRPr="005E58D9" w:rsidRDefault="006A4EED" w:rsidP="00230C65">
      <w:pPr>
        <w:pStyle w:val="Paragraphedeliste"/>
        <w:numPr>
          <w:ilvl w:val="0"/>
          <w:numId w:val="33"/>
        </w:numPr>
        <w:spacing w:after="0" w:line="360" w:lineRule="auto"/>
        <w:ind w:left="1066" w:hanging="357"/>
        <w:jc w:val="both"/>
        <w:rPr>
          <w:rFonts w:ascii="Times New Roman" w:hAnsi="Times New Roman"/>
          <w:sz w:val="24"/>
          <w:szCs w:val="24"/>
        </w:rPr>
      </w:pPr>
      <w:r w:rsidRPr="005E58D9">
        <w:rPr>
          <w:rFonts w:ascii="Times New Roman" w:hAnsi="Times New Roman"/>
          <w:sz w:val="24"/>
          <w:szCs w:val="24"/>
        </w:rPr>
        <w:t>La présentation de la production théâtrale de Kaki</w:t>
      </w:r>
    </w:p>
    <w:p w:rsidR="006A4EED" w:rsidRPr="005E58D9" w:rsidRDefault="006A4EED" w:rsidP="00230C65">
      <w:pPr>
        <w:pStyle w:val="Paragraphedeliste"/>
        <w:numPr>
          <w:ilvl w:val="0"/>
          <w:numId w:val="33"/>
        </w:numPr>
        <w:spacing w:after="0" w:line="360" w:lineRule="auto"/>
        <w:ind w:left="1066" w:hanging="357"/>
        <w:jc w:val="both"/>
        <w:rPr>
          <w:rFonts w:ascii="Times New Roman" w:hAnsi="Times New Roman"/>
          <w:sz w:val="24"/>
          <w:szCs w:val="24"/>
        </w:rPr>
      </w:pPr>
      <w:r w:rsidRPr="005E58D9">
        <w:rPr>
          <w:rFonts w:ascii="Times New Roman" w:hAnsi="Times New Roman"/>
          <w:sz w:val="24"/>
          <w:szCs w:val="24"/>
        </w:rPr>
        <w:t>La présentation de la production théâtrale de Ghelderode</w:t>
      </w:r>
    </w:p>
    <w:p w:rsidR="006A4EED" w:rsidRPr="005E58D9" w:rsidRDefault="006A4EED" w:rsidP="00230C65">
      <w:pPr>
        <w:pStyle w:val="Paragraphedeliste"/>
        <w:numPr>
          <w:ilvl w:val="0"/>
          <w:numId w:val="33"/>
        </w:numPr>
        <w:spacing w:after="0" w:line="360" w:lineRule="auto"/>
        <w:ind w:left="1066" w:hanging="357"/>
        <w:jc w:val="both"/>
        <w:rPr>
          <w:rFonts w:ascii="Times New Roman" w:hAnsi="Times New Roman"/>
          <w:sz w:val="24"/>
          <w:szCs w:val="24"/>
        </w:rPr>
      </w:pPr>
      <w:r w:rsidRPr="005E58D9">
        <w:rPr>
          <w:rFonts w:ascii="Times New Roman" w:hAnsi="Times New Roman"/>
          <w:sz w:val="24"/>
          <w:szCs w:val="24"/>
        </w:rPr>
        <w:t>La confrontation spatio-temporelle des deux auteurs et de leurs œuvres.</w:t>
      </w:r>
    </w:p>
    <w:p w:rsidR="006A4EED" w:rsidRPr="005E58D9" w:rsidRDefault="00653E61" w:rsidP="00653E61">
      <w:pPr>
        <w:spacing w:after="0" w:line="360" w:lineRule="auto"/>
        <w:ind w:firstLine="284"/>
        <w:jc w:val="both"/>
        <w:rPr>
          <w:rFonts w:ascii="Times New Roman" w:hAnsi="Times New Roman"/>
          <w:sz w:val="24"/>
          <w:szCs w:val="24"/>
        </w:rPr>
      </w:pPr>
      <w:r>
        <w:rPr>
          <w:rFonts w:ascii="Times New Roman" w:hAnsi="Times New Roman"/>
          <w:sz w:val="24"/>
          <w:szCs w:val="24"/>
        </w:rPr>
        <w:t>À</w:t>
      </w:r>
      <w:r w:rsidR="006A4EED" w:rsidRPr="005E58D9">
        <w:rPr>
          <w:rFonts w:ascii="Times New Roman" w:hAnsi="Times New Roman"/>
          <w:sz w:val="24"/>
          <w:szCs w:val="24"/>
        </w:rPr>
        <w:t xml:space="preserve"> titre d’introduction à cette première partie, tentons au préalable de définir et situer la notion même de théâtre, afin d’en saisir les contours et les enjeux. Un tel exercice sera particulièrement utile lorsqu’il s’agira d’appréhender les nuances entre les théâtres de Kaki et de Ghelderode.</w:t>
      </w:r>
    </w:p>
    <w:p w:rsidR="006A4EED" w:rsidRPr="005E58D9" w:rsidRDefault="006A4EED" w:rsidP="00B46586">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L’étymologie du « théâtre » se fonde sur le regard. Elle vient du mot grec théâtron issu du verbe </w:t>
      </w:r>
      <w:r w:rsidRPr="005E58D9">
        <w:rPr>
          <w:rFonts w:ascii="Times New Roman" w:hAnsi="Times New Roman"/>
          <w:i/>
          <w:sz w:val="24"/>
          <w:szCs w:val="24"/>
        </w:rPr>
        <w:t>théami</w:t>
      </w:r>
      <w:r w:rsidRPr="005E58D9">
        <w:rPr>
          <w:rFonts w:ascii="Times New Roman" w:hAnsi="Times New Roman"/>
          <w:sz w:val="24"/>
          <w:szCs w:val="24"/>
        </w:rPr>
        <w:t xml:space="preserve"> qui signifie voir. Autrement dit, il se rapporte au lieu d’où l’on voit. </w:t>
      </w:r>
      <w:r w:rsidR="005E1DD9">
        <w:rPr>
          <w:rFonts w:ascii="Times New Roman" w:hAnsi="Times New Roman"/>
          <w:sz w:val="24"/>
          <w:szCs w:val="24"/>
        </w:rPr>
        <w:t>Ainsi</w:t>
      </w:r>
      <w:r w:rsidRPr="005E58D9">
        <w:rPr>
          <w:rFonts w:ascii="Times New Roman" w:hAnsi="Times New Roman"/>
          <w:sz w:val="24"/>
          <w:szCs w:val="24"/>
        </w:rPr>
        <w:t>, le théâtre est l’art de la présence. Cependant cette conception du théâtre fait l’objet d’une contestation, car pour beaucoup d’auteurs, la représentation théâtrale est fille de son temps, elle n’est pas une création atemporelle, diluée de toutes formes de représentations de la vie quotidienne. Roland Barth</w:t>
      </w:r>
      <w:r w:rsidR="00B46586">
        <w:rPr>
          <w:rFonts w:ascii="Times New Roman" w:hAnsi="Times New Roman"/>
          <w:sz w:val="24"/>
          <w:szCs w:val="24"/>
        </w:rPr>
        <w:t>e</w:t>
      </w:r>
      <w:r w:rsidRPr="005E58D9">
        <w:rPr>
          <w:rFonts w:ascii="Times New Roman" w:hAnsi="Times New Roman"/>
          <w:sz w:val="24"/>
          <w:szCs w:val="24"/>
        </w:rPr>
        <w:t>s</w:t>
      </w:r>
      <w:r w:rsidR="00B46586">
        <w:rPr>
          <w:rFonts w:ascii="Times New Roman" w:hAnsi="Times New Roman"/>
          <w:sz w:val="24"/>
          <w:szCs w:val="24"/>
        </w:rPr>
        <w:t xml:space="preserve"> </w:t>
      </w:r>
      <w:r w:rsidRPr="005E58D9">
        <w:rPr>
          <w:rFonts w:ascii="Times New Roman" w:hAnsi="Times New Roman"/>
          <w:sz w:val="24"/>
          <w:szCs w:val="24"/>
        </w:rPr>
        <w:t>le confirme lorsqu’il annonce ceci :</w:t>
      </w:r>
    </w:p>
    <w:p w:rsidR="006A4EED" w:rsidRPr="006C01EF" w:rsidRDefault="006A4EED" w:rsidP="007B39F2">
      <w:pPr>
        <w:pStyle w:val="Citationintense"/>
        <w:spacing w:before="0" w:after="0"/>
        <w:ind w:left="567" w:right="0"/>
        <w:rPr>
          <w:sz w:val="20"/>
          <w:szCs w:val="20"/>
        </w:rPr>
      </w:pPr>
      <w:r w:rsidRPr="006C01EF">
        <w:rPr>
          <w:sz w:val="20"/>
          <w:szCs w:val="20"/>
        </w:rPr>
        <w:t>Il n’est pas donné à l’écrivain de choisir son écriture dans une sorte d’arsenal intemporel de formes littéraires. C’est sous la pression de l’histoire et de la tradition que s’établissent les écritures possibles d’un écrivain donné, s’il y a une histoire de l’écriture, mais cette histoire est double au même moment où l’histoire générale proposé ou imposé une nouvelle problématique du langage littéraire, l’écriture reste encore pleine de souvenirs de ses usages antérieurs, car le langage n’est jamais innocent. Les mots ont une mémoire seconde qui se prolonge mystérieusement au milieu des significations nouvelles</w:t>
      </w:r>
      <w:r w:rsidRPr="006C01EF">
        <w:rPr>
          <w:sz w:val="20"/>
          <w:szCs w:val="20"/>
          <w:vertAlign w:val="superscript"/>
        </w:rPr>
        <w:footnoteReference w:id="17"/>
      </w:r>
      <w:r w:rsidR="007B39F2">
        <w:rPr>
          <w:sz w:val="20"/>
          <w:szCs w:val="20"/>
        </w:rPr>
        <w:t>.</w:t>
      </w:r>
    </w:p>
    <w:p w:rsidR="006C01EF" w:rsidRDefault="006C01EF" w:rsidP="001F72D7">
      <w:pPr>
        <w:spacing w:after="0" w:line="312" w:lineRule="auto"/>
        <w:ind w:firstLine="709"/>
        <w:jc w:val="both"/>
        <w:rPr>
          <w:rFonts w:ascii="Times New Roman" w:hAnsi="Times New Roman"/>
          <w:sz w:val="24"/>
          <w:szCs w:val="24"/>
        </w:rPr>
      </w:pPr>
    </w:p>
    <w:p w:rsidR="006A4EED" w:rsidRPr="005E58D9" w:rsidRDefault="006A4EED" w:rsidP="00113DE3">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En retraçant les parcours de vie, les contextes et les textes respectifs de nos deux auteurs, de prime abord, notre souci est de replonger dans le quotidien de leurs époques respectives et surtout de saisir la quintessence, la source nourricière de leurs inspirations et des influences qu’ils ont subies au cours de leurs différentes </w:t>
      </w:r>
      <w:r w:rsidRPr="005E58D9">
        <w:rPr>
          <w:rFonts w:ascii="Times New Roman" w:hAnsi="Times New Roman"/>
          <w:sz w:val="24"/>
          <w:szCs w:val="24"/>
        </w:rPr>
        <w:lastRenderedPageBreak/>
        <w:t>trajectoires. Le crédo des critiques des œuvres littéraires est l’universalité, voire l’universalisme car toute œuvre, même si elle ne s’adresse qu’à une frange de l’humanité cherche à mettre à jour, en exergue et en valeur la condition humaine. En ce sens pour Albert Camus,</w:t>
      </w:r>
    </w:p>
    <w:p w:rsidR="006A4EED" w:rsidRPr="00E12B21" w:rsidRDefault="006A4EED" w:rsidP="007B39F2">
      <w:pPr>
        <w:pStyle w:val="Citationintense"/>
        <w:spacing w:before="0" w:after="0"/>
        <w:ind w:left="567" w:right="0"/>
        <w:rPr>
          <w:sz w:val="20"/>
          <w:szCs w:val="20"/>
        </w:rPr>
      </w:pPr>
      <w:r w:rsidRPr="00E12B21">
        <w:rPr>
          <w:sz w:val="20"/>
          <w:szCs w:val="20"/>
        </w:rPr>
        <w:t>Le théâtre ne porte pas sur une société particulière, mais sur plusieurs sociétés différentes par leurs nationalités, leurs traditions, leurs cultures. Mais ces sociétés ont quelque chose en commun. Elles connaissent les mêmes problèmes car tous les hommes ont besoin de liberté, d’égalité et de justice. C’est pourquoi il revient au dramaturge de construire l’intrigue et d’exprimer le maximum de vérité, d’intensité et de profondeur d’un certain mouvement de l’âme</w:t>
      </w:r>
      <w:r w:rsidRPr="00E12B21">
        <w:rPr>
          <w:sz w:val="20"/>
          <w:szCs w:val="20"/>
          <w:vertAlign w:val="superscript"/>
        </w:rPr>
        <w:footnoteReference w:id="18"/>
      </w:r>
      <w:r w:rsidR="007B39F2">
        <w:rPr>
          <w:sz w:val="20"/>
          <w:szCs w:val="20"/>
        </w:rPr>
        <w:t>.</w:t>
      </w:r>
    </w:p>
    <w:p w:rsidR="00E12B21" w:rsidRDefault="00E12B21" w:rsidP="001F72D7">
      <w:pPr>
        <w:spacing w:after="0" w:line="312" w:lineRule="auto"/>
        <w:ind w:firstLine="709"/>
        <w:jc w:val="both"/>
        <w:rPr>
          <w:rFonts w:ascii="Times New Roman" w:hAnsi="Times New Roman"/>
          <w:sz w:val="24"/>
          <w:szCs w:val="24"/>
        </w:rPr>
      </w:pPr>
    </w:p>
    <w:p w:rsidR="006A4EED" w:rsidRPr="005E58D9" w:rsidRDefault="006A4EED" w:rsidP="00E12B21">
      <w:pPr>
        <w:spacing w:after="0" w:line="360" w:lineRule="auto"/>
        <w:ind w:firstLine="284"/>
        <w:jc w:val="both"/>
        <w:rPr>
          <w:rFonts w:ascii="Times New Roman" w:hAnsi="Times New Roman"/>
          <w:sz w:val="24"/>
          <w:szCs w:val="24"/>
        </w:rPr>
      </w:pPr>
      <w:r w:rsidRPr="005E58D9">
        <w:rPr>
          <w:rFonts w:ascii="Times New Roman" w:hAnsi="Times New Roman"/>
          <w:sz w:val="24"/>
          <w:szCs w:val="24"/>
        </w:rPr>
        <w:t>Aussi le troisième axe de notre pérégrination dans le contexte théâtral considéré (Chapitre</w:t>
      </w:r>
      <w:r w:rsidR="00E12B21">
        <w:rPr>
          <w:rFonts w:ascii="Times New Roman" w:hAnsi="Times New Roman"/>
          <w:sz w:val="24"/>
          <w:szCs w:val="24"/>
        </w:rPr>
        <w:t xml:space="preserve"> </w:t>
      </w:r>
      <w:r w:rsidRPr="005E58D9">
        <w:rPr>
          <w:rFonts w:ascii="Times New Roman" w:hAnsi="Times New Roman"/>
          <w:sz w:val="24"/>
          <w:szCs w:val="24"/>
        </w:rPr>
        <w:t xml:space="preserve">3 de cette première partie) permettra  précisément de savoir qu’est-ce que nos deux auteurs ont en commun et qu’est-ce qui les différencie. </w:t>
      </w:r>
    </w:p>
    <w:p w:rsidR="006A4EED" w:rsidRPr="005E58D9" w:rsidRDefault="006A4EED" w:rsidP="006A4EED">
      <w:pPr>
        <w:spacing w:line="360" w:lineRule="auto"/>
        <w:rPr>
          <w:rFonts w:ascii="Times New Roman" w:hAnsi="Times New Roman"/>
          <w:b/>
          <w:sz w:val="36"/>
          <w:szCs w:val="36"/>
        </w:rPr>
      </w:pPr>
    </w:p>
    <w:p w:rsidR="006A4EED" w:rsidRPr="005E58D9" w:rsidRDefault="006A4EED" w:rsidP="006A4EED">
      <w:pPr>
        <w:spacing w:after="0" w:line="240" w:lineRule="auto"/>
        <w:rPr>
          <w:rFonts w:ascii="Arial" w:eastAsia="Times New Roman" w:hAnsi="Arial" w:cs="Arial"/>
          <w:b/>
          <w:bCs/>
          <w:i/>
          <w:iCs/>
          <w:sz w:val="28"/>
          <w:szCs w:val="28"/>
          <w:lang w:eastAsia="fr-FR"/>
        </w:rPr>
      </w:pPr>
      <w:r w:rsidRPr="005E58D9">
        <w:br w:type="page"/>
      </w:r>
    </w:p>
    <w:p w:rsidR="006A4EED" w:rsidRPr="00EB44CA" w:rsidRDefault="006A4EED" w:rsidP="00357261">
      <w:pPr>
        <w:pStyle w:val="Titre2"/>
        <w:spacing w:before="0" w:after="0"/>
        <w:jc w:val="both"/>
        <w:rPr>
          <w:rFonts w:ascii="Times New Roman" w:hAnsi="Times New Roman" w:cs="Times New Roman"/>
          <w:i w:val="0"/>
          <w:iCs w:val="0"/>
          <w:sz w:val="24"/>
          <w:szCs w:val="24"/>
        </w:rPr>
      </w:pPr>
      <w:bookmarkStart w:id="14" w:name="_Toc471484392"/>
      <w:r w:rsidRPr="00EB44CA">
        <w:rPr>
          <w:rFonts w:ascii="Times New Roman" w:hAnsi="Times New Roman" w:cs="Times New Roman"/>
          <w:i w:val="0"/>
          <w:iCs w:val="0"/>
          <w:sz w:val="24"/>
          <w:szCs w:val="24"/>
        </w:rPr>
        <w:lastRenderedPageBreak/>
        <w:t>Chapitre 1</w:t>
      </w:r>
      <w:r w:rsidR="00357261">
        <w:rPr>
          <w:rFonts w:ascii="Times New Roman" w:hAnsi="Times New Roman" w:cs="Times New Roman"/>
          <w:i w:val="0"/>
          <w:iCs w:val="0"/>
          <w:sz w:val="24"/>
          <w:szCs w:val="24"/>
        </w:rPr>
        <w:t> :</w:t>
      </w:r>
      <w:r w:rsidRPr="00EB44CA">
        <w:rPr>
          <w:rFonts w:ascii="Times New Roman" w:hAnsi="Times New Roman" w:cs="Times New Roman"/>
          <w:i w:val="0"/>
          <w:iCs w:val="0"/>
          <w:sz w:val="24"/>
          <w:szCs w:val="24"/>
        </w:rPr>
        <w:t xml:space="preserve"> K</w:t>
      </w:r>
      <w:r w:rsidR="008039DB" w:rsidRPr="00EB44CA">
        <w:rPr>
          <w:rFonts w:ascii="Times New Roman" w:hAnsi="Times New Roman" w:cs="Times New Roman"/>
          <w:i w:val="0"/>
          <w:iCs w:val="0"/>
          <w:sz w:val="24"/>
          <w:szCs w:val="24"/>
        </w:rPr>
        <w:t>aki</w:t>
      </w:r>
      <w:r w:rsidRPr="00EB44CA">
        <w:rPr>
          <w:rFonts w:ascii="Times New Roman" w:hAnsi="Times New Roman" w:cs="Times New Roman"/>
          <w:i w:val="0"/>
          <w:iCs w:val="0"/>
          <w:sz w:val="24"/>
          <w:szCs w:val="24"/>
        </w:rPr>
        <w:t xml:space="preserve"> </w:t>
      </w:r>
      <w:r w:rsidR="008039DB" w:rsidRPr="00EB44CA">
        <w:rPr>
          <w:rFonts w:ascii="Times New Roman" w:hAnsi="Times New Roman" w:cs="Times New Roman"/>
          <w:i w:val="0"/>
          <w:iCs w:val="0"/>
          <w:sz w:val="24"/>
          <w:szCs w:val="24"/>
        </w:rPr>
        <w:t>dans le théâtre algérien</w:t>
      </w:r>
      <w:bookmarkEnd w:id="14"/>
      <w:r w:rsidR="008039DB" w:rsidRPr="00EB44CA">
        <w:rPr>
          <w:rFonts w:ascii="Times New Roman" w:hAnsi="Times New Roman" w:cs="Times New Roman"/>
          <w:i w:val="0"/>
          <w:iCs w:val="0"/>
          <w:sz w:val="24"/>
          <w:szCs w:val="24"/>
        </w:rPr>
        <w:t xml:space="preserve"> </w:t>
      </w:r>
    </w:p>
    <w:p w:rsidR="006A4EED" w:rsidRPr="005E58D9" w:rsidRDefault="006A4EED" w:rsidP="006A4EED">
      <w:pPr>
        <w:spacing w:after="0" w:line="360" w:lineRule="auto"/>
        <w:jc w:val="both"/>
        <w:rPr>
          <w:rFonts w:ascii="Times New Roman" w:eastAsia="Times New Roman" w:hAnsi="Times New Roman"/>
          <w:sz w:val="24"/>
          <w:szCs w:val="24"/>
          <w:lang w:eastAsia="fr-FR"/>
        </w:rPr>
      </w:pPr>
    </w:p>
    <w:p w:rsidR="006A4EED" w:rsidRDefault="006A4EED" w:rsidP="0072253A">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Ce premier </w:t>
      </w:r>
      <w:r w:rsidR="0072253A">
        <w:rPr>
          <w:rFonts w:ascii="Times New Roman" w:eastAsia="Times New Roman" w:hAnsi="Times New Roman"/>
          <w:sz w:val="24"/>
          <w:szCs w:val="24"/>
          <w:lang w:eastAsia="fr-FR"/>
        </w:rPr>
        <w:t>c</w:t>
      </w:r>
      <w:r w:rsidRPr="005E58D9">
        <w:rPr>
          <w:rFonts w:ascii="Times New Roman" w:eastAsia="Times New Roman" w:hAnsi="Times New Roman"/>
          <w:sz w:val="24"/>
          <w:szCs w:val="24"/>
          <w:lang w:eastAsia="fr-FR"/>
        </w:rPr>
        <w:t xml:space="preserve">hapitre porte sur le contexte, les contours et le contenu de l’œuvre de Kaki. Dans un vaste déploiement, il s’agira de comprendre le théâtre dans lequel </w:t>
      </w:r>
      <w:proofErr w:type="gramStart"/>
      <w:r w:rsidRPr="005E58D9">
        <w:rPr>
          <w:rFonts w:ascii="Times New Roman" w:eastAsia="Times New Roman" w:hAnsi="Times New Roman"/>
          <w:sz w:val="24"/>
          <w:szCs w:val="24"/>
          <w:lang w:eastAsia="fr-FR"/>
        </w:rPr>
        <w:t>s’exprime</w:t>
      </w:r>
      <w:proofErr w:type="gramEnd"/>
      <w:r w:rsidRPr="005E58D9">
        <w:rPr>
          <w:rFonts w:ascii="Times New Roman" w:eastAsia="Times New Roman" w:hAnsi="Times New Roman"/>
          <w:sz w:val="24"/>
          <w:szCs w:val="24"/>
          <w:lang w:eastAsia="fr-FR"/>
        </w:rPr>
        <w:t xml:space="preserve"> l’œuvre de Kaki, à savoir le théâtre algérien. </w:t>
      </w:r>
    </w:p>
    <w:p w:rsidR="006A4EED" w:rsidRDefault="006A4EED" w:rsidP="00FC29CA">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Kaki saisi dans le contexte du théâtre algérien, c’est la découverte de la société algérienne, appréhendée notamment dans la torpeur et la violence de la colonisation. C’est également voir la place du théâtre dans la farouche lutte d’indépendance qui a opposé le peuple algérien à la puissance colonisatrice française. C’est enfin mettre en évidence les étapes qui ont marqué la constitution, la mutation de l’espace théâtral et cerner les éléments qui ont contribué à la réalisation du fait scénique. Il s’agit en somme  d’utiliser comme lunette conceptuelle le théâtre, pour expliquer l’histoire de l’Algérie, marquée par toutes formes de censure, avant le déclenchement de la lutte, pendant la guerre de libération, mais aussi après l’indépendance.</w:t>
      </w:r>
    </w:p>
    <w:p w:rsidR="006A4EED" w:rsidRPr="005E58D9" w:rsidRDefault="0072253A" w:rsidP="007E7ECA">
      <w:pPr>
        <w:spacing w:after="0" w:line="360" w:lineRule="auto"/>
        <w:ind w:firstLine="284"/>
        <w:jc w:val="both"/>
        <w:rPr>
          <w:rFonts w:ascii="Times New Roman" w:eastAsia="Times New Roman" w:hAnsi="Times New Roman"/>
          <w:sz w:val="24"/>
          <w:szCs w:val="24"/>
          <w:lang w:eastAsia="fr-FR"/>
        </w:rPr>
      </w:pPr>
      <w:proofErr w:type="gramStart"/>
      <w:r>
        <w:rPr>
          <w:rFonts w:ascii="Times New Roman" w:eastAsia="Times New Roman" w:hAnsi="Times New Roman"/>
          <w:sz w:val="24"/>
          <w:szCs w:val="24"/>
          <w:lang w:eastAsia="fr-FR"/>
        </w:rPr>
        <w:t>à</w:t>
      </w:r>
      <w:proofErr w:type="gramEnd"/>
      <w:r w:rsidR="006A4EED" w:rsidRPr="005E58D9">
        <w:rPr>
          <w:rFonts w:ascii="Times New Roman" w:eastAsia="Times New Roman" w:hAnsi="Times New Roman"/>
          <w:sz w:val="24"/>
          <w:szCs w:val="24"/>
          <w:lang w:eastAsia="fr-FR"/>
        </w:rPr>
        <w:t xml:space="preserve"> ce propos, Jean-Marie Grassin affirme que </w:t>
      </w:r>
    </w:p>
    <w:p w:rsidR="006A4EED" w:rsidRPr="009C07FA" w:rsidRDefault="006A4EED" w:rsidP="00832AB9">
      <w:pPr>
        <w:pStyle w:val="Citationintense"/>
        <w:spacing w:before="0" w:after="0"/>
        <w:ind w:left="567" w:right="0"/>
        <w:rPr>
          <w:sz w:val="20"/>
          <w:szCs w:val="20"/>
          <w:lang w:eastAsia="fr-FR"/>
        </w:rPr>
      </w:pPr>
      <w:r w:rsidRPr="009C07FA">
        <w:rPr>
          <w:iCs w:val="0"/>
          <w:sz w:val="20"/>
          <w:szCs w:val="20"/>
          <w:lang w:eastAsia="fr-FR"/>
        </w:rPr>
        <w:t>Les indépendances politiques et  la maturation des littératures noires ont rendu nécessaire un rétablissement ; il ne s’agit pas de littérature africaine utilisant pour des raisons historiques et circonstancielles des langues de cultures et de communications importées. Les présentations de la littérature africaine ne constituent plus un sous-chapitre de la littérature occidentale, mais prend place parmi les réalisations modernes des civilisations nègres</w:t>
      </w:r>
      <w:r w:rsidRPr="009C07FA">
        <w:rPr>
          <w:sz w:val="20"/>
          <w:szCs w:val="20"/>
          <w:vertAlign w:val="superscript"/>
          <w:lang w:eastAsia="fr-FR"/>
        </w:rPr>
        <w:footnoteReference w:id="19"/>
      </w:r>
      <w:r w:rsidR="00832AB9">
        <w:rPr>
          <w:iCs w:val="0"/>
          <w:sz w:val="20"/>
          <w:szCs w:val="20"/>
          <w:lang w:eastAsia="fr-FR"/>
        </w:rPr>
        <w:t>.</w:t>
      </w:r>
    </w:p>
    <w:p w:rsidR="007E7ECA" w:rsidRDefault="007E7ECA" w:rsidP="001F72D7">
      <w:pPr>
        <w:spacing w:after="0" w:line="312" w:lineRule="auto"/>
        <w:ind w:firstLine="709"/>
        <w:jc w:val="both"/>
        <w:rPr>
          <w:rFonts w:ascii="Times New Roman" w:eastAsia="Times New Roman" w:hAnsi="Times New Roman"/>
          <w:sz w:val="24"/>
          <w:szCs w:val="24"/>
          <w:lang w:eastAsia="fr-FR"/>
        </w:rPr>
      </w:pPr>
    </w:p>
    <w:p w:rsidR="006A4EED" w:rsidRPr="001F72D7" w:rsidRDefault="006A4EED" w:rsidP="00C36FBF">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Dans ce chapitre, nous </w:t>
      </w:r>
      <w:r w:rsidRPr="00DF5B0B">
        <w:rPr>
          <w:rFonts w:ascii="Times New Roman" w:eastAsia="Times New Roman" w:hAnsi="Times New Roman"/>
          <w:sz w:val="24"/>
          <w:szCs w:val="24"/>
          <w:lang w:eastAsia="fr-FR"/>
        </w:rPr>
        <w:t>nous proposons de présenter le décor d’implantation et de développement du théâtre algérien. Nous évoquerons ensuite l’apparition et la contribution de Kaki dans ledit théâtre</w:t>
      </w:r>
      <w:r w:rsidR="009C07FA" w:rsidRPr="00DF5B0B">
        <w:rPr>
          <w:rFonts w:ascii="Times New Roman" w:eastAsia="Times New Roman" w:hAnsi="Times New Roman"/>
          <w:sz w:val="24"/>
          <w:szCs w:val="24"/>
          <w:lang w:eastAsia="fr-FR"/>
        </w:rPr>
        <w:t>, en soulignant les relations entre l’évolution historique de l’Algérie (politique, économie, société, culture…) et la progression du théâtre, sachant que l’Afrique du nord a connu plusieurs civilisations, plusieurs cultures</w:t>
      </w:r>
      <w:r w:rsidRPr="00DF5B0B">
        <w:rPr>
          <w:rFonts w:ascii="Times New Roman" w:eastAsia="Times New Roman" w:hAnsi="Times New Roman"/>
          <w:sz w:val="24"/>
          <w:szCs w:val="24"/>
          <w:lang w:eastAsia="fr-FR"/>
        </w:rPr>
        <w:t>.</w:t>
      </w:r>
    </w:p>
    <w:p w:rsidR="000E1826" w:rsidRDefault="000E1826" w:rsidP="003E217E">
      <w:pPr>
        <w:pStyle w:val="Titre3"/>
        <w:spacing w:before="0" w:after="0" w:line="360" w:lineRule="auto"/>
        <w:ind w:left="641" w:hanging="357"/>
        <w:jc w:val="both"/>
        <w:rPr>
          <w:rFonts w:ascii="Times New Roman" w:hAnsi="Times New Roman" w:cs="Times New Roman"/>
          <w:sz w:val="24"/>
          <w:szCs w:val="24"/>
        </w:rPr>
      </w:pPr>
      <w:bookmarkStart w:id="15" w:name="_Toc215135515"/>
      <w:bookmarkStart w:id="16" w:name="_Toc211332988"/>
    </w:p>
    <w:p w:rsidR="006A4EED" w:rsidRDefault="003E217E" w:rsidP="003E217E">
      <w:pPr>
        <w:pStyle w:val="Titre3"/>
        <w:spacing w:before="0" w:after="0" w:line="360" w:lineRule="auto"/>
        <w:ind w:left="641" w:hanging="357"/>
        <w:jc w:val="both"/>
        <w:rPr>
          <w:rFonts w:ascii="Times New Roman" w:hAnsi="Times New Roman" w:cs="Times New Roman"/>
          <w:sz w:val="24"/>
          <w:szCs w:val="24"/>
        </w:rPr>
      </w:pPr>
      <w:bookmarkStart w:id="17" w:name="_Toc471484393"/>
      <w:r>
        <w:rPr>
          <w:rFonts w:ascii="Times New Roman" w:hAnsi="Times New Roman" w:cs="Times New Roman"/>
          <w:sz w:val="24"/>
          <w:szCs w:val="24"/>
        </w:rPr>
        <w:t>1.</w:t>
      </w:r>
      <w:r w:rsidRPr="00C7053C">
        <w:rPr>
          <w:rFonts w:ascii="Times New Roman" w:hAnsi="Times New Roman" w:cs="Times New Roman"/>
          <w:sz w:val="24"/>
          <w:szCs w:val="24"/>
        </w:rPr>
        <w:t xml:space="preserve"> Présentation</w:t>
      </w:r>
      <w:r w:rsidR="006A4EED" w:rsidRPr="00C7053C">
        <w:rPr>
          <w:rFonts w:ascii="Times New Roman" w:hAnsi="Times New Roman" w:cs="Times New Roman"/>
          <w:sz w:val="24"/>
          <w:szCs w:val="24"/>
        </w:rPr>
        <w:t xml:space="preserve"> de la société algérienne et impact de la colonisation</w:t>
      </w:r>
      <w:bookmarkEnd w:id="17"/>
    </w:p>
    <w:p w:rsidR="006A4EED" w:rsidRPr="001F72D7" w:rsidRDefault="006A4EED" w:rsidP="003E217E">
      <w:pPr>
        <w:spacing w:after="0" w:line="360" w:lineRule="auto"/>
        <w:ind w:firstLine="284"/>
        <w:jc w:val="both"/>
        <w:rPr>
          <w:rFonts w:ascii="Times New Roman" w:hAnsi="Times New Roman"/>
          <w:bCs/>
          <w:sz w:val="24"/>
          <w:szCs w:val="24"/>
          <w:lang w:eastAsia="fr-FR"/>
        </w:rPr>
      </w:pPr>
      <w:r w:rsidRPr="001F72D7">
        <w:rPr>
          <w:rFonts w:ascii="Times New Roman" w:hAnsi="Times New Roman"/>
          <w:bCs/>
          <w:sz w:val="24"/>
          <w:szCs w:val="24"/>
          <w:lang w:eastAsia="fr-FR"/>
        </w:rPr>
        <w:t>Cette première section décrit la société algérienne d’un point de vue chronologique et factuel. Elle explore aussi rapidement les contours et les effets de la colonisation sur le peuple algérien</w:t>
      </w:r>
      <w:r w:rsidR="00C7053C">
        <w:rPr>
          <w:rFonts w:ascii="Times New Roman" w:hAnsi="Times New Roman"/>
          <w:bCs/>
          <w:sz w:val="24"/>
          <w:szCs w:val="24"/>
          <w:lang w:eastAsia="fr-FR"/>
        </w:rPr>
        <w:t>.</w:t>
      </w:r>
    </w:p>
    <w:p w:rsidR="006A4EED" w:rsidRPr="00DC1A79" w:rsidRDefault="006A4EED" w:rsidP="00230C65">
      <w:pPr>
        <w:pStyle w:val="Titre4"/>
        <w:numPr>
          <w:ilvl w:val="1"/>
          <w:numId w:val="57"/>
        </w:numPr>
        <w:spacing w:before="0" w:after="0" w:line="360" w:lineRule="auto"/>
        <w:ind w:left="641" w:hanging="357"/>
        <w:jc w:val="both"/>
        <w:rPr>
          <w:rFonts w:ascii="Times New Roman" w:hAnsi="Times New Roman"/>
          <w:i w:val="0"/>
          <w:iCs/>
        </w:rPr>
      </w:pPr>
      <w:bookmarkStart w:id="18" w:name="_Toc471484394"/>
      <w:r w:rsidRPr="00DC1A79">
        <w:rPr>
          <w:rFonts w:ascii="Times New Roman" w:hAnsi="Times New Roman"/>
          <w:i w:val="0"/>
          <w:iCs/>
        </w:rPr>
        <w:lastRenderedPageBreak/>
        <w:t>L’Algérie avant la colonisation française</w:t>
      </w:r>
      <w:bookmarkEnd w:id="18"/>
    </w:p>
    <w:p w:rsidR="006A4EED" w:rsidRPr="005E58D9" w:rsidRDefault="006A4EED" w:rsidP="00E1096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Avant de devenir, à l’époque contemporaine, une terre de colonisation puis de décolonisation, ce qui marquera à tout jamais son identité, l’Algérie est décrite dans la littérature d’une façon assez flatteuse. Dans l’antiquité en effet, l’un de ses distingué fils, un grand nom de l’ancienne Numidie (Algérie), l’écrivain et philosophe néo-platonicien du IIe siècle, </w:t>
      </w:r>
      <w:r w:rsidRPr="00D60A34">
        <w:rPr>
          <w:rFonts w:ascii="Times New Roman" w:hAnsi="Times New Roman"/>
          <w:bCs/>
          <w:sz w:val="24"/>
          <w:szCs w:val="24"/>
          <w:lang w:eastAsia="fr-FR"/>
        </w:rPr>
        <w:t>Apulée</w:t>
      </w:r>
      <w:r w:rsidRPr="005E58D9">
        <w:rPr>
          <w:rFonts w:ascii="Times New Roman" w:hAnsi="Times New Roman"/>
          <w:bCs/>
          <w:sz w:val="24"/>
          <w:szCs w:val="24"/>
          <w:lang w:eastAsia="fr-FR"/>
        </w:rPr>
        <w:t xml:space="preserve"> de Madaure, cite cette prodigieuse terre, dans son « </w:t>
      </w:r>
      <w:r w:rsidRPr="00D60A34">
        <w:rPr>
          <w:rFonts w:ascii="Times New Roman" w:hAnsi="Times New Roman"/>
          <w:bCs/>
          <w:sz w:val="24"/>
          <w:szCs w:val="24"/>
          <w:lang w:eastAsia="fr-FR"/>
        </w:rPr>
        <w:t>Apologie </w:t>
      </w:r>
      <w:r w:rsidRPr="005E58D9">
        <w:rPr>
          <w:rFonts w:ascii="Times New Roman" w:hAnsi="Times New Roman"/>
          <w:bCs/>
          <w:i/>
          <w:iCs/>
          <w:sz w:val="24"/>
          <w:szCs w:val="24"/>
          <w:lang w:eastAsia="fr-FR"/>
        </w:rPr>
        <w:t>»</w:t>
      </w:r>
      <w:r w:rsidRPr="005E58D9">
        <w:rPr>
          <w:rFonts w:ascii="Times New Roman" w:hAnsi="Times New Roman"/>
          <w:bCs/>
          <w:sz w:val="24"/>
          <w:szCs w:val="24"/>
          <w:lang w:eastAsia="fr-FR"/>
        </w:rPr>
        <w:t>,</w:t>
      </w:r>
      <w:r w:rsidRPr="005E58D9">
        <w:rPr>
          <w:rFonts w:ascii="Times New Roman" w:hAnsi="Times New Roman"/>
          <w:bCs/>
          <w:i/>
          <w:iCs/>
          <w:sz w:val="24"/>
          <w:szCs w:val="24"/>
          <w:lang w:eastAsia="fr-FR"/>
        </w:rPr>
        <w:t xml:space="preserve"> </w:t>
      </w:r>
      <w:r w:rsidRPr="005E58D9">
        <w:rPr>
          <w:rFonts w:ascii="Times New Roman" w:hAnsi="Times New Roman"/>
          <w:bCs/>
          <w:sz w:val="24"/>
          <w:szCs w:val="24"/>
          <w:lang w:eastAsia="fr-FR"/>
        </w:rPr>
        <w:t>où devant le sénat de Rome, il la présente, avec chaleur et un vif sentiment de sa valeur :</w:t>
      </w:r>
    </w:p>
    <w:p w:rsidR="006A4EED" w:rsidRPr="009C07FA" w:rsidRDefault="006A4EED" w:rsidP="00E10968">
      <w:pPr>
        <w:pStyle w:val="Citationintense"/>
        <w:spacing w:before="0" w:after="0"/>
        <w:ind w:left="567" w:right="0"/>
        <w:rPr>
          <w:sz w:val="20"/>
          <w:szCs w:val="20"/>
          <w:lang w:eastAsia="fr-FR"/>
        </w:rPr>
      </w:pPr>
      <w:r w:rsidRPr="009C07FA">
        <w:rPr>
          <w:iCs w:val="0"/>
          <w:sz w:val="20"/>
          <w:szCs w:val="20"/>
          <w:lang w:eastAsia="fr-FR"/>
        </w:rPr>
        <w:t> </w:t>
      </w:r>
      <w:r w:rsidR="004C569F">
        <w:rPr>
          <w:iCs w:val="0"/>
          <w:sz w:val="20"/>
          <w:szCs w:val="20"/>
          <w:lang w:eastAsia="fr-FR"/>
        </w:rPr>
        <w:t>[</w:t>
      </w:r>
      <w:r w:rsidRPr="009C07FA">
        <w:rPr>
          <w:iCs w:val="0"/>
          <w:sz w:val="20"/>
          <w:szCs w:val="20"/>
          <w:lang w:eastAsia="fr-FR"/>
        </w:rPr>
        <w:t>…</w:t>
      </w:r>
      <w:r w:rsidR="004C569F">
        <w:rPr>
          <w:iCs w:val="0"/>
          <w:sz w:val="20"/>
          <w:szCs w:val="20"/>
          <w:lang w:eastAsia="fr-FR"/>
        </w:rPr>
        <w:t>]</w:t>
      </w:r>
      <w:r w:rsidRPr="009C07FA">
        <w:rPr>
          <w:iCs w:val="0"/>
          <w:sz w:val="20"/>
          <w:szCs w:val="20"/>
          <w:lang w:eastAsia="fr-FR"/>
        </w:rPr>
        <w:t xml:space="preserve"> Non pas pourtant que j’aie eu jamais la pensée de rougir de mon pays, dût-il appartenir encore à la domination de Syphax ; mais enfin, lorsque celui-ci eut été vaincu, le peuple romain fit présent de notre province au roi Massinissa. Plus tard, une émigration de vétérans la peupla de nouveau, et nous sommes une très florissante colonie. </w:t>
      </w:r>
      <w:r w:rsidR="004C569F">
        <w:rPr>
          <w:iCs w:val="0"/>
          <w:sz w:val="20"/>
          <w:szCs w:val="20"/>
          <w:lang w:eastAsia="fr-FR"/>
        </w:rPr>
        <w:t>[</w:t>
      </w:r>
      <w:r w:rsidRPr="009C07FA">
        <w:rPr>
          <w:iCs w:val="0"/>
          <w:sz w:val="20"/>
          <w:szCs w:val="20"/>
          <w:lang w:eastAsia="fr-FR"/>
        </w:rPr>
        <w:t>…</w:t>
      </w:r>
      <w:r w:rsidR="004C569F">
        <w:rPr>
          <w:iCs w:val="0"/>
          <w:sz w:val="20"/>
          <w:szCs w:val="20"/>
          <w:lang w:eastAsia="fr-FR"/>
        </w:rPr>
        <w:t>]</w:t>
      </w:r>
      <w:r w:rsidRPr="009C07FA">
        <w:rPr>
          <w:iCs w:val="0"/>
          <w:sz w:val="20"/>
          <w:szCs w:val="20"/>
          <w:lang w:eastAsia="fr-FR"/>
        </w:rPr>
        <w:t> </w:t>
      </w:r>
      <w:r w:rsidRPr="009C07FA">
        <w:rPr>
          <w:rStyle w:val="Appelnotedebasdep"/>
          <w:lang w:eastAsia="fr-FR"/>
        </w:rPr>
        <w:footnoteReference w:id="20"/>
      </w:r>
      <w:r w:rsidRPr="009C07FA">
        <w:rPr>
          <w:lang w:eastAsia="fr-FR"/>
        </w:rPr>
        <w:t>.</w:t>
      </w:r>
    </w:p>
    <w:p w:rsidR="004A1975" w:rsidRDefault="004A1975" w:rsidP="00D62B71">
      <w:pPr>
        <w:spacing w:after="0" w:line="312" w:lineRule="auto"/>
        <w:ind w:firstLine="709"/>
        <w:jc w:val="both"/>
        <w:rPr>
          <w:rFonts w:ascii="Times New Roman" w:hAnsi="Times New Roman"/>
          <w:bCs/>
          <w:sz w:val="24"/>
          <w:szCs w:val="24"/>
          <w:lang w:eastAsia="fr-FR"/>
        </w:rPr>
      </w:pPr>
    </w:p>
    <w:p w:rsidR="006A4EED" w:rsidRDefault="006A4EED" w:rsidP="004A1975">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Passons en revue quelques étapes clés de l’histoire de la Numidie (l’Algérie).  Précisons que nous aborderons cette section sous une approche culturelle et historique afin de saisir la richesse des diverses contributions à l’identité algérienne au fil des époques. Le fait est que dans le cas de l’Algérie, la culture aura été, comme on le verra plus loin, l’un des fondements de la cohésion sociale et du raffermissement du lien social, tout autant  qu’un moteur de changement et un facteur de résistance aux agressions extérieures. Ces dimensions seront utiles à la compréhension plus loin de l’identité du théâtre algérien</w:t>
      </w:r>
    </w:p>
    <w:p w:rsidR="000E1826" w:rsidRDefault="000E1826" w:rsidP="00E10968">
      <w:pPr>
        <w:pStyle w:val="Titre5"/>
        <w:spacing w:before="0" w:after="0"/>
        <w:ind w:left="641" w:hanging="357"/>
        <w:jc w:val="both"/>
        <w:rPr>
          <w:rFonts w:ascii="Times New Roman" w:hAnsi="Times New Roman"/>
          <w:color w:val="auto"/>
          <w:lang w:eastAsia="fr-FR"/>
        </w:rPr>
      </w:pPr>
    </w:p>
    <w:p w:rsidR="006A4EED" w:rsidRPr="00E10968" w:rsidRDefault="00E10968" w:rsidP="00E10968">
      <w:pPr>
        <w:pStyle w:val="Titre5"/>
        <w:spacing w:before="0" w:after="0"/>
        <w:ind w:left="641" w:hanging="357"/>
        <w:jc w:val="both"/>
        <w:rPr>
          <w:rFonts w:ascii="Times New Roman" w:hAnsi="Times New Roman"/>
          <w:color w:val="auto"/>
          <w:lang w:eastAsia="fr-FR"/>
        </w:rPr>
      </w:pPr>
      <w:bookmarkStart w:id="19" w:name="_Toc471484395"/>
      <w:r w:rsidRPr="00E10968">
        <w:rPr>
          <w:rFonts w:ascii="Times New Roman" w:hAnsi="Times New Roman"/>
          <w:color w:val="auto"/>
          <w:lang w:eastAsia="fr-FR"/>
        </w:rPr>
        <w:t xml:space="preserve">1.1.1. </w:t>
      </w:r>
      <w:r w:rsidR="006A4EED" w:rsidRPr="00E10968">
        <w:rPr>
          <w:rFonts w:ascii="Times New Roman" w:hAnsi="Times New Roman"/>
          <w:color w:val="auto"/>
          <w:lang w:eastAsia="fr-FR"/>
        </w:rPr>
        <w:t>Des berbères aux phéniciens</w:t>
      </w:r>
      <w:bookmarkEnd w:id="19"/>
    </w:p>
    <w:p w:rsidR="006A4EED" w:rsidRPr="005E58D9" w:rsidRDefault="006A4EED" w:rsidP="00C03962">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Les berbères constituent la première population ayant occupé le territoire très vaste de la Numidie. Les berbères (vivant au-delà de dix siècles avant J.C) avaient un style de vie agro-pastoral, avec comme activités principales la culture des champs et l’élevage. Ils vivaient une vie rudimentaire caractérisée essentiellement par la coexistence du paganisme et de la religion juive.</w:t>
      </w:r>
    </w:p>
    <w:p w:rsidR="006A4EED" w:rsidRPr="005E58D9" w:rsidRDefault="006A4EED" w:rsidP="00C03962">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Très tôt les phéniciens ont établi progressivement des comptoirs commerciaux. Ils viennent par la mer, instaurent des relations avec le Nord de l’Afrique et, particulièrement sur le littoral. Maîtres de la mer, les phéniciens étaient experts dans la construction navale. Commerçants et pacifistes, ils ont pu construire des </w:t>
      </w:r>
      <w:r w:rsidRPr="005E58D9">
        <w:rPr>
          <w:rFonts w:ascii="Times New Roman" w:hAnsi="Times New Roman"/>
          <w:bCs/>
          <w:sz w:val="24"/>
          <w:szCs w:val="24"/>
          <w:lang w:eastAsia="fr-FR"/>
        </w:rPr>
        <w:lastRenderedPageBreak/>
        <w:t xml:space="preserve">relations durables avec les autochtones, et </w:t>
      </w:r>
      <w:r w:rsidR="00D60A34" w:rsidRPr="005E58D9">
        <w:rPr>
          <w:rFonts w:ascii="Times New Roman" w:hAnsi="Times New Roman"/>
          <w:bCs/>
          <w:sz w:val="24"/>
          <w:szCs w:val="24"/>
          <w:lang w:eastAsia="fr-FR"/>
        </w:rPr>
        <w:t>s’y</w:t>
      </w:r>
      <w:r w:rsidRPr="005E58D9">
        <w:rPr>
          <w:rFonts w:ascii="Times New Roman" w:hAnsi="Times New Roman"/>
          <w:bCs/>
          <w:sz w:val="24"/>
          <w:szCs w:val="24"/>
          <w:lang w:eastAsia="fr-FR"/>
        </w:rPr>
        <w:t xml:space="preserve"> sont installé</w:t>
      </w:r>
      <w:r>
        <w:rPr>
          <w:rFonts w:ascii="Times New Roman" w:hAnsi="Times New Roman"/>
          <w:bCs/>
          <w:sz w:val="24"/>
          <w:szCs w:val="24"/>
          <w:lang w:eastAsia="fr-FR"/>
        </w:rPr>
        <w:t>s</w:t>
      </w:r>
      <w:r w:rsidRPr="005E58D9">
        <w:rPr>
          <w:rFonts w:ascii="Times New Roman" w:hAnsi="Times New Roman"/>
          <w:bCs/>
          <w:sz w:val="24"/>
          <w:szCs w:val="24"/>
          <w:lang w:eastAsia="fr-FR"/>
        </w:rPr>
        <w:t xml:space="preserve"> durablement dans le pays. Les phéniciens ont été les premiers à dessiner l’alphabet et les chiffres.</w:t>
      </w:r>
    </w:p>
    <w:p w:rsidR="006A4EED" w:rsidRDefault="006A4EED" w:rsidP="00122351">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Dès l’an 880 avant J.C. et jusqu’ à l’an 146 av J.C. les phéniciens, puis les carthaginois vont occuper l’espace géographique, économique, politique et culturel du pays, développant par exemple, les techniques d’exploitation de la terre.</w:t>
      </w:r>
    </w:p>
    <w:p w:rsidR="000E1826" w:rsidRDefault="000E1826" w:rsidP="008E4575">
      <w:pPr>
        <w:pStyle w:val="Titre5"/>
        <w:spacing w:before="0" w:after="0"/>
        <w:ind w:left="641" w:hanging="357"/>
        <w:jc w:val="both"/>
        <w:rPr>
          <w:rFonts w:ascii="Times New Roman" w:hAnsi="Times New Roman"/>
          <w:color w:val="auto"/>
          <w:lang w:eastAsia="fr-FR"/>
        </w:rPr>
      </w:pPr>
    </w:p>
    <w:p w:rsidR="006A4EED" w:rsidRPr="008E4575" w:rsidRDefault="008E4575" w:rsidP="008E4575">
      <w:pPr>
        <w:pStyle w:val="Titre5"/>
        <w:spacing w:before="0" w:after="0"/>
        <w:ind w:left="641" w:hanging="357"/>
        <w:jc w:val="both"/>
        <w:rPr>
          <w:rFonts w:ascii="Times New Roman" w:hAnsi="Times New Roman"/>
          <w:color w:val="auto"/>
          <w:lang w:eastAsia="fr-FR"/>
        </w:rPr>
      </w:pPr>
      <w:bookmarkStart w:id="20" w:name="_Toc471484396"/>
      <w:r w:rsidRPr="008E4575">
        <w:rPr>
          <w:rFonts w:ascii="Times New Roman" w:hAnsi="Times New Roman"/>
          <w:color w:val="auto"/>
          <w:lang w:eastAsia="fr-FR"/>
        </w:rPr>
        <w:t>1.1.2. La</w:t>
      </w:r>
      <w:r w:rsidR="006A4EED" w:rsidRPr="008E4575">
        <w:rPr>
          <w:rFonts w:ascii="Times New Roman" w:hAnsi="Times New Roman"/>
          <w:color w:val="auto"/>
          <w:lang w:eastAsia="fr-FR"/>
        </w:rPr>
        <w:t xml:space="preserve"> Numidie romaine</w:t>
      </w:r>
      <w:bookmarkEnd w:id="20"/>
    </w:p>
    <w:p w:rsidR="006A4EED" w:rsidRPr="005E58D9" w:rsidRDefault="006A4EED" w:rsidP="00410DD6">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La colonisation romaine sera l’étape suivante de l’histoire de la Numidie. Une étape importante. La colonisation romaine a commencé par être une colonisation de gouvernement à distance, par la désignation de proconsuls, ainsi que le recours aux alliances avec les Chefs berbères. L’évolution des rapports conflictuels avec ces chefs numides (Jugurtha en particulier, Syphax, </w:t>
      </w:r>
      <w:r>
        <w:rPr>
          <w:rFonts w:ascii="Times New Roman" w:hAnsi="Times New Roman"/>
          <w:bCs/>
          <w:sz w:val="24"/>
          <w:szCs w:val="24"/>
          <w:lang w:eastAsia="fr-FR"/>
        </w:rPr>
        <w:t>ect</w:t>
      </w:r>
      <w:r w:rsidRPr="005E58D9">
        <w:rPr>
          <w:rFonts w:ascii="Times New Roman" w:hAnsi="Times New Roman"/>
          <w:bCs/>
          <w:sz w:val="24"/>
          <w:szCs w:val="24"/>
          <w:lang w:eastAsia="fr-FR"/>
        </w:rPr>
        <w:t xml:space="preserve">), ont conduit Rome vers une colonisation de peuplement. </w:t>
      </w:r>
    </w:p>
    <w:p w:rsidR="006A4EED" w:rsidRPr="005E58D9" w:rsidRDefault="006A4EED" w:rsidP="00932BB2">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Cette colonisation a affecté la société algérienne de cette époque, au niveau économique, social, politique et culturel, y compris l’avènement de la religion chrétienne qui a engendré une nouvelle dynamique culturelle. La colonisation romaine s’est étalée sur plus de cinq siècles, Les intellectuels étaient intégrés dans l’empire romain et dans la société romaine, ils étaient « latinisés », portaient des noms romains, écrivaient et parlaient en latin, à la différence du reste de la population qui parlait essentiellement le berbère.</w:t>
      </w:r>
    </w:p>
    <w:p w:rsidR="006A4EED" w:rsidRDefault="006A4EED" w:rsidP="00682253">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Les romains ont développé en Numidie une culture d’élite : la culture et notamment la production intellectuelle étaient un moyen de positionnement social, afin d’accéder par exemple à une catégorie supérieure de la société  romaine. </w:t>
      </w:r>
    </w:p>
    <w:p w:rsidR="000E1826" w:rsidRDefault="000E1826" w:rsidP="00B24B15">
      <w:pPr>
        <w:pStyle w:val="Titre5"/>
        <w:spacing w:before="0" w:after="0"/>
        <w:ind w:left="641" w:hanging="357"/>
        <w:jc w:val="both"/>
        <w:rPr>
          <w:rFonts w:ascii="Times New Roman" w:hAnsi="Times New Roman"/>
          <w:color w:val="auto"/>
          <w:lang w:eastAsia="fr-FR"/>
        </w:rPr>
      </w:pPr>
    </w:p>
    <w:p w:rsidR="006A4EED" w:rsidRPr="00B24B15" w:rsidRDefault="00B24B15" w:rsidP="00B24B15">
      <w:pPr>
        <w:pStyle w:val="Titre5"/>
        <w:spacing w:before="0" w:after="0"/>
        <w:ind w:left="641" w:hanging="357"/>
        <w:jc w:val="both"/>
        <w:rPr>
          <w:rFonts w:ascii="Times New Roman" w:hAnsi="Times New Roman"/>
          <w:color w:val="auto"/>
          <w:lang w:eastAsia="fr-FR"/>
        </w:rPr>
      </w:pPr>
      <w:bookmarkStart w:id="21" w:name="_Toc471484397"/>
      <w:r w:rsidRPr="00B24B15">
        <w:rPr>
          <w:rFonts w:ascii="Times New Roman" w:hAnsi="Times New Roman"/>
          <w:color w:val="auto"/>
          <w:lang w:eastAsia="fr-FR"/>
        </w:rPr>
        <w:t>1.1.3. L’ère</w:t>
      </w:r>
      <w:r w:rsidR="006A4EED" w:rsidRPr="00B24B15">
        <w:rPr>
          <w:rFonts w:ascii="Times New Roman" w:hAnsi="Times New Roman"/>
          <w:color w:val="auto"/>
          <w:lang w:eastAsia="fr-FR"/>
        </w:rPr>
        <w:t xml:space="preserve"> chrétienne</w:t>
      </w:r>
      <w:bookmarkEnd w:id="21"/>
    </w:p>
    <w:p w:rsidR="006A4EED" w:rsidRPr="005E58D9" w:rsidRDefault="006A4EED" w:rsidP="00B24B15">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La religion chrétienne est venue en Numidie (Algérie) par le chemin de Jérusalem et d’Alexandrie. Rome n’était pas favorable à l’expansion de la religion, surtout en Numidie. Rome combattait le Christianisme et interdisait aux berbères d’adopter cette religion : ils étaient tués, emprisonnés et leurs terres étaient nationalisées. </w:t>
      </w:r>
    </w:p>
    <w:p w:rsidR="006A4EED" w:rsidRPr="005E58D9" w:rsidRDefault="006A4EED" w:rsidP="00B24B15">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L’avènement de la religion chrétienne a donc constitué pour les berbères, en Numidie, une occasion d’affirmer leur identité et leur opposition, sans cette </w:t>
      </w:r>
      <w:r w:rsidRPr="005E58D9">
        <w:rPr>
          <w:rFonts w:ascii="Times New Roman" w:hAnsi="Times New Roman"/>
          <w:bCs/>
          <w:sz w:val="24"/>
          <w:szCs w:val="24"/>
          <w:lang w:eastAsia="fr-FR"/>
        </w:rPr>
        <w:lastRenderedPageBreak/>
        <w:t>entretenue, à l’empire romain. Les numidiens ont été les premiers à l’adopter cette religion, en grande partie donc, en signe de résistance à la colonisation romaine.</w:t>
      </w:r>
    </w:p>
    <w:p w:rsidR="006A4EED" w:rsidRDefault="006A4EED" w:rsidP="00D67F34">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Le développement du Christianisme a été fulgurant (au début du 5</w:t>
      </w:r>
      <w:r w:rsidRPr="005E58D9">
        <w:rPr>
          <w:rFonts w:ascii="Times New Roman" w:hAnsi="Times New Roman"/>
          <w:bCs/>
          <w:sz w:val="24"/>
          <w:szCs w:val="24"/>
          <w:vertAlign w:val="superscript"/>
          <w:lang w:eastAsia="fr-FR"/>
        </w:rPr>
        <w:t>ème</w:t>
      </w:r>
      <w:r w:rsidRPr="005E58D9">
        <w:rPr>
          <w:rFonts w:ascii="Times New Roman" w:hAnsi="Times New Roman"/>
          <w:bCs/>
          <w:sz w:val="24"/>
          <w:szCs w:val="24"/>
          <w:lang w:eastAsia="fr-FR"/>
        </w:rPr>
        <w:t xml:space="preserve">  siècle, on comptait déjà environ plus de 600 évêques). Cette éclosion de la religion Chrétienne s’est effectuée en marge et à l’encontre de la volonté de l’empire de Rome. Au fil de son éclosion, la dynamique religieuse a engendré une dynamique culturelle importante dans la construction de l’identité de la Numidie d’alors. Autrement dit, le Christianisme a été un moment culturel important dans l’histoire de la Numidie. En effet, plusieurs débats ont eu lieu aussi entre chrétiens et païens. Des penseurs et orateurs comme Cecilianus, ont essayé de démontrer l’unicité de Dieu. Enfin et surtout, Mais la dynamique une intéressante et productive confrontation est née entre les chrétiens représentant l’église officielle de Rome, comme Saint Augustin, et les Donatistes, représentant le schisme berbère combattu et combattant. L’époque chrétienne aura été un moment de grande production intellectuelle et culturelle.</w:t>
      </w:r>
    </w:p>
    <w:p w:rsidR="000E1826" w:rsidRDefault="000E1826" w:rsidP="00E110C3">
      <w:pPr>
        <w:pStyle w:val="Titre5"/>
        <w:spacing w:before="0" w:after="0"/>
        <w:ind w:left="641" w:hanging="357"/>
        <w:jc w:val="both"/>
        <w:rPr>
          <w:rFonts w:ascii="Times New Roman" w:hAnsi="Times New Roman"/>
          <w:color w:val="auto"/>
          <w:lang w:eastAsia="fr-FR"/>
        </w:rPr>
      </w:pPr>
    </w:p>
    <w:p w:rsidR="006A4EED" w:rsidRPr="00E110C3" w:rsidRDefault="00E110C3" w:rsidP="00E110C3">
      <w:pPr>
        <w:pStyle w:val="Titre5"/>
        <w:spacing w:before="0" w:after="0"/>
        <w:ind w:left="641" w:hanging="357"/>
        <w:jc w:val="both"/>
        <w:rPr>
          <w:rFonts w:ascii="Times New Roman" w:hAnsi="Times New Roman"/>
          <w:color w:val="auto"/>
          <w:lang w:eastAsia="fr-FR"/>
        </w:rPr>
      </w:pPr>
      <w:bookmarkStart w:id="22" w:name="_Toc471484398"/>
      <w:r w:rsidRPr="00E110C3">
        <w:rPr>
          <w:rFonts w:ascii="Times New Roman" w:hAnsi="Times New Roman"/>
          <w:color w:val="auto"/>
          <w:lang w:eastAsia="fr-FR"/>
        </w:rPr>
        <w:t>1.1.4. L’avènement</w:t>
      </w:r>
      <w:r w:rsidR="006A4EED" w:rsidRPr="00E110C3">
        <w:rPr>
          <w:rFonts w:ascii="Times New Roman" w:hAnsi="Times New Roman"/>
          <w:color w:val="auto"/>
          <w:lang w:eastAsia="fr-FR"/>
        </w:rPr>
        <w:t xml:space="preserve"> de l’Islam</w:t>
      </w:r>
      <w:bookmarkEnd w:id="22"/>
    </w:p>
    <w:p w:rsidR="006A4EED" w:rsidRPr="005E58D9" w:rsidRDefault="006A4EED" w:rsidP="00377571">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Avec l’avènement de l’Islam en 647 la Numidie devient le Maghreb central. Les tribus berbères ont adopté l’Islam de façon massive et, ainsi, largement contribué à son expansion et à son rayonnement jusqu’en Andalousie. La société du Maghreb central va lentement s’arabiser :</w:t>
      </w:r>
    </w:p>
    <w:p w:rsidR="006A4EED" w:rsidRPr="00196353" w:rsidRDefault="006A4EED" w:rsidP="0087462F">
      <w:pPr>
        <w:pStyle w:val="Citationintense"/>
        <w:spacing w:before="0" w:after="0"/>
        <w:ind w:left="567" w:right="0"/>
        <w:rPr>
          <w:sz w:val="20"/>
          <w:szCs w:val="20"/>
          <w:lang w:eastAsia="fr-FR"/>
        </w:rPr>
      </w:pPr>
      <w:r w:rsidRPr="00196353">
        <w:rPr>
          <w:iCs w:val="0"/>
          <w:sz w:val="20"/>
          <w:szCs w:val="20"/>
          <w:lang w:eastAsia="fr-FR"/>
        </w:rPr>
        <w:t>Cette arabisation se fera d’abord par la langue arabe qui est celle du Coran, les savants ayant de tous temps accompagné l’armée, puis par l’installation de populations. Cette installation connaîtra son apogée avec les migrations des tribus Banou Hilal et Banou Soulaim qui renverseront, en quelques années, la donne statistique et feront en sorte que les arabes deviennent majoritaires. La société algérienne sera depuis lors « arabisée » à la fois sociologiquement, linguistiquement et culturellement.</w:t>
      </w:r>
      <w:r w:rsidRPr="00196353">
        <w:rPr>
          <w:sz w:val="20"/>
          <w:szCs w:val="20"/>
          <w:lang w:eastAsia="fr-FR"/>
        </w:rPr>
        <w:t> </w:t>
      </w:r>
      <w:r w:rsidR="0087462F">
        <w:rPr>
          <w:sz w:val="20"/>
          <w:szCs w:val="20"/>
          <w:lang w:eastAsia="fr-FR"/>
        </w:rPr>
        <w:t xml:space="preserve"> (A. Guerfi, 2009, p.21).</w:t>
      </w:r>
    </w:p>
    <w:p w:rsidR="00196353" w:rsidRDefault="00196353" w:rsidP="00D62B71">
      <w:pPr>
        <w:spacing w:after="0" w:line="312" w:lineRule="auto"/>
        <w:ind w:firstLine="709"/>
        <w:jc w:val="both"/>
        <w:rPr>
          <w:rFonts w:ascii="Times New Roman" w:hAnsi="Times New Roman"/>
          <w:bCs/>
          <w:sz w:val="24"/>
          <w:szCs w:val="24"/>
          <w:lang w:eastAsia="fr-FR"/>
        </w:rPr>
      </w:pPr>
    </w:p>
    <w:p w:rsidR="006A4EED" w:rsidRPr="005E58D9" w:rsidRDefault="006A4EED" w:rsidP="00752775">
      <w:pPr>
        <w:spacing w:after="0" w:line="360" w:lineRule="auto"/>
        <w:ind w:firstLine="284"/>
        <w:jc w:val="both"/>
        <w:rPr>
          <w:rFonts w:ascii="Times New Roman" w:hAnsi="Times New Roman"/>
          <w:bCs/>
          <w:sz w:val="24"/>
          <w:szCs w:val="24"/>
          <w:lang w:eastAsia="fr-FR"/>
        </w:rPr>
      </w:pPr>
      <w:r w:rsidRPr="00752775">
        <w:rPr>
          <w:rFonts w:ascii="Times New Roman" w:hAnsi="Times New Roman"/>
          <w:bCs/>
          <w:sz w:val="24"/>
          <w:szCs w:val="24"/>
          <w:lang w:eastAsia="fr-FR"/>
        </w:rPr>
        <w:t>L’avènement</w:t>
      </w:r>
      <w:r w:rsidRPr="005E58D9">
        <w:rPr>
          <w:rFonts w:ascii="Times New Roman" w:hAnsi="Times New Roman"/>
          <w:bCs/>
          <w:sz w:val="24"/>
          <w:szCs w:val="24"/>
          <w:lang w:eastAsia="fr-FR"/>
        </w:rPr>
        <w:t xml:space="preserve"> de l’Islam va forger une nouvelle Numidie. L’Islam va apporter des changements importants de nature à dessiner les contours et profils qui caractérisent la société algérienne aujourd’hui, notamment du point de vue sociologique, religieux et culturel. </w:t>
      </w:r>
    </w:p>
    <w:p w:rsidR="00D62B71" w:rsidRDefault="006A4EED" w:rsidP="00752775">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En fait, l’Islam va investir des pans entiers de la société, laquelle sera depuis lors «arabisée» autant sociologiquement, linguistiquement que culturellement. L’avènement de l’Islam a été, comme avec le Christianisme, riche en dynamique </w:t>
      </w:r>
      <w:r w:rsidRPr="005E58D9">
        <w:rPr>
          <w:rFonts w:ascii="Times New Roman" w:hAnsi="Times New Roman"/>
          <w:bCs/>
          <w:sz w:val="24"/>
          <w:szCs w:val="24"/>
          <w:lang w:eastAsia="fr-FR"/>
        </w:rPr>
        <w:lastRenderedPageBreak/>
        <w:t>culturelle avec l’installation de courants politiques et religieux venus du Moyen Orient, du pays du Khalifat, et ce jusqu’à la période ottomane. Les algériens ont très vite adopté l’Islam, habitués qu’ils étaient aux religions monothéistes. Avec l’existence de différents courants concurrents (religieux mais aussi politiques),  ils ont pleinement participé aux débats entre musulmans. C’est ce qui les a par la suite conduits à diriger eux-mêmes des campagnes, comme  celle de l’Andalousie.</w:t>
      </w:r>
    </w:p>
    <w:p w:rsidR="00D62B71" w:rsidRPr="005E58D9" w:rsidRDefault="00D62B71" w:rsidP="00D62B71">
      <w:pPr>
        <w:spacing w:after="0" w:line="312" w:lineRule="auto"/>
        <w:ind w:firstLine="709"/>
        <w:jc w:val="both"/>
        <w:rPr>
          <w:rFonts w:ascii="Times New Roman" w:hAnsi="Times New Roman"/>
          <w:bCs/>
          <w:sz w:val="24"/>
          <w:szCs w:val="24"/>
          <w:lang w:eastAsia="fr-FR"/>
        </w:rPr>
      </w:pPr>
    </w:p>
    <w:p w:rsidR="00D62B71" w:rsidRPr="00075313" w:rsidRDefault="00075313" w:rsidP="00075313">
      <w:pPr>
        <w:pStyle w:val="Titre5"/>
        <w:spacing w:before="0" w:after="0"/>
        <w:ind w:left="641" w:hanging="357"/>
        <w:jc w:val="both"/>
        <w:rPr>
          <w:rFonts w:ascii="Times New Roman" w:hAnsi="Times New Roman"/>
          <w:color w:val="auto"/>
          <w:lang w:eastAsia="fr-FR"/>
        </w:rPr>
      </w:pPr>
      <w:bookmarkStart w:id="23" w:name="_Toc471484399"/>
      <w:r w:rsidRPr="00075313">
        <w:rPr>
          <w:rFonts w:ascii="Times New Roman" w:hAnsi="Times New Roman"/>
          <w:color w:val="auto"/>
          <w:lang w:eastAsia="fr-FR"/>
        </w:rPr>
        <w:t>1.1.5. Contribution</w:t>
      </w:r>
      <w:r w:rsidR="006A4EED" w:rsidRPr="00075313">
        <w:rPr>
          <w:rFonts w:ascii="Times New Roman" w:hAnsi="Times New Roman"/>
          <w:color w:val="auto"/>
          <w:lang w:eastAsia="fr-FR"/>
        </w:rPr>
        <w:t xml:space="preserve"> de l’Andalousie et de l’époque ottomane</w:t>
      </w:r>
      <w:bookmarkEnd w:id="23"/>
    </w:p>
    <w:p w:rsidR="006A4EED" w:rsidRPr="005E58D9" w:rsidRDefault="006A4EED" w:rsidP="002712C7">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Dès le la fin du quinzième siècle, la Numidie a vécu un afflux de populations andalouses qui ont migré d’Espagne vers le Maghreb central. Les populations andalouses se sont installées dans des centres urbains transformés en centres de citadins, avec un style de vie particulier des andalous. Ils ont aussi initié des métiers tels que le commerce, l’industrie et l’immobilier. Ils ont développé des activités d’artisanat et de fabrication de savon, de textiles, de forge et de parfumerie. Plusieurs  villes ont ainsi accueilli cette population andalou, son dynamisme et ses coutumes : Tlemcen, Blida, Alger, Dellys, Bej</w:t>
      </w:r>
      <w:r w:rsidR="00D62B71">
        <w:rPr>
          <w:rFonts w:ascii="Times New Roman" w:hAnsi="Times New Roman"/>
          <w:bCs/>
          <w:sz w:val="24"/>
          <w:szCs w:val="24"/>
          <w:lang w:eastAsia="fr-FR"/>
        </w:rPr>
        <w:t>aia, Constantine et Annaba etc.</w:t>
      </w:r>
    </w:p>
    <w:p w:rsidR="006A4EED" w:rsidRPr="005E58D9" w:rsidRDefault="006A4EED" w:rsidP="007B6E0A">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L’Andalousie a eu pour la société algérienne un apport inestimable et multidimensionnel : sociologique, culturel et politique. Les savoirs, savoir - faire et toutes les sciences ont été transférés, le développement qui avait atteint son apogée de l’autre côté de la Méditerranée a été copié, particulièrement du point de vue de l’organisation de la vie,  de l’urbanisme, de la gestion des affaires publiques, du développement des sciences et de la culture dans toutes ses expressions.</w:t>
      </w:r>
    </w:p>
    <w:p w:rsidR="006A4EED" w:rsidRPr="005E58D9" w:rsidRDefault="006A4EED" w:rsidP="00DE178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Dernière étape avant la colonisation française, l’époque ottomane a quant à elle duré de 1516 </w:t>
      </w:r>
      <w:r>
        <w:rPr>
          <w:rFonts w:ascii="Times New Roman" w:hAnsi="Times New Roman"/>
          <w:bCs/>
          <w:sz w:val="24"/>
          <w:szCs w:val="24"/>
          <w:lang w:eastAsia="fr-FR"/>
        </w:rPr>
        <w:t>à</w:t>
      </w:r>
      <w:r w:rsidRPr="005E58D9">
        <w:rPr>
          <w:rFonts w:ascii="Times New Roman" w:hAnsi="Times New Roman"/>
          <w:bCs/>
          <w:sz w:val="24"/>
          <w:szCs w:val="24"/>
          <w:lang w:eastAsia="fr-FR"/>
        </w:rPr>
        <w:t xml:space="preserve"> 1830. Ce long passage de l’Empire ottoman a opéré au sein de la société algérienne une modernisation des systèmes politique et économique et une transformation du système social. </w:t>
      </w:r>
    </w:p>
    <w:p w:rsidR="006A4EED" w:rsidRPr="005E58D9" w:rsidRDefault="006A4EED" w:rsidP="002D393F">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L’époque ottomane aura été celle d’un nouveau métissage au sein de la société algérienne, marqué par le croisement des cultures, des pratiques sociales. Mais aussi par la rencontre physique des hommes.  </w:t>
      </w:r>
      <w:r w:rsidRPr="0080393C">
        <w:rPr>
          <w:rFonts w:ascii="Times New Roman" w:hAnsi="Times New Roman"/>
          <w:sz w:val="24"/>
          <w:szCs w:val="24"/>
        </w:rPr>
        <w:t>Abdelhamid GUERFI</w:t>
      </w:r>
      <w:r w:rsidRPr="0080393C">
        <w:rPr>
          <w:rFonts w:ascii="Times New Roman" w:hAnsi="Times New Roman"/>
          <w:bCs/>
          <w:sz w:val="28"/>
          <w:szCs w:val="28"/>
          <w:lang w:eastAsia="fr-FR"/>
        </w:rPr>
        <w:t xml:space="preserve"> </w:t>
      </w:r>
      <w:r w:rsidRPr="005E58D9">
        <w:rPr>
          <w:rFonts w:ascii="Times New Roman" w:hAnsi="Times New Roman"/>
          <w:bCs/>
          <w:sz w:val="24"/>
          <w:szCs w:val="24"/>
          <w:lang w:eastAsia="fr-FR"/>
        </w:rPr>
        <w:t>écrit :</w:t>
      </w:r>
    </w:p>
    <w:p w:rsidR="006A4EED" w:rsidRPr="00036F60" w:rsidRDefault="006A4EED" w:rsidP="00036F60">
      <w:pPr>
        <w:pStyle w:val="Citationintense"/>
        <w:spacing w:before="0" w:after="0"/>
        <w:ind w:left="567" w:right="0"/>
        <w:rPr>
          <w:iCs w:val="0"/>
          <w:sz w:val="20"/>
          <w:szCs w:val="20"/>
          <w:lang w:eastAsia="fr-FR"/>
        </w:rPr>
      </w:pPr>
      <w:r w:rsidRPr="002044EE">
        <w:rPr>
          <w:iCs w:val="0"/>
          <w:sz w:val="20"/>
          <w:szCs w:val="20"/>
          <w:lang w:eastAsia="fr-FR"/>
        </w:rPr>
        <w:t xml:space="preserve">Les janissaires (soldats de l’armée ottomane) étaient recrutés partout en Europe et en Asie (mineure). Ils étaient, eux aussi, de pays divers et d’origines diverses.  Ils devaient être célibataires lors de leur recrutement. Mais une fois en Algérie, beaucoup d’entre eux se sont </w:t>
      </w:r>
      <w:r w:rsidRPr="002044EE">
        <w:rPr>
          <w:iCs w:val="0"/>
          <w:sz w:val="20"/>
          <w:szCs w:val="20"/>
          <w:lang w:eastAsia="fr-FR"/>
        </w:rPr>
        <w:lastRenderedPageBreak/>
        <w:t>mariés à des femmes Algériennes. Ce qui a généré une partie de la société appelée « les Kouloughlis», métis de pères turcs et de mères algériennes, dont une partie est restée en Algérie durant la colonisation et même après l’indépendance</w:t>
      </w:r>
      <w:r w:rsidRPr="002044EE">
        <w:rPr>
          <w:rStyle w:val="Appelnotedebasdep"/>
          <w:sz w:val="20"/>
          <w:szCs w:val="20"/>
          <w:lang w:eastAsia="fr-FR"/>
        </w:rPr>
        <w:footnoteReference w:id="21"/>
      </w:r>
      <w:r w:rsidR="002044EE">
        <w:rPr>
          <w:iCs w:val="0"/>
          <w:sz w:val="20"/>
          <w:szCs w:val="20"/>
          <w:lang w:eastAsia="fr-FR"/>
        </w:rPr>
        <w:t>.</w:t>
      </w:r>
      <w:r w:rsidR="00036F60">
        <w:rPr>
          <w:iCs w:val="0"/>
          <w:sz w:val="20"/>
          <w:szCs w:val="20"/>
          <w:lang w:eastAsia="fr-FR"/>
        </w:rPr>
        <w:t xml:space="preserve"> (</w:t>
      </w:r>
      <w:r w:rsidR="00036F60" w:rsidRPr="00036F60">
        <w:rPr>
          <w:i/>
          <w:sz w:val="20"/>
          <w:szCs w:val="20"/>
          <w:lang w:eastAsia="fr-FR"/>
        </w:rPr>
        <w:t>I</w:t>
      </w:r>
      <w:r w:rsidR="00036F60">
        <w:rPr>
          <w:i/>
          <w:sz w:val="20"/>
          <w:szCs w:val="20"/>
          <w:lang w:eastAsia="fr-FR"/>
        </w:rPr>
        <w:t>bid</w:t>
      </w:r>
      <w:r w:rsidR="00036F60">
        <w:rPr>
          <w:iCs w:val="0"/>
          <w:sz w:val="20"/>
          <w:szCs w:val="20"/>
          <w:lang w:eastAsia="fr-FR"/>
        </w:rPr>
        <w:t>).</w:t>
      </w:r>
    </w:p>
    <w:p w:rsidR="00CA38A8" w:rsidRDefault="00CA38A8" w:rsidP="00CA38A8">
      <w:pPr>
        <w:spacing w:after="0" w:line="360" w:lineRule="auto"/>
        <w:ind w:firstLine="284"/>
        <w:jc w:val="both"/>
        <w:rPr>
          <w:rFonts w:ascii="Times New Roman" w:hAnsi="Times New Roman"/>
          <w:bCs/>
          <w:sz w:val="24"/>
          <w:szCs w:val="24"/>
          <w:lang w:eastAsia="fr-FR"/>
        </w:rPr>
      </w:pPr>
    </w:p>
    <w:p w:rsidR="006A4EED" w:rsidRPr="005E58D9" w:rsidRDefault="006A4EED" w:rsidP="00CA38A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Durant cette période ottomane, l’Algérie a évolué dans le fonctionnement des institutions culturelles. Elle a notamment investit dans les Mosquées et les Zaouïas. Plus tard, même durant la colonisation, l’héritage ottoman s’est manifesté dans le développement des « Nadis » ou Clubs culturels et aussi des associations sportives qui ont constitué la base aussi de l’essor du nationalisme algérien.</w:t>
      </w:r>
    </w:p>
    <w:p w:rsidR="006A4EED" w:rsidRDefault="006A4EED" w:rsidP="00CA38A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Finalement, et pour refermer cette section, on peut dire que la Numidie (qui deviendra le Maghreb central puis l’Algérie) aura été au fil des époques et à travers son histoire une terre d’échanges, de débats et de discussions autour des grandes idées philosophiques et existentialistes. Notamment, la période qui a précédé l’arrivée de l’Islam aura été immensément riche en débats intenses sur le rôle de l’homme dans la société, le rôle et la fonction des institutions sociales, politiques et religieuses, sur la conciliation entre la foi et la raison, etc.</w:t>
      </w:r>
    </w:p>
    <w:p w:rsidR="000E1826" w:rsidRDefault="000E1826" w:rsidP="00EF7422">
      <w:pPr>
        <w:pStyle w:val="Titre4"/>
        <w:spacing w:before="0" w:after="0" w:line="360" w:lineRule="auto"/>
        <w:ind w:left="641" w:hanging="357"/>
        <w:jc w:val="both"/>
        <w:rPr>
          <w:rFonts w:ascii="Times New Roman" w:hAnsi="Times New Roman"/>
          <w:i w:val="0"/>
          <w:iCs/>
        </w:rPr>
      </w:pPr>
    </w:p>
    <w:p w:rsidR="006A4EED" w:rsidRPr="00DC1A79" w:rsidRDefault="00EF7422" w:rsidP="00EF7422">
      <w:pPr>
        <w:pStyle w:val="Titre4"/>
        <w:spacing w:before="0" w:after="0" w:line="360" w:lineRule="auto"/>
        <w:ind w:left="641" w:hanging="357"/>
        <w:jc w:val="both"/>
        <w:rPr>
          <w:rFonts w:ascii="Times New Roman" w:hAnsi="Times New Roman"/>
          <w:i w:val="0"/>
          <w:iCs/>
        </w:rPr>
      </w:pPr>
      <w:bookmarkStart w:id="24" w:name="_Toc471484400"/>
      <w:r>
        <w:rPr>
          <w:rFonts w:ascii="Times New Roman" w:hAnsi="Times New Roman"/>
          <w:i w:val="0"/>
          <w:iCs/>
        </w:rPr>
        <w:t>1.2.</w:t>
      </w:r>
      <w:r w:rsidRPr="00DC1A79">
        <w:rPr>
          <w:rFonts w:ascii="Times New Roman" w:hAnsi="Times New Roman"/>
          <w:i w:val="0"/>
          <w:iCs/>
        </w:rPr>
        <w:t xml:space="preserve"> L’Algérie</w:t>
      </w:r>
      <w:r w:rsidR="006A4EED" w:rsidRPr="00DC1A79">
        <w:rPr>
          <w:rFonts w:ascii="Times New Roman" w:hAnsi="Times New Roman"/>
          <w:i w:val="0"/>
          <w:iCs/>
        </w:rPr>
        <w:t xml:space="preserve"> et l’empreinte de la colonisation française</w:t>
      </w:r>
      <w:bookmarkEnd w:id="24"/>
    </w:p>
    <w:p w:rsidR="006A4EED" w:rsidRPr="00EF7422" w:rsidRDefault="006A4EED" w:rsidP="00EF7422">
      <w:pPr>
        <w:spacing w:after="0" w:line="360" w:lineRule="auto"/>
        <w:ind w:firstLine="284"/>
        <w:jc w:val="both"/>
        <w:rPr>
          <w:rFonts w:ascii="Times New Roman" w:hAnsi="Times New Roman"/>
          <w:bCs/>
          <w:sz w:val="24"/>
          <w:szCs w:val="24"/>
          <w:lang w:eastAsia="fr-FR"/>
        </w:rPr>
      </w:pPr>
      <w:r w:rsidRPr="00EF7422">
        <w:rPr>
          <w:rFonts w:ascii="Times New Roman" w:hAnsi="Times New Roman"/>
          <w:bCs/>
          <w:sz w:val="24"/>
          <w:szCs w:val="24"/>
          <w:lang w:eastAsia="fr-FR"/>
        </w:rPr>
        <w:t xml:space="preserve">L’Algérie, très florissante terre, a été l’objet, à travers le temps, de plusieurs occupations en relai comme on a pu le voir. Ces occupants successifs y laisseront tous, une fois répudiés, une partie de leurs cultures comme butin de guerre. Contribuant, chacun à sa façon, à l’identité de ce qui deviendra l’Algérie. Dans une étude historique datant de 1852, </w:t>
      </w:r>
      <w:r w:rsidRPr="00EF7422">
        <w:rPr>
          <w:rFonts w:ascii="Times New Roman" w:hAnsi="Times New Roman"/>
          <w:bCs/>
          <w:i/>
          <w:iCs/>
          <w:sz w:val="24"/>
          <w:szCs w:val="24"/>
          <w:lang w:eastAsia="fr-FR"/>
        </w:rPr>
        <w:t>Dureau de la Malle</w:t>
      </w:r>
      <w:r w:rsidRPr="00EF7422">
        <w:rPr>
          <w:rStyle w:val="Appelnotedebasdep"/>
          <w:rFonts w:ascii="Times New Roman" w:hAnsi="Times New Roman"/>
          <w:bCs/>
          <w:i/>
          <w:iCs/>
          <w:sz w:val="24"/>
          <w:szCs w:val="24"/>
          <w:lang w:eastAsia="fr-FR"/>
        </w:rPr>
        <w:footnoteReference w:id="22"/>
      </w:r>
      <w:r w:rsidRPr="00EF7422">
        <w:rPr>
          <w:rFonts w:ascii="Times New Roman" w:hAnsi="Times New Roman"/>
          <w:bCs/>
          <w:i/>
          <w:iCs/>
          <w:sz w:val="24"/>
          <w:szCs w:val="24"/>
          <w:lang w:eastAsia="fr-FR"/>
        </w:rPr>
        <w:t xml:space="preserve"> </w:t>
      </w:r>
      <w:r w:rsidRPr="00EF7422">
        <w:rPr>
          <w:rFonts w:ascii="Times New Roman" w:hAnsi="Times New Roman"/>
          <w:bCs/>
          <w:sz w:val="24"/>
          <w:szCs w:val="24"/>
          <w:lang w:eastAsia="fr-FR"/>
        </w:rPr>
        <w:t>évoquait déjà la ressemblance constatée par deux colonisateurs séparés par plusieurs siècles :</w:t>
      </w:r>
    </w:p>
    <w:p w:rsidR="006A4EED" w:rsidRPr="009C07FA" w:rsidRDefault="006A4EED" w:rsidP="00F5734B">
      <w:pPr>
        <w:pStyle w:val="Citationintense"/>
        <w:spacing w:before="0" w:after="0"/>
        <w:ind w:left="567" w:right="0"/>
        <w:rPr>
          <w:sz w:val="20"/>
          <w:szCs w:val="20"/>
        </w:rPr>
      </w:pPr>
      <w:r w:rsidRPr="009C07FA">
        <w:rPr>
          <w:iCs w:val="0"/>
          <w:sz w:val="20"/>
          <w:szCs w:val="20"/>
          <w:lang w:eastAsia="fr-FR"/>
        </w:rPr>
        <w:t>Aux ressemblances que j’ai déjà signalées entre les guerres des Romains contre les Africains et celles de nos troupes contre les arabes de l’Algérie, (…) Dans toutes les batailles les plus heureuses les Romains n’ont jamais pris vivants qu’un petit nombre de Numides ; et nous, depuis treize ans que nous combattons dans la régence d’Alger, nous n’avons pris qu’un petit nombre de combattants prisonniers</w:t>
      </w:r>
      <w:r w:rsidRPr="009C07FA">
        <w:rPr>
          <w:sz w:val="20"/>
          <w:szCs w:val="20"/>
          <w:lang w:eastAsia="fr-FR"/>
        </w:rPr>
        <w:t> </w:t>
      </w:r>
      <w:r w:rsidRPr="009C07FA">
        <w:rPr>
          <w:rStyle w:val="Appelnotedebasdep"/>
          <w:sz w:val="20"/>
          <w:szCs w:val="20"/>
          <w:lang w:eastAsia="fr-FR"/>
        </w:rPr>
        <w:footnoteReference w:id="23"/>
      </w:r>
    </w:p>
    <w:p w:rsidR="008E4793" w:rsidRDefault="008E4793" w:rsidP="00F5734B">
      <w:pPr>
        <w:spacing w:after="0" w:line="360" w:lineRule="auto"/>
        <w:ind w:firstLine="284"/>
        <w:jc w:val="both"/>
        <w:rPr>
          <w:rFonts w:ascii="Times New Roman" w:hAnsi="Times New Roman"/>
          <w:bCs/>
          <w:sz w:val="24"/>
          <w:szCs w:val="24"/>
          <w:lang w:eastAsia="fr-FR"/>
        </w:rPr>
      </w:pPr>
    </w:p>
    <w:p w:rsidR="006A4EED" w:rsidRPr="005E58D9" w:rsidRDefault="006A4EED" w:rsidP="00F5734B">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Parlons donc colonisation française : durant un siècle et son tiers (1830/1962), l’Algérie fut considérée comme française, notamment par les générations </w:t>
      </w:r>
      <w:r w:rsidRPr="005E58D9">
        <w:rPr>
          <w:rFonts w:ascii="Times New Roman" w:hAnsi="Times New Roman"/>
          <w:bCs/>
          <w:sz w:val="24"/>
          <w:szCs w:val="24"/>
          <w:lang w:eastAsia="fr-FR"/>
        </w:rPr>
        <w:lastRenderedPageBreak/>
        <w:t xml:space="preserve">européennes qui s’y sont installées au point de s’y attacher, s’y identifier comme à leur propre mère. Cependant, les autochtones, les arabes, ne s’étant jamais laissés apprivoisés par cette mère adoptive française, et en nourrissant dans leurs gènes ce besoin inné de liberté, n’ont guère cessé de revendiquer leur appartenance, naturelle et historique, à la mère biologique algérienne. Assia Djebbar, </w:t>
      </w:r>
      <w:r>
        <w:rPr>
          <w:rFonts w:ascii="Times New Roman" w:hAnsi="Times New Roman"/>
          <w:bCs/>
          <w:sz w:val="24"/>
          <w:szCs w:val="24"/>
          <w:lang w:eastAsia="fr-FR"/>
        </w:rPr>
        <w:t>l’</w:t>
      </w:r>
      <w:r w:rsidRPr="005E58D9">
        <w:rPr>
          <w:rFonts w:ascii="Times New Roman" w:hAnsi="Times New Roman"/>
          <w:bCs/>
          <w:sz w:val="24"/>
          <w:szCs w:val="24"/>
          <w:lang w:eastAsia="fr-FR"/>
        </w:rPr>
        <w:t>immortelle, a soulevé explicitement cette dramatique question de la lutte d’indépendance dans ce passage extrait de son discours prononcé lors de sa réception à l’Académie française le 22 juin 2006 :</w:t>
      </w:r>
    </w:p>
    <w:p w:rsidR="006A4EED" w:rsidRDefault="00BF111A" w:rsidP="009F2BAA">
      <w:pPr>
        <w:pStyle w:val="Citationintense"/>
        <w:spacing w:before="0" w:after="0"/>
        <w:ind w:left="567" w:right="0"/>
        <w:rPr>
          <w:iCs w:val="0"/>
          <w:sz w:val="20"/>
          <w:szCs w:val="20"/>
          <w:lang w:eastAsia="fr-FR"/>
        </w:rPr>
      </w:pPr>
      <w:r w:rsidRPr="009F2BAA">
        <w:rPr>
          <w:iCs w:val="0"/>
          <w:sz w:val="20"/>
          <w:szCs w:val="20"/>
          <w:lang w:eastAsia="fr-FR"/>
        </w:rPr>
        <w:t>[</w:t>
      </w:r>
      <w:r w:rsidR="006A4EED" w:rsidRPr="009F2BAA">
        <w:rPr>
          <w:iCs w:val="0"/>
          <w:sz w:val="20"/>
          <w:szCs w:val="20"/>
          <w:lang w:eastAsia="fr-FR"/>
        </w:rPr>
        <w:t>…</w:t>
      </w:r>
      <w:r w:rsidRPr="009F2BAA">
        <w:rPr>
          <w:iCs w:val="0"/>
          <w:sz w:val="20"/>
          <w:szCs w:val="20"/>
          <w:lang w:eastAsia="fr-FR"/>
        </w:rPr>
        <w:t>]</w:t>
      </w:r>
      <w:r w:rsidR="006A4EED" w:rsidRPr="009F2BAA">
        <w:rPr>
          <w:iCs w:val="0"/>
          <w:sz w:val="20"/>
          <w:szCs w:val="20"/>
          <w:lang w:eastAsia="fr-FR"/>
        </w:rPr>
        <w:t xml:space="preserve"> La France, sur plus d’un siècle, a affronté le mouvement irréversible et mondial de décolonisation des peuples. Il fut vécu, sur ma terre natale, en lourd passif de vies humaines écrasées, de sacrifices privés et publics innombrables, et douloureux, cela, sur les deux versants de ce </w:t>
      </w:r>
      <w:r w:rsidR="00653A1B" w:rsidRPr="009F2BAA">
        <w:rPr>
          <w:iCs w:val="0"/>
          <w:sz w:val="20"/>
          <w:szCs w:val="20"/>
          <w:lang w:eastAsia="fr-FR"/>
        </w:rPr>
        <w:t>déchirement</w:t>
      </w:r>
      <w:r w:rsidR="006A4EED" w:rsidRPr="009F2BAA">
        <w:rPr>
          <w:rStyle w:val="Appelnotedebasdep"/>
          <w:sz w:val="20"/>
          <w:szCs w:val="20"/>
          <w:lang w:eastAsia="fr-FR"/>
        </w:rPr>
        <w:footnoteReference w:id="24"/>
      </w:r>
      <w:r w:rsidR="00653A1B" w:rsidRPr="009F2BAA">
        <w:rPr>
          <w:iCs w:val="0"/>
          <w:sz w:val="20"/>
          <w:szCs w:val="20"/>
          <w:lang w:eastAsia="fr-FR"/>
        </w:rPr>
        <w:t xml:space="preserve"> </w:t>
      </w:r>
    </w:p>
    <w:p w:rsidR="008E4793" w:rsidRDefault="008E4793" w:rsidP="00170A78">
      <w:pPr>
        <w:pStyle w:val="Titre5"/>
        <w:spacing w:before="0" w:after="0"/>
        <w:ind w:left="641" w:hanging="357"/>
        <w:jc w:val="both"/>
        <w:rPr>
          <w:rFonts w:ascii="Times New Roman" w:hAnsi="Times New Roman"/>
          <w:color w:val="auto"/>
          <w:lang w:eastAsia="fr-FR"/>
        </w:rPr>
      </w:pPr>
    </w:p>
    <w:p w:rsidR="006A4EED" w:rsidRPr="00170A78" w:rsidRDefault="00170A78" w:rsidP="00170A78">
      <w:pPr>
        <w:pStyle w:val="Titre5"/>
        <w:spacing w:before="0" w:after="0"/>
        <w:ind w:left="641" w:hanging="357"/>
        <w:jc w:val="both"/>
        <w:rPr>
          <w:rFonts w:ascii="Times New Roman" w:hAnsi="Times New Roman"/>
          <w:color w:val="auto"/>
          <w:lang w:eastAsia="fr-FR"/>
        </w:rPr>
      </w:pPr>
      <w:bookmarkStart w:id="25" w:name="_Toc471484401"/>
      <w:r w:rsidRPr="00170A78">
        <w:rPr>
          <w:rFonts w:ascii="Times New Roman" w:hAnsi="Times New Roman"/>
          <w:color w:val="auto"/>
          <w:lang w:eastAsia="fr-FR"/>
        </w:rPr>
        <w:t>1.2.1. L’Algérie</w:t>
      </w:r>
      <w:r w:rsidR="006A4EED" w:rsidRPr="00170A78">
        <w:rPr>
          <w:rFonts w:ascii="Times New Roman" w:hAnsi="Times New Roman"/>
          <w:color w:val="auto"/>
          <w:lang w:eastAsia="fr-FR"/>
        </w:rPr>
        <w:t xml:space="preserve"> au moment de la colonisation</w:t>
      </w:r>
      <w:bookmarkEnd w:id="25"/>
    </w:p>
    <w:p w:rsidR="006A4EED" w:rsidRPr="005E58D9" w:rsidRDefault="006A4EED" w:rsidP="00DF7CE0">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Mais que représente l’Algérie à la veille de la colonisation française c'est-à-dire en 1830?</w:t>
      </w:r>
      <w:r w:rsidR="00DF7CE0">
        <w:rPr>
          <w:rFonts w:ascii="Times New Roman" w:hAnsi="Times New Roman"/>
          <w:bCs/>
          <w:sz w:val="24"/>
          <w:szCs w:val="24"/>
          <w:lang w:eastAsia="fr-FR"/>
        </w:rPr>
        <w:t xml:space="preserve"> </w:t>
      </w:r>
      <w:r w:rsidRPr="005E58D9">
        <w:rPr>
          <w:rFonts w:ascii="Times New Roman" w:hAnsi="Times New Roman"/>
          <w:bCs/>
          <w:sz w:val="24"/>
          <w:szCs w:val="24"/>
          <w:lang w:eastAsia="fr-FR"/>
        </w:rPr>
        <w:t>Revenons aux faits historiques et contextuels. En 1830, la population de l'Algérie vivait essentiellement en tribus pratiquant l'agriculture et l’élevage. La langue, le mode de vie, les traditions variaient suivant les régions</w:t>
      </w:r>
      <w:r w:rsidRPr="005E58D9">
        <w:rPr>
          <w:rFonts w:ascii="Times New Roman" w:hAnsi="Times New Roman"/>
          <w:bCs/>
          <w:sz w:val="24"/>
          <w:szCs w:val="24"/>
          <w:vertAlign w:val="superscript"/>
          <w:lang w:eastAsia="fr-FR"/>
        </w:rPr>
        <w:footnoteReference w:id="25"/>
      </w:r>
      <w:r w:rsidRPr="005E58D9">
        <w:rPr>
          <w:rFonts w:ascii="Times New Roman" w:hAnsi="Times New Roman"/>
          <w:bCs/>
          <w:sz w:val="24"/>
          <w:szCs w:val="24"/>
          <w:lang w:eastAsia="fr-FR"/>
        </w:rPr>
        <w:t>.</w:t>
      </w:r>
    </w:p>
    <w:p w:rsidR="006A4EED" w:rsidRPr="005E58D9" w:rsidRDefault="006A4EED" w:rsidP="009A39C7">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La population algérienne musulmane du XIX</w:t>
      </w:r>
      <w:r w:rsidRPr="00660537">
        <w:rPr>
          <w:rFonts w:ascii="Times New Roman" w:hAnsi="Times New Roman"/>
          <w:bCs/>
          <w:color w:val="000000"/>
          <w:sz w:val="24"/>
          <w:szCs w:val="24"/>
          <w:vertAlign w:val="superscript"/>
          <w:lang w:eastAsia="fr-FR"/>
        </w:rPr>
        <w:t>e</w:t>
      </w:r>
      <w:r w:rsidRPr="005E58D9">
        <w:rPr>
          <w:rFonts w:ascii="Times New Roman" w:hAnsi="Times New Roman"/>
          <w:bCs/>
          <w:sz w:val="24"/>
          <w:szCs w:val="24"/>
          <w:lang w:eastAsia="fr-FR"/>
        </w:rPr>
        <w:t xml:space="preserve"> siècle est hétérogène. Les Français distinguent trois principales ethnies qu'ils nomment « types Algériens », les Kabyles (terme donné aux Berbères montagnardes), les Arabes (terme donné aux populations arabo-nomades) et les Maures (terme donné aux citadins de tradition arabo-andalou)</w:t>
      </w:r>
      <w:r w:rsidRPr="005E58D9">
        <w:rPr>
          <w:rFonts w:ascii="Times New Roman" w:hAnsi="Times New Roman"/>
          <w:bCs/>
          <w:sz w:val="24"/>
          <w:szCs w:val="24"/>
          <w:vertAlign w:val="superscript"/>
          <w:lang w:eastAsia="fr-FR"/>
        </w:rPr>
        <w:footnoteReference w:id="26"/>
      </w:r>
      <w:r w:rsidRPr="005E58D9">
        <w:rPr>
          <w:rFonts w:ascii="Times New Roman" w:hAnsi="Times New Roman"/>
          <w:bCs/>
          <w:sz w:val="24"/>
          <w:szCs w:val="24"/>
          <w:lang w:eastAsia="fr-FR"/>
        </w:rPr>
        <w:t>. Les minorités ethniques sont distinctes et comprennent les Mozabites (groupe religieux musulman berbérophone). La quatrième principale ethnie indigène est celle des Juifs (ou Israélites).</w:t>
      </w:r>
    </w:p>
    <w:p w:rsidR="006A4EED" w:rsidRPr="005E58D9" w:rsidRDefault="006A4EED" w:rsidP="00E03071">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Ce que les médias, parlementaires et l'État civil français nomment les « européens » est la partie de la population algérienne composée des « Français de France » (ou «Français de souche») et des « Français d'Algérie » ; ces derniers revendiquant l'appellation de « Pieds-Noirs » (à l'origine incertaine et à la définition imprécise) après l'exode depuis leur terre natale et ancestrale en 1962. Il </w:t>
      </w:r>
      <w:r w:rsidRPr="005E58D9">
        <w:rPr>
          <w:rFonts w:ascii="Times New Roman" w:hAnsi="Times New Roman"/>
          <w:bCs/>
          <w:sz w:val="24"/>
          <w:szCs w:val="24"/>
          <w:lang w:eastAsia="fr-FR"/>
        </w:rPr>
        <w:lastRenderedPageBreak/>
        <w:t>faut cependant préciser que l'origine des « étrangers » en Algérie est majoritairement espagnole mais est plus globalement européenne (Allemagne, Suisse et Angleterre) et méditerranéenne (outre Espagne, Italie et Malte alors occupée par les Britanniques).</w:t>
      </w:r>
    </w:p>
    <w:p w:rsidR="006A4EED" w:rsidRPr="005E58D9" w:rsidRDefault="006A4EED" w:rsidP="00C109B2">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Dans son </w:t>
      </w:r>
      <w:r w:rsidRPr="00AD23B8">
        <w:rPr>
          <w:rFonts w:ascii="Times New Roman" w:hAnsi="Times New Roman"/>
          <w:bCs/>
          <w:i/>
          <w:iCs/>
          <w:sz w:val="24"/>
          <w:szCs w:val="24"/>
          <w:lang w:eastAsia="fr-FR"/>
        </w:rPr>
        <w:t>Atlas National Illustré</w:t>
      </w:r>
      <w:r w:rsidRPr="005E58D9">
        <w:rPr>
          <w:rFonts w:ascii="Times New Roman" w:hAnsi="Times New Roman"/>
          <w:bCs/>
          <w:sz w:val="24"/>
          <w:szCs w:val="24"/>
          <w:lang w:eastAsia="fr-FR"/>
        </w:rPr>
        <w:t>, l'ingénieur géographe Victor Levasseur</w:t>
      </w:r>
      <w:r>
        <w:rPr>
          <w:rFonts w:ascii="Times New Roman" w:hAnsi="Times New Roman"/>
          <w:bCs/>
          <w:sz w:val="24"/>
          <w:szCs w:val="24"/>
          <w:lang w:eastAsia="fr-FR"/>
        </w:rPr>
        <w:t xml:space="preserve"> </w:t>
      </w:r>
      <w:r w:rsidRPr="005E58D9">
        <w:rPr>
          <w:rFonts w:ascii="Times New Roman" w:hAnsi="Times New Roman"/>
          <w:bCs/>
          <w:sz w:val="24"/>
          <w:szCs w:val="24"/>
          <w:lang w:eastAsia="fr-FR"/>
        </w:rPr>
        <w:t>publie les statistiques sur la population de l'« Algérie, colonie française »</w:t>
      </w:r>
      <w:r w:rsidR="00CF0858">
        <w:rPr>
          <w:rFonts w:ascii="Times New Roman" w:hAnsi="Times New Roman"/>
          <w:bCs/>
          <w:sz w:val="24"/>
          <w:szCs w:val="24"/>
          <w:lang w:eastAsia="fr-FR"/>
        </w:rPr>
        <w:t> :</w:t>
      </w:r>
      <w:r w:rsidRPr="005E58D9">
        <w:rPr>
          <w:rFonts w:ascii="Times New Roman" w:hAnsi="Times New Roman"/>
          <w:bCs/>
          <w:sz w:val="24"/>
          <w:szCs w:val="24"/>
          <w:lang w:eastAsia="fr-FR"/>
        </w:rPr>
        <w:t xml:space="preserve"> « </w:t>
      </w:r>
      <w:r w:rsidRPr="00CF0858">
        <w:rPr>
          <w:rFonts w:ascii="Times New Roman" w:hAnsi="Times New Roman"/>
          <w:bCs/>
          <w:iCs/>
          <w:sz w:val="24"/>
          <w:szCs w:val="24"/>
          <w:lang w:eastAsia="fr-FR"/>
        </w:rPr>
        <w:t>La Population Totale de l'Algérie peut-être évaluée à 5 millions d'habitants. Voici d'après les recherches officielles mais très incomplètes le chiffre de la Population au 31 mars 1849</w:t>
      </w:r>
      <w:r w:rsidRPr="005E58D9">
        <w:rPr>
          <w:rFonts w:ascii="Times New Roman" w:hAnsi="Times New Roman"/>
          <w:bCs/>
          <w:sz w:val="24"/>
          <w:szCs w:val="24"/>
          <w:lang w:eastAsia="fr-FR"/>
        </w:rPr>
        <w:t>»</w:t>
      </w:r>
      <w:r w:rsidR="00CF0858">
        <w:rPr>
          <w:rFonts w:ascii="Times New Roman" w:hAnsi="Times New Roman"/>
          <w:bCs/>
          <w:sz w:val="24"/>
          <w:szCs w:val="24"/>
          <w:lang w:eastAsia="fr-FR"/>
        </w:rPr>
        <w:t>. (V. Levasseur, 1845, p.1).</w:t>
      </w:r>
    </w:p>
    <w:p w:rsidR="006A4EED" w:rsidRPr="005E58D9" w:rsidRDefault="006A4EED" w:rsidP="002801B6">
      <w:pPr>
        <w:spacing w:after="0" w:line="360" w:lineRule="auto"/>
        <w:ind w:left="284" w:hanging="284"/>
        <w:jc w:val="both"/>
        <w:rPr>
          <w:rFonts w:ascii="Times New Roman" w:hAnsi="Times New Roman"/>
          <w:bCs/>
          <w:sz w:val="24"/>
          <w:szCs w:val="24"/>
          <w:lang w:eastAsia="fr-FR"/>
        </w:rPr>
      </w:pPr>
      <w:r w:rsidRPr="005E58D9">
        <w:rPr>
          <w:rFonts w:ascii="Times New Roman" w:hAnsi="Times New Roman"/>
          <w:bCs/>
          <w:sz w:val="24"/>
          <w:szCs w:val="24"/>
          <w:lang w:eastAsia="fr-FR"/>
        </w:rPr>
        <w:t>La population totale est divisée en deux parties distinctes :</w:t>
      </w:r>
    </w:p>
    <w:p w:rsidR="006A4EED" w:rsidRPr="005E58D9" w:rsidRDefault="006A4EED" w:rsidP="002801B6">
      <w:pPr>
        <w:numPr>
          <w:ilvl w:val="0"/>
          <w:numId w:val="4"/>
        </w:numPr>
        <w:spacing w:after="0" w:line="360" w:lineRule="auto"/>
        <w:ind w:left="284" w:hanging="284"/>
        <w:jc w:val="both"/>
        <w:rPr>
          <w:rFonts w:ascii="Times New Roman" w:hAnsi="Times New Roman"/>
          <w:bCs/>
          <w:sz w:val="24"/>
          <w:szCs w:val="24"/>
          <w:lang w:eastAsia="fr-FR"/>
        </w:rPr>
      </w:pPr>
      <w:r w:rsidRPr="005E58D9">
        <w:rPr>
          <w:rFonts w:ascii="Times New Roman" w:hAnsi="Times New Roman"/>
          <w:bCs/>
          <w:sz w:val="24"/>
          <w:szCs w:val="24"/>
          <w:lang w:eastAsia="fr-FR"/>
        </w:rPr>
        <w:t>La « Population Indigène » (2 598 517 habitants), qui incluent les musulmans et les israélites</w:t>
      </w:r>
    </w:p>
    <w:p w:rsidR="006A4EED" w:rsidRPr="00DC1775" w:rsidRDefault="006A4EED" w:rsidP="002801B6">
      <w:pPr>
        <w:numPr>
          <w:ilvl w:val="0"/>
          <w:numId w:val="4"/>
        </w:numPr>
        <w:spacing w:after="0" w:line="360" w:lineRule="auto"/>
        <w:ind w:left="284" w:hanging="284"/>
        <w:jc w:val="both"/>
        <w:rPr>
          <w:rFonts w:ascii="Times New Roman" w:hAnsi="Times New Roman"/>
          <w:bCs/>
          <w:sz w:val="24"/>
          <w:szCs w:val="24"/>
          <w:lang w:eastAsia="fr-FR"/>
        </w:rPr>
      </w:pPr>
      <w:r w:rsidRPr="005E58D9">
        <w:rPr>
          <w:rFonts w:ascii="Times New Roman" w:hAnsi="Times New Roman"/>
          <w:bCs/>
          <w:sz w:val="24"/>
          <w:szCs w:val="24"/>
          <w:lang w:eastAsia="fr-FR"/>
        </w:rPr>
        <w:t>Les « Européens » (117 366 habitants), qui incluen</w:t>
      </w:r>
      <w:r w:rsidR="00DC1775">
        <w:rPr>
          <w:rFonts w:ascii="Times New Roman" w:hAnsi="Times New Roman"/>
          <w:bCs/>
          <w:sz w:val="24"/>
          <w:szCs w:val="24"/>
          <w:lang w:eastAsia="fr-FR"/>
        </w:rPr>
        <w:t>t les Français et les étrangers</w:t>
      </w:r>
    </w:p>
    <w:p w:rsidR="008E4793" w:rsidRDefault="008E4793" w:rsidP="009D1DF4">
      <w:pPr>
        <w:spacing w:after="0" w:line="360" w:lineRule="auto"/>
        <w:ind w:firstLine="284"/>
        <w:jc w:val="both"/>
        <w:rPr>
          <w:rFonts w:ascii="Times New Roman" w:hAnsi="Times New Roman"/>
          <w:bCs/>
          <w:sz w:val="24"/>
          <w:szCs w:val="24"/>
          <w:lang w:eastAsia="fr-FR"/>
        </w:rPr>
      </w:pPr>
    </w:p>
    <w:p w:rsidR="006A4EED" w:rsidRPr="005E58D9" w:rsidRDefault="006A4EED" w:rsidP="009D1DF4">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À l'arrivée des Français, l'arabe  est la langue employée par l'administration et le makhzen de la Régence d'Alger. Toutefois, afin de consolider leur domination les Français vont chercher à imposer leur langue, qui est </w:t>
      </w:r>
      <w:r w:rsidRPr="00EC3A60">
        <w:rPr>
          <w:rFonts w:ascii="Times New Roman" w:hAnsi="Times New Roman"/>
          <w:bCs/>
          <w:iCs/>
          <w:sz w:val="24"/>
          <w:szCs w:val="24"/>
          <w:lang w:eastAsia="fr-FR"/>
        </w:rPr>
        <w:t>de facto</w:t>
      </w:r>
      <w:r w:rsidRPr="005E58D9">
        <w:rPr>
          <w:rFonts w:ascii="Times New Roman" w:hAnsi="Times New Roman"/>
          <w:bCs/>
          <w:sz w:val="24"/>
          <w:szCs w:val="24"/>
          <w:lang w:eastAsia="fr-FR"/>
        </w:rPr>
        <w:t xml:space="preserve"> la langue officielle de l'administration coloniale. Mais les français doivent aussi  maintenir le lien avec les populations, surtout dans la Mitidja. Ils vont donc rétablir la fonction d'</w:t>
      </w:r>
      <w:r w:rsidRPr="005E58D9">
        <w:rPr>
          <w:rFonts w:ascii="Times New Roman" w:hAnsi="Times New Roman"/>
          <w:bCs/>
          <w:i/>
          <w:sz w:val="24"/>
          <w:szCs w:val="24"/>
          <w:lang w:eastAsia="fr-FR"/>
        </w:rPr>
        <w:t>agha al'arab</w:t>
      </w:r>
      <w:r w:rsidRPr="005E58D9">
        <w:rPr>
          <w:rFonts w:ascii="Times New Roman" w:hAnsi="Times New Roman"/>
          <w:bCs/>
          <w:sz w:val="24"/>
          <w:szCs w:val="24"/>
          <w:lang w:eastAsia="fr-FR"/>
        </w:rPr>
        <w:t>, l'Agha des arabes qui était actif dans l'administration de la Régence d'Alger. Les services de cet Agha des arabes sont encadrés et placés sous la tutelle de la Direction des affaires arabes.  Ses officiers parlent obligatoirement l'arabe, considéré comme la langue de liaison avec les populations. Par la suite, le même principe a été appliqué avec les populations berbérophones.</w:t>
      </w:r>
    </w:p>
    <w:p w:rsidR="006A4EED" w:rsidRDefault="006A4EED" w:rsidP="005E68E4">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Le premier dictionnaire français-berbère intervient en 1842, pour permettre aux officiers français de communiquer dans ces régions. Nous sommes dans à cette époque dans une doctrine coloniale basée sur l'association et l'assimilation, ce qui suppose d'imposer l'enseignement du français au détriment de l'arabe. Cette orientation se solde toutefois par un échec dès le XIX</w:t>
      </w:r>
      <w:r w:rsidRPr="00660537">
        <w:rPr>
          <w:rFonts w:ascii="Times New Roman" w:hAnsi="Times New Roman"/>
          <w:bCs/>
          <w:color w:val="000000"/>
          <w:sz w:val="24"/>
          <w:szCs w:val="24"/>
          <w:vertAlign w:val="superscript"/>
          <w:lang w:eastAsia="fr-FR"/>
        </w:rPr>
        <w:t>e</w:t>
      </w:r>
      <w:r w:rsidRPr="005E58D9">
        <w:rPr>
          <w:rFonts w:ascii="Times New Roman" w:hAnsi="Times New Roman"/>
          <w:bCs/>
          <w:sz w:val="24"/>
          <w:szCs w:val="24"/>
          <w:lang w:eastAsia="fr-FR"/>
        </w:rPr>
        <w:t xml:space="preserve"> siècle. Dorénavant, plutôt que de conduire les populations arabes à une assimilation (et donc possiblement  à la citoyenneté française) l’on associera ces populations indigènes sans dénaturer leurs usages. D’où le faible nombre d'Algériens bénéficiant de la scolarisation, de la citoyenneté française. C’est ce qui explique aussi le réveil de l'enseignement de </w:t>
      </w:r>
      <w:r w:rsidRPr="005E58D9">
        <w:rPr>
          <w:rFonts w:ascii="Times New Roman" w:hAnsi="Times New Roman"/>
          <w:bCs/>
          <w:sz w:val="24"/>
          <w:szCs w:val="24"/>
          <w:lang w:eastAsia="fr-FR"/>
        </w:rPr>
        <w:lastRenderedPageBreak/>
        <w:t>l'arabe au XX</w:t>
      </w:r>
      <w:r w:rsidRPr="00660537">
        <w:rPr>
          <w:rFonts w:ascii="Times New Roman" w:hAnsi="Times New Roman"/>
          <w:bCs/>
          <w:color w:val="000000"/>
          <w:sz w:val="24"/>
          <w:szCs w:val="24"/>
          <w:vertAlign w:val="superscript"/>
          <w:lang w:eastAsia="fr-FR"/>
        </w:rPr>
        <w:t>e</w:t>
      </w:r>
      <w:r w:rsidRPr="005E58D9">
        <w:rPr>
          <w:rFonts w:ascii="Times New Roman" w:hAnsi="Times New Roman"/>
          <w:bCs/>
          <w:sz w:val="24"/>
          <w:szCs w:val="24"/>
          <w:lang w:eastAsia="fr-FR"/>
        </w:rPr>
        <w:t xml:space="preserve"> siècle (notamment par le biais des oulémas algériens). Parallèlement, le XX</w:t>
      </w:r>
      <w:r w:rsidRPr="00660537">
        <w:rPr>
          <w:rFonts w:ascii="Times New Roman" w:hAnsi="Times New Roman"/>
          <w:bCs/>
          <w:color w:val="000000"/>
          <w:sz w:val="24"/>
          <w:szCs w:val="24"/>
          <w:vertAlign w:val="superscript"/>
          <w:lang w:eastAsia="fr-FR"/>
        </w:rPr>
        <w:t>e</w:t>
      </w:r>
      <w:r w:rsidRPr="005E58D9">
        <w:rPr>
          <w:rFonts w:ascii="Times New Roman" w:hAnsi="Times New Roman"/>
          <w:bCs/>
          <w:sz w:val="24"/>
          <w:szCs w:val="24"/>
          <w:lang w:eastAsia="fr-FR"/>
        </w:rPr>
        <w:t xml:space="preserve"> siècle voit un réveil identitaire autour du tamazight avec l’émergence du berbérisme en réponse au mythe colonial sur la question berbère</w:t>
      </w:r>
      <w:r w:rsidRPr="005E58D9">
        <w:rPr>
          <w:rFonts w:ascii="Times New Roman" w:hAnsi="Times New Roman"/>
          <w:bCs/>
          <w:sz w:val="24"/>
          <w:szCs w:val="24"/>
          <w:vertAlign w:val="superscript"/>
          <w:lang w:eastAsia="fr-FR"/>
        </w:rPr>
        <w:footnoteReference w:id="27"/>
      </w:r>
      <w:r w:rsidRPr="005E58D9">
        <w:rPr>
          <w:rFonts w:ascii="Times New Roman" w:hAnsi="Times New Roman"/>
          <w:bCs/>
          <w:sz w:val="24"/>
          <w:szCs w:val="24"/>
          <w:lang w:eastAsia="fr-FR"/>
        </w:rPr>
        <w:t>.</w:t>
      </w:r>
    </w:p>
    <w:p w:rsidR="006A4EED" w:rsidRPr="005E58D9" w:rsidRDefault="006A4EED" w:rsidP="00110D0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C'est durant la colonisation, notamment du fait de l’exode rural, que le ratio berberophone/arabophone alors favorable aux berbérophones (1,2 million de berbérophones et 1,1 million d'arabophones, en 1886) s'inverse au profit des arabophones</w:t>
      </w:r>
      <w:r w:rsidRPr="005E58D9">
        <w:rPr>
          <w:rFonts w:ascii="Times New Roman" w:hAnsi="Times New Roman"/>
          <w:bCs/>
          <w:sz w:val="24"/>
          <w:szCs w:val="24"/>
          <w:vertAlign w:val="superscript"/>
          <w:lang w:eastAsia="fr-FR"/>
        </w:rPr>
        <w:footnoteReference w:id="28"/>
      </w:r>
      <w:r w:rsidRPr="005E58D9">
        <w:rPr>
          <w:rFonts w:ascii="Times New Roman" w:hAnsi="Times New Roman"/>
          <w:bCs/>
          <w:sz w:val="24"/>
          <w:szCs w:val="24"/>
          <w:lang w:eastAsia="fr-FR"/>
        </w:rPr>
        <w:t>.</w:t>
      </w:r>
    </w:p>
    <w:p w:rsidR="006A4EED" w:rsidRPr="005E58D9" w:rsidRDefault="006A4EED" w:rsidP="00110D0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De sa conquête en 1830 à la loi sur la laïcité en 1905, la religion officielle de l'Algérie française est le catholicisme. La loi de séparation des Églises et de l'État est proclamée par la Troisième République le 9 décembre 1905.</w:t>
      </w:r>
    </w:p>
    <w:p w:rsidR="006A4EED" w:rsidRPr="005E58D9" w:rsidRDefault="006A4EED" w:rsidP="00110D0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Les trois principales religions coexistantes en Algérie française sont l'islam, le catholicisme et judaïsme.</w:t>
      </w:r>
    </w:p>
    <w:p w:rsidR="006A4EED" w:rsidRPr="005E58D9" w:rsidRDefault="006A4EED" w:rsidP="00110D08">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L'islam a été introduit dans la région à la suite de la conquête musulmane du Maghreb au VIIe siècle ; c'est la religion de la majorité des habitants. En Algérie française, le terme « musulman » ne désigne pas les pratiquants de l'islam, mais défini le statut « ethnico-politique » des « regnicoles » (originaires) non israélites du territoire</w:t>
      </w:r>
      <w:r w:rsidRPr="005E58D9">
        <w:rPr>
          <w:rFonts w:ascii="Times New Roman" w:hAnsi="Times New Roman"/>
          <w:bCs/>
          <w:sz w:val="24"/>
          <w:szCs w:val="24"/>
          <w:vertAlign w:val="superscript"/>
          <w:lang w:eastAsia="fr-FR"/>
        </w:rPr>
        <w:footnoteReference w:id="29"/>
      </w:r>
      <w:r w:rsidRPr="005E58D9">
        <w:rPr>
          <w:rFonts w:ascii="Times New Roman" w:hAnsi="Times New Roman"/>
          <w:bCs/>
          <w:sz w:val="24"/>
          <w:szCs w:val="24"/>
          <w:lang w:eastAsia="fr-FR"/>
        </w:rPr>
        <w:t>.</w:t>
      </w:r>
    </w:p>
    <w:p w:rsidR="006A4EED" w:rsidRPr="005E58D9" w:rsidRDefault="006A4EED" w:rsidP="000E1826">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La religion catholique est introduite en Algérie au VIe siècle par l'Empire romain d'Orient jusqu'à la conquête musulmane de l'Algérie. Le catholicisme est réintroduit au XIX</w:t>
      </w:r>
      <w:r w:rsidRPr="000E1826">
        <w:rPr>
          <w:rFonts w:ascii="Times New Roman" w:hAnsi="Times New Roman"/>
          <w:bCs/>
          <w:sz w:val="24"/>
          <w:szCs w:val="24"/>
          <w:vertAlign w:val="superscript"/>
          <w:lang w:eastAsia="fr-FR"/>
        </w:rPr>
        <w:t>e</w:t>
      </w:r>
      <w:r w:rsidR="000E1826">
        <w:rPr>
          <w:rFonts w:ascii="Times New Roman" w:hAnsi="Times New Roman"/>
          <w:bCs/>
          <w:sz w:val="24"/>
          <w:szCs w:val="24"/>
          <w:vertAlign w:val="superscript"/>
          <w:lang w:eastAsia="fr-FR"/>
        </w:rPr>
        <w:t xml:space="preserve"> </w:t>
      </w:r>
      <w:r w:rsidRPr="005E58D9">
        <w:rPr>
          <w:rFonts w:ascii="Times New Roman" w:hAnsi="Times New Roman"/>
          <w:bCs/>
          <w:sz w:val="24"/>
          <w:szCs w:val="24"/>
          <w:lang w:eastAsia="fr-FR"/>
        </w:rPr>
        <w:t>siècle par la conquête française de l'Algérie. Il est la religion majoritaire des colons européens et la religion d'État en France jusqu'en 1905. En 1867, le père Charles Martial Lavigerie devient archevêque d'Alger. L'année suivante il fonde la société des missionnaires d'Afrique et entreprend une entreprise d'évangélisation des indigènes. La Préfecture apostolique du Sahara et du Soudan est créée la même année 1868, elle change de nom en 1891 pour devenir le Vicariat apostolique du Sahara.</w:t>
      </w:r>
    </w:p>
    <w:p w:rsidR="006A4EED" w:rsidRPr="00284B0A" w:rsidRDefault="006A4EED" w:rsidP="00284B0A">
      <w:pPr>
        <w:spacing w:after="0" w:line="360" w:lineRule="auto"/>
        <w:ind w:firstLine="284"/>
        <w:jc w:val="both"/>
        <w:rPr>
          <w:rFonts w:asciiTheme="majorBidi" w:hAnsiTheme="majorBidi" w:cstheme="majorBidi"/>
          <w:sz w:val="24"/>
          <w:szCs w:val="24"/>
          <w:lang w:eastAsia="fr-FR"/>
        </w:rPr>
      </w:pPr>
      <w:r w:rsidRPr="005E58D9">
        <w:rPr>
          <w:rFonts w:ascii="Times New Roman" w:hAnsi="Times New Roman"/>
          <w:bCs/>
          <w:sz w:val="24"/>
          <w:szCs w:val="24"/>
          <w:lang w:eastAsia="fr-FR"/>
        </w:rPr>
        <w:t>Sur le plan social, l'opposition entre Européens et Musulmans apparaît cruellement dans la répartition des revenus individuels</w:t>
      </w:r>
      <w:r>
        <w:rPr>
          <w:rFonts w:ascii="Times New Roman" w:hAnsi="Times New Roman"/>
          <w:bCs/>
          <w:sz w:val="24"/>
          <w:szCs w:val="24"/>
          <w:lang w:eastAsia="fr-FR"/>
        </w:rPr>
        <w:t xml:space="preserve">, comme souligné dans ce </w:t>
      </w:r>
      <w:r>
        <w:rPr>
          <w:rFonts w:ascii="Times New Roman" w:hAnsi="Times New Roman"/>
          <w:bCs/>
          <w:sz w:val="24"/>
          <w:szCs w:val="24"/>
          <w:lang w:eastAsia="fr-FR"/>
        </w:rPr>
        <w:lastRenderedPageBreak/>
        <w:t>passage</w:t>
      </w:r>
      <w:r w:rsidRPr="005E58D9">
        <w:rPr>
          <w:rFonts w:ascii="Times New Roman" w:hAnsi="Times New Roman"/>
          <w:bCs/>
          <w:sz w:val="24"/>
          <w:szCs w:val="24"/>
          <w:lang w:eastAsia="fr-FR"/>
        </w:rPr>
        <w:t xml:space="preserve"> : </w:t>
      </w:r>
      <w:r w:rsidR="00284B0A" w:rsidRPr="00284B0A">
        <w:rPr>
          <w:rFonts w:asciiTheme="majorBidi" w:hAnsiTheme="majorBidi" w:cstheme="majorBidi"/>
          <w:bCs/>
          <w:sz w:val="24"/>
          <w:szCs w:val="24"/>
          <w:lang w:eastAsia="fr-FR"/>
        </w:rPr>
        <w:t>« </w:t>
      </w:r>
      <w:r w:rsidRPr="00284B0A">
        <w:rPr>
          <w:rFonts w:asciiTheme="majorBidi" w:hAnsiTheme="majorBidi" w:cstheme="majorBidi"/>
          <w:sz w:val="24"/>
          <w:szCs w:val="24"/>
          <w:lang w:eastAsia="fr-FR"/>
        </w:rPr>
        <w:t>Si nous isolons les employés, les ouvriers et le personnel de service du reste de la population active européenne, nous remarquons que les revenus dépassant 600 F par mois concernent les 4/5 des Européens</w:t>
      </w:r>
      <w:r w:rsidR="00284B0A" w:rsidRPr="00284B0A">
        <w:rPr>
          <w:rFonts w:asciiTheme="majorBidi" w:hAnsiTheme="majorBidi" w:cstheme="majorBidi"/>
          <w:sz w:val="24"/>
          <w:szCs w:val="24"/>
          <w:lang w:eastAsia="fr-FR"/>
        </w:rPr>
        <w:t> »</w:t>
      </w:r>
      <w:r w:rsidRPr="00284B0A">
        <w:rPr>
          <w:rFonts w:asciiTheme="majorBidi" w:hAnsiTheme="majorBidi" w:cstheme="majorBidi"/>
          <w:sz w:val="24"/>
          <w:szCs w:val="24"/>
          <w:vertAlign w:val="superscript"/>
          <w:lang w:eastAsia="fr-FR"/>
        </w:rPr>
        <w:footnoteReference w:id="30"/>
      </w:r>
      <w:r w:rsidR="00284B0A">
        <w:rPr>
          <w:rFonts w:asciiTheme="majorBidi" w:hAnsiTheme="majorBidi" w:cstheme="majorBidi"/>
          <w:sz w:val="24"/>
          <w:szCs w:val="24"/>
          <w:lang w:eastAsia="fr-FR"/>
        </w:rPr>
        <w:t>.</w:t>
      </w:r>
      <w:r w:rsidRPr="00284B0A">
        <w:rPr>
          <w:rFonts w:asciiTheme="majorBidi" w:hAnsiTheme="majorBidi" w:cstheme="majorBidi"/>
          <w:sz w:val="24"/>
          <w:szCs w:val="24"/>
          <w:lang w:eastAsia="fr-FR"/>
        </w:rPr>
        <w:t> </w:t>
      </w:r>
    </w:p>
    <w:p w:rsidR="000E1826" w:rsidRDefault="000E1826" w:rsidP="008E41CB">
      <w:pPr>
        <w:pStyle w:val="Titre5"/>
        <w:spacing w:before="0" w:after="0"/>
        <w:ind w:left="641" w:hanging="357"/>
        <w:jc w:val="both"/>
        <w:rPr>
          <w:rFonts w:ascii="Times New Roman" w:hAnsi="Times New Roman"/>
          <w:color w:val="auto"/>
          <w:lang w:eastAsia="fr-FR"/>
        </w:rPr>
      </w:pPr>
    </w:p>
    <w:p w:rsidR="006A4EED" w:rsidRPr="008E41CB" w:rsidRDefault="008E41CB" w:rsidP="008E41CB">
      <w:pPr>
        <w:pStyle w:val="Titre5"/>
        <w:spacing w:before="0" w:after="0"/>
        <w:ind w:left="641" w:hanging="357"/>
        <w:jc w:val="both"/>
        <w:rPr>
          <w:rFonts w:ascii="Times New Roman" w:hAnsi="Times New Roman"/>
          <w:color w:val="auto"/>
          <w:lang w:eastAsia="fr-FR"/>
        </w:rPr>
      </w:pPr>
      <w:bookmarkStart w:id="26" w:name="_Toc471484402"/>
      <w:r w:rsidRPr="008E41CB">
        <w:rPr>
          <w:rFonts w:ascii="Times New Roman" w:hAnsi="Times New Roman"/>
          <w:color w:val="auto"/>
          <w:lang w:eastAsia="fr-FR"/>
        </w:rPr>
        <w:t>1.2.2. Effets</w:t>
      </w:r>
      <w:r w:rsidR="006A4EED" w:rsidRPr="008E41CB">
        <w:rPr>
          <w:rFonts w:ascii="Times New Roman" w:hAnsi="Times New Roman"/>
          <w:color w:val="auto"/>
          <w:lang w:eastAsia="fr-FR"/>
        </w:rPr>
        <w:t xml:space="preserve"> et héritages de la colonisation française</w:t>
      </w:r>
      <w:bookmarkEnd w:id="26"/>
      <w:r w:rsidR="006A4EED" w:rsidRPr="008E41CB">
        <w:rPr>
          <w:rFonts w:ascii="Times New Roman" w:hAnsi="Times New Roman"/>
          <w:color w:val="auto"/>
          <w:lang w:eastAsia="fr-FR"/>
        </w:rPr>
        <w:t xml:space="preserve"> </w:t>
      </w:r>
    </w:p>
    <w:p w:rsidR="006A4EED" w:rsidRPr="00E3187F" w:rsidRDefault="006A4EED" w:rsidP="00E3187F">
      <w:pPr>
        <w:spacing w:after="0" w:line="360" w:lineRule="auto"/>
        <w:ind w:firstLine="284"/>
        <w:jc w:val="both"/>
        <w:rPr>
          <w:rFonts w:asciiTheme="majorBidi" w:hAnsiTheme="majorBidi" w:cstheme="majorBidi"/>
          <w:bCs/>
          <w:sz w:val="24"/>
          <w:szCs w:val="24"/>
          <w:lang w:eastAsia="fr-FR"/>
        </w:rPr>
      </w:pPr>
      <w:r w:rsidRPr="00E3187F">
        <w:rPr>
          <w:rFonts w:asciiTheme="majorBidi" w:hAnsiTheme="majorBidi" w:cstheme="majorBidi"/>
          <w:bCs/>
          <w:sz w:val="24"/>
          <w:szCs w:val="24"/>
          <w:lang w:eastAsia="fr-FR"/>
        </w:rPr>
        <w:t>Les travaux de P. Bourdieu et de ses collaborateurs</w:t>
      </w:r>
      <w:r w:rsidRPr="00E3187F">
        <w:rPr>
          <w:rFonts w:asciiTheme="majorBidi" w:hAnsiTheme="majorBidi" w:cstheme="majorBidi"/>
          <w:i/>
          <w:sz w:val="24"/>
          <w:szCs w:val="24"/>
          <w:vertAlign w:val="superscript"/>
          <w:lang w:eastAsia="fr-FR"/>
        </w:rPr>
        <w:footnoteReference w:id="31"/>
      </w:r>
      <w:r w:rsidRPr="00E3187F">
        <w:rPr>
          <w:rFonts w:asciiTheme="majorBidi" w:hAnsiTheme="majorBidi" w:cstheme="majorBidi"/>
          <w:bCs/>
          <w:sz w:val="24"/>
          <w:szCs w:val="24"/>
          <w:lang w:eastAsia="fr-FR"/>
        </w:rPr>
        <w:t xml:space="preserve"> ont permis de dresser un bilan social et économique de l'Algérie coloniale à la fin de la guerre ; cet ouvrage ainsi que celui consacré au regroupement (« Le déracinement ») est utile pour comprendre l'Algérie </w:t>
      </w:r>
      <w:r w:rsidR="00EC3A60" w:rsidRPr="00E3187F">
        <w:rPr>
          <w:rFonts w:asciiTheme="majorBidi" w:hAnsiTheme="majorBidi" w:cstheme="majorBidi"/>
          <w:bCs/>
          <w:sz w:val="24"/>
          <w:szCs w:val="24"/>
          <w:lang w:eastAsia="fr-FR"/>
        </w:rPr>
        <w:t>indépendante</w:t>
      </w:r>
      <w:r w:rsidRPr="00E3187F">
        <w:rPr>
          <w:rFonts w:asciiTheme="majorBidi" w:hAnsiTheme="majorBidi" w:cstheme="majorBidi"/>
          <w:bCs/>
          <w:sz w:val="24"/>
          <w:szCs w:val="24"/>
          <w:lang w:eastAsia="fr-FR"/>
        </w:rPr>
        <w:t xml:space="preserve">. Cette analyse du travail et aussi du chômage touche également au problème capital de l'essence de la colonisation. </w:t>
      </w:r>
    </w:p>
    <w:p w:rsidR="006A4EED" w:rsidRPr="000E1826" w:rsidRDefault="006A4EED" w:rsidP="00230C65">
      <w:pPr>
        <w:pStyle w:val="Titre6"/>
        <w:numPr>
          <w:ilvl w:val="0"/>
          <w:numId w:val="58"/>
        </w:numPr>
        <w:spacing w:before="0" w:after="0" w:line="360" w:lineRule="auto"/>
        <w:jc w:val="both"/>
        <w:rPr>
          <w:b/>
          <w:bCs w:val="0"/>
          <w:i w:val="0"/>
          <w:iCs/>
          <w:sz w:val="24"/>
          <w:szCs w:val="24"/>
          <w:u w:val="none"/>
        </w:rPr>
      </w:pPr>
      <w:r w:rsidRPr="000E1826">
        <w:rPr>
          <w:b/>
          <w:bCs w:val="0"/>
          <w:i w:val="0"/>
          <w:iCs/>
          <w:sz w:val="24"/>
          <w:szCs w:val="24"/>
          <w:u w:val="none"/>
        </w:rPr>
        <w:t>Du point de vue des conséquences économiques</w:t>
      </w:r>
    </w:p>
    <w:p w:rsidR="006A4EED" w:rsidRPr="005E58D9" w:rsidRDefault="006A4EED" w:rsidP="00A67A19">
      <w:pPr>
        <w:spacing w:after="0" w:line="360" w:lineRule="auto"/>
        <w:ind w:firstLine="284"/>
        <w:jc w:val="both"/>
        <w:rPr>
          <w:rFonts w:ascii="Times New Roman" w:hAnsi="Times New Roman"/>
          <w:bCs/>
          <w:sz w:val="24"/>
          <w:szCs w:val="24"/>
          <w:lang w:eastAsia="fr-FR"/>
        </w:rPr>
      </w:pPr>
      <w:r w:rsidRPr="000E1826">
        <w:rPr>
          <w:rFonts w:ascii="Times New Roman" w:hAnsi="Times New Roman"/>
          <w:bCs/>
          <w:sz w:val="24"/>
          <w:szCs w:val="24"/>
          <w:lang w:eastAsia="fr-FR"/>
        </w:rPr>
        <w:t>On a dit pendant longtemps que la colonisation française en Afrique revêtait deux formes : une colonisation d'exploitation ; une colonisation de peuplement. La colonisation française du Maghreb a pu avoir une place de choix, parce qu'elle s'était voulue de peuplement plus que d'exploitation. Toutefois, les plus récents travaux et les bilans que l'on a pu en tirer indiquent</w:t>
      </w:r>
      <w:r w:rsidRPr="005E58D9">
        <w:rPr>
          <w:rFonts w:ascii="Times New Roman" w:hAnsi="Times New Roman"/>
          <w:bCs/>
          <w:sz w:val="24"/>
          <w:szCs w:val="24"/>
          <w:lang w:eastAsia="fr-FR"/>
        </w:rPr>
        <w:t xml:space="preserve"> que sur le plan du peuplement, la colonisation au Maghreb a essuyé un échec ; car, le nombre de colons ou d'Européens dans les campagnes a été très réduit. </w:t>
      </w:r>
    </w:p>
    <w:p w:rsidR="006A4EED" w:rsidRPr="005E58D9" w:rsidRDefault="006A4EED" w:rsidP="00F9130B">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La colonisation apparaît ainsi, dans son essence, comme le transfert le plus authentique du capitalisme européen en pays extra-européen ; toutefois, il s’agit dans les faits d’un capitalisme irrégulier et bancal ; car au lieu d'investir ses revenus et ses bénéfices dans le pays, il les exporte au dehors, vers l'Europe, sous forme de produits de luxe, de biens de consommation, de voyages, de capitaux, etc</w:t>
      </w:r>
      <w:r w:rsidR="00B4376D" w:rsidRPr="005E58D9">
        <w:rPr>
          <w:rFonts w:ascii="Times New Roman" w:hAnsi="Times New Roman"/>
          <w:bCs/>
          <w:sz w:val="24"/>
          <w:szCs w:val="24"/>
          <w:lang w:eastAsia="fr-FR"/>
        </w:rPr>
        <w:t>...</w:t>
      </w:r>
      <w:r w:rsidRPr="005E58D9">
        <w:rPr>
          <w:rFonts w:ascii="Times New Roman" w:hAnsi="Times New Roman"/>
          <w:bCs/>
          <w:sz w:val="24"/>
          <w:szCs w:val="24"/>
          <w:lang w:eastAsia="fr-FR"/>
        </w:rPr>
        <w:t xml:space="preserve"> Faut-il s'étonner alors que les possibilités de développement économique limitées ne se réalisent qu'au profit de ceux qui possèdent quelques réserves financières, donc des Européens ? </w:t>
      </w:r>
    </w:p>
    <w:p w:rsidR="006A4EED" w:rsidRDefault="006A4EED" w:rsidP="002A2845">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Le capitalisme colonial peut bien avoir augmenté le revenu national du pays colonisé, il peut bien avoir créé les bases de l'infrastructure d'un pays moderne, néanmoins, durant toute la période où règne en maître dans la colonie (et il s'agit ici de colonie avec ou sans drapeau) il s'accompagne d'une véritable hémorragie </w:t>
      </w:r>
      <w:r w:rsidRPr="005E58D9">
        <w:rPr>
          <w:rFonts w:ascii="Times New Roman" w:hAnsi="Times New Roman"/>
          <w:bCs/>
          <w:sz w:val="24"/>
          <w:szCs w:val="24"/>
          <w:lang w:eastAsia="fr-FR"/>
        </w:rPr>
        <w:lastRenderedPageBreak/>
        <w:t xml:space="preserve">financière. Celle-ci est d'autant plus importante que l'insertion dans les circuits économiques internationaux est plus complète, que les minorités coloniales sont plus privilégiées : dès lors, les vieux cadres sociaux s'effondrent, plus ou moins disloqués par les effets des mesures foncières ou ceux de la conjoncture économique internationale ; l'individu colonisé abandonné à lui-même, ayant perdu le soutien tribal, glisse vers le prolétariat rural, puis vers le prolétariat et le sous-prolétariat urbain. </w:t>
      </w:r>
    </w:p>
    <w:p w:rsidR="001141E5" w:rsidRDefault="001141E5" w:rsidP="00DA1B9E">
      <w:pPr>
        <w:spacing w:after="0" w:line="360" w:lineRule="auto"/>
        <w:ind w:firstLine="284"/>
        <w:jc w:val="both"/>
        <w:rPr>
          <w:rFonts w:ascii="Times New Roman" w:hAnsi="Times New Roman"/>
          <w:sz w:val="24"/>
          <w:szCs w:val="24"/>
        </w:rPr>
      </w:pPr>
      <w:r>
        <w:rPr>
          <w:rFonts w:ascii="Times New Roman" w:hAnsi="Times New Roman"/>
          <w:sz w:val="24"/>
          <w:szCs w:val="24"/>
        </w:rPr>
        <w:t xml:space="preserve">Ainsi, </w:t>
      </w:r>
      <w:r w:rsidRPr="00B152A2">
        <w:rPr>
          <w:rFonts w:ascii="Times New Roman" w:hAnsi="Times New Roman"/>
          <w:sz w:val="24"/>
          <w:szCs w:val="24"/>
        </w:rPr>
        <w:t>cette nouvelle situation engendrée par la colonisation avait un grand impact sur la</w:t>
      </w:r>
      <w:r>
        <w:rPr>
          <w:rFonts w:ascii="Times New Roman" w:hAnsi="Times New Roman"/>
          <w:sz w:val="24"/>
          <w:szCs w:val="24"/>
        </w:rPr>
        <w:t xml:space="preserve"> </w:t>
      </w:r>
      <w:r w:rsidRPr="00B152A2">
        <w:rPr>
          <w:rFonts w:ascii="Times New Roman" w:hAnsi="Times New Roman"/>
          <w:sz w:val="24"/>
          <w:szCs w:val="24"/>
        </w:rPr>
        <w:t>structure économique des tribus qui vivaient de l’agriculture et de l’élevage, et a donné naissance à un changement radical dans leurs structures sociales, caractérisées par une dispersion qui visait à émietter la société appauvrie et démunie.</w:t>
      </w:r>
    </w:p>
    <w:p w:rsidR="006A4EED" w:rsidRPr="000E1826" w:rsidRDefault="006A4EED" w:rsidP="00230C65">
      <w:pPr>
        <w:pStyle w:val="Titre6"/>
        <w:numPr>
          <w:ilvl w:val="0"/>
          <w:numId w:val="59"/>
        </w:numPr>
        <w:spacing w:before="0" w:after="0" w:line="360" w:lineRule="auto"/>
        <w:ind w:left="0" w:firstLine="284"/>
        <w:jc w:val="both"/>
        <w:rPr>
          <w:b/>
          <w:bCs w:val="0"/>
          <w:i w:val="0"/>
          <w:iCs/>
          <w:sz w:val="24"/>
          <w:szCs w:val="24"/>
          <w:u w:val="none"/>
        </w:rPr>
      </w:pPr>
      <w:r w:rsidRPr="000E1826">
        <w:rPr>
          <w:b/>
          <w:bCs w:val="0"/>
          <w:i w:val="0"/>
          <w:iCs/>
          <w:sz w:val="24"/>
          <w:szCs w:val="24"/>
          <w:u w:val="none"/>
        </w:rPr>
        <w:t>Du point de</w:t>
      </w:r>
      <w:r w:rsidR="00C82774" w:rsidRPr="000E1826">
        <w:rPr>
          <w:b/>
          <w:bCs w:val="0"/>
          <w:i w:val="0"/>
          <w:iCs/>
          <w:sz w:val="24"/>
          <w:szCs w:val="24"/>
          <w:u w:val="none"/>
        </w:rPr>
        <w:t xml:space="preserve"> vue des</w:t>
      </w:r>
      <w:r w:rsidRPr="000E1826">
        <w:rPr>
          <w:b/>
          <w:bCs w:val="0"/>
          <w:i w:val="0"/>
          <w:iCs/>
          <w:sz w:val="24"/>
          <w:szCs w:val="24"/>
          <w:u w:val="none"/>
        </w:rPr>
        <w:t xml:space="preserve"> conséquences sociales </w:t>
      </w:r>
    </w:p>
    <w:p w:rsidR="00E96F17" w:rsidRPr="00E96F17" w:rsidRDefault="00E96F17" w:rsidP="00DA1B9E">
      <w:pPr>
        <w:spacing w:after="0" w:line="360" w:lineRule="auto"/>
        <w:ind w:firstLine="284"/>
        <w:jc w:val="both"/>
        <w:rPr>
          <w:rFonts w:ascii="Times New Roman" w:hAnsi="Times New Roman"/>
          <w:sz w:val="24"/>
          <w:szCs w:val="24"/>
        </w:rPr>
      </w:pPr>
      <w:r w:rsidRPr="000E1826">
        <w:rPr>
          <w:rFonts w:ascii="Times New Roman" w:hAnsi="Times New Roman"/>
          <w:sz w:val="24"/>
          <w:szCs w:val="24"/>
        </w:rPr>
        <w:t>Si la réalité sociale durant la période précédant l'occupation française se distinguait, telles les deux faces d’une pièce de monnaie, par un double mode de vie urbaine et nomade. La vie urbaine n’était pas la vie citadine proprement dit, mais rurale dans une large mesure, étant donné que le pays se caractérisait par une spécificité rurale constituée d’une présence permanente pour les</w:t>
      </w:r>
      <w:r w:rsidRPr="00E96F17">
        <w:rPr>
          <w:rFonts w:ascii="Times New Roman" w:hAnsi="Times New Roman"/>
          <w:sz w:val="24"/>
          <w:szCs w:val="24"/>
        </w:rPr>
        <w:t xml:space="preserve"> regroupements d’habitations résidentielles tribales.</w:t>
      </w:r>
      <w:r>
        <w:rPr>
          <w:rFonts w:ascii="Times New Roman" w:hAnsi="Times New Roman"/>
          <w:sz w:val="24"/>
          <w:szCs w:val="24"/>
        </w:rPr>
        <w:t xml:space="preserve"> </w:t>
      </w:r>
      <w:r w:rsidRPr="00E96F17">
        <w:rPr>
          <w:rFonts w:ascii="Times New Roman" w:hAnsi="Times New Roman"/>
          <w:sz w:val="24"/>
          <w:szCs w:val="24"/>
        </w:rPr>
        <w:t>La tribu se composait de plusieurs ensembles de familles, et donc, les membres ne sont pas nécessairement les descendants d'un ancêtre commun dont la tribu en porte le nom « </w:t>
      </w:r>
      <w:r w:rsidRPr="00E96F17">
        <w:rPr>
          <w:rFonts w:ascii="Times New Roman" w:hAnsi="Times New Roman"/>
          <w:i/>
          <w:iCs/>
          <w:sz w:val="24"/>
          <w:szCs w:val="24"/>
        </w:rPr>
        <w:t>Beni Felan</w:t>
      </w:r>
      <w:r w:rsidRPr="00E96F17">
        <w:rPr>
          <w:rFonts w:ascii="Times New Roman" w:hAnsi="Times New Roman"/>
          <w:sz w:val="24"/>
          <w:szCs w:val="24"/>
        </w:rPr>
        <w:t> » (qui voulait dire « </w:t>
      </w:r>
      <w:r w:rsidRPr="00E96F17">
        <w:rPr>
          <w:rFonts w:ascii="Times New Roman" w:hAnsi="Times New Roman"/>
          <w:i/>
          <w:iCs/>
          <w:sz w:val="24"/>
          <w:szCs w:val="24"/>
        </w:rPr>
        <w:t>Les fils de la personne X</w:t>
      </w:r>
      <w:r w:rsidRPr="00E96F17">
        <w:rPr>
          <w:rFonts w:ascii="Times New Roman" w:hAnsi="Times New Roman"/>
          <w:sz w:val="24"/>
          <w:szCs w:val="24"/>
        </w:rPr>
        <w:t xml:space="preserve"> »). </w:t>
      </w:r>
    </w:p>
    <w:p w:rsidR="006A4EED" w:rsidRDefault="006A4EED" w:rsidP="006D7D77">
      <w:pPr>
        <w:spacing w:after="0" w:line="360" w:lineRule="auto"/>
        <w:ind w:firstLine="284"/>
        <w:jc w:val="both"/>
        <w:rPr>
          <w:rFonts w:ascii="Times New Roman" w:hAnsi="Times New Roman"/>
          <w:sz w:val="24"/>
          <w:szCs w:val="24"/>
        </w:rPr>
      </w:pPr>
      <w:r w:rsidRPr="005E58D9">
        <w:rPr>
          <w:rFonts w:ascii="Times New Roman" w:hAnsi="Times New Roman"/>
          <w:sz w:val="24"/>
          <w:szCs w:val="24"/>
        </w:rPr>
        <w:t>Les résultats du processus colonial français en Algérie ont été</w:t>
      </w:r>
      <w:r w:rsidR="00E96F17">
        <w:rPr>
          <w:rFonts w:ascii="Times New Roman" w:hAnsi="Times New Roman"/>
          <w:sz w:val="24"/>
          <w:szCs w:val="24"/>
        </w:rPr>
        <w:t>, quant à eux,</w:t>
      </w:r>
      <w:r w:rsidRPr="005E58D9">
        <w:rPr>
          <w:rFonts w:ascii="Times New Roman" w:hAnsi="Times New Roman"/>
          <w:sz w:val="24"/>
          <w:szCs w:val="24"/>
        </w:rPr>
        <w:t xml:space="preserve"> globalement désastreux au niveau de la structure sociale du pays. En effet, le désir de créer une colonie de peuplement d'une région a conduit à la politique d'expulsion des populations locales des meilleures terres arables. Il ne fait aucun doute que ce processus a conduit à des changements tragiquement catastrophiques en ce qui concerne le système de propriété (de la relation des individus en tant que propriétaires terriens), et institutionnel (l'effondrement de certaines institutions tribales comme les Zaouias en tant qu’organisme social de cohésion, d’entraide et de bienfaisance</w:t>
      </w:r>
      <w:r w:rsidR="00E94E38">
        <w:rPr>
          <w:rFonts w:ascii="Times New Roman" w:hAnsi="Times New Roman"/>
          <w:sz w:val="24"/>
          <w:szCs w:val="24"/>
        </w:rPr>
        <w:t>, etc</w:t>
      </w:r>
      <w:r w:rsidRPr="005E58D9">
        <w:rPr>
          <w:rFonts w:ascii="Times New Roman" w:hAnsi="Times New Roman"/>
          <w:sz w:val="24"/>
          <w:szCs w:val="24"/>
        </w:rPr>
        <w:t>), et progressivement le fellah, qui jouissait de la propriété de sa terre qu’il cultivait, s’est métamorphosé en un pauvre et nécessiteux « </w:t>
      </w:r>
      <w:r w:rsidRPr="005E58D9">
        <w:rPr>
          <w:rFonts w:ascii="Times New Roman" w:hAnsi="Times New Roman"/>
          <w:i/>
          <w:iCs/>
          <w:sz w:val="24"/>
          <w:szCs w:val="24"/>
        </w:rPr>
        <w:t>Khammas</w:t>
      </w:r>
      <w:r w:rsidRPr="005E58D9">
        <w:rPr>
          <w:rFonts w:ascii="Times New Roman" w:hAnsi="Times New Roman"/>
          <w:sz w:val="24"/>
          <w:szCs w:val="24"/>
        </w:rPr>
        <w:t xml:space="preserve"> » (ouvrier agriculteur) à la merci de son « maitre » le colon, le </w:t>
      </w:r>
      <w:r w:rsidRPr="005E58D9">
        <w:rPr>
          <w:rFonts w:ascii="Times New Roman" w:hAnsi="Times New Roman"/>
          <w:sz w:val="24"/>
          <w:szCs w:val="24"/>
        </w:rPr>
        <w:lastRenderedPageBreak/>
        <w:t>nouveau propriétaire de la terre. Parallèlement à cette catégorie de « colonisée » qui n’arrivait guère à  assurer les besoins élémentaires d’une survie acceptable, il y avait ceux qui, incapables de s’adapter, devant le fait accompli, à cette nouvelle situation, étaient dans l’obligation de s’aventurer, à leur risque et périls, en se déplaçant vers les zones reculées du pays, les plus arides.</w:t>
      </w:r>
    </w:p>
    <w:p w:rsidR="006A4EED" w:rsidRPr="00EA4012" w:rsidRDefault="00256D3C" w:rsidP="006D7D77">
      <w:pPr>
        <w:spacing w:after="0" w:line="360" w:lineRule="auto"/>
        <w:ind w:firstLine="284"/>
        <w:jc w:val="both"/>
        <w:rPr>
          <w:rFonts w:ascii="Times New Roman" w:hAnsi="Times New Roman"/>
          <w:sz w:val="24"/>
          <w:szCs w:val="24"/>
        </w:rPr>
      </w:pPr>
      <w:r>
        <w:rPr>
          <w:rFonts w:ascii="Times New Roman" w:hAnsi="Times New Roman"/>
          <w:sz w:val="24"/>
          <w:szCs w:val="24"/>
        </w:rPr>
        <w:t xml:space="preserve"> </w:t>
      </w:r>
      <w:r w:rsidRPr="00B152A2">
        <w:rPr>
          <w:rFonts w:ascii="Times New Roman" w:hAnsi="Times New Roman"/>
          <w:sz w:val="24"/>
          <w:szCs w:val="24"/>
        </w:rPr>
        <w:t xml:space="preserve">Dans ce contexte, </w:t>
      </w:r>
      <w:r w:rsidRPr="008E7BFF">
        <w:rPr>
          <w:rFonts w:ascii="Times New Roman" w:hAnsi="Times New Roman"/>
          <w:sz w:val="24"/>
          <w:szCs w:val="24"/>
        </w:rPr>
        <w:t>Mustafa Lacheraf</w:t>
      </w:r>
      <w:r>
        <w:rPr>
          <w:rStyle w:val="Appelnotedebasdep"/>
          <w:rFonts w:ascii="Times New Roman" w:hAnsi="Times New Roman"/>
          <w:sz w:val="24"/>
          <w:szCs w:val="24"/>
        </w:rPr>
        <w:footnoteReference w:id="32"/>
      </w:r>
      <w:r w:rsidRPr="00B152A2">
        <w:rPr>
          <w:rFonts w:ascii="Times New Roman" w:hAnsi="Times New Roman"/>
          <w:sz w:val="24"/>
          <w:szCs w:val="24"/>
        </w:rPr>
        <w:t xml:space="preserve"> </w:t>
      </w:r>
      <w:r>
        <w:rPr>
          <w:rFonts w:ascii="Times New Roman" w:hAnsi="Times New Roman"/>
          <w:sz w:val="24"/>
          <w:szCs w:val="24"/>
        </w:rPr>
        <w:t>voyait</w:t>
      </w:r>
      <w:r w:rsidRPr="00B152A2">
        <w:rPr>
          <w:rFonts w:ascii="Times New Roman" w:hAnsi="Times New Roman"/>
          <w:sz w:val="24"/>
          <w:szCs w:val="24"/>
        </w:rPr>
        <w:t xml:space="preserve"> que l'intérêt </w:t>
      </w:r>
      <w:r>
        <w:rPr>
          <w:rFonts w:ascii="Times New Roman" w:hAnsi="Times New Roman"/>
          <w:sz w:val="24"/>
          <w:szCs w:val="24"/>
        </w:rPr>
        <w:t>centré</w:t>
      </w:r>
      <w:r w:rsidRPr="00B152A2">
        <w:rPr>
          <w:rFonts w:ascii="Times New Roman" w:hAnsi="Times New Roman"/>
          <w:sz w:val="24"/>
          <w:szCs w:val="24"/>
        </w:rPr>
        <w:t xml:space="preserve"> sur la conservation du domaine agricole, la propriété de la terre, et d'autres, </w:t>
      </w:r>
      <w:r>
        <w:rPr>
          <w:rFonts w:ascii="Times New Roman" w:hAnsi="Times New Roman"/>
          <w:sz w:val="24"/>
          <w:szCs w:val="24"/>
        </w:rPr>
        <w:t>était</w:t>
      </w:r>
      <w:r w:rsidRPr="00B152A2">
        <w:rPr>
          <w:rFonts w:ascii="Times New Roman" w:hAnsi="Times New Roman"/>
          <w:sz w:val="24"/>
          <w:szCs w:val="24"/>
        </w:rPr>
        <w:t xml:space="preserve"> l'une des conséquences tragiques des problèmes engendrés par l'invasion étrangère et les spoliations par le colonialisme, et nul doute que la terre est dans les yeux de beaucoup de gens une question de vie ou de mort à la fois pour l'individu, la communauté voire de la nation</w:t>
      </w:r>
      <w:r>
        <w:rPr>
          <w:rFonts w:ascii="Times New Roman" w:hAnsi="Times New Roman"/>
          <w:sz w:val="24"/>
          <w:szCs w:val="24"/>
        </w:rPr>
        <w:t>.</w:t>
      </w:r>
      <w:r w:rsidRPr="00B152A2">
        <w:rPr>
          <w:rFonts w:ascii="Times New Roman" w:hAnsi="Times New Roman"/>
          <w:sz w:val="24"/>
          <w:szCs w:val="24"/>
        </w:rPr>
        <w:t xml:space="preserve"> </w:t>
      </w:r>
    </w:p>
    <w:p w:rsidR="006A4EED" w:rsidRPr="00983451" w:rsidRDefault="006A4EED" w:rsidP="00230C65">
      <w:pPr>
        <w:pStyle w:val="Titre6"/>
        <w:numPr>
          <w:ilvl w:val="0"/>
          <w:numId w:val="59"/>
        </w:numPr>
        <w:spacing w:before="0" w:after="0" w:line="360" w:lineRule="auto"/>
        <w:ind w:left="0" w:firstLine="284"/>
        <w:jc w:val="both"/>
        <w:rPr>
          <w:b/>
          <w:bCs w:val="0"/>
          <w:i w:val="0"/>
          <w:iCs/>
          <w:sz w:val="24"/>
          <w:szCs w:val="24"/>
          <w:u w:val="none"/>
        </w:rPr>
      </w:pPr>
      <w:r w:rsidRPr="00983451">
        <w:rPr>
          <w:b/>
          <w:bCs w:val="0"/>
          <w:i w:val="0"/>
          <w:iCs/>
          <w:sz w:val="24"/>
          <w:szCs w:val="24"/>
          <w:u w:val="none"/>
        </w:rPr>
        <w:t>Du point de vue culturel</w:t>
      </w:r>
    </w:p>
    <w:p w:rsidR="006A4EED" w:rsidRPr="00983451" w:rsidRDefault="006A4EED" w:rsidP="00983451">
      <w:pPr>
        <w:spacing w:after="0" w:line="360" w:lineRule="auto"/>
        <w:ind w:firstLine="284"/>
        <w:jc w:val="both"/>
        <w:rPr>
          <w:rFonts w:ascii="Times New Roman" w:hAnsi="Times New Roman"/>
          <w:bCs/>
          <w:sz w:val="24"/>
          <w:szCs w:val="24"/>
          <w:lang w:eastAsia="fr-FR"/>
        </w:rPr>
      </w:pPr>
      <w:r w:rsidRPr="00983451">
        <w:rPr>
          <w:rFonts w:ascii="Times New Roman" w:hAnsi="Times New Roman"/>
          <w:bCs/>
          <w:sz w:val="24"/>
          <w:szCs w:val="24"/>
          <w:lang w:eastAsia="fr-FR"/>
        </w:rPr>
        <w:t xml:space="preserve">Le patrimoine culturel algérien est immensément riche et varié. Cette culture est l’illustration, par excellence, de la diversité qui s’est constituée à travers son histoire millénaire. </w:t>
      </w:r>
      <w:r w:rsidRPr="00983451">
        <w:rPr>
          <w:rFonts w:ascii="Times New Roman" w:hAnsi="Times New Roman"/>
          <w:sz w:val="24"/>
          <w:szCs w:val="24"/>
        </w:rPr>
        <w:t>Abdelhamid</w:t>
      </w:r>
      <w:r w:rsidRPr="00983451">
        <w:rPr>
          <w:rFonts w:ascii="Times New Roman" w:hAnsi="Times New Roman"/>
          <w:bCs/>
          <w:sz w:val="24"/>
          <w:szCs w:val="24"/>
          <w:lang w:eastAsia="fr-FR"/>
        </w:rPr>
        <w:t xml:space="preserve"> Guerfi nous rappelle que </w:t>
      </w:r>
    </w:p>
    <w:p w:rsidR="00C20BA3" w:rsidRPr="00983451" w:rsidRDefault="00983451" w:rsidP="00C80C8A">
      <w:pPr>
        <w:pStyle w:val="Citationintense"/>
        <w:spacing w:before="0" w:after="0"/>
        <w:ind w:left="567" w:right="0"/>
        <w:rPr>
          <w:sz w:val="20"/>
          <w:szCs w:val="20"/>
          <w:lang w:eastAsia="fr-FR"/>
        </w:rPr>
      </w:pPr>
      <w:proofErr w:type="gramStart"/>
      <w:r w:rsidRPr="00983451">
        <w:rPr>
          <w:iCs w:val="0"/>
          <w:sz w:val="20"/>
          <w:szCs w:val="20"/>
          <w:lang w:eastAsia="fr-FR"/>
        </w:rPr>
        <w:t>l</w:t>
      </w:r>
      <w:r w:rsidR="006A4EED" w:rsidRPr="00983451">
        <w:rPr>
          <w:iCs w:val="0"/>
          <w:sz w:val="20"/>
          <w:szCs w:val="20"/>
          <w:lang w:eastAsia="fr-FR"/>
        </w:rPr>
        <w:t>’importance</w:t>
      </w:r>
      <w:proofErr w:type="gramEnd"/>
      <w:r w:rsidR="006A4EED" w:rsidRPr="00983451">
        <w:rPr>
          <w:iCs w:val="0"/>
          <w:sz w:val="20"/>
          <w:szCs w:val="20"/>
          <w:lang w:eastAsia="fr-FR"/>
        </w:rPr>
        <w:t xml:space="preserve"> de l’histoire culturelle dans la vie d’une société réside dans le fait qu’elle permet de mesurer la capacité de cette société à vivre et à supporter l’interculturalité, et à y jouer un rôle actif. Cette partie relative aux grands moments vécus par la société algérienne montre combien la diversité sociologique des acteurs de l’histoire algérienne a contribué fortement à la construction du corpus culturel de cette société dans son aspect actuel et contemporain. Berbères, phéniciens, romains, byzantins, arabes, turcs et autres nationalités d’origine ont contribué, tour à tour, à cette </w:t>
      </w:r>
      <w:r w:rsidR="00C80C8A" w:rsidRPr="00983451">
        <w:rPr>
          <w:iCs w:val="0"/>
          <w:sz w:val="20"/>
          <w:szCs w:val="20"/>
          <w:lang w:eastAsia="fr-FR"/>
        </w:rPr>
        <w:t>construction</w:t>
      </w:r>
      <w:r w:rsidR="00C80C8A">
        <w:rPr>
          <w:iCs w:val="0"/>
          <w:sz w:val="20"/>
          <w:szCs w:val="20"/>
          <w:lang w:eastAsia="fr-FR"/>
        </w:rPr>
        <w:t>. (A. Guerfi, 2009, p.8).</w:t>
      </w:r>
      <w:r w:rsidR="006A4EED" w:rsidRPr="00983451">
        <w:rPr>
          <w:sz w:val="20"/>
          <w:szCs w:val="20"/>
          <w:lang w:eastAsia="fr-FR"/>
        </w:rPr>
        <w:t xml:space="preserve"> </w:t>
      </w:r>
    </w:p>
    <w:p w:rsidR="008E4793" w:rsidRDefault="008E4793" w:rsidP="00B90BC5">
      <w:pPr>
        <w:spacing w:after="0" w:line="360" w:lineRule="auto"/>
        <w:ind w:firstLine="284"/>
        <w:jc w:val="both"/>
        <w:rPr>
          <w:rFonts w:ascii="Times New Roman" w:hAnsi="Times New Roman"/>
          <w:bCs/>
          <w:sz w:val="24"/>
          <w:szCs w:val="24"/>
          <w:lang w:eastAsia="fr-FR"/>
        </w:rPr>
      </w:pPr>
    </w:p>
    <w:p w:rsidR="006A4EED" w:rsidRDefault="006A4EED" w:rsidP="00B90BC5">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Mais la période coloniale a marqué un tournant important dans la nature et l’orientation de la production culturelle et artistique algérienne. </w:t>
      </w:r>
    </w:p>
    <w:p w:rsidR="00190E50" w:rsidRPr="005E58D9" w:rsidRDefault="00C80C8A" w:rsidP="00C80C8A">
      <w:pPr>
        <w:spacing w:after="0" w:line="360" w:lineRule="auto"/>
        <w:ind w:firstLine="284"/>
        <w:jc w:val="both"/>
        <w:rPr>
          <w:rFonts w:ascii="Times New Roman" w:hAnsi="Times New Roman"/>
          <w:sz w:val="24"/>
          <w:szCs w:val="24"/>
        </w:rPr>
      </w:pPr>
      <w:r>
        <w:rPr>
          <w:rFonts w:ascii="Times New Roman" w:hAnsi="Times New Roman"/>
          <w:sz w:val="24"/>
          <w:szCs w:val="24"/>
        </w:rPr>
        <w:t>À</w:t>
      </w:r>
      <w:r w:rsidR="00190E50" w:rsidRPr="005E58D9">
        <w:rPr>
          <w:rFonts w:ascii="Times New Roman" w:hAnsi="Times New Roman"/>
          <w:sz w:val="24"/>
          <w:szCs w:val="24"/>
        </w:rPr>
        <w:t xml:space="preserve"> cet égard, et selon Ahmed Taleb Ibrahimi</w:t>
      </w:r>
      <w:r w:rsidR="00190E50">
        <w:rPr>
          <w:rStyle w:val="Appelnotedebasdep"/>
          <w:rFonts w:ascii="Times New Roman" w:hAnsi="Times New Roman"/>
          <w:sz w:val="24"/>
          <w:szCs w:val="24"/>
        </w:rPr>
        <w:footnoteReference w:id="33"/>
      </w:r>
      <w:r w:rsidR="00190E50" w:rsidRPr="005E58D9">
        <w:rPr>
          <w:rFonts w:ascii="Times New Roman" w:hAnsi="Times New Roman"/>
          <w:sz w:val="24"/>
          <w:szCs w:val="24"/>
        </w:rPr>
        <w:t>, La France ne s’est pas seulement contentée de déposséder l’Algérien de sa terre et de métamorphoser négativement sa personnalité, mais elle a aussi, dans sa politique d’aliénation et d’asservissement, tout fait pour corrompre son cœur et son esprit, principalement par la fermeture et la destruction des mosquées et des Zaouias, des lieux qui servaient comme centre de rayonnement culturel avec pour but l’aliénation sociale et culturelle afin d’anéantir et démanteler l'Algérie, en tant que nation, pour finalement l’annexer à l'entité française.</w:t>
      </w:r>
    </w:p>
    <w:p w:rsidR="006A4EED" w:rsidRPr="005E58D9" w:rsidRDefault="006A4EED" w:rsidP="00C80C8A">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lastRenderedPageBreak/>
        <w:t xml:space="preserve">Il faut rappeler </w:t>
      </w:r>
      <w:r w:rsidR="00190E50">
        <w:rPr>
          <w:rFonts w:ascii="Times New Roman" w:hAnsi="Times New Roman"/>
          <w:bCs/>
          <w:sz w:val="24"/>
          <w:szCs w:val="24"/>
          <w:lang w:eastAsia="fr-FR"/>
        </w:rPr>
        <w:t xml:space="preserve">aussi </w:t>
      </w:r>
      <w:r w:rsidRPr="005E58D9">
        <w:rPr>
          <w:rFonts w:ascii="Times New Roman" w:hAnsi="Times New Roman"/>
          <w:bCs/>
          <w:sz w:val="24"/>
          <w:szCs w:val="24"/>
          <w:lang w:eastAsia="fr-FR"/>
        </w:rPr>
        <w:t>que d’un point de vue culturel, la colonisation a été un moment de « privation » pour les algériens. Ils furent interdits de fréquenter l’école et d’initier toute action  dans le domaine du savoir et de la culture. L’histoire et la géographie algérienne</w:t>
      </w:r>
      <w:r w:rsidR="00C82774">
        <w:rPr>
          <w:rFonts w:ascii="Times New Roman" w:hAnsi="Times New Roman"/>
          <w:bCs/>
          <w:sz w:val="24"/>
          <w:szCs w:val="24"/>
          <w:lang w:eastAsia="fr-FR"/>
        </w:rPr>
        <w:t>s</w:t>
      </w:r>
      <w:r w:rsidRPr="005E58D9">
        <w:rPr>
          <w:rFonts w:ascii="Times New Roman" w:hAnsi="Times New Roman"/>
          <w:bCs/>
          <w:sz w:val="24"/>
          <w:szCs w:val="24"/>
          <w:lang w:eastAsia="fr-FR"/>
        </w:rPr>
        <w:t xml:space="preserve"> furent interdites d’enseignement aux Algériens. Et quelle a été la réaction des algériens ?</w:t>
      </w:r>
    </w:p>
    <w:p w:rsidR="006A4EED" w:rsidRPr="00DE3EC7" w:rsidRDefault="006A4EED" w:rsidP="004360FD">
      <w:pPr>
        <w:pStyle w:val="Citationintense"/>
        <w:spacing w:before="0" w:after="0"/>
        <w:ind w:left="567" w:right="0"/>
        <w:rPr>
          <w:sz w:val="20"/>
          <w:szCs w:val="20"/>
          <w:lang w:eastAsia="fr-FR"/>
        </w:rPr>
      </w:pPr>
      <w:r w:rsidRPr="00DE3EC7">
        <w:rPr>
          <w:iCs w:val="0"/>
          <w:sz w:val="20"/>
          <w:szCs w:val="20"/>
          <w:lang w:eastAsia="fr-FR"/>
        </w:rPr>
        <w:t>Ceux-ci se sont repliés d’abord sur eux-mêmes pour ensuite développer des mécanismes de conservation des repères de leur personnalité et de leur identité, notamment à travers l’enseignement coranique, dans les mosquées et les zaouïas, ainsi que la construction, lente et ardue, de passerelles avec les institutions religieuses et de culture de la Tunisie (la Zitouna) et du Maroc (El Karaouiyine), en plus des rapports et liens établis avec les Oulémas du Hidjaz (Arabie Saoudite) à l’occasion du pèlerinage à la Mecque</w:t>
      </w:r>
      <w:r w:rsidRPr="00DE3EC7">
        <w:rPr>
          <w:sz w:val="20"/>
          <w:szCs w:val="20"/>
          <w:lang w:eastAsia="fr-FR"/>
        </w:rPr>
        <w:t> </w:t>
      </w:r>
      <w:r w:rsidRPr="00DE3EC7">
        <w:rPr>
          <w:rStyle w:val="Appelnotedebasdep"/>
          <w:sz w:val="20"/>
          <w:szCs w:val="20"/>
          <w:lang w:eastAsia="fr-FR"/>
        </w:rPr>
        <w:footnoteReference w:id="34"/>
      </w:r>
      <w:r w:rsidR="004360FD">
        <w:rPr>
          <w:sz w:val="20"/>
          <w:szCs w:val="20"/>
          <w:lang w:eastAsia="fr-FR"/>
        </w:rPr>
        <w:t>.</w:t>
      </w:r>
    </w:p>
    <w:p w:rsidR="00E1159D" w:rsidRDefault="00E1159D" w:rsidP="006A4EED">
      <w:pPr>
        <w:spacing w:line="360" w:lineRule="auto"/>
        <w:ind w:firstLine="708"/>
        <w:jc w:val="both"/>
        <w:rPr>
          <w:rFonts w:ascii="Times New Roman" w:hAnsi="Times New Roman"/>
          <w:bCs/>
          <w:sz w:val="24"/>
          <w:szCs w:val="24"/>
          <w:lang w:eastAsia="fr-FR"/>
        </w:rPr>
      </w:pPr>
    </w:p>
    <w:p w:rsidR="006A4EED" w:rsidRPr="00E624AC" w:rsidRDefault="006A4EED" w:rsidP="00E624AC">
      <w:pPr>
        <w:spacing w:after="0" w:line="360" w:lineRule="auto"/>
        <w:ind w:firstLine="284"/>
        <w:jc w:val="both"/>
        <w:rPr>
          <w:rFonts w:asciiTheme="majorBidi" w:hAnsiTheme="majorBidi" w:cstheme="majorBidi"/>
          <w:sz w:val="24"/>
          <w:szCs w:val="24"/>
          <w:lang w:eastAsia="fr-FR"/>
        </w:rPr>
      </w:pPr>
      <w:r w:rsidRPr="005E58D9">
        <w:rPr>
          <w:rFonts w:ascii="Times New Roman" w:hAnsi="Times New Roman"/>
          <w:bCs/>
          <w:sz w:val="24"/>
          <w:szCs w:val="24"/>
          <w:lang w:eastAsia="fr-FR"/>
        </w:rPr>
        <w:t xml:space="preserve">Avec la colonisation, la société algérienne a appris à résister et cette résistance a épousé, également, des contours culturels avec l’effort de conservation d’une identité culturelle. Cela a servi de creuset aux activités politiques de personnalités algériennes. La culture a donc contribué, à sa manière, à la naissance du mouvement nationaliste algérien. Ainsi, </w:t>
      </w:r>
      <w:r w:rsidRPr="00BA1C42">
        <w:rPr>
          <w:rFonts w:ascii="Times New Roman" w:hAnsi="Times New Roman"/>
          <w:sz w:val="24"/>
          <w:szCs w:val="24"/>
        </w:rPr>
        <w:t>Abdelhamid</w:t>
      </w:r>
      <w:r w:rsidRPr="005E58D9">
        <w:rPr>
          <w:rFonts w:ascii="Times New Roman" w:hAnsi="Times New Roman"/>
          <w:bCs/>
          <w:sz w:val="24"/>
          <w:szCs w:val="24"/>
          <w:lang w:eastAsia="fr-FR"/>
        </w:rPr>
        <w:t xml:space="preserve"> Guerfi en est convaincu </w:t>
      </w:r>
      <w:r>
        <w:rPr>
          <w:rFonts w:ascii="Times New Roman" w:hAnsi="Times New Roman"/>
          <w:bCs/>
          <w:sz w:val="24"/>
          <w:szCs w:val="24"/>
          <w:lang w:eastAsia="fr-FR"/>
        </w:rPr>
        <w:t>que</w:t>
      </w:r>
      <w:r w:rsidR="00E624AC">
        <w:rPr>
          <w:rFonts w:ascii="Times New Roman" w:hAnsi="Times New Roman"/>
          <w:bCs/>
          <w:sz w:val="24"/>
          <w:szCs w:val="24"/>
          <w:lang w:eastAsia="fr-FR"/>
        </w:rPr>
        <w:t xml:space="preserve">  </w:t>
      </w:r>
      <w:r w:rsidR="00E624AC" w:rsidRPr="00E624AC">
        <w:rPr>
          <w:rFonts w:asciiTheme="majorBidi" w:hAnsiTheme="majorBidi" w:cstheme="majorBidi"/>
          <w:bCs/>
          <w:sz w:val="24"/>
          <w:szCs w:val="24"/>
          <w:lang w:eastAsia="fr-FR"/>
        </w:rPr>
        <w:t>« </w:t>
      </w:r>
      <w:r w:rsidRPr="00E624AC">
        <w:rPr>
          <w:rFonts w:asciiTheme="majorBidi" w:hAnsiTheme="majorBidi" w:cstheme="majorBidi"/>
          <w:sz w:val="24"/>
          <w:szCs w:val="24"/>
          <w:lang w:eastAsia="fr-FR"/>
        </w:rPr>
        <w:t>La résistance à la colonisation a été éminemment culturelle. Très particulièrement après la défaite de l’Emir Abdelkader et l’échec de toutes les tentatives de révolte et de révolution du 19ème siècle (telles celles de Bouamama et d’El Mokrani)</w:t>
      </w:r>
      <w:r w:rsidR="00E624AC" w:rsidRPr="00E624AC">
        <w:rPr>
          <w:rFonts w:asciiTheme="majorBidi" w:hAnsiTheme="majorBidi" w:cstheme="majorBidi"/>
          <w:sz w:val="24"/>
          <w:szCs w:val="24"/>
          <w:lang w:eastAsia="fr-FR"/>
        </w:rPr>
        <w:t> »</w:t>
      </w:r>
      <w:r w:rsidRPr="00E624AC">
        <w:rPr>
          <w:rStyle w:val="Appelnotedebasdep"/>
          <w:rFonts w:asciiTheme="majorBidi" w:hAnsiTheme="majorBidi" w:cstheme="majorBidi"/>
          <w:sz w:val="24"/>
          <w:szCs w:val="24"/>
          <w:lang w:eastAsia="fr-FR"/>
        </w:rPr>
        <w:footnoteReference w:id="35"/>
      </w:r>
      <w:r w:rsidR="00E624AC" w:rsidRPr="00E624AC">
        <w:rPr>
          <w:rFonts w:asciiTheme="majorBidi" w:hAnsiTheme="majorBidi" w:cstheme="majorBidi"/>
          <w:sz w:val="24"/>
          <w:szCs w:val="24"/>
          <w:lang w:eastAsia="fr-FR"/>
        </w:rPr>
        <w:t>.</w:t>
      </w:r>
    </w:p>
    <w:p w:rsidR="006A4EED" w:rsidRPr="00826D55" w:rsidRDefault="006A4EED" w:rsidP="00230C65">
      <w:pPr>
        <w:pStyle w:val="Titre6"/>
        <w:numPr>
          <w:ilvl w:val="0"/>
          <w:numId w:val="60"/>
        </w:numPr>
        <w:spacing w:before="0" w:after="0" w:line="360" w:lineRule="auto"/>
        <w:ind w:left="0" w:firstLine="284"/>
        <w:jc w:val="both"/>
        <w:rPr>
          <w:b/>
          <w:bCs w:val="0"/>
          <w:i w:val="0"/>
          <w:iCs/>
          <w:sz w:val="24"/>
          <w:szCs w:val="24"/>
          <w:u w:val="none"/>
        </w:rPr>
      </w:pPr>
      <w:r w:rsidRPr="00826D55">
        <w:rPr>
          <w:b/>
          <w:bCs w:val="0"/>
          <w:i w:val="0"/>
          <w:iCs/>
          <w:sz w:val="24"/>
          <w:szCs w:val="24"/>
          <w:u w:val="none"/>
        </w:rPr>
        <w:t>D’un point de vue de la construction d’une identité communautaire</w:t>
      </w:r>
    </w:p>
    <w:p w:rsidR="00C910D3" w:rsidRPr="00DF5B0B" w:rsidRDefault="006A4EED" w:rsidP="00694841">
      <w:pPr>
        <w:spacing w:after="0" w:line="360" w:lineRule="auto"/>
        <w:ind w:firstLine="284"/>
        <w:jc w:val="both"/>
        <w:rPr>
          <w:rFonts w:ascii="Times New Roman" w:hAnsi="Times New Roman"/>
          <w:bCs/>
          <w:sz w:val="24"/>
          <w:szCs w:val="24"/>
          <w:lang w:eastAsia="fr-FR"/>
        </w:rPr>
      </w:pPr>
      <w:r w:rsidRPr="00826D55">
        <w:rPr>
          <w:rFonts w:ascii="Times New Roman" w:hAnsi="Times New Roman"/>
          <w:bCs/>
          <w:sz w:val="24"/>
          <w:szCs w:val="24"/>
          <w:lang w:eastAsia="fr-FR"/>
        </w:rPr>
        <w:t>La colonisation a été très importante dans la construction du socle communautaire et identitaire algérien</w:t>
      </w:r>
      <w:r w:rsidR="00C82774" w:rsidRPr="00826D55">
        <w:rPr>
          <w:rFonts w:ascii="Times New Roman" w:hAnsi="Times New Roman"/>
          <w:bCs/>
          <w:sz w:val="24"/>
          <w:szCs w:val="24"/>
          <w:lang w:eastAsia="fr-FR"/>
        </w:rPr>
        <w:t xml:space="preserve"> et cela a eu</w:t>
      </w:r>
      <w:r w:rsidR="00C82774" w:rsidRPr="00DF5B0B">
        <w:rPr>
          <w:rFonts w:ascii="Times New Roman" w:hAnsi="Times New Roman"/>
          <w:bCs/>
          <w:sz w:val="24"/>
          <w:szCs w:val="24"/>
          <w:lang w:eastAsia="fr-FR"/>
        </w:rPr>
        <w:t xml:space="preserve"> un impact important par la suite sur les conditions de l’évolution du théâtre en terre algérienne.</w:t>
      </w:r>
      <w:r w:rsidRPr="00DF5B0B">
        <w:rPr>
          <w:rFonts w:ascii="Times New Roman" w:hAnsi="Times New Roman"/>
          <w:bCs/>
          <w:sz w:val="24"/>
          <w:szCs w:val="24"/>
          <w:lang w:eastAsia="fr-FR"/>
        </w:rPr>
        <w:t xml:space="preserve"> </w:t>
      </w:r>
    </w:p>
    <w:p w:rsidR="0079452C" w:rsidRPr="002343B7" w:rsidRDefault="00C910D3" w:rsidP="001A20AC">
      <w:pPr>
        <w:spacing w:after="0" w:line="360" w:lineRule="auto"/>
        <w:ind w:firstLine="284"/>
        <w:jc w:val="both"/>
        <w:rPr>
          <w:rFonts w:asciiTheme="majorBidi" w:hAnsiTheme="majorBidi" w:cstheme="majorBidi"/>
          <w:sz w:val="24"/>
          <w:szCs w:val="24"/>
        </w:rPr>
      </w:pPr>
      <w:r w:rsidRPr="00DF5B0B">
        <w:rPr>
          <w:rFonts w:ascii="Times New Roman" w:hAnsi="Times New Roman"/>
          <w:bCs/>
          <w:sz w:val="24"/>
          <w:szCs w:val="24"/>
          <w:lang w:eastAsia="fr-FR"/>
        </w:rPr>
        <w:t xml:space="preserve">L’on sait que le théâtre peut avoir cet effet </w:t>
      </w:r>
      <w:r w:rsidR="0079452C" w:rsidRPr="00DF5B0B">
        <w:rPr>
          <w:rFonts w:ascii="Times New Roman" w:hAnsi="Times New Roman"/>
          <w:bCs/>
          <w:sz w:val="24"/>
          <w:szCs w:val="24"/>
          <w:lang w:eastAsia="fr-FR"/>
        </w:rPr>
        <w:t xml:space="preserve">sur la nature humaine et sur la nature tout court. </w:t>
      </w:r>
      <w:r w:rsidRPr="00DF5B0B">
        <w:rPr>
          <w:rFonts w:ascii="Times New Roman" w:hAnsi="Times New Roman"/>
          <w:bCs/>
          <w:sz w:val="24"/>
          <w:szCs w:val="24"/>
          <w:lang w:eastAsia="fr-FR"/>
        </w:rPr>
        <w:t>La vie n’est-elle pas</w:t>
      </w:r>
      <w:r w:rsidR="0079452C" w:rsidRPr="00DF5B0B">
        <w:rPr>
          <w:rFonts w:ascii="Times New Roman" w:hAnsi="Times New Roman"/>
          <w:bCs/>
          <w:sz w:val="24"/>
          <w:szCs w:val="24"/>
          <w:lang w:eastAsia="fr-FR"/>
        </w:rPr>
        <w:t>, d’après</w:t>
      </w:r>
      <w:r w:rsidR="0079452C" w:rsidRPr="00DF5B0B">
        <w:rPr>
          <w:rFonts w:ascii="Times New Roman" w:hAnsi="Times New Roman"/>
          <w:b/>
          <w:sz w:val="24"/>
          <w:szCs w:val="24"/>
          <w:lang w:eastAsia="fr-FR"/>
        </w:rPr>
        <w:t xml:space="preserve"> </w:t>
      </w:r>
      <w:r w:rsidR="0079452C" w:rsidRPr="00D633E3">
        <w:rPr>
          <w:rFonts w:ascii="Times New Roman" w:hAnsi="Times New Roman"/>
          <w:bCs/>
          <w:sz w:val="24"/>
          <w:szCs w:val="24"/>
          <w:lang w:eastAsia="fr-FR"/>
        </w:rPr>
        <w:t>Shakespeare,</w:t>
      </w:r>
      <w:r w:rsidR="0079452C" w:rsidRPr="00DF5B0B">
        <w:rPr>
          <w:rFonts w:ascii="Times New Roman" w:hAnsi="Times New Roman"/>
          <w:sz w:val="24"/>
          <w:szCs w:val="24"/>
          <w:lang w:eastAsia="fr-FR"/>
        </w:rPr>
        <w:t> </w:t>
      </w:r>
      <w:r w:rsidRPr="00DF5B0B">
        <w:rPr>
          <w:rFonts w:ascii="Times New Roman" w:hAnsi="Times New Roman"/>
          <w:bCs/>
          <w:sz w:val="24"/>
          <w:szCs w:val="24"/>
          <w:lang w:eastAsia="fr-FR"/>
        </w:rPr>
        <w:t>le plus</w:t>
      </w:r>
      <w:r w:rsidR="0079452C" w:rsidRPr="00DF5B0B">
        <w:rPr>
          <w:rFonts w:ascii="Times New Roman" w:hAnsi="Times New Roman"/>
          <w:bCs/>
          <w:sz w:val="24"/>
          <w:szCs w:val="24"/>
          <w:lang w:eastAsia="fr-FR"/>
        </w:rPr>
        <w:t xml:space="preserve"> emblématique </w:t>
      </w:r>
      <w:r w:rsidRPr="00DF5B0B">
        <w:rPr>
          <w:rFonts w:ascii="Times New Roman" w:hAnsi="Times New Roman"/>
          <w:bCs/>
          <w:sz w:val="24"/>
          <w:szCs w:val="24"/>
          <w:lang w:eastAsia="fr-FR"/>
        </w:rPr>
        <w:t>des théâtres ?</w:t>
      </w:r>
      <w:r w:rsidR="0079452C" w:rsidRPr="00DF5B0B">
        <w:rPr>
          <w:rFonts w:ascii="Times New Roman" w:hAnsi="Times New Roman"/>
          <w:bCs/>
          <w:sz w:val="24"/>
          <w:szCs w:val="24"/>
          <w:lang w:eastAsia="fr-FR"/>
        </w:rPr>
        <w:t> :</w:t>
      </w:r>
      <w:r w:rsidR="001A20AC">
        <w:rPr>
          <w:rFonts w:ascii="Times New Roman" w:hAnsi="Times New Roman"/>
          <w:bCs/>
          <w:sz w:val="24"/>
          <w:szCs w:val="24"/>
          <w:lang w:eastAsia="fr-FR"/>
        </w:rPr>
        <w:t xml:space="preserve"> </w:t>
      </w:r>
      <w:r w:rsidR="001A20AC" w:rsidRPr="00B53DB6">
        <w:rPr>
          <w:rFonts w:asciiTheme="majorBidi" w:hAnsiTheme="majorBidi" w:cstheme="majorBidi"/>
          <w:bCs/>
          <w:sz w:val="24"/>
          <w:szCs w:val="24"/>
          <w:lang w:eastAsia="fr-FR"/>
        </w:rPr>
        <w:t>« </w:t>
      </w:r>
      <w:r w:rsidR="0079452C" w:rsidRPr="00B53DB6">
        <w:rPr>
          <w:rFonts w:asciiTheme="majorBidi" w:hAnsiTheme="majorBidi" w:cstheme="majorBidi"/>
          <w:sz w:val="24"/>
          <w:szCs w:val="24"/>
        </w:rPr>
        <w:t>Le monde entier est un théâtre, et tous les hommes et les femmes seulement des acteurs; ils ont leurs entrées et leurs sorties, et un homme dans le cours de sa vie joue différents rôles</w:t>
      </w:r>
      <w:r w:rsidR="001A20AC" w:rsidRPr="00B53DB6">
        <w:rPr>
          <w:rFonts w:asciiTheme="majorBidi" w:hAnsiTheme="majorBidi" w:cstheme="majorBidi"/>
          <w:sz w:val="24"/>
          <w:szCs w:val="24"/>
        </w:rPr>
        <w:t xml:space="preserve"> [</w:t>
      </w:r>
      <w:r w:rsidR="0079452C" w:rsidRPr="00B53DB6">
        <w:rPr>
          <w:rFonts w:asciiTheme="majorBidi" w:hAnsiTheme="majorBidi" w:cstheme="majorBidi"/>
          <w:sz w:val="24"/>
          <w:szCs w:val="24"/>
        </w:rPr>
        <w:t>…</w:t>
      </w:r>
      <w:r w:rsidR="001A20AC" w:rsidRPr="00B53DB6">
        <w:rPr>
          <w:rFonts w:asciiTheme="majorBidi" w:hAnsiTheme="majorBidi" w:cstheme="majorBidi"/>
          <w:sz w:val="24"/>
          <w:szCs w:val="24"/>
        </w:rPr>
        <w:t>] » (</w:t>
      </w:r>
      <w:r w:rsidR="0079452C" w:rsidRPr="002343B7">
        <w:rPr>
          <w:rFonts w:asciiTheme="majorBidi" w:hAnsiTheme="majorBidi" w:cstheme="majorBidi"/>
          <w:sz w:val="24"/>
          <w:szCs w:val="24"/>
        </w:rPr>
        <w:t>W</w:t>
      </w:r>
      <w:r w:rsidR="001A20AC" w:rsidRPr="002343B7">
        <w:rPr>
          <w:rFonts w:asciiTheme="majorBidi" w:hAnsiTheme="majorBidi" w:cstheme="majorBidi"/>
          <w:sz w:val="24"/>
          <w:szCs w:val="24"/>
        </w:rPr>
        <w:t xml:space="preserve">. </w:t>
      </w:r>
      <w:r w:rsidR="0079452C" w:rsidRPr="002343B7">
        <w:rPr>
          <w:rFonts w:asciiTheme="majorBidi" w:hAnsiTheme="majorBidi" w:cstheme="majorBidi"/>
          <w:sz w:val="24"/>
          <w:szCs w:val="24"/>
        </w:rPr>
        <w:t>Shakespeare, </w:t>
      </w:r>
      <w:r w:rsidR="0079452C" w:rsidRPr="002343B7">
        <w:rPr>
          <w:rFonts w:asciiTheme="majorBidi" w:hAnsiTheme="majorBidi" w:cstheme="majorBidi"/>
          <w:i/>
          <w:iCs/>
          <w:sz w:val="24"/>
          <w:szCs w:val="24"/>
        </w:rPr>
        <w:t>As You Like It</w:t>
      </w:r>
      <w:r w:rsidR="0079452C" w:rsidRPr="002343B7">
        <w:rPr>
          <w:rFonts w:asciiTheme="majorBidi" w:hAnsiTheme="majorBidi" w:cstheme="majorBidi"/>
          <w:sz w:val="24"/>
          <w:szCs w:val="24"/>
        </w:rPr>
        <w:t> (Comme il vous plaira), acte II, scène 7</w:t>
      </w:r>
      <w:r w:rsidR="001A20AC" w:rsidRPr="002343B7">
        <w:rPr>
          <w:rFonts w:asciiTheme="majorBidi" w:hAnsiTheme="majorBidi" w:cstheme="majorBidi"/>
          <w:sz w:val="24"/>
          <w:szCs w:val="24"/>
        </w:rPr>
        <w:t>)</w:t>
      </w:r>
      <w:r w:rsidR="008503EF" w:rsidRPr="002343B7">
        <w:rPr>
          <w:rFonts w:asciiTheme="majorBidi" w:hAnsiTheme="majorBidi" w:cstheme="majorBidi"/>
          <w:sz w:val="24"/>
          <w:szCs w:val="24"/>
        </w:rPr>
        <w:t>.</w:t>
      </w:r>
    </w:p>
    <w:p w:rsidR="00C910D3" w:rsidRPr="00B53DB6" w:rsidRDefault="0079452C" w:rsidP="00B53DB6">
      <w:pPr>
        <w:spacing w:after="0" w:line="360" w:lineRule="auto"/>
        <w:ind w:firstLine="284"/>
        <w:jc w:val="both"/>
        <w:rPr>
          <w:rFonts w:asciiTheme="majorBidi" w:hAnsiTheme="majorBidi" w:cstheme="majorBidi"/>
          <w:sz w:val="24"/>
          <w:szCs w:val="24"/>
          <w:lang w:eastAsia="fr-FR"/>
        </w:rPr>
      </w:pPr>
      <w:r w:rsidRPr="00DF5B0B">
        <w:rPr>
          <w:rFonts w:ascii="Times New Roman" w:hAnsi="Times New Roman"/>
          <w:bCs/>
          <w:sz w:val="24"/>
          <w:szCs w:val="24"/>
          <w:lang w:eastAsia="fr-FR"/>
        </w:rPr>
        <w:t>Le théâtre</w:t>
      </w:r>
      <w:r w:rsidR="00F516D5" w:rsidRPr="00DF5B0B">
        <w:rPr>
          <w:rFonts w:ascii="Times New Roman" w:hAnsi="Times New Roman"/>
          <w:bCs/>
          <w:sz w:val="24"/>
          <w:szCs w:val="24"/>
          <w:lang w:eastAsia="fr-FR"/>
        </w:rPr>
        <w:t xml:space="preserve"> pourrait alors agir</w:t>
      </w:r>
      <w:r w:rsidRPr="00DF5B0B">
        <w:rPr>
          <w:rFonts w:ascii="Times New Roman" w:hAnsi="Times New Roman"/>
          <w:bCs/>
          <w:sz w:val="24"/>
          <w:szCs w:val="24"/>
          <w:lang w:eastAsia="fr-FR"/>
        </w:rPr>
        <w:t xml:space="preserve"> à la fois et invariablement comme un reflet de la société, un témoignage de l’histoire, un catalyseur de la volonté des peuples à </w:t>
      </w:r>
      <w:r w:rsidRPr="00DF5B0B">
        <w:rPr>
          <w:rFonts w:ascii="Times New Roman" w:hAnsi="Times New Roman"/>
          <w:bCs/>
          <w:sz w:val="24"/>
          <w:szCs w:val="24"/>
          <w:lang w:eastAsia="fr-FR"/>
        </w:rPr>
        <w:lastRenderedPageBreak/>
        <w:t>l’affirmation de soi. Shakespeare, encore lui ne s’y trompe pas</w:t>
      </w:r>
      <w:r w:rsidR="00F516D5" w:rsidRPr="00DF5B0B">
        <w:rPr>
          <w:rFonts w:ascii="Times New Roman" w:hAnsi="Times New Roman"/>
          <w:bCs/>
          <w:sz w:val="24"/>
          <w:szCs w:val="24"/>
          <w:lang w:eastAsia="fr-FR"/>
        </w:rPr>
        <w:t> :</w:t>
      </w:r>
      <w:r w:rsidR="00B53DB6">
        <w:rPr>
          <w:rFonts w:ascii="Times New Roman" w:hAnsi="Times New Roman"/>
          <w:bCs/>
          <w:sz w:val="24"/>
          <w:szCs w:val="24"/>
          <w:lang w:eastAsia="fr-FR"/>
        </w:rPr>
        <w:t xml:space="preserve"> </w:t>
      </w:r>
      <w:r w:rsidR="00B53DB6" w:rsidRPr="00B53DB6">
        <w:rPr>
          <w:rFonts w:asciiTheme="majorBidi" w:hAnsiTheme="majorBidi" w:cstheme="majorBidi"/>
          <w:bCs/>
          <w:sz w:val="24"/>
          <w:szCs w:val="24"/>
          <w:lang w:eastAsia="fr-FR"/>
        </w:rPr>
        <w:t>« </w:t>
      </w:r>
      <w:r w:rsidRPr="00B53DB6">
        <w:rPr>
          <w:rFonts w:asciiTheme="majorBidi" w:hAnsiTheme="majorBidi" w:cstheme="majorBidi"/>
          <w:sz w:val="24"/>
          <w:szCs w:val="24"/>
          <w:shd w:val="clear" w:color="auto" w:fill="FFFFFF"/>
        </w:rPr>
        <w:t>Le théâtre a pour objet d'être le miroir de la nature, de montrer à la vertu ses propres traits, à l'infamie sa propre image, et au temps même sa forme et ses traits dans la personnification du passé</w:t>
      </w:r>
      <w:r w:rsidR="00B53DB6" w:rsidRPr="00B53DB6">
        <w:rPr>
          <w:rFonts w:asciiTheme="majorBidi" w:hAnsiTheme="majorBidi" w:cstheme="majorBidi"/>
          <w:sz w:val="24"/>
          <w:szCs w:val="24"/>
          <w:shd w:val="clear" w:color="auto" w:fill="FFFFFF"/>
        </w:rPr>
        <w:t> » (</w:t>
      </w:r>
      <w:r w:rsidRPr="00B53DB6">
        <w:rPr>
          <w:rFonts w:asciiTheme="majorBidi" w:eastAsia="Times New Roman" w:hAnsiTheme="majorBidi" w:cstheme="majorBidi"/>
          <w:sz w:val="24"/>
          <w:szCs w:val="24"/>
          <w:lang w:eastAsia="fr-FR"/>
        </w:rPr>
        <w:t>W</w:t>
      </w:r>
      <w:r w:rsidR="00B53DB6">
        <w:rPr>
          <w:rFonts w:asciiTheme="majorBidi" w:eastAsia="Times New Roman" w:hAnsiTheme="majorBidi" w:cstheme="majorBidi"/>
          <w:sz w:val="24"/>
          <w:szCs w:val="24"/>
          <w:lang w:eastAsia="fr-FR"/>
        </w:rPr>
        <w:t xml:space="preserve">. </w:t>
      </w:r>
      <w:r w:rsidRPr="00B53DB6">
        <w:rPr>
          <w:rFonts w:asciiTheme="majorBidi" w:eastAsia="Times New Roman" w:hAnsiTheme="majorBidi" w:cstheme="majorBidi"/>
          <w:sz w:val="24"/>
          <w:szCs w:val="24"/>
          <w:lang w:eastAsia="fr-FR"/>
        </w:rPr>
        <w:t>Shakespeare, </w:t>
      </w:r>
      <w:r w:rsidRPr="00B53DB6">
        <w:rPr>
          <w:rFonts w:asciiTheme="majorBidi" w:eastAsia="Times New Roman" w:hAnsiTheme="majorBidi" w:cstheme="majorBidi"/>
          <w:i/>
          <w:iCs/>
          <w:sz w:val="24"/>
          <w:szCs w:val="24"/>
          <w:lang w:eastAsia="fr-FR"/>
        </w:rPr>
        <w:t>Hamlet</w:t>
      </w:r>
      <w:r w:rsidRPr="00B53DB6">
        <w:rPr>
          <w:rFonts w:asciiTheme="majorBidi" w:eastAsia="Times New Roman" w:hAnsiTheme="majorBidi" w:cstheme="majorBidi"/>
          <w:sz w:val="24"/>
          <w:szCs w:val="24"/>
          <w:lang w:eastAsia="fr-FR"/>
        </w:rPr>
        <w:t>, acte III, scène 2</w:t>
      </w:r>
      <w:r w:rsidR="00B53DB6" w:rsidRPr="00B53DB6">
        <w:rPr>
          <w:rFonts w:asciiTheme="majorBidi" w:eastAsia="Times New Roman" w:hAnsiTheme="majorBidi" w:cstheme="majorBidi"/>
          <w:sz w:val="24"/>
          <w:szCs w:val="24"/>
          <w:lang w:eastAsia="fr-FR"/>
        </w:rPr>
        <w:t>).</w:t>
      </w:r>
    </w:p>
    <w:p w:rsidR="006A4EED" w:rsidRPr="00AE7D33" w:rsidRDefault="00F516D5" w:rsidP="00AE7D33">
      <w:pPr>
        <w:spacing w:after="0" w:line="360" w:lineRule="auto"/>
        <w:ind w:firstLine="284"/>
        <w:jc w:val="both"/>
        <w:rPr>
          <w:rFonts w:ascii="Times New Roman" w:hAnsi="Times New Roman"/>
          <w:bCs/>
          <w:sz w:val="24"/>
          <w:szCs w:val="24"/>
          <w:lang w:eastAsia="fr-FR"/>
        </w:rPr>
      </w:pPr>
      <w:r w:rsidRPr="005A036E">
        <w:rPr>
          <w:rFonts w:ascii="Times New Roman" w:hAnsi="Times New Roman"/>
          <w:bCs/>
          <w:sz w:val="24"/>
          <w:szCs w:val="24"/>
          <w:lang w:eastAsia="fr-FR"/>
        </w:rPr>
        <w:t>Cette affirmation</w:t>
      </w:r>
      <w:r w:rsidRPr="00AE7D33">
        <w:rPr>
          <w:rFonts w:ascii="Times New Roman" w:hAnsi="Times New Roman"/>
          <w:bCs/>
          <w:sz w:val="24"/>
          <w:szCs w:val="24"/>
          <w:lang w:eastAsia="fr-FR"/>
        </w:rPr>
        <w:t xml:space="preserve"> vaut aussi pour le cas algérien. Le nationalisme algérien s’est aussi exprimé dans le théâtre. On verra comment. Rappelons tout d’abord le contexte de l’Algérie de cette époque.  A</w:t>
      </w:r>
      <w:r w:rsidR="006A4EED" w:rsidRPr="00AE7D33">
        <w:rPr>
          <w:rFonts w:ascii="Times New Roman" w:hAnsi="Times New Roman"/>
          <w:bCs/>
          <w:sz w:val="24"/>
          <w:szCs w:val="24"/>
          <w:lang w:eastAsia="fr-FR"/>
        </w:rPr>
        <w:t xml:space="preserve">près avoir été un objet de coercition, la colonisation est vécue comme un facteur de rassemblement, un élément de communion entre les différentes communautés constituant la société algérienne. Ainsi, d’après </w:t>
      </w:r>
      <w:r w:rsidR="006A4EED" w:rsidRPr="00AE7D33">
        <w:rPr>
          <w:rFonts w:ascii="Times New Roman" w:hAnsi="Times New Roman"/>
          <w:sz w:val="24"/>
          <w:szCs w:val="24"/>
        </w:rPr>
        <w:t>Abdelhamid</w:t>
      </w:r>
      <w:r w:rsidR="006A4EED" w:rsidRPr="00AE7D33">
        <w:rPr>
          <w:rFonts w:ascii="Times New Roman" w:hAnsi="Times New Roman"/>
          <w:bCs/>
          <w:sz w:val="24"/>
          <w:szCs w:val="24"/>
          <w:lang w:eastAsia="fr-FR"/>
        </w:rPr>
        <w:t xml:space="preserve"> Guerfi, </w:t>
      </w:r>
    </w:p>
    <w:p w:rsidR="006A4EED" w:rsidRPr="00CA67A1" w:rsidRDefault="006A4EED" w:rsidP="00CA67A1">
      <w:pPr>
        <w:pStyle w:val="Citationintense"/>
        <w:spacing w:before="0" w:after="0"/>
        <w:ind w:left="567" w:right="0"/>
        <w:rPr>
          <w:sz w:val="20"/>
          <w:szCs w:val="20"/>
        </w:rPr>
      </w:pPr>
      <w:r w:rsidRPr="00CA67A1">
        <w:rPr>
          <w:iCs w:val="0"/>
          <w:sz w:val="20"/>
          <w:szCs w:val="20"/>
        </w:rPr>
        <w:t>Il est fort probable que la période, très longue par ailleurs, vécue par les Algériens,  sous le joug du colonialisme, les ait unis et rassemblés autour des mêmes conditions de vie et d’exploitation. Ce sont les mêmes conditions qui ont fait qu’ils s’unissent pour lutter contre le colonialisme, non seulement de 1954 à 1962, mais pendant toute la période des 132 années qu’a duré la colonisation</w:t>
      </w:r>
      <w:r w:rsidRPr="00CA67A1">
        <w:rPr>
          <w:rStyle w:val="Appelnotedebasdep"/>
          <w:sz w:val="20"/>
          <w:szCs w:val="20"/>
          <w:lang w:eastAsia="fr-FR"/>
        </w:rPr>
        <w:footnoteReference w:id="36"/>
      </w:r>
    </w:p>
    <w:p w:rsidR="00CA67A1" w:rsidRDefault="00CA67A1" w:rsidP="006A4EED">
      <w:pPr>
        <w:spacing w:line="360" w:lineRule="auto"/>
        <w:ind w:firstLine="708"/>
        <w:jc w:val="both"/>
        <w:rPr>
          <w:rFonts w:ascii="Times New Roman" w:hAnsi="Times New Roman"/>
          <w:bCs/>
          <w:sz w:val="24"/>
          <w:szCs w:val="24"/>
          <w:lang w:eastAsia="fr-FR"/>
        </w:rPr>
      </w:pPr>
    </w:p>
    <w:p w:rsidR="006A4EED" w:rsidRPr="005E58D9" w:rsidRDefault="006A4EED" w:rsidP="00122103">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 xml:space="preserve">De là est née, l’émergence d’un nationalisme algérien. Les enjeux politiques et idéologiques ont davantage eu tendance à  rassembler les catégories constitutives de la société algérienne. Ce rassemblement s’est opéré pendant la période coloniale (lors des luttes d’indépendance) et s’est poursuivi après l’indépendance. La meilleure manifestation de cette particularité algérienne aura été l’absence totale de conflits intertribaux ou interethniques, en dépit des efforts consentis par l’administration coloniale française pour diviser les communautés. </w:t>
      </w:r>
    </w:p>
    <w:p w:rsidR="006A4EED" w:rsidRPr="005E58D9" w:rsidRDefault="006A4EED" w:rsidP="00731401">
      <w:pPr>
        <w:spacing w:after="0" w:line="360" w:lineRule="auto"/>
        <w:ind w:firstLine="284"/>
        <w:jc w:val="both"/>
        <w:rPr>
          <w:rFonts w:ascii="Times New Roman" w:hAnsi="Times New Roman"/>
          <w:bCs/>
          <w:sz w:val="24"/>
          <w:szCs w:val="24"/>
          <w:lang w:eastAsia="fr-FR"/>
        </w:rPr>
      </w:pPr>
      <w:r w:rsidRPr="005E58D9">
        <w:rPr>
          <w:rFonts w:ascii="Times New Roman" w:hAnsi="Times New Roman"/>
          <w:bCs/>
          <w:sz w:val="24"/>
          <w:szCs w:val="24"/>
          <w:lang w:eastAsia="fr-FR"/>
        </w:rPr>
        <w:t>La colonisation, de façon inattendue aura donc contribué à forger un véritable nationalisme qui a contribué à asseoir un ciment social et renforcer ainsi les liens sociaux dans la société algérienne autant dans sa diversité que dans son unité.</w:t>
      </w:r>
    </w:p>
    <w:p w:rsidR="006A4EED" w:rsidRPr="005E58D9" w:rsidRDefault="006A4EED" w:rsidP="00351AF7">
      <w:pPr>
        <w:spacing w:after="0" w:line="360" w:lineRule="auto"/>
        <w:ind w:firstLine="284"/>
        <w:jc w:val="both"/>
        <w:rPr>
          <w:rFonts w:ascii="Times New Roman" w:hAnsi="Times New Roman"/>
          <w:sz w:val="24"/>
          <w:szCs w:val="24"/>
        </w:rPr>
      </w:pPr>
      <w:r w:rsidRPr="005E58D9">
        <w:rPr>
          <w:rFonts w:ascii="Times New Roman" w:hAnsi="Times New Roman"/>
          <w:sz w:val="24"/>
          <w:szCs w:val="24"/>
        </w:rPr>
        <w:t>C’est ce qui va, inévitablement, conduire à un éveil national qui donnera naissance à une révolution violente, lourde de sacrifices, face à la puissance coloniale française afin de parvenir à arracher l'indépendance totale du pays, et ce choix a été incarné principalement dans la mise en place d'un cadre politique qui rassemble tout les nationalistes sous un étendard unique,  unifiant et fédérant toutes les forces aspirant à reconquérir sa liberté  (le Front de libération nationale) en déclenchant la révolution armée le 1</w:t>
      </w:r>
      <w:r w:rsidR="00351AF7" w:rsidRPr="00351AF7">
        <w:rPr>
          <w:rFonts w:ascii="Times New Roman" w:hAnsi="Times New Roman"/>
          <w:sz w:val="24"/>
          <w:szCs w:val="24"/>
          <w:vertAlign w:val="superscript"/>
        </w:rPr>
        <w:t>er</w:t>
      </w:r>
      <w:r w:rsidR="00351AF7">
        <w:rPr>
          <w:rFonts w:ascii="Times New Roman" w:hAnsi="Times New Roman"/>
          <w:sz w:val="24"/>
          <w:szCs w:val="24"/>
        </w:rPr>
        <w:t xml:space="preserve"> </w:t>
      </w:r>
      <w:r w:rsidRPr="005E58D9">
        <w:rPr>
          <w:rFonts w:ascii="Times New Roman" w:hAnsi="Times New Roman"/>
          <w:sz w:val="24"/>
          <w:szCs w:val="24"/>
        </w:rPr>
        <w:t>Novembre 1954.</w:t>
      </w:r>
    </w:p>
    <w:p w:rsidR="006A4EED" w:rsidRPr="00E16E23" w:rsidRDefault="006A4EED" w:rsidP="00E16E23">
      <w:pPr>
        <w:spacing w:after="0" w:line="360" w:lineRule="auto"/>
        <w:ind w:firstLine="284"/>
        <w:jc w:val="both"/>
        <w:rPr>
          <w:rFonts w:ascii="Times New Roman" w:hAnsi="Times New Roman"/>
          <w:bCs/>
          <w:sz w:val="24"/>
          <w:szCs w:val="24"/>
          <w:lang w:eastAsia="fr-FR"/>
        </w:rPr>
      </w:pPr>
      <w:r w:rsidRPr="00E16E23">
        <w:rPr>
          <w:rFonts w:ascii="Times New Roman" w:hAnsi="Times New Roman"/>
          <w:bCs/>
          <w:sz w:val="24"/>
          <w:szCs w:val="24"/>
          <w:lang w:eastAsia="fr-FR"/>
        </w:rPr>
        <w:lastRenderedPageBreak/>
        <w:t>Aujourd’hui, près d’un demi-siècle plus tard, le terrorisme et son idéologie obscurantiste tendent à ébranler cette base communautaire. Cela constitue l’un des défis majeurs de la société algérienne contemporaine. L’avenir dira si les fondations idéologiques, culturelles et identitaires héritées des luttes coloniales,  et qui ont été des garants de la diversité qui caractérise la société algérienne, pourront jouer un rôle important dans la résistance contre l’avancée destructrice du terrorisme extrémiste.</w:t>
      </w:r>
    </w:p>
    <w:p w:rsidR="006A4EED" w:rsidRPr="00E16E23" w:rsidRDefault="006A4EED" w:rsidP="00E16E23">
      <w:pPr>
        <w:spacing w:after="0" w:line="360" w:lineRule="auto"/>
        <w:ind w:firstLine="284"/>
        <w:jc w:val="both"/>
        <w:rPr>
          <w:rFonts w:ascii="Times New Roman" w:hAnsi="Times New Roman"/>
          <w:bCs/>
          <w:sz w:val="24"/>
          <w:szCs w:val="24"/>
          <w:lang w:eastAsia="fr-FR"/>
        </w:rPr>
      </w:pPr>
      <w:r w:rsidRPr="00E16E23">
        <w:rPr>
          <w:rFonts w:ascii="Times New Roman" w:hAnsi="Times New Roman"/>
          <w:bCs/>
          <w:sz w:val="24"/>
          <w:szCs w:val="24"/>
          <w:lang w:eastAsia="fr-FR"/>
        </w:rPr>
        <w:t xml:space="preserve">Finalement, et pour clore ce panorama de l’histoire algérienne, nous pouvons dire que l’Algérie aura été profondément marquée par l’épisode de la colonisation française. Comme dirait </w:t>
      </w:r>
      <w:r w:rsidRPr="00E16E23">
        <w:rPr>
          <w:rFonts w:ascii="Times New Roman" w:hAnsi="Times New Roman"/>
          <w:sz w:val="24"/>
          <w:szCs w:val="24"/>
        </w:rPr>
        <w:t xml:space="preserve">Abdelhamid </w:t>
      </w:r>
      <w:r w:rsidRPr="00E16E23">
        <w:rPr>
          <w:rFonts w:ascii="Times New Roman" w:hAnsi="Times New Roman"/>
          <w:bCs/>
          <w:sz w:val="24"/>
          <w:szCs w:val="24"/>
          <w:lang w:eastAsia="fr-FR"/>
        </w:rPr>
        <w:t>Guerfi :</w:t>
      </w:r>
    </w:p>
    <w:p w:rsidR="006A4EED" w:rsidRPr="006778FA" w:rsidRDefault="006A4EED" w:rsidP="006778FA">
      <w:pPr>
        <w:pStyle w:val="Citationintense"/>
        <w:spacing w:before="0" w:after="0"/>
        <w:ind w:left="567" w:right="0"/>
        <w:rPr>
          <w:sz w:val="20"/>
          <w:szCs w:val="20"/>
          <w:lang w:eastAsia="fr-FR"/>
        </w:rPr>
      </w:pPr>
      <w:r w:rsidRPr="006778FA">
        <w:rPr>
          <w:sz w:val="20"/>
          <w:szCs w:val="20"/>
          <w:lang w:eastAsia="fr-FR"/>
        </w:rPr>
        <w:t xml:space="preserve">Une  période de 132 années de mise à l’épreuve, ou plutôt à rude épreuve, à la fois de la culture et de l’identité algériennes. La société, en général, a développé des  mécanismes de défense de sa culture et de son identité, qui lui ont permis de faire face à toutes les tentatives de transformation de la structure sociale, du système économique et des pratiques sociales </w:t>
      </w:r>
      <w:r w:rsidRPr="006778FA">
        <w:rPr>
          <w:rStyle w:val="Appelnotedebasdep"/>
          <w:sz w:val="20"/>
          <w:szCs w:val="20"/>
          <w:lang w:eastAsia="fr-FR"/>
        </w:rPr>
        <w:footnoteReference w:id="37"/>
      </w:r>
    </w:p>
    <w:p w:rsidR="00784D77" w:rsidRDefault="00784D77" w:rsidP="00A82FD8">
      <w:pPr>
        <w:spacing w:after="0" w:line="360" w:lineRule="auto"/>
        <w:ind w:firstLine="284"/>
        <w:jc w:val="both"/>
        <w:rPr>
          <w:rFonts w:asciiTheme="majorBidi" w:hAnsiTheme="majorBidi" w:cstheme="majorBidi"/>
          <w:sz w:val="24"/>
          <w:szCs w:val="24"/>
          <w:lang w:eastAsia="fr-FR"/>
        </w:rPr>
      </w:pPr>
    </w:p>
    <w:p w:rsidR="00F516D5" w:rsidRPr="00DF5B0B" w:rsidRDefault="00DF5B0B" w:rsidP="00A82FD8">
      <w:pPr>
        <w:spacing w:after="0" w:line="360" w:lineRule="auto"/>
        <w:ind w:firstLine="284"/>
        <w:jc w:val="both"/>
        <w:rPr>
          <w:rFonts w:asciiTheme="majorBidi" w:hAnsiTheme="majorBidi" w:cstheme="majorBidi"/>
          <w:color w:val="000000"/>
          <w:sz w:val="20"/>
          <w:szCs w:val="20"/>
          <w:shd w:val="clear" w:color="auto" w:fill="FFFFFF"/>
        </w:rPr>
      </w:pPr>
      <w:r w:rsidRPr="00DF5B0B">
        <w:rPr>
          <w:rFonts w:asciiTheme="majorBidi" w:hAnsiTheme="majorBidi" w:cstheme="majorBidi"/>
          <w:sz w:val="24"/>
          <w:szCs w:val="24"/>
          <w:lang w:eastAsia="fr-FR"/>
        </w:rPr>
        <w:t>E</w:t>
      </w:r>
      <w:r>
        <w:rPr>
          <w:rFonts w:asciiTheme="majorBidi" w:hAnsiTheme="majorBidi" w:cstheme="majorBidi"/>
          <w:sz w:val="24"/>
          <w:szCs w:val="24"/>
          <w:lang w:eastAsia="fr-FR"/>
        </w:rPr>
        <w:t>n cela, le théâtre algérien, comme nous allons le voir dans le chapitre suivant, n’est qu’un produit de cette construction historique. Car comme le dit justement Hugo,</w:t>
      </w:r>
      <w:r w:rsidR="00412497">
        <w:rPr>
          <w:rFonts w:asciiTheme="majorBidi" w:hAnsiTheme="majorBidi" w:cstheme="majorBidi"/>
          <w:sz w:val="24"/>
          <w:szCs w:val="24"/>
          <w:lang w:eastAsia="fr-FR"/>
        </w:rPr>
        <w:t xml:space="preserve">  </w:t>
      </w:r>
      <w:r w:rsidR="00412497" w:rsidRPr="00412497">
        <w:rPr>
          <w:rFonts w:asciiTheme="majorBidi" w:hAnsiTheme="majorBidi" w:cstheme="majorBidi"/>
          <w:sz w:val="24"/>
          <w:szCs w:val="24"/>
          <w:lang w:eastAsia="fr-FR"/>
        </w:rPr>
        <w:t>« l</w:t>
      </w:r>
      <w:r w:rsidR="00F516D5" w:rsidRPr="00412497">
        <w:rPr>
          <w:rFonts w:asciiTheme="majorBidi" w:hAnsiTheme="majorBidi" w:cstheme="majorBidi"/>
          <w:color w:val="000000"/>
          <w:sz w:val="24"/>
          <w:szCs w:val="24"/>
          <w:shd w:val="clear" w:color="auto" w:fill="FFFFFF"/>
        </w:rPr>
        <w:t>e théâtre est un point d'optique. Tout ce qui existe dans le monde, dans l'histoire, dans la vie, dans l'homme, tout doit et peut s'y réfléchir, mais sous la baguette magique de l'art</w:t>
      </w:r>
      <w:r w:rsidR="00412497" w:rsidRPr="00412497">
        <w:rPr>
          <w:rFonts w:asciiTheme="majorBidi" w:hAnsiTheme="majorBidi" w:cstheme="majorBidi"/>
          <w:color w:val="000000"/>
          <w:sz w:val="24"/>
          <w:szCs w:val="24"/>
          <w:shd w:val="clear" w:color="auto" w:fill="FFFFFF"/>
        </w:rPr>
        <w:t> »</w:t>
      </w:r>
      <w:r w:rsidR="00F516D5" w:rsidRPr="00DF5B0B">
        <w:rPr>
          <w:rStyle w:val="Appelnotedebasdep"/>
          <w:rFonts w:asciiTheme="majorBidi" w:hAnsiTheme="majorBidi" w:cstheme="majorBidi"/>
          <w:color w:val="000000"/>
          <w:shd w:val="clear" w:color="auto" w:fill="FFFFFF"/>
        </w:rPr>
        <w:footnoteReference w:id="38"/>
      </w:r>
      <w:r w:rsidR="00A82FD8">
        <w:rPr>
          <w:rFonts w:asciiTheme="majorBidi" w:hAnsiTheme="majorBidi" w:cstheme="majorBidi"/>
          <w:color w:val="000000"/>
          <w:sz w:val="24"/>
          <w:szCs w:val="24"/>
          <w:shd w:val="clear" w:color="auto" w:fill="FFFFFF"/>
        </w:rPr>
        <w:t>.</w:t>
      </w:r>
      <w:r w:rsidR="00F516D5" w:rsidRPr="00DF5B0B">
        <w:rPr>
          <w:rFonts w:asciiTheme="majorBidi" w:hAnsiTheme="majorBidi" w:cstheme="majorBidi"/>
          <w:color w:val="000000"/>
          <w:shd w:val="clear" w:color="auto" w:fill="FFFFFF"/>
        </w:rPr>
        <w:t xml:space="preserve"> </w:t>
      </w:r>
    </w:p>
    <w:p w:rsidR="00784D77" w:rsidRDefault="00784D77" w:rsidP="0065355B">
      <w:pPr>
        <w:pStyle w:val="Titre3"/>
        <w:spacing w:before="0" w:after="0" w:line="360" w:lineRule="auto"/>
        <w:ind w:left="641" w:hanging="357"/>
        <w:jc w:val="both"/>
        <w:rPr>
          <w:rFonts w:ascii="Times New Roman" w:hAnsi="Times New Roman" w:cs="Times New Roman"/>
          <w:sz w:val="24"/>
          <w:szCs w:val="24"/>
        </w:rPr>
      </w:pPr>
    </w:p>
    <w:p w:rsidR="006A4EED" w:rsidRPr="000B609C" w:rsidRDefault="000B609C" w:rsidP="0065355B">
      <w:pPr>
        <w:pStyle w:val="Titre3"/>
        <w:spacing w:before="0" w:after="0" w:line="360" w:lineRule="auto"/>
        <w:ind w:left="641" w:hanging="357"/>
        <w:jc w:val="both"/>
        <w:rPr>
          <w:rFonts w:ascii="Times New Roman" w:hAnsi="Times New Roman" w:cs="Times New Roman"/>
          <w:sz w:val="24"/>
          <w:szCs w:val="24"/>
        </w:rPr>
      </w:pPr>
      <w:bookmarkStart w:id="27" w:name="_Toc471484403"/>
      <w:r w:rsidRPr="000B609C">
        <w:rPr>
          <w:rFonts w:ascii="Times New Roman" w:hAnsi="Times New Roman" w:cs="Times New Roman"/>
          <w:sz w:val="24"/>
          <w:szCs w:val="24"/>
        </w:rPr>
        <w:t>2. Le</w:t>
      </w:r>
      <w:r w:rsidR="006A4EED" w:rsidRPr="000B609C">
        <w:rPr>
          <w:rFonts w:ascii="Times New Roman" w:hAnsi="Times New Roman" w:cs="Times New Roman"/>
          <w:sz w:val="24"/>
          <w:szCs w:val="24"/>
        </w:rPr>
        <w:t xml:space="preserve"> théâtre algérien : contexte historique, enjeux et singularités</w:t>
      </w:r>
      <w:bookmarkEnd w:id="27"/>
    </w:p>
    <w:bookmarkEnd w:id="15"/>
    <w:bookmarkEnd w:id="16"/>
    <w:p w:rsidR="00985049" w:rsidRPr="00D86B35" w:rsidRDefault="00985049" w:rsidP="00B77529">
      <w:pPr>
        <w:pStyle w:val="table0020grid"/>
        <w:spacing w:before="0" w:beforeAutospacing="0" w:after="0" w:afterAutospacing="0" w:line="360" w:lineRule="auto"/>
        <w:ind w:firstLine="284"/>
        <w:jc w:val="both"/>
      </w:pPr>
      <w:r w:rsidRPr="000B609C">
        <w:t>Parler du théâtre en Algérie nécessite, en premier lieu, de proposer la problématique de la définition du théâtre par rapport à une société, en quête de réappropriation d’identité culturelle, qui plus est avait connu les pires atrocités des séquelles de la colonisation française principalement celle de l’aliénation culturelle. Le</w:t>
      </w:r>
      <w:r w:rsidR="0099698A">
        <w:t xml:space="preserve"> s</w:t>
      </w:r>
      <w:r w:rsidRPr="000B609C">
        <w:t xml:space="preserve">ociologue et ex conseiller à la présidence de la république, le défunt </w:t>
      </w:r>
      <w:r w:rsidRPr="000B609C">
        <w:rPr>
          <w:rFonts w:eastAsia="Arial Unicode MS"/>
        </w:rPr>
        <w:t xml:space="preserve">Abdelkader Djeghloul, rapporte dans ce passage la vision fanonienne : </w:t>
      </w:r>
      <w:r w:rsidR="00D86B35" w:rsidRPr="00D86B35">
        <w:rPr>
          <w:rFonts w:eastAsia="Arial Unicode MS"/>
        </w:rPr>
        <w:t>« </w:t>
      </w:r>
      <w:r w:rsidRPr="00D86B35">
        <w:t xml:space="preserve">La première interpellation est celle de l’aliénation culturelle. Et Frantz Fanon la pose dans sa dureté la plus grande : </w:t>
      </w:r>
      <w:r w:rsidR="00D86B35" w:rsidRPr="00D86B35">
        <w:t>ʺ</w:t>
      </w:r>
      <w:r w:rsidRPr="00D86B35">
        <w:t>Un peuple ne peut pas exister si jamais il n’arrive pas à produire sa culture dans laquelle il puisse s’identifier</w:t>
      </w:r>
      <w:r w:rsidR="00D86B35">
        <w:t>ʺ</w:t>
      </w:r>
      <w:r w:rsidRPr="00D86B35">
        <w:t>»</w:t>
      </w:r>
      <w:r w:rsidRPr="00D86B35">
        <w:rPr>
          <w:rStyle w:val="Appelnotedebasdep"/>
        </w:rPr>
        <w:footnoteReference w:id="39"/>
      </w:r>
      <w:r w:rsidR="00B77529">
        <w:t>.</w:t>
      </w:r>
      <w:r w:rsidRPr="00D86B35">
        <w:t> </w:t>
      </w:r>
    </w:p>
    <w:p w:rsidR="006A4EED" w:rsidRPr="00354575" w:rsidRDefault="006A4EED" w:rsidP="00354575">
      <w:pPr>
        <w:spacing w:after="0" w:line="360" w:lineRule="auto"/>
        <w:ind w:firstLine="284"/>
        <w:jc w:val="both"/>
        <w:rPr>
          <w:rFonts w:asciiTheme="majorBidi" w:hAnsiTheme="majorBidi" w:cstheme="majorBidi"/>
          <w:sz w:val="24"/>
          <w:szCs w:val="24"/>
        </w:rPr>
      </w:pPr>
      <w:r w:rsidRPr="005E58D9">
        <w:rPr>
          <w:rFonts w:ascii="Times New Roman" w:hAnsi="Times New Roman"/>
          <w:sz w:val="24"/>
          <w:szCs w:val="24"/>
        </w:rPr>
        <w:lastRenderedPageBreak/>
        <w:t>Il est à présent utile de présenter le théâtre algérien d’un point de vue historique et thématique, dans le contexte historique et culturel de l’Algérie. C’est ce qui nous permettra plus loin de saisir pleinement les contours du théâtre de Kaki, puisqu’il s’inscrit dans ce contexte du théâtre algérien. Nous ne cesserons de le dire, l’auteur dramaturge est le produit de son temps, de son milieu social et de son environnement immédiat. Ainsi, comme le dit Borgia Marie Evembé</w:t>
      </w:r>
      <w:r w:rsidR="00354575">
        <w:rPr>
          <w:rFonts w:ascii="Times New Roman" w:hAnsi="Times New Roman"/>
          <w:sz w:val="24"/>
          <w:szCs w:val="24"/>
        </w:rPr>
        <w:t xml:space="preserve"> : </w:t>
      </w:r>
      <w:r w:rsidR="00354575" w:rsidRPr="00354575">
        <w:rPr>
          <w:rFonts w:asciiTheme="majorBidi" w:hAnsiTheme="majorBidi" w:cstheme="majorBidi"/>
          <w:sz w:val="24"/>
          <w:szCs w:val="24"/>
        </w:rPr>
        <w:t>« </w:t>
      </w:r>
      <w:r w:rsidRPr="00354575">
        <w:rPr>
          <w:rFonts w:asciiTheme="majorBidi" w:hAnsiTheme="majorBidi" w:cstheme="majorBidi"/>
          <w:sz w:val="24"/>
          <w:szCs w:val="24"/>
        </w:rPr>
        <w:t>Pour confectionner un discours théâtral, il me faut puiser dans mes objets mentaux, dans mes racines ethniques, dans mes racines contextuelles, dans mes synthèses prospectives pour m’exprimer et exprimer mon environnement»</w:t>
      </w:r>
      <w:r w:rsidR="00C82774" w:rsidRPr="00354575">
        <w:rPr>
          <w:rFonts w:asciiTheme="majorBidi" w:hAnsiTheme="majorBidi" w:cstheme="majorBidi"/>
          <w:sz w:val="24"/>
          <w:szCs w:val="24"/>
          <w:vertAlign w:val="superscript"/>
        </w:rPr>
        <w:footnoteReference w:id="40"/>
      </w:r>
      <w:r w:rsidR="00354575">
        <w:rPr>
          <w:rFonts w:asciiTheme="majorBidi" w:hAnsiTheme="majorBidi" w:cstheme="majorBidi"/>
          <w:sz w:val="24"/>
          <w:szCs w:val="24"/>
        </w:rPr>
        <w:t>.</w:t>
      </w:r>
      <w:r w:rsidRPr="00354575">
        <w:rPr>
          <w:rFonts w:asciiTheme="majorBidi" w:hAnsiTheme="majorBidi" w:cstheme="majorBidi"/>
          <w:sz w:val="24"/>
          <w:szCs w:val="24"/>
        </w:rPr>
        <w:t xml:space="preserve"> </w:t>
      </w:r>
    </w:p>
    <w:p w:rsidR="006A4EED" w:rsidRPr="005E58D9" w:rsidRDefault="006A4EED" w:rsidP="007F3F28">
      <w:pPr>
        <w:spacing w:after="0" w:line="360" w:lineRule="auto"/>
        <w:ind w:firstLine="284"/>
        <w:jc w:val="both"/>
        <w:rPr>
          <w:rFonts w:ascii="Times New Roman" w:hAnsi="Times New Roman"/>
          <w:sz w:val="24"/>
          <w:szCs w:val="24"/>
        </w:rPr>
      </w:pPr>
      <w:r w:rsidRPr="005E58D9">
        <w:rPr>
          <w:rFonts w:ascii="Times New Roman" w:hAnsi="Times New Roman"/>
          <w:sz w:val="24"/>
          <w:szCs w:val="24"/>
        </w:rPr>
        <w:t>Dans cette section, nous allons présenter le théâtre algérien dans sa temporalité et son identité, avant d’explorer quelques questions controversées autour du théâtre algérien.</w:t>
      </w:r>
    </w:p>
    <w:p w:rsidR="00784D77" w:rsidRDefault="00784D77" w:rsidP="007F3F28">
      <w:pPr>
        <w:pStyle w:val="Titre4"/>
        <w:spacing w:before="0" w:after="0" w:line="360" w:lineRule="auto"/>
        <w:ind w:left="641" w:hanging="357"/>
        <w:jc w:val="both"/>
        <w:rPr>
          <w:rFonts w:ascii="Times New Roman" w:hAnsi="Times New Roman"/>
          <w:i w:val="0"/>
          <w:iCs/>
        </w:rPr>
      </w:pPr>
    </w:p>
    <w:p w:rsidR="006A4EED" w:rsidRPr="004773AD" w:rsidRDefault="007F3F28" w:rsidP="007F3F28">
      <w:pPr>
        <w:pStyle w:val="Titre4"/>
        <w:spacing w:before="0" w:after="0" w:line="360" w:lineRule="auto"/>
        <w:ind w:left="641" w:hanging="357"/>
        <w:jc w:val="both"/>
        <w:rPr>
          <w:rFonts w:ascii="Times New Roman" w:hAnsi="Times New Roman"/>
          <w:i w:val="0"/>
          <w:iCs/>
        </w:rPr>
      </w:pPr>
      <w:bookmarkStart w:id="28" w:name="_Toc471484404"/>
      <w:r>
        <w:rPr>
          <w:rFonts w:ascii="Times New Roman" w:hAnsi="Times New Roman"/>
          <w:i w:val="0"/>
          <w:iCs/>
        </w:rPr>
        <w:t>2.1.</w:t>
      </w:r>
      <w:r w:rsidRPr="004773AD">
        <w:rPr>
          <w:rFonts w:ascii="Times New Roman" w:hAnsi="Times New Roman"/>
          <w:i w:val="0"/>
          <w:iCs/>
        </w:rPr>
        <w:t xml:space="preserve"> Temporalité</w:t>
      </w:r>
      <w:r w:rsidR="006A4EED" w:rsidRPr="004773AD">
        <w:rPr>
          <w:rFonts w:ascii="Times New Roman" w:hAnsi="Times New Roman"/>
          <w:i w:val="0"/>
          <w:iCs/>
        </w:rPr>
        <w:t xml:space="preserve"> et identité du théâtre algérien</w:t>
      </w:r>
      <w:bookmarkEnd w:id="28"/>
    </w:p>
    <w:p w:rsidR="006A4EED" w:rsidRPr="000058F2" w:rsidRDefault="006A4EED" w:rsidP="007F3F28">
      <w:pPr>
        <w:spacing w:after="0" w:line="360" w:lineRule="auto"/>
        <w:ind w:firstLine="284"/>
        <w:jc w:val="both"/>
        <w:rPr>
          <w:rFonts w:ascii="Times New Roman" w:hAnsi="Times New Roman"/>
          <w:sz w:val="24"/>
          <w:szCs w:val="24"/>
        </w:rPr>
      </w:pPr>
      <w:r w:rsidRPr="000058F2">
        <w:rPr>
          <w:rFonts w:ascii="Times New Roman" w:hAnsi="Times New Roman"/>
          <w:sz w:val="24"/>
          <w:szCs w:val="24"/>
        </w:rPr>
        <w:t xml:space="preserve">   Qu’en est-il de la temporalité, de l’identité voire du genre du théâtre algérien tant avec le contexte historique que culturel de l’Algérie ?</w:t>
      </w:r>
    </w:p>
    <w:p w:rsidR="001239F7" w:rsidRPr="00B85CC8" w:rsidRDefault="00C82774" w:rsidP="007F3F28">
      <w:pPr>
        <w:pStyle w:val="table0020grid"/>
        <w:spacing w:before="0" w:beforeAutospacing="0" w:after="0" w:afterAutospacing="0" w:line="360" w:lineRule="auto"/>
        <w:ind w:firstLine="284"/>
        <w:jc w:val="both"/>
        <w:rPr>
          <w:sz w:val="40"/>
          <w:szCs w:val="40"/>
        </w:rPr>
      </w:pPr>
      <w:r w:rsidRPr="00D41F7B">
        <w:t>Il s’observe évidemment sur la question une sorte de conflit mémoriel,</w:t>
      </w:r>
      <w:r w:rsidRPr="00D41F7B">
        <w:rPr>
          <w:sz w:val="20"/>
          <w:szCs w:val="20"/>
        </w:rPr>
        <w:t xml:space="preserve"> </w:t>
      </w:r>
      <w:r w:rsidRPr="00D41F7B">
        <w:t>que souligne encore le Professeur Hadj Miliani dans ce passage</w:t>
      </w:r>
      <w:r w:rsidR="007F3F28">
        <w:t> :</w:t>
      </w:r>
      <w:r>
        <w:t xml:space="preserve">  </w:t>
      </w:r>
    </w:p>
    <w:p w:rsidR="001239F7" w:rsidRPr="00F50786" w:rsidRDefault="001239F7" w:rsidP="00F50786">
      <w:pPr>
        <w:pStyle w:val="Citationintense"/>
        <w:spacing w:before="0" w:after="0"/>
        <w:ind w:left="567" w:right="0"/>
        <w:rPr>
          <w:sz w:val="20"/>
          <w:szCs w:val="20"/>
        </w:rPr>
      </w:pPr>
      <w:r w:rsidRPr="00F50786">
        <w:rPr>
          <w:sz w:val="20"/>
          <w:szCs w:val="20"/>
        </w:rPr>
        <w:t>À la différence d’autres champs culturels dont on a pu formaliser l’histoire évènementielle sans trop de difficultés, le théâtre en Algérie a, très tôt, été l’enjeu d’une sorte de conflit mémoriel. En effet, dès la parution des mémoires de Mahiedine Bachtarzi au lendemain de l’indépendance, la très jeune histoire de ce théâtre va s’appuyer pour l’essentiel sur les récits de ses principaux protagonistes qui auront à cœur de porter témoignage de leur « histoire personnelle », de leur contribution, voire de certaines rectifications</w:t>
      </w:r>
      <w:r w:rsidRPr="00F50786">
        <w:rPr>
          <w:rStyle w:val="Appelnotedebasdep"/>
          <w:iCs w:val="0"/>
          <w:sz w:val="20"/>
          <w:szCs w:val="20"/>
        </w:rPr>
        <w:footnoteReference w:id="41"/>
      </w:r>
      <w:r w:rsidRPr="00F50786">
        <w:rPr>
          <w:sz w:val="20"/>
          <w:szCs w:val="20"/>
        </w:rPr>
        <w:t>. </w:t>
      </w:r>
      <w:r w:rsidRPr="00F50786">
        <w:rPr>
          <w:sz w:val="20"/>
          <w:szCs w:val="20"/>
          <w:vertAlign w:val="superscript"/>
        </w:rPr>
        <w:t xml:space="preserve"> </w:t>
      </w:r>
    </w:p>
    <w:p w:rsidR="00F50786" w:rsidRDefault="00F50786" w:rsidP="00F50786">
      <w:pPr>
        <w:pStyle w:val="table0020grid"/>
        <w:spacing w:before="0" w:beforeAutospacing="0" w:after="0" w:afterAutospacing="0" w:line="360" w:lineRule="auto"/>
        <w:ind w:firstLine="284"/>
        <w:jc w:val="both"/>
      </w:pPr>
    </w:p>
    <w:p w:rsidR="001239F7" w:rsidRPr="00BC37DB" w:rsidRDefault="00C82774" w:rsidP="003A354E">
      <w:pPr>
        <w:pStyle w:val="table0020grid"/>
        <w:spacing w:before="0" w:beforeAutospacing="0" w:after="0" w:afterAutospacing="0" w:line="360" w:lineRule="auto"/>
        <w:ind w:firstLine="284"/>
        <w:jc w:val="both"/>
        <w:rPr>
          <w:vertAlign w:val="superscript"/>
        </w:rPr>
      </w:pPr>
      <w:r w:rsidRPr="00D41F7B">
        <w:t xml:space="preserve">Toutefois, au-delà de cette réalité, la plupart des travaux de recherches notamment universitaires voire des mémoires </w:t>
      </w:r>
      <w:r w:rsidR="001239F7" w:rsidRPr="00D41F7B">
        <w:t>s’accordent à dire que les premières pièces théâtrales ont vu le jour sur la scène algérienne au début des années vingt du siècle dernier et que Ali Sellali dit</w:t>
      </w:r>
      <w:r w:rsidR="001239F7">
        <w:t xml:space="preserve"> «Allalou» (1902-1992), qui fut en quelque sorte le saltimbanque du quartier populaire, est considéré comme le père fondateur du théâtre algérien. L’ex comédien professionnel, journaliste et romancier Bouziane </w:t>
      </w:r>
      <w:r w:rsidR="001239F7">
        <w:lastRenderedPageBreak/>
        <w:t xml:space="preserve">Benachour, dans son œuvre </w:t>
      </w:r>
      <w:r w:rsidR="001239F7" w:rsidRPr="001E4E00">
        <w:rPr>
          <w:i/>
          <w:iCs/>
        </w:rPr>
        <w:t>Le Théâtre en Mouvement</w:t>
      </w:r>
      <w:r w:rsidR="001239F7">
        <w:rPr>
          <w:i/>
          <w:iCs/>
        </w:rPr>
        <w:t>,</w:t>
      </w:r>
      <w:r w:rsidR="001239F7">
        <w:t xml:space="preserve"> confirme cette date de naissance :</w:t>
      </w:r>
      <w:r w:rsidR="00BC37DB">
        <w:t xml:space="preserve"> </w:t>
      </w:r>
      <w:r w:rsidR="00BC37DB" w:rsidRPr="00BC37DB">
        <w:t>« </w:t>
      </w:r>
      <w:r w:rsidR="001239F7" w:rsidRPr="00BC37DB">
        <w:t>Le théâtre voit le jour de manière assez régulière à partir des de la moitié des années 20. Timide  dans  sa  forme,  il</w:t>
      </w:r>
      <w:r w:rsidR="003A354E">
        <w:t xml:space="preserve"> </w:t>
      </w:r>
      <w:r w:rsidR="001239F7" w:rsidRPr="00BC37DB">
        <w:t>n’a</w:t>
      </w:r>
      <w:r w:rsidR="003A354E">
        <w:t xml:space="preserve"> </w:t>
      </w:r>
      <w:r w:rsidR="001239F7" w:rsidRPr="00BC37DB">
        <w:t>qu’une  autonomie partielle et continue de s’appuyer dans ses références majeures sur le théâtre de l’importation</w:t>
      </w:r>
      <w:r w:rsidR="00BC37DB">
        <w:t> »</w:t>
      </w:r>
      <w:r w:rsidR="001239F7" w:rsidRPr="00BC37DB">
        <w:rPr>
          <w:rStyle w:val="Appelnotedebasdep"/>
        </w:rPr>
        <w:footnoteReference w:id="42"/>
      </w:r>
      <w:r w:rsidR="00BC37DB">
        <w:t>.</w:t>
      </w:r>
      <w:r w:rsidR="001239F7" w:rsidRPr="00BC37DB">
        <w:t> </w:t>
      </w:r>
    </w:p>
    <w:p w:rsidR="001239F7" w:rsidRPr="00AB527C" w:rsidRDefault="001239F7" w:rsidP="006311EB">
      <w:pPr>
        <w:spacing w:after="0" w:line="360" w:lineRule="auto"/>
        <w:ind w:firstLine="284"/>
        <w:jc w:val="both"/>
        <w:rPr>
          <w:rFonts w:ascii="Times New Roman" w:hAnsi="Times New Roman"/>
          <w:sz w:val="24"/>
          <w:szCs w:val="24"/>
        </w:rPr>
      </w:pPr>
      <w:r>
        <w:rPr>
          <w:rFonts w:ascii="Times New Roman" w:hAnsi="Times New Roman"/>
          <w:sz w:val="24"/>
          <w:szCs w:val="24"/>
        </w:rPr>
        <w:t>Quant à</w:t>
      </w:r>
      <w:r w:rsidRPr="00AB527C">
        <w:rPr>
          <w:rFonts w:ascii="Times New Roman" w:hAnsi="Times New Roman"/>
          <w:sz w:val="24"/>
          <w:szCs w:val="24"/>
        </w:rPr>
        <w:t xml:space="preserve"> </w:t>
      </w:r>
      <w:r w:rsidRPr="00F05D95">
        <w:rPr>
          <w:rFonts w:ascii="Times New Roman" w:hAnsi="Times New Roman"/>
          <w:sz w:val="24"/>
          <w:szCs w:val="24"/>
        </w:rPr>
        <w:t>Mahieddine</w:t>
      </w:r>
      <w:r w:rsidRPr="00AB527C">
        <w:rPr>
          <w:rFonts w:ascii="Times New Roman" w:hAnsi="Times New Roman"/>
          <w:sz w:val="24"/>
          <w:szCs w:val="24"/>
        </w:rPr>
        <w:t xml:space="preserve"> Bachetarzi </w:t>
      </w:r>
      <w:r w:rsidRPr="00F463EA">
        <w:rPr>
          <w:rStyle w:val="st"/>
          <w:rFonts w:ascii="Times New Roman" w:hAnsi="Times New Roman"/>
          <w:sz w:val="24"/>
          <w:szCs w:val="24"/>
        </w:rPr>
        <w:t>(1897 - 1986)</w:t>
      </w:r>
      <w:r>
        <w:rPr>
          <w:rFonts w:ascii="Times New Roman" w:hAnsi="Times New Roman"/>
          <w:sz w:val="24"/>
          <w:szCs w:val="24"/>
        </w:rPr>
        <w:t xml:space="preserve"> qui fut l’</w:t>
      </w:r>
      <w:r w:rsidRPr="00F463EA">
        <w:rPr>
          <w:rFonts w:ascii="Times New Roman" w:hAnsi="Times New Roman"/>
          <w:sz w:val="24"/>
          <w:szCs w:val="24"/>
        </w:rPr>
        <w:t>un des principaux artisans du théâtre algérien</w:t>
      </w:r>
      <w:r>
        <w:rPr>
          <w:rFonts w:ascii="Times New Roman" w:hAnsi="Times New Roman"/>
          <w:sz w:val="24"/>
          <w:szCs w:val="24"/>
        </w:rPr>
        <w:t> (</w:t>
      </w:r>
      <w:r w:rsidRPr="00F463EA">
        <w:rPr>
          <w:rFonts w:ascii="Times New Roman" w:hAnsi="Times New Roman"/>
          <w:sz w:val="24"/>
          <w:szCs w:val="24"/>
        </w:rPr>
        <w:t>chanteur d'opéra, acteur, auteur et directeur du TNA</w:t>
      </w:r>
      <w:r>
        <w:rPr>
          <w:rFonts w:ascii="Times New Roman" w:hAnsi="Times New Roman"/>
          <w:sz w:val="24"/>
          <w:szCs w:val="24"/>
        </w:rPr>
        <w:t xml:space="preserve">), dans ses mémoires, il </w:t>
      </w:r>
      <w:r w:rsidRPr="00AB527C">
        <w:rPr>
          <w:rFonts w:ascii="Times New Roman" w:hAnsi="Times New Roman"/>
          <w:sz w:val="24"/>
          <w:szCs w:val="24"/>
        </w:rPr>
        <w:t>dit :</w:t>
      </w:r>
    </w:p>
    <w:p w:rsidR="001239F7" w:rsidRDefault="001239F7" w:rsidP="00A32BB5">
      <w:pPr>
        <w:spacing w:after="0" w:line="240" w:lineRule="auto"/>
        <w:ind w:left="567"/>
        <w:rPr>
          <w:rFonts w:ascii="Times New Roman" w:hAnsi="Times New Roman"/>
          <w:iCs/>
          <w:sz w:val="20"/>
          <w:szCs w:val="20"/>
        </w:rPr>
      </w:pPr>
      <w:r w:rsidRPr="002373DF">
        <w:rPr>
          <w:rFonts w:ascii="Times New Roman" w:hAnsi="Times New Roman"/>
          <w:iCs/>
          <w:sz w:val="20"/>
          <w:szCs w:val="20"/>
        </w:rPr>
        <w:t> Qui a été le créateur du théâtre arabe en Algérie ?</w:t>
      </w:r>
      <w:r w:rsidRPr="002373DF">
        <w:rPr>
          <w:rFonts w:ascii="Times New Roman" w:hAnsi="Times New Roman"/>
          <w:iCs/>
          <w:sz w:val="20"/>
          <w:szCs w:val="20"/>
        </w:rPr>
        <w:br/>
        <w:t>Les uns diront : Ksentini</w:t>
      </w:r>
      <w:r w:rsidRPr="002373DF">
        <w:rPr>
          <w:rFonts w:ascii="Times New Roman" w:hAnsi="Times New Roman"/>
          <w:iCs/>
          <w:sz w:val="20"/>
          <w:szCs w:val="20"/>
        </w:rPr>
        <w:br/>
        <w:t>D’autres : Allalou</w:t>
      </w:r>
      <w:r w:rsidRPr="002373DF">
        <w:rPr>
          <w:rFonts w:ascii="Times New Roman" w:hAnsi="Times New Roman"/>
          <w:iCs/>
          <w:sz w:val="20"/>
          <w:szCs w:val="20"/>
        </w:rPr>
        <w:br/>
        <w:t>D’autres enfin citeront mon nom</w:t>
      </w:r>
      <w:r w:rsidRPr="002373DF">
        <w:rPr>
          <w:rFonts w:ascii="Times New Roman" w:hAnsi="Times New Roman"/>
          <w:iCs/>
          <w:sz w:val="20"/>
          <w:szCs w:val="20"/>
        </w:rPr>
        <w:br/>
        <w:t>Et je pense que tous ont raison </w:t>
      </w:r>
    </w:p>
    <w:p w:rsidR="001239F7" w:rsidRPr="002373DF" w:rsidRDefault="001239F7" w:rsidP="00A32BB5">
      <w:pPr>
        <w:spacing w:after="0" w:line="240" w:lineRule="auto"/>
        <w:ind w:left="567"/>
        <w:rPr>
          <w:rFonts w:ascii="Times New Roman" w:hAnsi="Times New Roman"/>
          <w:iCs/>
          <w:sz w:val="20"/>
          <w:szCs w:val="20"/>
          <w:vertAlign w:val="superscript"/>
        </w:rPr>
      </w:pPr>
      <w:r w:rsidRPr="002373DF">
        <w:rPr>
          <w:rFonts w:ascii="Times New Roman" w:hAnsi="Times New Roman"/>
          <w:iCs/>
          <w:sz w:val="20"/>
          <w:szCs w:val="20"/>
        </w:rPr>
        <w:t>Mais plus qu’à aucun de nous trois, je crois que l’honneur de cette création revient à… L’époque. Le théâtre algérien est sorti du néant dans les années qui ont suivi la guerre de 1914 parce qu’il était une manifestation de la prise de conscience du peuple algérien </w:t>
      </w:r>
      <w:r w:rsidR="000759FE" w:rsidRPr="002373DF">
        <w:rPr>
          <w:rStyle w:val="Appelnotedebasdep"/>
          <w:rFonts w:ascii="Times New Roman" w:hAnsi="Times New Roman"/>
          <w:iCs/>
          <w:sz w:val="20"/>
          <w:szCs w:val="20"/>
        </w:rPr>
        <w:footnoteReference w:id="43"/>
      </w:r>
    </w:p>
    <w:p w:rsidR="002021DC" w:rsidRDefault="002021DC" w:rsidP="001239F7">
      <w:pPr>
        <w:rPr>
          <w:rFonts w:ascii="Times New Roman" w:hAnsi="Times New Roman"/>
          <w:sz w:val="24"/>
          <w:szCs w:val="24"/>
        </w:rPr>
      </w:pPr>
    </w:p>
    <w:p w:rsidR="001239F7" w:rsidRPr="00582DEE" w:rsidRDefault="001239F7" w:rsidP="00582DEE">
      <w:pPr>
        <w:spacing w:after="0" w:line="360" w:lineRule="auto"/>
        <w:ind w:firstLine="284"/>
        <w:jc w:val="both"/>
        <w:rPr>
          <w:rFonts w:ascii="Times New Roman" w:hAnsi="Times New Roman"/>
          <w:iCs/>
          <w:sz w:val="24"/>
          <w:szCs w:val="24"/>
        </w:rPr>
      </w:pPr>
      <w:r w:rsidRPr="00582DEE">
        <w:rPr>
          <w:rFonts w:ascii="Times New Roman" w:hAnsi="Times New Roman"/>
          <w:sz w:val="24"/>
          <w:szCs w:val="24"/>
        </w:rPr>
        <w:t>Il ajoute :</w:t>
      </w:r>
      <w:r w:rsidR="00582DEE" w:rsidRPr="00582DEE">
        <w:rPr>
          <w:rFonts w:ascii="Times New Roman" w:hAnsi="Times New Roman"/>
          <w:sz w:val="24"/>
          <w:szCs w:val="24"/>
        </w:rPr>
        <w:t xml:space="preserve"> « </w:t>
      </w:r>
      <w:r w:rsidRPr="00582DEE">
        <w:rPr>
          <w:rFonts w:ascii="Times New Roman" w:hAnsi="Times New Roman"/>
          <w:iCs/>
          <w:sz w:val="24"/>
          <w:szCs w:val="24"/>
        </w:rPr>
        <w:t xml:space="preserve">Et c’est à juste titre que depuis ce temps-là Allalou a été considéré comme le père du théâtre </w:t>
      </w:r>
      <w:r w:rsidR="002373DF" w:rsidRPr="00582DEE">
        <w:rPr>
          <w:rFonts w:ascii="Times New Roman" w:hAnsi="Times New Roman"/>
          <w:iCs/>
          <w:sz w:val="24"/>
          <w:szCs w:val="24"/>
        </w:rPr>
        <w:t xml:space="preserve">  </w:t>
      </w:r>
      <w:r w:rsidRPr="00582DEE">
        <w:rPr>
          <w:rFonts w:ascii="Times New Roman" w:hAnsi="Times New Roman"/>
          <w:iCs/>
          <w:sz w:val="24"/>
          <w:szCs w:val="24"/>
        </w:rPr>
        <w:t>algérien</w:t>
      </w:r>
      <w:r w:rsidR="00582DEE" w:rsidRPr="00582DEE">
        <w:rPr>
          <w:rFonts w:ascii="Times New Roman" w:hAnsi="Times New Roman"/>
          <w:iCs/>
          <w:sz w:val="24"/>
          <w:szCs w:val="24"/>
        </w:rPr>
        <w:t> »</w:t>
      </w:r>
      <w:r w:rsidR="000759FE" w:rsidRPr="00582DEE">
        <w:rPr>
          <w:rStyle w:val="Appelnotedebasdep"/>
          <w:rFonts w:ascii="Times New Roman" w:hAnsi="Times New Roman"/>
          <w:iCs/>
          <w:sz w:val="24"/>
          <w:szCs w:val="24"/>
        </w:rPr>
        <w:footnoteReference w:id="44"/>
      </w:r>
      <w:r w:rsidR="00582DEE" w:rsidRPr="00582DEE">
        <w:rPr>
          <w:rFonts w:ascii="Times New Roman" w:hAnsi="Times New Roman"/>
          <w:iCs/>
          <w:sz w:val="24"/>
          <w:szCs w:val="24"/>
        </w:rPr>
        <w:t>.</w:t>
      </w:r>
    </w:p>
    <w:p w:rsidR="001239F7" w:rsidRDefault="001239F7" w:rsidP="001D7DF6">
      <w:pPr>
        <w:pStyle w:val="table0020grid"/>
        <w:spacing w:before="0" w:beforeAutospacing="0" w:after="0" w:afterAutospacing="0" w:line="360" w:lineRule="auto"/>
        <w:ind w:firstLine="284"/>
        <w:jc w:val="both"/>
      </w:pPr>
      <w:r>
        <w:t xml:space="preserve">Parallèlement, d’autres travaux de recherches ont essayé de déterminer la date précise de la naissance de l’art théâtral en Algérie en prenant en considération les circonstances entourant son apparition. Ils tendent ainsi à considérer les années vingt du siècle dernier comme première période de la naissance du théâtre en Algérie. </w:t>
      </w:r>
      <w:r w:rsidRPr="00BE61C1">
        <w:t xml:space="preserve">Aujourd’hui il est donc clair, suivant les recherches académiques </w:t>
      </w:r>
      <w:r w:rsidRPr="001D7DF6">
        <w:t>(Ahmed Cheniki, Hadj Miliani, Arlette Roth, Roselyne Baffet, Jacqueline Arnaud et Ouardi Brahim)</w:t>
      </w:r>
      <w:r w:rsidR="000759FE" w:rsidRPr="001D7DF6">
        <w:rPr>
          <w:rStyle w:val="Appelnotedebasdep"/>
        </w:rPr>
        <w:footnoteReference w:id="45"/>
      </w:r>
      <w:r w:rsidRPr="001D7DF6">
        <w:t>,</w:t>
      </w:r>
      <w:r w:rsidRPr="00BE61C1">
        <w:t xml:space="preserve"> que les premières pièces de théâtre ont </w:t>
      </w:r>
      <w:proofErr w:type="gramStart"/>
      <w:r w:rsidRPr="00BE61C1">
        <w:t>vu</w:t>
      </w:r>
      <w:proofErr w:type="gramEnd"/>
      <w:r w:rsidRPr="00BE61C1">
        <w:t xml:space="preserve"> le jour dès le début du siècle dernier et non à partir des années vingt</w:t>
      </w:r>
      <w:r>
        <w:t>.</w:t>
      </w:r>
    </w:p>
    <w:p w:rsidR="001239F7" w:rsidRDefault="001239F7" w:rsidP="003705B3">
      <w:pPr>
        <w:spacing w:after="0" w:line="360" w:lineRule="auto"/>
        <w:ind w:firstLine="284"/>
        <w:jc w:val="both"/>
        <w:rPr>
          <w:rFonts w:ascii="Times New Roman" w:hAnsi="Times New Roman"/>
          <w:sz w:val="24"/>
          <w:szCs w:val="24"/>
        </w:rPr>
      </w:pPr>
      <w:r>
        <w:rPr>
          <w:rFonts w:ascii="Times New Roman" w:hAnsi="Times New Roman"/>
          <w:sz w:val="24"/>
          <w:szCs w:val="24"/>
        </w:rPr>
        <w:t xml:space="preserve">Parmi ce chapelet d’académiciens, le professeur Hadj Miliani nous expose explicitement cette </w:t>
      </w:r>
      <w:r w:rsidRPr="00303C4A">
        <w:rPr>
          <w:rFonts w:ascii="Times New Roman" w:hAnsi="Times New Roman"/>
          <w:sz w:val="24"/>
          <w:szCs w:val="24"/>
        </w:rPr>
        <w:t xml:space="preserve">historicisation </w:t>
      </w:r>
      <w:r>
        <w:rPr>
          <w:rFonts w:ascii="Times New Roman" w:hAnsi="Times New Roman"/>
          <w:sz w:val="24"/>
          <w:szCs w:val="24"/>
        </w:rPr>
        <w:t xml:space="preserve">emblématique </w:t>
      </w:r>
      <w:r w:rsidRPr="00303C4A">
        <w:rPr>
          <w:rFonts w:ascii="Times New Roman" w:hAnsi="Times New Roman"/>
          <w:sz w:val="24"/>
          <w:szCs w:val="24"/>
        </w:rPr>
        <w:t>du théâtre en Algérie</w:t>
      </w:r>
      <w:r>
        <w:rPr>
          <w:rFonts w:ascii="Times New Roman" w:hAnsi="Times New Roman"/>
          <w:sz w:val="24"/>
          <w:szCs w:val="24"/>
        </w:rPr>
        <w:t> :</w:t>
      </w:r>
    </w:p>
    <w:p w:rsidR="001239F7" w:rsidRPr="0011085C" w:rsidRDefault="001239F7" w:rsidP="0011085C">
      <w:pPr>
        <w:pStyle w:val="Citationintense"/>
        <w:spacing w:before="0" w:after="0"/>
        <w:ind w:left="567" w:right="0"/>
        <w:rPr>
          <w:sz w:val="20"/>
          <w:szCs w:val="20"/>
        </w:rPr>
      </w:pPr>
      <w:r w:rsidRPr="002D35CF">
        <w:lastRenderedPageBreak/>
        <w:t> </w:t>
      </w:r>
      <w:r w:rsidRPr="0011085C">
        <w:rPr>
          <w:sz w:val="20"/>
          <w:szCs w:val="20"/>
        </w:rPr>
        <w:t>Il y aurait une sorte d’étymon mémoriel du théâtre algérien illustré par la personne de Mahieddine Bachtarzi à travers ses mémoires qu’il commence à publier au début des années 1960. Il inaugure en quelque sorte un acte fondateur de l’histoire nationale du théâtre en Algérie et du récit biographique. C’est autour de cette pratique que s’impose une nouvelle donne dans l’espace de la référence historiographique. En 1967 paraît l’ouvrage d’Arlette Roth s’appuyant essentiellement sur les textes et l’expérience de Bachtarzi. Il serait selon ce qu’en dit Allalou dans son témoignage, le fruit d’un court séjour effectué par l’auteure à Alger en 1963. En 1968 l’édition des « Mémoires » (t. 1) de Mahieddine Bachtarzi préfacé par Sadeddine Bencheneb premier doyen de la Faculté des lettres d’Alger après l’indépendance mais également premier intellectuel a avoir rendu compte dans les années 1930 des débuts du théâtre algérien en arabe populaire, signera l’acte de constitution de l’histoire de la tradition théâtrale en Algérie.</w:t>
      </w:r>
      <w:r w:rsidR="000759FE" w:rsidRPr="0011085C">
        <w:rPr>
          <w:rStyle w:val="Appelnotedebasdep"/>
          <w:i/>
          <w:iCs w:val="0"/>
          <w:sz w:val="20"/>
          <w:szCs w:val="20"/>
        </w:rPr>
        <w:footnoteReference w:id="46"/>
      </w:r>
      <w:r w:rsidRPr="0011085C">
        <w:rPr>
          <w:sz w:val="20"/>
          <w:szCs w:val="20"/>
        </w:rPr>
        <w:t xml:space="preserve">  </w:t>
      </w:r>
    </w:p>
    <w:p w:rsidR="0011085C" w:rsidRDefault="0011085C" w:rsidP="001239F7">
      <w:pPr>
        <w:pStyle w:val="table0020grid"/>
        <w:spacing w:before="0" w:beforeAutospacing="0" w:after="0" w:afterAutospacing="0" w:line="360" w:lineRule="auto"/>
        <w:jc w:val="both"/>
      </w:pPr>
    </w:p>
    <w:p w:rsidR="001239F7" w:rsidRPr="00BE61C1" w:rsidRDefault="001239F7" w:rsidP="00E14CCC">
      <w:pPr>
        <w:pStyle w:val="table0020grid"/>
        <w:spacing w:before="0" w:beforeAutospacing="0" w:after="0" w:afterAutospacing="0" w:line="360" w:lineRule="auto"/>
        <w:ind w:firstLine="284"/>
        <w:jc w:val="both"/>
        <w:rPr>
          <w:b/>
          <w:bCs/>
          <w:highlight w:val="yellow"/>
        </w:rPr>
      </w:pPr>
      <w:r>
        <w:t xml:space="preserve">Néanmoins, </w:t>
      </w:r>
      <w:r w:rsidRPr="00BE61C1">
        <w:t>et à notre humble avis</w:t>
      </w:r>
      <w:r>
        <w:t>,</w:t>
      </w:r>
      <w:r w:rsidRPr="00BE61C1">
        <w:t xml:space="preserve"> les travaux de recherche </w:t>
      </w:r>
      <w:r>
        <w:t xml:space="preserve">notamment </w:t>
      </w:r>
      <w:r w:rsidRPr="00BE61C1">
        <w:t xml:space="preserve">universitaires ont encore des </w:t>
      </w:r>
      <w:r>
        <w:t>textes</w:t>
      </w:r>
      <w:r w:rsidRPr="00BE61C1">
        <w:t xml:space="preserve"> </w:t>
      </w:r>
      <w:r>
        <w:t xml:space="preserve">et des scènes </w:t>
      </w:r>
      <w:r w:rsidRPr="00BE61C1">
        <w:t>à dépoussiérer pour pouvoir arriver à une évaluation exhaustive du théâtre algérien</w:t>
      </w:r>
      <w:r>
        <w:t>,</w:t>
      </w:r>
      <w:r w:rsidRPr="00BE61C1">
        <w:t xml:space="preserve"> depuis sa naissance à nos jours</w:t>
      </w:r>
      <w:r>
        <w:t xml:space="preserve">, ce théâtre typiquement algérien qui était différent des formes élitistes de la culture occidentale caractérisant ce quatrième art universel, comme l’atteste Abdelakader Djaghloul dans sa préface de l’œuvre de Allalou </w:t>
      </w:r>
      <w:r w:rsidRPr="000F7BE1">
        <w:rPr>
          <w:i/>
          <w:iCs/>
        </w:rPr>
        <w:t>L’Aurore du Théâtre Algérien</w:t>
      </w:r>
      <w:r>
        <w:t xml:space="preserve"> :  </w:t>
      </w:r>
    </w:p>
    <w:p w:rsidR="001239F7" w:rsidRDefault="001239F7" w:rsidP="00761352">
      <w:pPr>
        <w:pStyle w:val="Citationintense"/>
        <w:spacing w:before="0" w:after="0"/>
        <w:ind w:left="567" w:right="0"/>
        <w:rPr>
          <w:sz w:val="20"/>
          <w:szCs w:val="20"/>
        </w:rPr>
      </w:pPr>
      <w:r w:rsidRPr="00761352">
        <w:rPr>
          <w:sz w:val="20"/>
          <w:szCs w:val="20"/>
        </w:rPr>
        <w:t xml:space="preserve">En ce sens, le théâtre est  très différent à la fois des formes élitistes de culture qui critiquent de l’extérieur l’indigence de la culture populaire et de certaines formes de culture populaire qui s’épuisent dans une crispation phantasmatique à la tradition islamique. Certes, le théâtre </w:t>
      </w:r>
      <w:proofErr w:type="gramStart"/>
      <w:r w:rsidRPr="00761352">
        <w:rPr>
          <w:sz w:val="20"/>
          <w:szCs w:val="20"/>
        </w:rPr>
        <w:t>de Allalou</w:t>
      </w:r>
      <w:proofErr w:type="gramEnd"/>
      <w:r w:rsidRPr="00761352">
        <w:rPr>
          <w:sz w:val="20"/>
          <w:szCs w:val="20"/>
        </w:rPr>
        <w:t xml:space="preserve"> est lui aussi imprégné d’Islam, mais de manière différente. Histoire islamique décrispée, banalisée, ramenée aux  proportions de la quotidienneté du petit peuple d’Alger. Histoire qui  continue à faire rêver mais fait aussi sourire.</w:t>
      </w:r>
      <w:r w:rsidR="000759FE" w:rsidRPr="00761352">
        <w:rPr>
          <w:rStyle w:val="Appelnotedebasdep"/>
          <w:i/>
          <w:iCs w:val="0"/>
          <w:sz w:val="20"/>
          <w:szCs w:val="20"/>
        </w:rPr>
        <w:footnoteReference w:id="47"/>
      </w:r>
      <w:r w:rsidRPr="00761352">
        <w:rPr>
          <w:sz w:val="20"/>
          <w:szCs w:val="20"/>
        </w:rPr>
        <w:t> </w:t>
      </w:r>
    </w:p>
    <w:p w:rsidR="008E4793" w:rsidRDefault="008E4793" w:rsidP="009D13AD">
      <w:pPr>
        <w:pStyle w:val="Titre5"/>
        <w:spacing w:before="0" w:after="0"/>
        <w:ind w:firstLine="284"/>
        <w:jc w:val="both"/>
        <w:rPr>
          <w:rFonts w:ascii="Times New Roman" w:hAnsi="Times New Roman"/>
          <w:color w:val="auto"/>
        </w:rPr>
      </w:pPr>
    </w:p>
    <w:p w:rsidR="006A4EED" w:rsidRPr="007B49C3" w:rsidRDefault="00761352" w:rsidP="009D13AD">
      <w:pPr>
        <w:pStyle w:val="Titre5"/>
        <w:spacing w:before="0" w:after="0"/>
        <w:ind w:firstLine="284"/>
        <w:jc w:val="both"/>
        <w:rPr>
          <w:rFonts w:ascii="Times New Roman" w:hAnsi="Times New Roman"/>
          <w:color w:val="auto"/>
        </w:rPr>
      </w:pPr>
      <w:bookmarkStart w:id="29" w:name="_Toc471484405"/>
      <w:r>
        <w:rPr>
          <w:rFonts w:ascii="Times New Roman" w:hAnsi="Times New Roman"/>
          <w:color w:val="auto"/>
        </w:rPr>
        <w:t>2.</w:t>
      </w:r>
      <w:r w:rsidR="009D13AD">
        <w:rPr>
          <w:rFonts w:ascii="Times New Roman" w:hAnsi="Times New Roman"/>
          <w:color w:val="auto"/>
        </w:rPr>
        <w:t>1</w:t>
      </w:r>
      <w:r>
        <w:rPr>
          <w:rFonts w:ascii="Times New Roman" w:hAnsi="Times New Roman"/>
          <w:color w:val="auto"/>
        </w:rPr>
        <w:t>.</w:t>
      </w:r>
      <w:r w:rsidR="009D13AD">
        <w:rPr>
          <w:rFonts w:ascii="Times New Roman" w:hAnsi="Times New Roman"/>
          <w:color w:val="auto"/>
        </w:rPr>
        <w:t>1</w:t>
      </w:r>
      <w:r>
        <w:rPr>
          <w:rFonts w:ascii="Times New Roman" w:hAnsi="Times New Roman"/>
          <w:color w:val="auto"/>
        </w:rPr>
        <w:t>.</w:t>
      </w:r>
      <w:r w:rsidRPr="007B49C3">
        <w:rPr>
          <w:rFonts w:ascii="Times New Roman" w:hAnsi="Times New Roman"/>
          <w:color w:val="auto"/>
        </w:rPr>
        <w:t xml:space="preserve"> Le</w:t>
      </w:r>
      <w:r w:rsidR="006A4EED" w:rsidRPr="007B49C3">
        <w:rPr>
          <w:rFonts w:ascii="Times New Roman" w:hAnsi="Times New Roman"/>
          <w:color w:val="auto"/>
        </w:rPr>
        <w:t xml:space="preserve"> théâtre algérien avant et après la colonisation française</w:t>
      </w:r>
      <w:bookmarkEnd w:id="29"/>
    </w:p>
    <w:p w:rsidR="006A4EED" w:rsidRPr="005E58D9" w:rsidRDefault="002373DF" w:rsidP="00761352">
      <w:pPr>
        <w:pStyle w:val="table0020grid"/>
        <w:spacing w:before="0" w:beforeAutospacing="0" w:after="0" w:afterAutospacing="0" w:line="360" w:lineRule="auto"/>
        <w:ind w:firstLine="284"/>
        <w:jc w:val="both"/>
      </w:pPr>
      <w:r w:rsidRPr="00D41F7B">
        <w:t>Afin d’intensifier notre analyse sur un</w:t>
      </w:r>
      <w:r w:rsidR="00C04BD4" w:rsidRPr="00D41F7B">
        <w:t>e</w:t>
      </w:r>
      <w:r w:rsidRPr="00D41F7B">
        <w:t xml:space="preserve"> temporalité historique, nous portons principalement l’étude du théâtre algérien au XXème siècle ; même si des références seront effectivement faites à des périodes antérieures. </w:t>
      </w:r>
      <w:r w:rsidR="00800BEF" w:rsidRPr="00D41F7B">
        <w:t>S</w:t>
      </w:r>
      <w:r w:rsidR="006A4EED" w:rsidRPr="00D41F7B">
        <w:t>’il est</w:t>
      </w:r>
      <w:r w:rsidR="006A4EED" w:rsidRPr="005E58D9">
        <w:t xml:space="preserve"> vrai</w:t>
      </w:r>
      <w:r w:rsidR="00E26170">
        <w:t>,</w:t>
      </w:r>
      <w:r w:rsidR="00E26170" w:rsidRPr="00B1699B">
        <w:t xml:space="preserve"> </w:t>
      </w:r>
      <w:r w:rsidR="00E26170">
        <w:t xml:space="preserve">suivant les avis cités ci-haut, </w:t>
      </w:r>
      <w:r w:rsidR="006A4EED" w:rsidRPr="005E58D9">
        <w:t xml:space="preserve">que les années vingt du siècle dernier ont vu la naissance du théâtre algérien, il n’en demeure pas moins que cette information ne reflète pas exactement la réalité quant à la première apparition de cette forme d’art sur la scène algérienne, sachant particulièrement que la troupe d’Abdel Kader El Masri célèbre dans la comédie égyptienne et la troupe de Slimane Karadhi étaient l’une des premières troupes théâtrales égyptiennes à s’être établie en Algérie entre 1907 et 1908. La tournée et la production de ces deux troupes ont inspiré les </w:t>
      </w:r>
      <w:r w:rsidR="006A4EED" w:rsidRPr="005E58D9">
        <w:lastRenderedPageBreak/>
        <w:t>jeunes intellectuels en Algérie qui ont commencé à s’intéresser à l’art théâtral espérant éveiller par son biais la conscience nationaliste. Les rôles ainsi interprétés par Karadhi, principalement le personnage de Salah Eddine et Antara avaient créé un impact sur le public cible constitué principalement des linguistes en arabes classiques, qui à leur tour et avec la contribution d’association culturelles et religieuses ont commencé à écrire des œuvres théâtrales. Aussi, la validation de la date de naissance du théâtre en Algérie à partir de 1921 est-elle sujette à caution.</w:t>
      </w:r>
    </w:p>
    <w:p w:rsidR="006A4EED" w:rsidRPr="005E58D9" w:rsidRDefault="006A4EED" w:rsidP="006B556F">
      <w:pPr>
        <w:pStyle w:val="table0020grid"/>
        <w:spacing w:before="0" w:beforeAutospacing="0" w:after="0" w:afterAutospacing="0" w:line="360" w:lineRule="auto"/>
        <w:ind w:firstLine="284"/>
        <w:jc w:val="both"/>
      </w:pPr>
      <w:r w:rsidRPr="005E58D9">
        <w:t xml:space="preserve">En effet, l’un des témoins-clé de l’activité théâtrale en Algérie, en l’occurrence Mahboub Stambouli, </w:t>
      </w:r>
      <w:proofErr w:type="gramStart"/>
      <w:r w:rsidRPr="005E58D9">
        <w:t>considère</w:t>
      </w:r>
      <w:proofErr w:type="gramEnd"/>
      <w:r w:rsidRPr="005E58D9">
        <w:t xml:space="preserve"> que 1910 est l’année qui a vu naitre la première pièce théâtrale algérienne. Ainsi, les associations culturelles et religieuses étaient créées et réparties dans tous les pôles du pays (Constantine, Médéa, Blida, Oran, Sidi Bel Abbes...). Les œuvres théâtrales présentaient alors des personnages historiques et le monde théâtral dramatique était dominé par deux thèmes principaux à savoir l’arabisme et l’islam, lesquels étaient apprécié par le public constitué essentiellement des linguistes en arabe classique quoiqu’ils ne fussent pas assez nombreux.   </w:t>
      </w:r>
    </w:p>
    <w:p w:rsidR="006A4EED" w:rsidRPr="00DC1A79" w:rsidRDefault="006A4EED" w:rsidP="00460E3E">
      <w:pPr>
        <w:pStyle w:val="table0020grid"/>
        <w:spacing w:before="0" w:beforeAutospacing="0" w:after="0" w:afterAutospacing="0" w:line="360" w:lineRule="auto"/>
        <w:ind w:firstLine="284"/>
        <w:jc w:val="both"/>
      </w:pPr>
      <w:r w:rsidRPr="005E58D9">
        <w:t>En évoquant l’émergence du théâtre et son contexte historique en Algérie, on ne peut occulter l’impact et l’apport des troupes théâtrales du moyen orient qui ont apporté une pierre de légitimité et de crédibilité à l’édifice de l’art théâtral européen. Ainsi et par voie de conséquence l’art théâtral fut adopté au cours d’une période d’une caractéristique distincte, une période qui a vu naitre le nationalisme suite à la fondation d’une organisation politique appelée « l’Etoile nord-africaine ». Cette ère avait également enregistré une présence significative dans la vie active pratique et militante pour les personnes ayant étudié soit à l’école « coloniale » française, et/ou au sein de l’école coranique et principalement les Medersas (</w:t>
      </w:r>
      <w:r w:rsidRPr="00F57B37">
        <w:t>école dispensant les cours d’enseignement en arabe classique</w:t>
      </w:r>
      <w:r w:rsidRPr="005E58D9">
        <w:t xml:space="preserve">). Ces derniers ont commencé alors à publier et diffuser leurs interventions sur les colonnes des journaux notamment avec l’apparition de quelques titres ayant caractérisé cette époque de gestation tumultueuse du militantisme ayant enfanté des associations culturelles et religieuses. Des auteurs, adhérents à ces associations, avaient même participé à jouer dans la représentation des premiers textes théâtraux tant l’objectif était d’inculquer à la jeune génération quelques principes, la connaissance et la culture générale. Ceci dénote et explique le choix </w:t>
      </w:r>
      <w:r w:rsidRPr="005E58D9">
        <w:lastRenderedPageBreak/>
        <w:t>de thèmes ayant caractérisé les pièces théâtrales qui s’inspiraient du patrimoine du terroir arabo-</w:t>
      </w:r>
      <w:r w:rsidRPr="00DC1A79">
        <w:t xml:space="preserve">musulman. </w:t>
      </w:r>
    </w:p>
    <w:p w:rsidR="00784D77" w:rsidRDefault="00784D77" w:rsidP="001D21F6">
      <w:pPr>
        <w:pStyle w:val="Titre5"/>
        <w:spacing w:before="0" w:after="0"/>
        <w:ind w:firstLine="284"/>
        <w:jc w:val="both"/>
        <w:rPr>
          <w:rFonts w:ascii="Times New Roman" w:hAnsi="Times New Roman"/>
          <w:color w:val="auto"/>
        </w:rPr>
      </w:pPr>
    </w:p>
    <w:p w:rsidR="006A4EED" w:rsidRPr="00460E3E" w:rsidRDefault="00460E3E" w:rsidP="001D21F6">
      <w:pPr>
        <w:pStyle w:val="Titre5"/>
        <w:spacing w:before="0" w:after="0"/>
        <w:ind w:firstLine="284"/>
        <w:jc w:val="both"/>
        <w:rPr>
          <w:rFonts w:ascii="Times New Roman" w:hAnsi="Times New Roman"/>
          <w:color w:val="auto"/>
        </w:rPr>
      </w:pPr>
      <w:bookmarkStart w:id="30" w:name="_Toc471484406"/>
      <w:r w:rsidRPr="00460E3E">
        <w:rPr>
          <w:rFonts w:ascii="Times New Roman" w:hAnsi="Times New Roman"/>
          <w:color w:val="auto"/>
        </w:rPr>
        <w:t>2.</w:t>
      </w:r>
      <w:r w:rsidR="001D21F6">
        <w:rPr>
          <w:rFonts w:ascii="Times New Roman" w:hAnsi="Times New Roman"/>
          <w:color w:val="auto"/>
        </w:rPr>
        <w:t>1</w:t>
      </w:r>
      <w:r w:rsidRPr="00460E3E">
        <w:rPr>
          <w:rFonts w:ascii="Times New Roman" w:hAnsi="Times New Roman"/>
          <w:color w:val="auto"/>
        </w:rPr>
        <w:t>.</w:t>
      </w:r>
      <w:r w:rsidR="001D21F6">
        <w:rPr>
          <w:rFonts w:ascii="Times New Roman" w:hAnsi="Times New Roman"/>
          <w:color w:val="auto"/>
        </w:rPr>
        <w:t>2</w:t>
      </w:r>
      <w:r w:rsidRPr="00460E3E">
        <w:rPr>
          <w:rFonts w:ascii="Times New Roman" w:hAnsi="Times New Roman"/>
          <w:color w:val="auto"/>
        </w:rPr>
        <w:t>.</w:t>
      </w:r>
      <w:r>
        <w:rPr>
          <w:rFonts w:ascii="Times New Roman" w:hAnsi="Times New Roman"/>
          <w:color w:val="auto"/>
        </w:rPr>
        <w:t xml:space="preserve"> </w:t>
      </w:r>
      <w:r w:rsidR="006A4EED" w:rsidRPr="00460E3E">
        <w:rPr>
          <w:rFonts w:ascii="Times New Roman" w:hAnsi="Times New Roman"/>
          <w:color w:val="auto"/>
        </w:rPr>
        <w:t>Le genre du théâtre algérien</w:t>
      </w:r>
      <w:bookmarkEnd w:id="30"/>
    </w:p>
    <w:p w:rsidR="00AA756E" w:rsidRDefault="006A4EED" w:rsidP="00460E3E">
      <w:pPr>
        <w:pStyle w:val="table0020grid"/>
        <w:spacing w:before="0" w:beforeAutospacing="0" w:after="0" w:afterAutospacing="0" w:line="360" w:lineRule="auto"/>
        <w:ind w:firstLine="284"/>
        <w:jc w:val="both"/>
      </w:pPr>
      <w:r w:rsidRPr="005E58D9">
        <w:t xml:space="preserve">Il s’agit ici d’étudier les structures en général des productions théâtrales algériennes. Pour cela, nous explorons les conditions de l’émergence de l’art du théâtre tout comme les relations qu’il a tissées avec les autres éléments constituant la vie culturelle. Un regard sur la nature de la programmation et la production théâtrale nous révèle l’existence des effets, des scènes et des idées véhiculées dans ces structures théâtrales algériennes. </w:t>
      </w:r>
    </w:p>
    <w:p w:rsidR="00AA756E" w:rsidRDefault="00AA756E" w:rsidP="00460E3E">
      <w:pPr>
        <w:pStyle w:val="table0020grid"/>
        <w:spacing w:before="0" w:beforeAutospacing="0" w:after="0" w:afterAutospacing="0" w:line="360" w:lineRule="auto"/>
        <w:ind w:firstLine="284"/>
        <w:jc w:val="both"/>
      </w:pPr>
      <w:r>
        <w:t xml:space="preserve">En dépoussiérant les conditions de l’émergence, en cette période, de l’art du théâtre tout comme les relations qu’il a tissées avec les autres éléments constituant la vie culturelle, un simple coup d’œil sur la nature de la programmation et la production théâtrale nous révèle l’existence des effets, des scènes et des idées véhiculées dans la structure en général des productions théâtrales. </w:t>
      </w:r>
    </w:p>
    <w:p w:rsidR="006A4EED" w:rsidRPr="005E58D9" w:rsidRDefault="006A4EED" w:rsidP="00460E3E">
      <w:pPr>
        <w:pStyle w:val="table0020grid"/>
        <w:spacing w:before="0" w:beforeAutospacing="0" w:after="0" w:afterAutospacing="0" w:line="360" w:lineRule="auto"/>
        <w:ind w:firstLine="284"/>
        <w:jc w:val="both"/>
      </w:pPr>
      <w:r w:rsidRPr="005E58D9">
        <w:t>En effet, le cinéma égyptien qui avait alors gagné l’estime des algériens (</w:t>
      </w:r>
      <w:r w:rsidRPr="00F57B37">
        <w:t>unique grand écran arabe qui concurrençait son « rival » occidental, dans un contexte spatiotemporel de colonial</w:t>
      </w:r>
      <w:r w:rsidRPr="005E58D9">
        <w:t>) avait influencé l’aventure théâtrale algérienne par ses techniques de représentation dramatique tout comme le théâtre comique (de vaudeville), ce dernier, après une présence de trois décennies sur la scène théâtrale algérienne, avait tout aussi laissé ses traces profondément sur une grande partie de la production théâtrale.</w:t>
      </w:r>
    </w:p>
    <w:p w:rsidR="006A4EED" w:rsidRPr="005E58D9" w:rsidRDefault="006A4EED" w:rsidP="001E0E3E">
      <w:pPr>
        <w:pStyle w:val="table0020grid"/>
        <w:spacing w:before="0" w:beforeAutospacing="0" w:after="0" w:afterAutospacing="0" w:line="360" w:lineRule="auto"/>
        <w:ind w:firstLine="284"/>
        <w:jc w:val="both"/>
      </w:pPr>
      <w:r w:rsidRPr="005E58D9">
        <w:t xml:space="preserve">Dès l’indépendance, les effets de ce type de scène étaient encore concrets dans le jeu théâtral principalement dans les travaux de Rouiched, qui avait traité des thèmes sans aucun changement radical tant sur le fond que sur la forme, ses travaux en effet, étaient, dans une perspective, une continuité des pionniers de l’art dramatique algérien, tels que Mahiedine Bachtarzi, Rachid Ksantini et Mohamed Touri, signifièrent la particularité du théâtre algérien comme suit : </w:t>
      </w:r>
    </w:p>
    <w:p w:rsidR="006A4EED" w:rsidRPr="001E0E3E" w:rsidRDefault="006A4EED" w:rsidP="001E0E3E">
      <w:pPr>
        <w:pStyle w:val="Citationintense"/>
        <w:spacing w:before="0" w:after="0"/>
        <w:ind w:left="567" w:right="0"/>
        <w:rPr>
          <w:sz w:val="20"/>
          <w:szCs w:val="20"/>
        </w:rPr>
      </w:pPr>
      <w:r w:rsidRPr="001E0E3E">
        <w:rPr>
          <w:sz w:val="20"/>
          <w:szCs w:val="20"/>
        </w:rPr>
        <w:t xml:space="preserve">Un théâtre qui énoncera, au fur et à mesure et de manière de plus en plus marquée, les prémisses d’une nouvelle attitude. Il appuiera sur la caricature pour mieux dénoncer les fléaux sociaux, abusera du burlesque inspiré du cinéma muet, insistera sur des personnages, qui reviendront assez souvent dans les pièces proposées, montera des spectacles pour des circonstances </w:t>
      </w:r>
      <w:proofErr w:type="gramStart"/>
      <w:r w:rsidRPr="001E0E3E">
        <w:rPr>
          <w:sz w:val="20"/>
          <w:szCs w:val="20"/>
        </w:rPr>
        <w:t xml:space="preserve">précises </w:t>
      </w:r>
      <w:proofErr w:type="gramEnd"/>
      <w:r w:rsidRPr="001E0E3E">
        <w:rPr>
          <w:rStyle w:val="Appelnotedebasdep"/>
          <w:sz w:val="20"/>
          <w:szCs w:val="20"/>
        </w:rPr>
        <w:footnoteReference w:id="48"/>
      </w:r>
      <w:r w:rsidR="001E0E3E">
        <w:rPr>
          <w:sz w:val="20"/>
          <w:szCs w:val="20"/>
        </w:rPr>
        <w:t>.</w:t>
      </w:r>
      <w:r w:rsidRPr="001E0E3E">
        <w:rPr>
          <w:sz w:val="20"/>
          <w:szCs w:val="20"/>
        </w:rPr>
        <w:t xml:space="preserve">    </w:t>
      </w:r>
    </w:p>
    <w:p w:rsidR="005125ED" w:rsidRDefault="005125ED" w:rsidP="005125ED">
      <w:pPr>
        <w:pStyle w:val="table0020grid"/>
        <w:spacing w:before="0" w:beforeAutospacing="0" w:after="0" w:afterAutospacing="0" w:line="360" w:lineRule="auto"/>
        <w:ind w:firstLine="284"/>
        <w:jc w:val="both"/>
      </w:pPr>
    </w:p>
    <w:p w:rsidR="006A4EED" w:rsidRPr="005E58D9" w:rsidRDefault="006A4EED" w:rsidP="005125ED">
      <w:pPr>
        <w:pStyle w:val="table0020grid"/>
        <w:spacing w:before="0" w:beforeAutospacing="0" w:after="0" w:afterAutospacing="0" w:line="360" w:lineRule="auto"/>
        <w:ind w:firstLine="284"/>
        <w:jc w:val="both"/>
      </w:pPr>
      <w:r w:rsidRPr="005E58D9">
        <w:t xml:space="preserve">Ainsi, la relation du théâtre était étroitement liée avec les éléments de la culture populaire, des formes populaires qui caractérisèrent le monde culturel algérien : El-Halka, EL-Gouwal, El-Meddah, ect...Ces types de performance et de présentation, avec lesquelles s’était habitué le citoyen lambda (donc le public cible), présentaient un défi quant à la manière avec laquelle elles allaient être incarnées sur la scène de la représentation dramatique.    </w:t>
      </w:r>
    </w:p>
    <w:p w:rsidR="006A4EED" w:rsidRDefault="006A4EED" w:rsidP="005125ED">
      <w:pPr>
        <w:pStyle w:val="table0020grid"/>
        <w:spacing w:before="0" w:beforeAutospacing="0" w:after="0" w:afterAutospacing="0" w:line="360" w:lineRule="auto"/>
        <w:ind w:firstLine="284"/>
        <w:jc w:val="both"/>
      </w:pPr>
      <w:r w:rsidRPr="005E58D9">
        <w:t>Par voie de conséquence, les travaux dramatiques se distinguaient par la structure du conte populaire comme les contes des « </w:t>
      </w:r>
      <w:r w:rsidRPr="005E58D9">
        <w:rPr>
          <w:i/>
          <w:iCs/>
        </w:rPr>
        <w:t>Mille et une nuits</w:t>
      </w:r>
      <w:r w:rsidRPr="005E58D9">
        <w:t> » et les aventures burlesques de « </w:t>
      </w:r>
      <w:r w:rsidRPr="005E58D9">
        <w:rPr>
          <w:i/>
          <w:iCs/>
        </w:rPr>
        <w:t>Djeha</w:t>
      </w:r>
      <w:r w:rsidRPr="005E58D9">
        <w:t xml:space="preserve"> » qui avaient saturé le monde du drame algérien. A partir de là, le commun des chercheurs peut méditer avec attention ce phénomène et son rôle de mobilisateur voire de catalyseur des rapports et des réseaux qui contribuèrent abondamment dans le tissage de l’œuvre dramatique algérienne, et comprendre ainsi comment se produisait l’histoire ? Quelles sont les images et les fonctions qui étaient récurrentes dans les textes ? </w:t>
      </w:r>
      <w:r w:rsidR="00800BEF">
        <w:t xml:space="preserve">Et comment était traité le mythe ?...       </w:t>
      </w:r>
    </w:p>
    <w:p w:rsidR="00800BEF" w:rsidRDefault="002E655F" w:rsidP="005125ED">
      <w:pPr>
        <w:pStyle w:val="table0020grid"/>
        <w:spacing w:before="0" w:beforeAutospacing="0" w:after="0" w:afterAutospacing="0" w:line="360" w:lineRule="auto"/>
        <w:ind w:firstLine="284"/>
        <w:jc w:val="both"/>
      </w:pPr>
      <w:r>
        <w:t>En effet</w:t>
      </w:r>
      <w:r w:rsidR="00800BEF">
        <w:t xml:space="preserve">, et après l’indépendance du pays, le débat sur l’activité théâtrale allait dominer l’espace culturel. Les articles et traitements journalistiques se multiplièrent sur ce sujet. Les hommes de théâtre, qui étaient tant bien que mal libérés et surtout armés de moyens matériels et techniques, avaient commencé à se pencher sur leurs manières d’exercer tout en s’autocritiquant et en abordant et initiant de nouvelles expériences théâtrales. </w:t>
      </w:r>
    </w:p>
    <w:p w:rsidR="00800BEF" w:rsidRDefault="00800BEF" w:rsidP="00562949">
      <w:pPr>
        <w:pStyle w:val="table0020grid"/>
        <w:spacing w:before="0" w:beforeAutospacing="0" w:after="0" w:afterAutospacing="0" w:line="360" w:lineRule="auto"/>
        <w:ind w:firstLine="284"/>
        <w:jc w:val="both"/>
      </w:pPr>
      <w:r>
        <w:t>Chemin faisant, la question d’un inventaire du patrimoine culturelle était devenue une obsession essentielle pour les auteurs et réalisateurs, lesquels dès qu’ils avaient été équipés techniquement avaient commencé à « affronter » une nouvelle forme d’aventure théâtrale...</w:t>
      </w:r>
    </w:p>
    <w:p w:rsidR="006A4EED" w:rsidRPr="005E58D9" w:rsidRDefault="006A4EED" w:rsidP="00562949">
      <w:pPr>
        <w:pStyle w:val="table0020grid"/>
        <w:spacing w:before="0" w:beforeAutospacing="0" w:after="0" w:afterAutospacing="0" w:line="360" w:lineRule="auto"/>
        <w:ind w:firstLine="284"/>
        <w:jc w:val="both"/>
      </w:pPr>
      <w:r w:rsidRPr="005E58D9">
        <w:t xml:space="preserve">Ainsi, des dramaturges comme, entre-autres, Mustapha Kateb et Ould Abderahmane Kaki avaient initié d’une façon dialectique la question se rapportant au théâtre populaire, à l’inspiration, l’adaptation et la créativité etc. Au moment où les uns avaient choisi l’adaptation, les autres privilégièrent ce qu’ils appelèrent « le retour aux sources » et « la découverte de soi », tandis que d’autres avaient préféré opter pour une fusion entre ces deux réalités. Ceci va engendrer un élan et un enthousiasme, nés à partir des premières années de l’indépendance, qui amenèrent </w:t>
      </w:r>
      <w:r w:rsidRPr="005E58D9">
        <w:lastRenderedPageBreak/>
        <w:t xml:space="preserve">les acteurs dans la scène culturelle à s’interroger sur la fonction voire les fonctions de l’art théâtral : quel théâtre produire et pour quel public ou quelle masse (prendre en considération le contexte sociopolitique de cette période, à savoir l’adoption par le pays de la doctrine socialiste...) ? De ce fait, la projection directrice dominante visait dans sa ligne de mire un théâtre populaire à l’écoute et au service de la société et ses attentes voire même en lui greffant la nature de « révolutionnaire ». </w:t>
      </w:r>
    </w:p>
    <w:p w:rsidR="006A4EED" w:rsidRPr="005E58D9" w:rsidRDefault="006A4EED" w:rsidP="00562949">
      <w:pPr>
        <w:pStyle w:val="table0020grid"/>
        <w:spacing w:before="0" w:beforeAutospacing="0" w:after="0" w:afterAutospacing="0" w:line="360" w:lineRule="auto"/>
        <w:ind w:firstLine="284"/>
        <w:jc w:val="both"/>
      </w:pPr>
      <w:r w:rsidRPr="00344391">
        <w:t>Dans un document, réalisé par le professeur Ahmed Cheniki,</w:t>
      </w:r>
      <w:r w:rsidRPr="005E58D9">
        <w:t xml:space="preserve"> nous trouvons aussi un diagnostic de l’état des lieux de ce théâtre qui se cherchait, tels un disciple avide d’horizons, et qui allait justement trouver en les personnes de Kateb Yacine et Mohamed Boudia</w:t>
      </w:r>
      <w:r w:rsidR="00562949">
        <w:t xml:space="preserve"> </w:t>
      </w:r>
      <w:r w:rsidRPr="005E58D9">
        <w:t>- de grands hommes de culture de l’époque – ses véritables précepteurs :</w:t>
      </w:r>
    </w:p>
    <w:p w:rsidR="006A4EED" w:rsidRPr="00562949" w:rsidRDefault="006A4EED" w:rsidP="00562949">
      <w:pPr>
        <w:pStyle w:val="Citationintense"/>
        <w:spacing w:before="0" w:after="0"/>
        <w:ind w:left="567" w:right="0"/>
        <w:rPr>
          <w:sz w:val="20"/>
          <w:szCs w:val="20"/>
          <w:vertAlign w:val="superscript"/>
        </w:rPr>
      </w:pPr>
      <w:r w:rsidRPr="00562949">
        <w:rPr>
          <w:iCs w:val="0"/>
          <w:sz w:val="20"/>
          <w:szCs w:val="20"/>
        </w:rPr>
        <w:t>Le théâtre en Algérie eut l’incroyable chance d’être pris en mains par deux véritables hommes de culture, Mohamed Boudia et Mustapha Kateb, qui permirent la mise en place et la définition des fonctions et des objectifs des structures théâtrales. Durant les premières années de l’indépendance, la grande question alimentant tous les débats s’articulait autour de la fonction du théâtre dans une société ankylosée, exsangue, qui cherchait à récupérer son propre substrat culturel tout en restant ouverte aux changements. Quel théâtre faire ? Telle est la lancinante interrogation qui parcourait les discours sur l’art scénique enfin pourvu de ses propres structures. Mohamed Boudia lançait l’idée du « théâtre populaire », syntagme non défini et très ambigu. Un théâtre « populaire » est-il réellement et forcément « révolutionnaire » ? A cette délicate interrogation, on s’abstint de répondre. Le silence était préférable. Les slogans et les discours démagogiques parcouraient le territoire culturel et politique. Les hommes de théâtre réclamaient avec sincérité l’établissement d’un « nouveau théâtre ouvert aux préoccupations du peuple ». Ce discours abstrait et peu pragmatique reflétait la mentalité d’une partie de l’élite intellectuelle de l’époque. Le romantisme caractérisait le discours développé par certaines franges de l’élite intellectuelle s’érigeant à la fois en « peuple » et en éveilleur de consciences. Ces discours tenus sur la pratique théâtrale avaient-ils quelque incidence sur le fonctionnement et l’organisation de l’activité théâtrale en Algérie ? Certes, non, dans la mesure où dans l’immédiat d’après l’indépendance,</w:t>
      </w:r>
      <w:r w:rsidR="0070704A" w:rsidRPr="00562949">
        <w:rPr>
          <w:iCs w:val="0"/>
          <w:sz w:val="20"/>
          <w:szCs w:val="20"/>
        </w:rPr>
        <w:t xml:space="preserve"> </w:t>
      </w:r>
      <w:r w:rsidRPr="00562949">
        <w:rPr>
          <w:iCs w:val="0"/>
          <w:sz w:val="20"/>
          <w:szCs w:val="20"/>
        </w:rPr>
        <w:t>l’essentiel était tout simplement de monter des spectacles</w:t>
      </w:r>
      <w:r w:rsidRPr="00562949">
        <w:rPr>
          <w:sz w:val="20"/>
          <w:szCs w:val="20"/>
        </w:rPr>
        <w:t>.</w:t>
      </w:r>
      <w:r w:rsidRPr="00562949">
        <w:rPr>
          <w:rStyle w:val="Appelnotedebasdep"/>
          <w:sz w:val="20"/>
          <w:szCs w:val="20"/>
        </w:rPr>
        <w:footnoteReference w:id="49"/>
      </w:r>
      <w:r w:rsidR="00B9698A" w:rsidRPr="00562949">
        <w:rPr>
          <w:sz w:val="20"/>
          <w:szCs w:val="20"/>
        </w:rPr>
        <w:t xml:space="preserve">  </w:t>
      </w:r>
    </w:p>
    <w:p w:rsidR="001B0FE7" w:rsidRDefault="001B0FE7" w:rsidP="001B0FE7">
      <w:pPr>
        <w:pStyle w:val="table0020grid"/>
        <w:spacing w:before="0" w:beforeAutospacing="0" w:after="0" w:afterAutospacing="0" w:line="360" w:lineRule="auto"/>
        <w:ind w:firstLine="284"/>
        <w:jc w:val="both"/>
      </w:pPr>
    </w:p>
    <w:p w:rsidR="006A4EED" w:rsidRPr="005E58D9" w:rsidRDefault="006A4EED" w:rsidP="001B0FE7">
      <w:pPr>
        <w:pStyle w:val="table0020grid"/>
        <w:spacing w:before="0" w:beforeAutospacing="0" w:after="0" w:afterAutospacing="0" w:line="360" w:lineRule="auto"/>
        <w:ind w:firstLine="284"/>
        <w:jc w:val="both"/>
      </w:pPr>
      <w:r w:rsidRPr="00053251">
        <w:t>Seulement Ould Abderahmane Kaki allait essayer de puiser du répertoire très riche du patrimoine culturel national, constitué principalement de l’oralité, pour en renforcer les acquis dramatiques universels, tant la présence de la culture européenne était une présence naturelle étant donné que le théâtre demeure caractérisé par le phénomène de l’adaptation. En conséquence, la présence de l’auteur et metteur en scène allemand Brecht et son collègue (et concitoyen) Piscator semble claire et évidente dans les textes de Kaki, en particulier « </w:t>
      </w:r>
      <w:r w:rsidRPr="003848FE">
        <w:t>Guerrab Oua Salihines</w:t>
      </w:r>
      <w:r w:rsidRPr="00053251">
        <w:t> »</w:t>
      </w:r>
      <w:r w:rsidR="003848FE">
        <w:t xml:space="preserve"> (</w:t>
      </w:r>
      <w:r w:rsidR="003848FE" w:rsidRPr="003848FE">
        <w:rPr>
          <w:i/>
          <w:iCs/>
        </w:rPr>
        <w:t>Le porteur d’eau et les marabouts</w:t>
      </w:r>
      <w:r w:rsidR="003848FE">
        <w:t>)</w:t>
      </w:r>
      <w:r w:rsidRPr="00053251">
        <w:t xml:space="preserve">. Si Brecht s’était permis </w:t>
      </w:r>
      <w:r w:rsidRPr="00053251">
        <w:lastRenderedPageBreak/>
        <w:t>d’adopter partiellement l’analyse des communautés développées par l’intermédiaire de certains animateurs de l’œuvre dramatique, Kaki, durant les toutes premières années de l’indépendance (en 1965), pour les besoins de son œuvre théâtrale citée ci-haut, avait adapté, avec une nouvelle touche brechtienne, la pièce de</w:t>
      </w:r>
      <w:r w:rsidRPr="005E58D9">
        <w:t xml:space="preserve"> « </w:t>
      </w:r>
      <w:r w:rsidRPr="005E58D9">
        <w:rPr>
          <w:i/>
          <w:iCs/>
        </w:rPr>
        <w:t>La bonne Ame de Sé-Tchouan</w:t>
      </w:r>
      <w:r w:rsidRPr="005E58D9">
        <w:t xml:space="preserve"> » de ce denier, en s’appropriant certains éléments techniques brechtiens et en conseillant à bon nombre de troupes théâtrales amateurs (festival du théâtre amateur de Mostaganem), qui usaient et puisaient des procédés formels du théâtre épique, de se consacrer sur l’héritage de Brecht. Ce dernier qui allait presque être algérianisé : </w:t>
      </w:r>
    </w:p>
    <w:p w:rsidR="006A4EED" w:rsidRPr="00CD4BA2" w:rsidRDefault="006A4EED" w:rsidP="00CD4BA2">
      <w:pPr>
        <w:pStyle w:val="Citationintense"/>
        <w:spacing w:before="0" w:after="0"/>
        <w:ind w:left="567" w:right="0"/>
        <w:rPr>
          <w:sz w:val="20"/>
          <w:szCs w:val="20"/>
          <w:vertAlign w:val="superscript"/>
        </w:rPr>
      </w:pPr>
      <w:r w:rsidRPr="00CD4BA2">
        <w:rPr>
          <w:iCs w:val="0"/>
          <w:sz w:val="20"/>
          <w:szCs w:val="20"/>
        </w:rPr>
        <w:t>Bertolt Brecht prendra la nationalité algérienne sans l’avoir demandée. Son théâtre est privilégié. Sa distanciation est cours obligé pour tout homme de théâtre qui se respecte. Tout le monde se met à lire "L’exception est la règle"."La bonne âme de Set chouan" est jouée par plusieurs théâtres. On fait acte d’allégeance à ce théâtre de combat, ce  théâtre-combat</w:t>
      </w:r>
      <w:r w:rsidRPr="00CD4BA2">
        <w:rPr>
          <w:sz w:val="20"/>
          <w:szCs w:val="20"/>
        </w:rPr>
        <w:t>.</w:t>
      </w:r>
      <w:r w:rsidRPr="00CD4BA2">
        <w:rPr>
          <w:rStyle w:val="Appelnotedebasdep"/>
          <w:sz w:val="20"/>
          <w:szCs w:val="20"/>
        </w:rPr>
        <w:footnoteReference w:id="50"/>
      </w:r>
    </w:p>
    <w:p w:rsidR="00CD4BA2" w:rsidRDefault="00CD4BA2" w:rsidP="00CD4BA2">
      <w:pPr>
        <w:pStyle w:val="table0020grid"/>
        <w:spacing w:before="0" w:beforeAutospacing="0" w:after="0" w:afterAutospacing="0" w:line="360" w:lineRule="auto"/>
        <w:ind w:firstLine="284"/>
        <w:jc w:val="both"/>
      </w:pPr>
    </w:p>
    <w:p w:rsidR="006A4EED" w:rsidRPr="005E58D9" w:rsidRDefault="006A4EED" w:rsidP="00CD4BA2">
      <w:pPr>
        <w:pStyle w:val="table0020grid"/>
        <w:spacing w:before="0" w:beforeAutospacing="0" w:after="0" w:afterAutospacing="0" w:line="360" w:lineRule="auto"/>
        <w:ind w:firstLine="284"/>
        <w:jc w:val="both"/>
      </w:pPr>
      <w:r w:rsidRPr="005E58D9">
        <w:t xml:space="preserve">Ce théâtre amateur qui fut une forte expérience pour l’art théâtral algérien en général, </w:t>
      </w:r>
      <w:r>
        <w:t xml:space="preserve">Ahmed </w:t>
      </w:r>
      <w:r w:rsidRPr="005E58D9">
        <w:t>C</w:t>
      </w:r>
      <w:r w:rsidR="00CD4BA2">
        <w:t>heniki</w:t>
      </w:r>
      <w:r w:rsidRPr="005E58D9">
        <w:t xml:space="preserve"> le décrit ainsi :</w:t>
      </w:r>
    </w:p>
    <w:p w:rsidR="006A4EED" w:rsidRPr="00CD4BA2" w:rsidRDefault="006A4EED" w:rsidP="00CD4BA2">
      <w:pPr>
        <w:pStyle w:val="Citationintense"/>
        <w:spacing w:before="0" w:after="0"/>
        <w:ind w:left="567" w:right="0"/>
        <w:rPr>
          <w:sz w:val="20"/>
          <w:szCs w:val="20"/>
        </w:rPr>
      </w:pPr>
      <w:r w:rsidRPr="00CD4BA2">
        <w:rPr>
          <w:iCs w:val="0"/>
          <w:sz w:val="20"/>
          <w:szCs w:val="20"/>
        </w:rPr>
        <w:t>On ne peut évoquer l'expérience du théâtre d'amateurs en Algérie sans citer le festival national du théâtre d’amateurs qui se déroule depuis 1967 dans une ville côtière de l'Oranie (Ouest algérien): Mostaganem. Cette rencontre était, à ses débuts, régionale, elle ne réunissait que les troupes de 1’0uest.  Petit à petit, le festival s'est assuré une ouverture nationale et est considéré comme le lieu-phare de rassemblement des groupes d’amateurs.  Des dizaines de troupes se sont produites à Mostaganem. Les premières éditions prises en charge par 1a commission culturelle des Scouts Musulmans Algériens (S.M.A) ne dépassèrent pas le caractère régional de 1a manifestation. Une dizaine de troupes présentaient leurs spectacles et regagnaient leur ville d'origine 1e lendemain. Ce n'est qu’en 1970 que le festival de Mostaganem prit une dimension nationale. (...) Ce théâtre qui, selon nous, a connu trois phases (1962-70, 1970-80, 1981- 2000) successives particulières, est surtout un théâtre d'intervention sociale et politique. La présence de nombreux ex-amateurs dans les théâtres d'Etat met en relief la force de cette expérience qui traverse l'art scénique algérien.</w:t>
      </w:r>
      <w:r w:rsidRPr="00CD4BA2">
        <w:rPr>
          <w:rStyle w:val="Appelnotedebasdep"/>
          <w:sz w:val="20"/>
          <w:szCs w:val="20"/>
        </w:rPr>
        <w:footnoteReference w:id="51"/>
      </w:r>
      <w:r w:rsidRPr="00CD4BA2">
        <w:rPr>
          <w:sz w:val="20"/>
          <w:szCs w:val="20"/>
        </w:rPr>
        <w:t> </w:t>
      </w:r>
    </w:p>
    <w:p w:rsidR="0053204D" w:rsidRDefault="0053204D" w:rsidP="0053204D">
      <w:pPr>
        <w:pStyle w:val="table0020grid"/>
        <w:spacing w:before="0" w:beforeAutospacing="0" w:after="0" w:afterAutospacing="0" w:line="360" w:lineRule="auto"/>
        <w:ind w:firstLine="284"/>
        <w:jc w:val="both"/>
      </w:pPr>
    </w:p>
    <w:p w:rsidR="006A4EED" w:rsidRPr="005E58D9" w:rsidRDefault="006A4EED" w:rsidP="0053204D">
      <w:pPr>
        <w:pStyle w:val="table0020grid"/>
        <w:spacing w:before="0" w:beforeAutospacing="0" w:after="0" w:afterAutospacing="0" w:line="360" w:lineRule="auto"/>
        <w:ind w:firstLine="284"/>
        <w:jc w:val="both"/>
      </w:pPr>
      <w:r w:rsidRPr="006214AA">
        <w:t>Il semble,</w:t>
      </w:r>
      <w:r w:rsidRPr="005E58D9">
        <w:t xml:space="preserve"> tout aussi, que l’art de l’écriture dramatique ponctué par des chansons avait marqué particulièrement l’expérience du dramaturge Brecht. Tout comme le principe de la simulation imaginaire (distanciation), très souvent adopté, mais qui n’était pas adéquatement appliqué par un bon nombre d’auteurs. Il </w:t>
      </w:r>
      <w:r>
        <w:t xml:space="preserve">est </w:t>
      </w:r>
      <w:r w:rsidRPr="005E58D9">
        <w:t xml:space="preserve">donc nécessaire de s’interroger sur certaines pratiques dramatiques populaires en envisageant ses performances au sein de textes inspirés de la « tradition » rhétorique de la narration parlée ou écrite. À notre humble avis,  les auteurs </w:t>
      </w:r>
      <w:r w:rsidRPr="005E58D9">
        <w:lastRenderedPageBreak/>
        <w:t xml:space="preserve">comme Kateb Yacine, Abdelkader Alloula et Ould Abderahmane Kaki, demeurent des dramaturges hors mesure du fait qu’ils avaient pu, d’une façon magnifique, marier entre les formes populaires et le monde dramatique européen : Kateb avait restauré le personnage de </w:t>
      </w:r>
      <w:r w:rsidRPr="005E58D9">
        <w:rPr>
          <w:i/>
          <w:iCs/>
        </w:rPr>
        <w:t>Djeha</w:t>
      </w:r>
      <w:r w:rsidRPr="005E58D9">
        <w:t xml:space="preserve"> en réinvestissant de nouveaux signes théâtraux, Alloula avait transformé le structure du </w:t>
      </w:r>
      <w:r w:rsidRPr="005E58D9">
        <w:rPr>
          <w:i/>
          <w:iCs/>
        </w:rPr>
        <w:t>Gouwal</w:t>
      </w:r>
      <w:r w:rsidRPr="005E58D9">
        <w:t xml:space="preserve"> et d’</w:t>
      </w:r>
      <w:r w:rsidRPr="005E58D9">
        <w:rPr>
          <w:i/>
          <w:iCs/>
        </w:rPr>
        <w:t>El-Halka</w:t>
      </w:r>
      <w:r w:rsidRPr="005E58D9">
        <w:t xml:space="preserve">, et Kaki, quant à lui, avait exploré les horizons de la poésie populaire du Maghreb arabe. </w:t>
      </w:r>
    </w:p>
    <w:p w:rsidR="006A4EED" w:rsidRDefault="006A4EED" w:rsidP="0038732C">
      <w:pPr>
        <w:pStyle w:val="table0020grid"/>
        <w:spacing w:before="0" w:beforeAutospacing="0" w:after="0" w:afterAutospacing="0" w:line="360" w:lineRule="auto"/>
        <w:ind w:firstLine="284"/>
        <w:jc w:val="both"/>
      </w:pPr>
      <w:r w:rsidRPr="005E58D9">
        <w:t xml:space="preserve">Néanmoins, la relation avec Brecht au sujet de ce répertoire du patrimoine culturel, concerne essentiellement le procédé dont Kaki s’est distingué. En effet, il avait fait appel à de nombreux éléments de la culture populaire tout en mettant dans une structure de parallélisme contradictoire Brecht et Artaud. Nous le verrons plus loin en explorant l’univers de Kaki. Pour l’heure, mettons en lumière quelques questions controversées </w:t>
      </w:r>
      <w:r w:rsidR="008E7BD5">
        <w:t xml:space="preserve">autour du théâtre algérien.    </w:t>
      </w:r>
    </w:p>
    <w:p w:rsidR="00784D77" w:rsidRDefault="00784D77" w:rsidP="006C70CA">
      <w:pPr>
        <w:pStyle w:val="Titre4"/>
        <w:spacing w:before="0" w:after="0" w:line="360" w:lineRule="auto"/>
        <w:ind w:left="0" w:firstLine="284"/>
        <w:jc w:val="both"/>
        <w:rPr>
          <w:rFonts w:ascii="Times New Roman" w:hAnsi="Times New Roman"/>
          <w:i w:val="0"/>
          <w:iCs/>
        </w:rPr>
      </w:pPr>
    </w:p>
    <w:p w:rsidR="006A4EED" w:rsidRPr="006C70CA" w:rsidRDefault="006C70CA" w:rsidP="006C70CA">
      <w:pPr>
        <w:pStyle w:val="Titre4"/>
        <w:spacing w:before="0" w:after="0" w:line="360" w:lineRule="auto"/>
        <w:ind w:left="0" w:firstLine="284"/>
        <w:jc w:val="both"/>
        <w:rPr>
          <w:rFonts w:ascii="Times New Roman" w:hAnsi="Times New Roman"/>
          <w:i w:val="0"/>
          <w:iCs/>
        </w:rPr>
      </w:pPr>
      <w:bookmarkStart w:id="31" w:name="_Toc471484407"/>
      <w:r w:rsidRPr="006C70CA">
        <w:rPr>
          <w:rFonts w:ascii="Times New Roman" w:hAnsi="Times New Roman"/>
          <w:i w:val="0"/>
          <w:iCs/>
        </w:rPr>
        <w:t>2.2. Autres</w:t>
      </w:r>
      <w:r w:rsidR="006A4EED" w:rsidRPr="006C70CA">
        <w:rPr>
          <w:rFonts w:ascii="Times New Roman" w:hAnsi="Times New Roman"/>
          <w:i w:val="0"/>
          <w:iCs/>
        </w:rPr>
        <w:t xml:space="preserve"> questions autour du théâtre algérien</w:t>
      </w:r>
      <w:bookmarkEnd w:id="31"/>
    </w:p>
    <w:p w:rsidR="006A4EED" w:rsidRPr="005E58D9" w:rsidRDefault="006A4EED" w:rsidP="006C70CA">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Evoquons à présent quelques points de discussion autour du théâtre algérien : </w:t>
      </w:r>
    </w:p>
    <w:p w:rsidR="006A4EED" w:rsidRPr="006C70CA" w:rsidRDefault="006A4EED" w:rsidP="00230C65">
      <w:pPr>
        <w:pStyle w:val="Paragraphedeliste"/>
        <w:numPr>
          <w:ilvl w:val="0"/>
          <w:numId w:val="38"/>
        </w:numPr>
        <w:spacing w:after="0" w:line="360" w:lineRule="auto"/>
        <w:jc w:val="both"/>
        <w:rPr>
          <w:rFonts w:ascii="Times New Roman" w:hAnsi="Times New Roman"/>
          <w:sz w:val="24"/>
          <w:szCs w:val="24"/>
        </w:rPr>
      </w:pPr>
      <w:r w:rsidRPr="006C70CA">
        <w:rPr>
          <w:rFonts w:ascii="Times New Roman" w:hAnsi="Times New Roman"/>
          <w:sz w:val="24"/>
          <w:szCs w:val="24"/>
        </w:rPr>
        <w:t>La réalité de l’existence d’un théâtre typiquement algérien</w:t>
      </w:r>
    </w:p>
    <w:p w:rsidR="006A4EED" w:rsidRPr="006C70CA" w:rsidRDefault="006C70CA" w:rsidP="00230C65">
      <w:pPr>
        <w:pStyle w:val="Paragraphedeliste"/>
        <w:numPr>
          <w:ilvl w:val="0"/>
          <w:numId w:val="38"/>
        </w:numPr>
        <w:spacing w:after="0" w:line="360" w:lineRule="auto"/>
        <w:jc w:val="both"/>
        <w:rPr>
          <w:rFonts w:ascii="Times New Roman" w:hAnsi="Times New Roman"/>
          <w:sz w:val="24"/>
          <w:szCs w:val="24"/>
        </w:rPr>
      </w:pPr>
      <w:r>
        <w:rPr>
          <w:rFonts w:ascii="Times New Roman" w:hAnsi="Times New Roman"/>
          <w:sz w:val="24"/>
          <w:szCs w:val="24"/>
        </w:rPr>
        <w:t>L</w:t>
      </w:r>
      <w:r w:rsidR="006A4EED" w:rsidRPr="006C70CA">
        <w:rPr>
          <w:rFonts w:ascii="Times New Roman" w:hAnsi="Times New Roman"/>
          <w:sz w:val="24"/>
          <w:szCs w:val="24"/>
        </w:rPr>
        <w:t>e théâtre algérien et son rapport à l’Islam</w:t>
      </w:r>
    </w:p>
    <w:p w:rsidR="006A4EED" w:rsidRPr="006C70CA" w:rsidRDefault="006C70CA" w:rsidP="00230C65">
      <w:pPr>
        <w:pStyle w:val="Paragraphedeliste"/>
        <w:numPr>
          <w:ilvl w:val="0"/>
          <w:numId w:val="38"/>
        </w:numPr>
        <w:spacing w:after="0" w:line="360" w:lineRule="auto"/>
        <w:jc w:val="both"/>
        <w:rPr>
          <w:rFonts w:ascii="Times New Roman" w:hAnsi="Times New Roman"/>
          <w:sz w:val="24"/>
          <w:szCs w:val="24"/>
        </w:rPr>
      </w:pPr>
      <w:r>
        <w:rPr>
          <w:rFonts w:ascii="Times New Roman" w:hAnsi="Times New Roman"/>
          <w:sz w:val="24"/>
          <w:szCs w:val="24"/>
        </w:rPr>
        <w:t>L</w:t>
      </w:r>
      <w:r w:rsidR="006A4EED" w:rsidRPr="006C70CA">
        <w:rPr>
          <w:rFonts w:ascii="Times New Roman" w:hAnsi="Times New Roman"/>
          <w:sz w:val="24"/>
          <w:szCs w:val="24"/>
        </w:rPr>
        <w:t>e théâtre algérien et la culture populaire</w:t>
      </w:r>
    </w:p>
    <w:p w:rsidR="006A4EED" w:rsidRPr="006C70CA" w:rsidRDefault="006C70CA" w:rsidP="00230C65">
      <w:pPr>
        <w:pStyle w:val="Paragraphedeliste"/>
        <w:numPr>
          <w:ilvl w:val="0"/>
          <w:numId w:val="38"/>
        </w:numPr>
        <w:spacing w:after="0" w:line="360" w:lineRule="auto"/>
        <w:jc w:val="both"/>
        <w:rPr>
          <w:rFonts w:ascii="Times New Roman" w:hAnsi="Times New Roman"/>
          <w:sz w:val="24"/>
          <w:szCs w:val="24"/>
        </w:rPr>
      </w:pPr>
      <w:r>
        <w:rPr>
          <w:rFonts w:ascii="Times New Roman" w:hAnsi="Times New Roman"/>
          <w:sz w:val="24"/>
          <w:szCs w:val="24"/>
        </w:rPr>
        <w:t>L</w:t>
      </w:r>
      <w:r w:rsidR="006A4EED" w:rsidRPr="006C70CA">
        <w:rPr>
          <w:rFonts w:ascii="Times New Roman" w:hAnsi="Times New Roman"/>
          <w:sz w:val="24"/>
          <w:szCs w:val="24"/>
        </w:rPr>
        <w:t>e théâtre algérien et l’engagement</w:t>
      </w:r>
    </w:p>
    <w:p w:rsidR="006A4EED" w:rsidRPr="005E58D9" w:rsidRDefault="006A4EED" w:rsidP="00EA6CF4">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Cette présentation nous permettra de disposer d’une « carte mentale » du théâtre algérien, lequel aura été aux fondements de l’épanouissement littéraire de Kaki. </w:t>
      </w:r>
    </w:p>
    <w:p w:rsidR="00784D77" w:rsidRDefault="00784D77" w:rsidP="00EC1877">
      <w:pPr>
        <w:pStyle w:val="Titre5"/>
        <w:spacing w:before="0" w:after="0"/>
        <w:ind w:left="641" w:hanging="357"/>
        <w:jc w:val="both"/>
        <w:rPr>
          <w:rFonts w:ascii="Times New Roman" w:hAnsi="Times New Roman"/>
          <w:color w:val="auto"/>
        </w:rPr>
      </w:pPr>
    </w:p>
    <w:p w:rsidR="006A4EED" w:rsidRPr="00FE2D9C" w:rsidRDefault="00EC1877" w:rsidP="00EC1877">
      <w:pPr>
        <w:pStyle w:val="Titre5"/>
        <w:spacing w:before="0" w:after="0"/>
        <w:ind w:left="641" w:hanging="357"/>
        <w:jc w:val="both"/>
        <w:rPr>
          <w:rFonts w:ascii="Times New Roman" w:hAnsi="Times New Roman"/>
          <w:color w:val="auto"/>
        </w:rPr>
      </w:pPr>
      <w:bookmarkStart w:id="32" w:name="_Toc471484408"/>
      <w:r>
        <w:rPr>
          <w:rFonts w:ascii="Times New Roman" w:hAnsi="Times New Roman"/>
          <w:color w:val="auto"/>
        </w:rPr>
        <w:t>2.2.1.</w:t>
      </w:r>
      <w:r w:rsidRPr="00FE2D9C">
        <w:rPr>
          <w:rFonts w:ascii="Times New Roman" w:hAnsi="Times New Roman"/>
          <w:color w:val="auto"/>
        </w:rPr>
        <w:t xml:space="preserve"> La</w:t>
      </w:r>
      <w:r w:rsidR="006A4EED" w:rsidRPr="00FE2D9C">
        <w:rPr>
          <w:rFonts w:ascii="Times New Roman" w:hAnsi="Times New Roman"/>
          <w:color w:val="auto"/>
        </w:rPr>
        <w:t xml:space="preserve"> réalité du théâtre dans le monde arabe : existe-t-il un théâtre algérien ?</w:t>
      </w:r>
      <w:bookmarkEnd w:id="32"/>
    </w:p>
    <w:p w:rsidR="006A4EED" w:rsidRPr="005E58D9" w:rsidRDefault="006A4EED" w:rsidP="00076084">
      <w:pPr>
        <w:spacing w:after="0" w:line="360" w:lineRule="auto"/>
        <w:ind w:firstLine="284"/>
        <w:jc w:val="both"/>
        <w:rPr>
          <w:rFonts w:ascii="TimesNewRoman" w:hAnsi="TimesNewRoman" w:cs="TimesNewRoman"/>
          <w:sz w:val="24"/>
          <w:szCs w:val="24"/>
          <w:lang w:eastAsia="fr-FR"/>
        </w:rPr>
      </w:pPr>
      <w:r w:rsidRPr="005E58D9">
        <w:rPr>
          <w:rFonts w:ascii="Times New Roman" w:hAnsi="Times New Roman"/>
          <w:sz w:val="24"/>
          <w:szCs w:val="24"/>
        </w:rPr>
        <w:t>L’idée des origines du théâtre dans les pays musulmans demeure non tranchée. Elle pose la question de l’essence même du théâtre algérien. Pour Sidi Mohamed Lakhdar Barka</w:t>
      </w:r>
      <w:r w:rsidR="00FE2D9C">
        <w:rPr>
          <w:rFonts w:ascii="Times New Roman" w:hAnsi="Times New Roman"/>
          <w:sz w:val="24"/>
          <w:szCs w:val="24"/>
        </w:rPr>
        <w:t xml:space="preserve">, </w:t>
      </w:r>
      <w:r w:rsidR="00FE2D9C" w:rsidRPr="00FE2D9C">
        <w:rPr>
          <w:rFonts w:asciiTheme="majorBidi" w:hAnsiTheme="majorBidi" w:cstheme="majorBidi"/>
          <w:sz w:val="24"/>
          <w:szCs w:val="24"/>
        </w:rPr>
        <w:t>« </w:t>
      </w:r>
      <w:r w:rsidRPr="00FE2D9C">
        <w:rPr>
          <w:rFonts w:asciiTheme="majorBidi" w:hAnsiTheme="majorBidi" w:cstheme="majorBidi"/>
          <w:sz w:val="24"/>
          <w:szCs w:val="24"/>
        </w:rPr>
        <w:t>Ce n'est qu'en 1848 que le monde arabe découvre le théâtre grâce aux traductions et adaptations de pièces européennes (telles que "L'avare" qui donne "El Bakhil") par Marun Neqash, Libanais maronite</w:t>
      </w:r>
      <w:r w:rsidR="00FE2D9C" w:rsidRPr="00FE2D9C">
        <w:rPr>
          <w:rFonts w:asciiTheme="majorBidi" w:hAnsiTheme="majorBidi" w:cstheme="majorBidi"/>
          <w:sz w:val="24"/>
          <w:szCs w:val="24"/>
        </w:rPr>
        <w:t> »</w:t>
      </w:r>
      <w:r w:rsidRPr="00FE2D9C">
        <w:rPr>
          <w:rFonts w:asciiTheme="majorBidi" w:hAnsiTheme="majorBidi" w:cstheme="majorBidi"/>
          <w:sz w:val="24"/>
          <w:szCs w:val="24"/>
          <w:vertAlign w:val="superscript"/>
        </w:rPr>
        <w:footnoteReference w:id="52"/>
      </w:r>
      <w:r w:rsidR="00FE2D9C">
        <w:rPr>
          <w:rFonts w:asciiTheme="majorBidi" w:hAnsiTheme="majorBidi" w:cstheme="majorBidi"/>
          <w:sz w:val="24"/>
          <w:szCs w:val="24"/>
        </w:rPr>
        <w:t>.</w:t>
      </w:r>
      <w:r w:rsidR="00076084">
        <w:rPr>
          <w:rFonts w:asciiTheme="majorBidi" w:hAnsiTheme="majorBidi" w:cstheme="majorBidi"/>
          <w:sz w:val="24"/>
          <w:szCs w:val="24"/>
        </w:rPr>
        <w:t xml:space="preserve"> </w:t>
      </w:r>
      <w:r w:rsidRPr="005E58D9">
        <w:rPr>
          <w:rFonts w:ascii="TimesNewRoman" w:hAnsi="TimesNewRoman" w:cs="TimesNewRoman"/>
          <w:sz w:val="24"/>
          <w:szCs w:val="24"/>
          <w:lang w:eastAsia="fr-FR"/>
        </w:rPr>
        <w:t xml:space="preserve">Le théâtre algérien serait donc assez récent. Mais ce n’est pas un point de vue partagé par tout le monde. </w:t>
      </w:r>
    </w:p>
    <w:p w:rsidR="006A4EED" w:rsidRPr="005E58D9" w:rsidRDefault="006A4EED" w:rsidP="00076084">
      <w:pPr>
        <w:spacing w:after="0" w:line="360" w:lineRule="auto"/>
        <w:ind w:firstLine="284"/>
        <w:jc w:val="both"/>
        <w:rPr>
          <w:rFonts w:ascii="TimesNewRoman" w:hAnsi="TimesNewRoman" w:cs="TimesNewRoman"/>
          <w:sz w:val="24"/>
          <w:szCs w:val="24"/>
          <w:lang w:eastAsia="fr-FR"/>
        </w:rPr>
      </w:pPr>
      <w:r w:rsidRPr="005E58D9">
        <w:rPr>
          <w:rFonts w:ascii="TimesNewRoman" w:hAnsi="TimesNewRoman" w:cs="TimesNewRoman"/>
          <w:sz w:val="24"/>
          <w:szCs w:val="24"/>
          <w:lang w:eastAsia="fr-FR"/>
        </w:rPr>
        <w:lastRenderedPageBreak/>
        <w:t>En fait, deux thèses s’affrontent lorsqu’on évoque ces fondements du théâtre algérien:</w:t>
      </w:r>
      <w:r w:rsidR="00B9698A">
        <w:rPr>
          <w:rFonts w:ascii="TimesNewRoman" w:hAnsi="TimesNewRoman" w:cs="TimesNewRoman"/>
          <w:sz w:val="24"/>
          <w:szCs w:val="24"/>
          <w:lang w:eastAsia="fr-FR"/>
        </w:rPr>
        <w:t xml:space="preserve"> </w:t>
      </w:r>
      <w:r w:rsidRPr="005E58D9">
        <w:rPr>
          <w:rFonts w:ascii="TimesNewRoman" w:hAnsi="TimesNewRoman" w:cs="TimesNewRoman"/>
          <w:sz w:val="24"/>
          <w:szCs w:val="24"/>
          <w:lang w:eastAsia="fr-FR"/>
        </w:rPr>
        <w:t>la première estime que le théâtre dans le monde musulman ne saurait être assimilé à des formes locales de contes, de chants et de récits autour du feu, devant un public. Les manifestations visibles depuis toujours dans la société algérienne ne sauraient être du théâtre.</w:t>
      </w:r>
    </w:p>
    <w:p w:rsidR="006A4EED" w:rsidRPr="005E58D9" w:rsidRDefault="006A4EED" w:rsidP="005144DF">
      <w:pPr>
        <w:spacing w:after="0" w:line="360" w:lineRule="auto"/>
        <w:ind w:firstLine="284"/>
        <w:jc w:val="both"/>
        <w:rPr>
          <w:rFonts w:ascii="TimesNewRoman" w:hAnsi="TimesNewRoman" w:cs="TimesNewRoman"/>
          <w:sz w:val="24"/>
          <w:szCs w:val="24"/>
          <w:lang w:eastAsia="fr-FR"/>
        </w:rPr>
      </w:pPr>
      <w:r w:rsidRPr="005E58D9">
        <w:rPr>
          <w:rFonts w:ascii="TimesNewRoman" w:hAnsi="TimesNewRoman" w:cs="TimesNewRoman"/>
          <w:sz w:val="24"/>
          <w:szCs w:val="24"/>
          <w:lang w:eastAsia="fr-FR"/>
        </w:rPr>
        <w:t xml:space="preserve">Dans la préface à l’ouvrage de Mohamed Aziza, Jacques Berque affirme : </w:t>
      </w:r>
    </w:p>
    <w:p w:rsidR="006A4EED" w:rsidRPr="005144DF" w:rsidRDefault="006A4EED" w:rsidP="007204D2">
      <w:pPr>
        <w:pStyle w:val="Citationintense"/>
        <w:spacing w:before="0" w:after="0"/>
        <w:ind w:left="567" w:right="0"/>
        <w:rPr>
          <w:sz w:val="20"/>
          <w:szCs w:val="20"/>
        </w:rPr>
      </w:pPr>
      <w:r w:rsidRPr="005144DF">
        <w:rPr>
          <w:sz w:val="20"/>
          <w:szCs w:val="20"/>
        </w:rPr>
        <w:t>De théâtre, il n’est point, au sens habituel du terme, dans le Legs arabe. Et chacun de ressasser le contresens paradoxal de cet Averroès, génial interprète d’Aristote, et qui, traduisant La Poétique, crut pouvoir rendre « comédie » par « satire » et « tragédie » par « panégyrique ». Il est vrai que les philosophes arabes, ouvertement, insolemment disciples de l’Hellénisme, ignoraient pareillement la poésie de ceux-là mêmes dont ils admiraient si fort, et dans une large mesure, adoptaient les concepts […] Mais de théâtre, répétons-le point, encore que ça et là, des mimes, des saynètes et même des mystères offrent un legs nullement néglig</w:t>
      </w:r>
      <w:r w:rsidR="002373DF" w:rsidRPr="005144DF">
        <w:rPr>
          <w:sz w:val="20"/>
          <w:szCs w:val="20"/>
        </w:rPr>
        <w:t>eable et digne de prolongements</w:t>
      </w:r>
      <w:r w:rsidRPr="005144DF">
        <w:rPr>
          <w:sz w:val="20"/>
          <w:szCs w:val="20"/>
          <w:vertAlign w:val="superscript"/>
        </w:rPr>
        <w:footnoteReference w:id="53"/>
      </w:r>
      <w:r w:rsidR="007204D2">
        <w:rPr>
          <w:sz w:val="20"/>
          <w:szCs w:val="20"/>
        </w:rPr>
        <w:t>.</w:t>
      </w:r>
    </w:p>
    <w:p w:rsidR="00D61BBE" w:rsidRDefault="006A4EED" w:rsidP="006A4EED">
      <w:pPr>
        <w:tabs>
          <w:tab w:val="left" w:pos="1456"/>
        </w:tabs>
        <w:spacing w:line="360" w:lineRule="auto"/>
        <w:jc w:val="both"/>
        <w:rPr>
          <w:rFonts w:ascii="Times New Roman" w:hAnsi="Times New Roman"/>
        </w:rPr>
      </w:pPr>
      <w:r w:rsidRPr="005E58D9">
        <w:rPr>
          <w:rFonts w:ascii="Times New Roman" w:hAnsi="Times New Roman"/>
        </w:rPr>
        <w:t xml:space="preserve">         </w:t>
      </w:r>
    </w:p>
    <w:p w:rsidR="006A4EED" w:rsidRPr="002A52E8" w:rsidRDefault="006A4EED" w:rsidP="002A52E8">
      <w:pPr>
        <w:tabs>
          <w:tab w:val="left" w:pos="1456"/>
        </w:tabs>
        <w:spacing w:after="0" w:line="360" w:lineRule="auto"/>
        <w:ind w:firstLine="284"/>
        <w:jc w:val="both"/>
        <w:rPr>
          <w:rFonts w:asciiTheme="majorBidi" w:hAnsiTheme="majorBidi" w:cstheme="majorBidi"/>
          <w:sz w:val="24"/>
          <w:szCs w:val="24"/>
        </w:rPr>
      </w:pPr>
      <w:r w:rsidRPr="00D61BBE">
        <w:rPr>
          <w:rFonts w:asciiTheme="majorBidi" w:hAnsiTheme="majorBidi" w:cstheme="majorBidi"/>
          <w:sz w:val="24"/>
          <w:szCs w:val="24"/>
        </w:rPr>
        <w:t>De fait, des études soutiennent l’idée que le théâtre, au sens occidental du terme, n’existe que très tardivement en Algérie et dans les pays arabes, pour des raisons religieuses notamment. Roselyne Baffet soutient ainsi, dans son ouvrage consacré à la tradition théâtrale en Algérie, que</w:t>
      </w:r>
      <w:r w:rsidR="002A52E8">
        <w:rPr>
          <w:rFonts w:asciiTheme="majorBidi" w:hAnsiTheme="majorBidi" w:cstheme="majorBidi"/>
          <w:sz w:val="24"/>
          <w:szCs w:val="24"/>
        </w:rPr>
        <w:t xml:space="preserve"> </w:t>
      </w:r>
      <w:r w:rsidRPr="002A52E8">
        <w:rPr>
          <w:rFonts w:asciiTheme="majorBidi" w:hAnsiTheme="majorBidi" w:cstheme="majorBidi"/>
          <w:sz w:val="24"/>
          <w:szCs w:val="24"/>
        </w:rPr>
        <w:t>« </w:t>
      </w:r>
      <w:r w:rsidR="002A52E8" w:rsidRPr="002A52E8">
        <w:rPr>
          <w:rFonts w:asciiTheme="majorBidi" w:hAnsiTheme="majorBidi" w:cstheme="majorBidi"/>
          <w:sz w:val="24"/>
          <w:szCs w:val="24"/>
        </w:rPr>
        <w:t>s</w:t>
      </w:r>
      <w:r w:rsidRPr="002A52E8">
        <w:rPr>
          <w:rFonts w:asciiTheme="majorBidi" w:hAnsiTheme="majorBidi" w:cstheme="majorBidi"/>
          <w:sz w:val="24"/>
          <w:szCs w:val="24"/>
        </w:rPr>
        <w:t>ans vouloir ignorer ce type d’expression artistique, on</w:t>
      </w:r>
      <w:r w:rsidR="002A52E8">
        <w:rPr>
          <w:rFonts w:asciiTheme="majorBidi" w:hAnsiTheme="majorBidi" w:cstheme="majorBidi"/>
          <w:sz w:val="24"/>
          <w:szCs w:val="24"/>
        </w:rPr>
        <w:t xml:space="preserve"> </w:t>
      </w:r>
      <w:r w:rsidRPr="002A52E8">
        <w:rPr>
          <w:rFonts w:asciiTheme="majorBidi" w:hAnsiTheme="majorBidi" w:cstheme="majorBidi"/>
          <w:sz w:val="24"/>
          <w:szCs w:val="24"/>
        </w:rPr>
        <w:t>s’accorde</w:t>
      </w:r>
      <w:r w:rsidR="002A52E8">
        <w:rPr>
          <w:rFonts w:asciiTheme="majorBidi" w:hAnsiTheme="majorBidi" w:cstheme="majorBidi"/>
          <w:sz w:val="24"/>
          <w:szCs w:val="24"/>
        </w:rPr>
        <w:t xml:space="preserve"> </w:t>
      </w:r>
      <w:r w:rsidRPr="002A52E8">
        <w:rPr>
          <w:rFonts w:asciiTheme="majorBidi" w:hAnsiTheme="majorBidi" w:cstheme="majorBidi"/>
          <w:sz w:val="24"/>
          <w:szCs w:val="24"/>
        </w:rPr>
        <w:t>sur l’inexistence d’un</w:t>
      </w:r>
      <w:r w:rsidR="002A52E8">
        <w:rPr>
          <w:rFonts w:asciiTheme="majorBidi" w:hAnsiTheme="majorBidi" w:cstheme="majorBidi"/>
          <w:sz w:val="24"/>
          <w:szCs w:val="24"/>
        </w:rPr>
        <w:t xml:space="preserve"> </w:t>
      </w:r>
      <w:r w:rsidRPr="002A52E8">
        <w:rPr>
          <w:rFonts w:asciiTheme="majorBidi" w:hAnsiTheme="majorBidi" w:cstheme="majorBidi"/>
          <w:sz w:val="24"/>
          <w:szCs w:val="24"/>
        </w:rPr>
        <w:t>véritable phénomène théâtral dans les pays arabes»</w:t>
      </w:r>
      <w:r w:rsidRPr="002A52E8">
        <w:rPr>
          <w:rFonts w:asciiTheme="majorBidi" w:hAnsiTheme="majorBidi" w:cstheme="majorBidi"/>
          <w:sz w:val="24"/>
          <w:szCs w:val="24"/>
          <w:vertAlign w:val="superscript"/>
        </w:rPr>
        <w:footnoteReference w:id="54"/>
      </w:r>
      <w:r w:rsidR="002A52E8">
        <w:rPr>
          <w:rFonts w:asciiTheme="majorBidi" w:hAnsiTheme="majorBidi" w:cstheme="majorBidi"/>
          <w:sz w:val="24"/>
          <w:szCs w:val="24"/>
        </w:rPr>
        <w:t>.</w:t>
      </w:r>
    </w:p>
    <w:p w:rsidR="006A4EED" w:rsidRPr="003E5F79" w:rsidRDefault="006A4EED" w:rsidP="000337EC">
      <w:pPr>
        <w:spacing w:after="0" w:line="360" w:lineRule="auto"/>
        <w:ind w:firstLine="284"/>
        <w:jc w:val="both"/>
        <w:rPr>
          <w:rFonts w:asciiTheme="majorBidi" w:hAnsiTheme="majorBidi" w:cstheme="majorBidi"/>
          <w:sz w:val="24"/>
          <w:szCs w:val="24"/>
        </w:rPr>
      </w:pPr>
      <w:r w:rsidRPr="005E58D9">
        <w:rPr>
          <w:rFonts w:ascii="Times New Roman" w:hAnsi="Times New Roman"/>
          <w:sz w:val="24"/>
          <w:szCs w:val="24"/>
        </w:rPr>
        <w:t xml:space="preserve">Cela veut dire que le monde arabe qui s'est toujours caractérisé par des fêtes populaires, des scènes emphatiques ou graves n'a jamais eu de tradition théâtrale au sens de représentation d'une histoire, d'une situation dramatique, tant il est </w:t>
      </w:r>
      <w:r w:rsidRPr="003E5F79">
        <w:rPr>
          <w:rFonts w:asciiTheme="majorBidi" w:hAnsiTheme="majorBidi" w:cstheme="majorBidi"/>
          <w:sz w:val="24"/>
          <w:szCs w:val="24"/>
        </w:rPr>
        <w:t>vrai que</w:t>
      </w:r>
      <w:r w:rsidR="003E5F79" w:rsidRPr="003E5F79">
        <w:rPr>
          <w:rFonts w:asciiTheme="majorBidi" w:hAnsiTheme="majorBidi" w:cstheme="majorBidi"/>
          <w:sz w:val="24"/>
          <w:szCs w:val="24"/>
        </w:rPr>
        <w:t xml:space="preserve"> « </w:t>
      </w:r>
      <w:r w:rsidRPr="003E5F79">
        <w:rPr>
          <w:rFonts w:asciiTheme="majorBidi" w:hAnsiTheme="majorBidi" w:cstheme="majorBidi"/>
          <w:sz w:val="24"/>
          <w:szCs w:val="24"/>
        </w:rPr>
        <w:t>Jean Jacques Rousseau dans ses "</w:t>
      </w:r>
      <w:r w:rsidRPr="003E5F79">
        <w:rPr>
          <w:rFonts w:asciiTheme="majorBidi" w:hAnsiTheme="majorBidi" w:cstheme="majorBidi"/>
          <w:i/>
          <w:iCs/>
          <w:sz w:val="24"/>
          <w:szCs w:val="24"/>
        </w:rPr>
        <w:t>Lettres sur le gouvernement de Pologne</w:t>
      </w:r>
      <w:r w:rsidRPr="003E5F79">
        <w:rPr>
          <w:rFonts w:asciiTheme="majorBidi" w:hAnsiTheme="majorBidi" w:cstheme="majorBidi"/>
          <w:sz w:val="24"/>
          <w:szCs w:val="24"/>
        </w:rPr>
        <w:t>" marquait la distance qui, à ses yeux, séparait la fête et le spectacle du phénomène théâtral</w:t>
      </w:r>
      <w:r w:rsidR="000337EC">
        <w:rPr>
          <w:rFonts w:asciiTheme="majorBidi" w:hAnsiTheme="majorBidi" w:cstheme="majorBidi"/>
          <w:sz w:val="24"/>
          <w:szCs w:val="24"/>
        </w:rPr>
        <w:t>.</w:t>
      </w:r>
      <w:r w:rsidR="003E5F79" w:rsidRPr="003E5F79">
        <w:rPr>
          <w:rFonts w:asciiTheme="majorBidi" w:hAnsiTheme="majorBidi" w:cstheme="majorBidi"/>
          <w:sz w:val="24"/>
          <w:szCs w:val="24"/>
        </w:rPr>
        <w:t>»</w:t>
      </w:r>
      <w:r w:rsidR="000337EC">
        <w:rPr>
          <w:rFonts w:asciiTheme="majorBidi" w:hAnsiTheme="majorBidi" w:cstheme="majorBidi"/>
          <w:sz w:val="24"/>
          <w:szCs w:val="24"/>
        </w:rPr>
        <w:t xml:space="preserve"> (M. Aziza, 1975, p.7).</w:t>
      </w:r>
    </w:p>
    <w:p w:rsidR="006A4EED" w:rsidRPr="005E58D9" w:rsidRDefault="006A4EED" w:rsidP="006D0E74">
      <w:pPr>
        <w:spacing w:after="0" w:line="360" w:lineRule="auto"/>
        <w:ind w:firstLine="284"/>
        <w:jc w:val="both"/>
        <w:rPr>
          <w:rFonts w:ascii="Times New Roman" w:hAnsi="Times New Roman"/>
          <w:sz w:val="24"/>
          <w:szCs w:val="24"/>
        </w:rPr>
      </w:pPr>
      <w:r w:rsidRPr="00913A64">
        <w:rPr>
          <w:rFonts w:ascii="Times New Roman" w:hAnsi="Times New Roman"/>
          <w:sz w:val="24"/>
          <w:szCs w:val="24"/>
        </w:rPr>
        <w:t>C’est dans le même ordre d’idées qu’Ahmed C</w:t>
      </w:r>
      <w:r w:rsidR="006D0E74">
        <w:rPr>
          <w:rFonts w:ascii="Times New Roman" w:hAnsi="Times New Roman"/>
          <w:sz w:val="24"/>
          <w:szCs w:val="24"/>
        </w:rPr>
        <w:t>heniki</w:t>
      </w:r>
      <w:r w:rsidRPr="00913A64">
        <w:rPr>
          <w:rFonts w:ascii="Times New Roman" w:hAnsi="Times New Roman"/>
          <w:sz w:val="24"/>
          <w:szCs w:val="24"/>
        </w:rPr>
        <w:t xml:space="preserve"> se prononce fermement contre l’existence d’un théâtre algérien fondamental :</w:t>
      </w:r>
    </w:p>
    <w:p w:rsidR="006A4EED" w:rsidRPr="0072613C" w:rsidRDefault="006A4EED" w:rsidP="0078707B">
      <w:pPr>
        <w:pStyle w:val="Citationintense"/>
        <w:spacing w:before="0" w:after="0"/>
        <w:ind w:left="567" w:right="0"/>
        <w:rPr>
          <w:sz w:val="20"/>
          <w:szCs w:val="20"/>
        </w:rPr>
      </w:pPr>
      <w:r w:rsidRPr="0072613C">
        <w:rPr>
          <w:iCs w:val="0"/>
          <w:sz w:val="20"/>
          <w:szCs w:val="20"/>
        </w:rPr>
        <w:t xml:space="preserve">Le théâtre, tel qu’il fut et est pratiqué en Algérie, est un art d’emprunt, adopté dans des conditions précises, marqué par les circonstances de son appropriation. C’est surtout un art d’« importation » adopté tardivement par les Algériens qui n’arrivent pas encore à le prendre sérieusement en charge et à lui apporter une sorte de légitimité ou de caution </w:t>
      </w:r>
      <w:r w:rsidRPr="0072613C">
        <w:rPr>
          <w:iCs w:val="0"/>
          <w:sz w:val="20"/>
          <w:szCs w:val="20"/>
        </w:rPr>
        <w:lastRenderedPageBreak/>
        <w:t>nécessaire à sa reconnaissance nationale. Cette situation ambiguë caractérise le paysage artistique algérien qui vit une sorte de réalité hétéroculturelle complexe</w:t>
      </w:r>
      <w:r w:rsidRPr="0072613C">
        <w:rPr>
          <w:rStyle w:val="Appelnotedebasdep"/>
          <w:sz w:val="20"/>
          <w:szCs w:val="20"/>
        </w:rPr>
        <w:footnoteReference w:id="55"/>
      </w:r>
      <w:r w:rsidR="0072613C">
        <w:rPr>
          <w:iCs w:val="0"/>
          <w:sz w:val="20"/>
          <w:szCs w:val="20"/>
        </w:rPr>
        <w:t>.</w:t>
      </w:r>
    </w:p>
    <w:p w:rsidR="008E4793" w:rsidRDefault="008E4793" w:rsidP="0072613C">
      <w:pPr>
        <w:spacing w:after="0" w:line="360" w:lineRule="auto"/>
        <w:ind w:firstLine="284"/>
        <w:jc w:val="both"/>
        <w:rPr>
          <w:rFonts w:ascii="Times New Roman" w:hAnsi="Times New Roman"/>
          <w:sz w:val="24"/>
          <w:szCs w:val="24"/>
        </w:rPr>
      </w:pPr>
    </w:p>
    <w:p w:rsidR="006A4EED" w:rsidRPr="005E58D9" w:rsidRDefault="00BC3CFB" w:rsidP="0072613C">
      <w:pPr>
        <w:spacing w:after="0" w:line="360" w:lineRule="auto"/>
        <w:ind w:firstLine="284"/>
        <w:jc w:val="both"/>
        <w:rPr>
          <w:rFonts w:ascii="Times New Roman" w:hAnsi="Times New Roman"/>
          <w:sz w:val="24"/>
          <w:szCs w:val="24"/>
        </w:rPr>
      </w:pPr>
      <w:r>
        <w:rPr>
          <w:rFonts w:ascii="Times New Roman" w:hAnsi="Times New Roman"/>
          <w:sz w:val="24"/>
          <w:szCs w:val="24"/>
        </w:rPr>
        <w:t>A</w:t>
      </w:r>
      <w:r w:rsidR="006A4EED" w:rsidRPr="005E58D9">
        <w:rPr>
          <w:rFonts w:ascii="Times New Roman" w:hAnsi="Times New Roman"/>
          <w:sz w:val="24"/>
          <w:szCs w:val="24"/>
        </w:rPr>
        <w:t xml:space="preserve"> ce point de vue s’oppose fondamentalement un second courant qui voit le théâtre dans une plus large perspective et qui estime que même si on ne peut, certes, dater certaines représentations, cela ne signifie aucunement qu’il n’existe pas de théâtre algérien. Ainsi Ouardi Brahim insiste : </w:t>
      </w:r>
    </w:p>
    <w:p w:rsidR="006A4EED" w:rsidRPr="00F529A9" w:rsidRDefault="006A4EED" w:rsidP="00F529A9">
      <w:pPr>
        <w:pStyle w:val="Citationintense"/>
        <w:spacing w:before="0" w:after="0"/>
        <w:ind w:left="567" w:right="0"/>
        <w:rPr>
          <w:sz w:val="20"/>
          <w:szCs w:val="20"/>
        </w:rPr>
      </w:pPr>
      <w:r w:rsidRPr="00F529A9">
        <w:rPr>
          <w:iCs w:val="0"/>
          <w:sz w:val="20"/>
          <w:szCs w:val="20"/>
        </w:rPr>
        <w:t>Nous pensons qu’il faut définir le théâtre par rapport aux caractéristiques culturelles des sociétés arabo-musulmanes. La représentation prend dans ce type de société, différentes formes: les rituels et les fêtes. En Algérie, certains carnavals existent toujours dans la région de Tlemcen. Du point de vue historique, nous savons que le théâtre le plus connu dans le théâtre maghrébin pendant la colonisation était le Karagouze. Mais c’est surtout grâce aux troupes venues du Machrek que les Algériens adoptèrent la forme théâtrale</w:t>
      </w:r>
      <w:r w:rsidRPr="00F529A9">
        <w:rPr>
          <w:sz w:val="20"/>
          <w:szCs w:val="20"/>
          <w:vertAlign w:val="superscript"/>
        </w:rPr>
        <w:footnoteReference w:id="56"/>
      </w:r>
      <w:r w:rsidR="00F529A9">
        <w:rPr>
          <w:iCs w:val="0"/>
          <w:sz w:val="20"/>
          <w:szCs w:val="20"/>
        </w:rPr>
        <w:t>.</w:t>
      </w:r>
    </w:p>
    <w:p w:rsidR="00D67D30" w:rsidRDefault="00D67D30" w:rsidP="008E7BD5">
      <w:pPr>
        <w:spacing w:after="0" w:line="360" w:lineRule="auto"/>
        <w:ind w:firstLine="708"/>
        <w:jc w:val="both"/>
        <w:rPr>
          <w:rFonts w:ascii="Times New Roman" w:eastAsia="Times New Roman" w:hAnsi="Times New Roman"/>
          <w:sz w:val="24"/>
          <w:szCs w:val="24"/>
          <w:lang w:eastAsia="fr-FR"/>
        </w:rPr>
      </w:pPr>
    </w:p>
    <w:p w:rsidR="006A4EED" w:rsidRPr="00D67D30" w:rsidRDefault="006A4EED" w:rsidP="00D67D30">
      <w:pPr>
        <w:spacing w:after="0" w:line="360" w:lineRule="auto"/>
        <w:ind w:firstLine="284"/>
        <w:jc w:val="both"/>
        <w:rPr>
          <w:rFonts w:ascii="Times New Roman" w:eastAsia="Times New Roman" w:hAnsi="Times New Roman"/>
          <w:sz w:val="24"/>
          <w:szCs w:val="24"/>
          <w:lang w:eastAsia="fr-FR"/>
        </w:rPr>
      </w:pPr>
      <w:r w:rsidRPr="00D67D30">
        <w:rPr>
          <w:rFonts w:ascii="Times New Roman" w:eastAsia="Times New Roman" w:hAnsi="Times New Roman"/>
          <w:sz w:val="24"/>
          <w:szCs w:val="24"/>
          <w:lang w:eastAsia="fr-FR"/>
        </w:rPr>
        <w:t>Par ailleurs, André Schaeffner s’emploie à relativiser la signification même du mot « théâtre ». Ce terme, si on reprend son acception étymologique, ne doit son nom qu’à la présence de spectateurs et à l’espace qui leur est dévolu, en grec théâtron désignant uniquement le lieu où ils se tenaient, d’où ils voyaient</w:t>
      </w:r>
      <w:r w:rsidRPr="00D67D30">
        <w:rPr>
          <w:rStyle w:val="Appelnotedebasdep"/>
          <w:rFonts w:ascii="Times New Roman" w:hAnsi="Times New Roman"/>
          <w:sz w:val="24"/>
          <w:szCs w:val="24"/>
          <w:lang w:eastAsia="fr-FR"/>
        </w:rPr>
        <w:footnoteReference w:id="57"/>
      </w:r>
      <w:r w:rsidRPr="00D67D30">
        <w:rPr>
          <w:rFonts w:ascii="Times New Roman" w:eastAsia="Times New Roman" w:hAnsi="Times New Roman"/>
          <w:sz w:val="24"/>
          <w:szCs w:val="24"/>
          <w:lang w:eastAsia="fr-FR"/>
        </w:rPr>
        <w:t xml:space="preserve">. Dans toute représentation, liturgique ou religieuse, existent un lieu, des accessoires et des conditions particulières de mise en forme du spectacle. Un espace religieux (mosquée, église, lieux du culte…) ou civil (place publique, marché d’un village, théâtre) sont souvent considérés comme des lieux prédestinés à la représentation théâtrale. Dans l’ancienne Athènes comme dans toutes les sociétés arabes, la place du marché est l’espace où se discutent et se règlent les affaires du pays et de la tribu. </w:t>
      </w:r>
    </w:p>
    <w:p w:rsidR="006A4EED" w:rsidRDefault="006A4EED" w:rsidP="004624EE">
      <w:pPr>
        <w:spacing w:after="0" w:line="360" w:lineRule="auto"/>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Ahmed C</w:t>
      </w:r>
      <w:r w:rsidR="004624EE">
        <w:rPr>
          <w:rFonts w:ascii="Times New Roman" w:eastAsia="Times New Roman" w:hAnsi="Times New Roman"/>
          <w:sz w:val="24"/>
          <w:szCs w:val="24"/>
          <w:lang w:eastAsia="fr-FR"/>
        </w:rPr>
        <w:t>heniki</w:t>
      </w:r>
      <w:r>
        <w:rPr>
          <w:rFonts w:ascii="Times New Roman" w:eastAsia="Times New Roman" w:hAnsi="Times New Roman"/>
          <w:sz w:val="24"/>
          <w:szCs w:val="24"/>
          <w:lang w:eastAsia="fr-FR"/>
        </w:rPr>
        <w:t xml:space="preserve"> </w:t>
      </w:r>
      <w:r w:rsidRPr="005E58D9">
        <w:rPr>
          <w:rFonts w:ascii="Times New Roman" w:eastAsia="Times New Roman" w:hAnsi="Times New Roman"/>
          <w:sz w:val="24"/>
          <w:szCs w:val="24"/>
          <w:lang w:eastAsia="fr-FR"/>
        </w:rPr>
        <w:t>reconnait ainsi que :</w:t>
      </w:r>
    </w:p>
    <w:p w:rsidR="006A4EED" w:rsidRPr="00C43369" w:rsidRDefault="006A4EED" w:rsidP="0001359E">
      <w:pPr>
        <w:pStyle w:val="Citationintense"/>
        <w:spacing w:before="0" w:after="0"/>
        <w:ind w:left="567" w:right="0"/>
        <w:rPr>
          <w:sz w:val="20"/>
          <w:szCs w:val="20"/>
          <w:lang w:eastAsia="fr-FR"/>
        </w:rPr>
      </w:pPr>
      <w:r w:rsidRPr="00C43369">
        <w:rPr>
          <w:iCs w:val="0"/>
          <w:sz w:val="20"/>
          <w:szCs w:val="20"/>
          <w:lang w:eastAsia="fr-FR"/>
        </w:rPr>
        <w:t>Dans certains comptoirs maghrébins, avant l’entrée de l’Islam, les places publiques accueillaient des poètes et des conteurs qui jouaient à un auditoire essentiellement constitué de paysans et des gens de la ville des événements de leur village, de leur tribu. Aujourd’hui, lors de souks (marchés) hebdomadaires, on poursuit encore cette tradition. C’est sur la place publique qu’on joue et qu’on narre des faits et des situations passés. Le meddah (le panégyriste), le gouwal (le « diseur ») ou le mouqallid (l’imitateur)</w:t>
      </w:r>
      <w:r w:rsidRPr="00C43369">
        <w:rPr>
          <w:b/>
          <w:iCs w:val="0"/>
          <w:sz w:val="20"/>
          <w:szCs w:val="20"/>
          <w:lang w:eastAsia="fr-FR"/>
        </w:rPr>
        <w:t xml:space="preserve"> </w:t>
      </w:r>
      <w:r w:rsidRPr="00C43369">
        <w:rPr>
          <w:iCs w:val="0"/>
          <w:sz w:val="20"/>
          <w:szCs w:val="20"/>
          <w:lang w:eastAsia="fr-FR"/>
        </w:rPr>
        <w:t xml:space="preserve">créent des personnages et les mettent en action dans un espace précis. La fonction d’imitateur, à l’origine du processus dramatique, existe dans la représentation arabe et africaine. Les arabes et les </w:t>
      </w:r>
      <w:r w:rsidRPr="00C43369">
        <w:rPr>
          <w:iCs w:val="0"/>
          <w:sz w:val="20"/>
          <w:szCs w:val="20"/>
          <w:lang w:eastAsia="fr-FR"/>
        </w:rPr>
        <w:lastRenderedPageBreak/>
        <w:t xml:space="preserve">africains possèdent leurs propres structures et leur organisation particulière. Il est vrai que leur manière de faire ne ressemble pas à celle du théâtre </w:t>
      </w:r>
      <w:r w:rsidR="0001359E" w:rsidRPr="00C43369">
        <w:rPr>
          <w:iCs w:val="0"/>
          <w:sz w:val="20"/>
          <w:szCs w:val="20"/>
          <w:lang w:eastAsia="fr-FR"/>
        </w:rPr>
        <w:t>moderne</w:t>
      </w:r>
      <w:r w:rsidRPr="00C43369">
        <w:rPr>
          <w:sz w:val="20"/>
          <w:szCs w:val="20"/>
          <w:vertAlign w:val="superscript"/>
          <w:lang w:eastAsia="fr-FR"/>
        </w:rPr>
        <w:footnoteReference w:id="58"/>
      </w:r>
      <w:r w:rsidR="0001359E">
        <w:rPr>
          <w:sz w:val="20"/>
          <w:szCs w:val="20"/>
          <w:lang w:eastAsia="fr-FR"/>
        </w:rPr>
        <w:t>.</w:t>
      </w:r>
      <w:r w:rsidRPr="00C43369">
        <w:rPr>
          <w:rFonts w:eastAsia="Times New Roman"/>
          <w:sz w:val="20"/>
          <w:szCs w:val="20"/>
          <w:lang w:eastAsia="fr-FR"/>
        </w:rPr>
        <w:t xml:space="preserve"> </w:t>
      </w:r>
      <w:r w:rsidRPr="00C43369">
        <w:rPr>
          <w:sz w:val="20"/>
          <w:szCs w:val="20"/>
          <w:lang w:eastAsia="fr-FR"/>
        </w:rPr>
        <w:t xml:space="preserve"> </w:t>
      </w:r>
    </w:p>
    <w:p w:rsidR="005F7C9D" w:rsidRDefault="005F7C9D" w:rsidP="006A4EED">
      <w:pPr>
        <w:spacing w:after="0" w:line="360" w:lineRule="auto"/>
        <w:ind w:firstLine="708"/>
        <w:jc w:val="both"/>
        <w:rPr>
          <w:rFonts w:ascii="Times New Roman" w:eastAsia="Times New Roman" w:hAnsi="Times New Roman"/>
          <w:sz w:val="24"/>
          <w:szCs w:val="24"/>
          <w:lang w:eastAsia="fr-FR"/>
        </w:rPr>
      </w:pPr>
    </w:p>
    <w:p w:rsidR="006A4EED" w:rsidRPr="005E58D9" w:rsidRDefault="006A4EED" w:rsidP="005F7C9D">
      <w:pPr>
        <w:spacing w:after="0" w:line="360" w:lineRule="auto"/>
        <w:ind w:firstLine="284"/>
        <w:jc w:val="both"/>
        <w:rPr>
          <w:rFonts w:ascii="Times New Roman" w:eastAsia="Times New Roman" w:hAnsi="Times New Roman"/>
          <w:b/>
          <w:bCs/>
          <w:sz w:val="24"/>
          <w:szCs w:val="24"/>
          <w:lang w:eastAsia="fr-FR"/>
        </w:rPr>
      </w:pPr>
      <w:r w:rsidRPr="005E58D9">
        <w:rPr>
          <w:rFonts w:ascii="Times New Roman" w:eastAsia="Times New Roman" w:hAnsi="Times New Roman"/>
          <w:sz w:val="24"/>
          <w:szCs w:val="24"/>
          <w:lang w:eastAsia="fr-FR"/>
        </w:rPr>
        <w:t>Pour Rachid Haddad s’il existe bien une opposition entre le théâtre local et le théâtre importé, elle ne saurait être de nature à renier le théâtre algérien ou contester son existence. En réalité, cette différence s’explique davantage par les écarts et différences entre la dramaturgie arabe ou maghrébine et le système européen</w:t>
      </w:r>
      <w:r w:rsidRPr="00FA301E">
        <w:rPr>
          <w:rFonts w:ascii="Times New Roman" w:eastAsia="Times New Roman" w:hAnsi="Times New Roman"/>
          <w:color w:val="00B0F0"/>
          <w:sz w:val="24"/>
          <w:szCs w:val="24"/>
          <w:lang w:eastAsia="fr-FR"/>
        </w:rPr>
        <w:t xml:space="preserve"> </w:t>
      </w:r>
      <w:r w:rsidRPr="00FA301E">
        <w:rPr>
          <w:rFonts w:ascii="Times New Roman" w:eastAsia="Times New Roman" w:hAnsi="Times New Roman"/>
          <w:sz w:val="24"/>
          <w:szCs w:val="24"/>
          <w:lang w:eastAsia="fr-FR"/>
        </w:rPr>
        <w:t>dans la mesure où</w:t>
      </w:r>
      <w:r>
        <w:rPr>
          <w:rFonts w:ascii="Times New Roman" w:eastAsia="Times New Roman" w:hAnsi="Times New Roman"/>
          <w:color w:val="00B0F0"/>
          <w:sz w:val="24"/>
          <w:szCs w:val="24"/>
          <w:lang w:eastAsia="fr-FR"/>
        </w:rPr>
        <w:t xml:space="preserve"> </w:t>
      </w:r>
      <w:r w:rsidRPr="005E58D9">
        <w:rPr>
          <w:rFonts w:ascii="Times New Roman" w:eastAsia="Times New Roman" w:hAnsi="Times New Roman"/>
          <w:b/>
          <w:bCs/>
          <w:sz w:val="24"/>
          <w:szCs w:val="24"/>
          <w:lang w:eastAsia="fr-FR"/>
        </w:rPr>
        <w:t xml:space="preserve"> </w:t>
      </w:r>
    </w:p>
    <w:p w:rsidR="006A4EED" w:rsidRPr="00387292" w:rsidRDefault="00387292" w:rsidP="00387292">
      <w:pPr>
        <w:pStyle w:val="Citationintense"/>
        <w:spacing w:before="0" w:after="0"/>
        <w:ind w:left="567" w:right="0"/>
        <w:rPr>
          <w:sz w:val="20"/>
          <w:szCs w:val="20"/>
          <w:lang w:eastAsia="fr-FR"/>
        </w:rPr>
      </w:pPr>
      <w:proofErr w:type="gramStart"/>
      <w:r w:rsidRPr="00387292">
        <w:rPr>
          <w:iCs w:val="0"/>
          <w:sz w:val="20"/>
          <w:szCs w:val="20"/>
          <w:lang w:eastAsia="fr-FR"/>
        </w:rPr>
        <w:t>c</w:t>
      </w:r>
      <w:r w:rsidR="006A4EED" w:rsidRPr="00387292">
        <w:rPr>
          <w:iCs w:val="0"/>
          <w:sz w:val="20"/>
          <w:szCs w:val="20"/>
          <w:lang w:eastAsia="fr-FR"/>
        </w:rPr>
        <w:t>ette</w:t>
      </w:r>
      <w:proofErr w:type="gramEnd"/>
      <w:r w:rsidR="006A4EED" w:rsidRPr="00387292">
        <w:rPr>
          <w:iCs w:val="0"/>
          <w:sz w:val="20"/>
          <w:szCs w:val="20"/>
          <w:lang w:eastAsia="fr-FR"/>
        </w:rPr>
        <w:t xml:space="preserve"> opposition profonde entre le théâtre importé et l’art local du conteur nous impose une révision de la signification du terme de «  théâtre » pour l’homme arabe. Les arabes n’ont pas nommé ces bâtiments, ces ruines, ils ne leur ont pas donné de noms. Par contre, il existe une multiplicité de mots pour nommer le conteur. L’arabe ne sait nommer que ce qui lui parle directement par les émotions, les sentiments et il utilise pour citer une même chose, autant de concepts qu’il éprouve de rapports différents à cette chose. En traduisant La Poétique d’Aristote, les traducteurs orientaux arabes des deuxième et troisième siècles de l’Hégire (VIIIème-IXème siècle après J.C) n’ont pas trouvé d’équivalents pour les mots tragédie et comédie, excepté louanges pour le premier et satire pour le deuxième</w:t>
      </w:r>
      <w:r w:rsidR="006A4EED" w:rsidRPr="00387292">
        <w:rPr>
          <w:rStyle w:val="Appelnotedebasdep"/>
          <w:sz w:val="20"/>
          <w:szCs w:val="20"/>
          <w:lang w:eastAsia="fr-FR"/>
        </w:rPr>
        <w:footnoteReference w:id="59"/>
      </w:r>
      <w:r>
        <w:rPr>
          <w:iCs w:val="0"/>
          <w:sz w:val="20"/>
          <w:szCs w:val="20"/>
          <w:lang w:eastAsia="fr-FR"/>
        </w:rPr>
        <w:t>.</w:t>
      </w:r>
    </w:p>
    <w:p w:rsidR="00486BCB" w:rsidRDefault="00486BCB" w:rsidP="006A4EED">
      <w:pPr>
        <w:spacing w:line="360" w:lineRule="auto"/>
        <w:ind w:firstLine="708"/>
        <w:jc w:val="both"/>
        <w:rPr>
          <w:rFonts w:ascii="Times New Roman" w:hAnsi="Times New Roman"/>
          <w:sz w:val="24"/>
          <w:szCs w:val="24"/>
        </w:rPr>
      </w:pPr>
    </w:p>
    <w:p w:rsidR="006A4EED" w:rsidRPr="005E58D9" w:rsidRDefault="006A4EED" w:rsidP="00486BCB">
      <w:pPr>
        <w:spacing w:after="0" w:line="360" w:lineRule="auto"/>
        <w:ind w:firstLine="284"/>
        <w:jc w:val="both"/>
        <w:rPr>
          <w:rFonts w:ascii="Times New Roman" w:eastAsia="Times New Roman" w:hAnsi="Times New Roman"/>
          <w:sz w:val="24"/>
          <w:szCs w:val="24"/>
          <w:lang w:eastAsia="fr-FR"/>
        </w:rPr>
      </w:pPr>
      <w:r w:rsidRPr="005E58D9">
        <w:rPr>
          <w:rFonts w:ascii="Times New Roman" w:hAnsi="Times New Roman"/>
          <w:sz w:val="24"/>
          <w:szCs w:val="24"/>
        </w:rPr>
        <w:t xml:space="preserve">Finalement, à la question de savoir s’il a existé, aux origines, un théâtre algérien, l’on soulignera que le théâtre est fondamentalement l’expression d’une société. Le théâtre reflète la culture d’une société, sa vision du monde, ce qui se traduit par une représentation de ces authenticités par des personnages. Aussi pouvons-nous dire, sur cette base, que le théâtre a toujours existé dans toutes les sociétés, y compris algérienne. Nous ne souscrivons donc pas à la logique d’auteurs comme </w:t>
      </w:r>
      <w:r w:rsidRPr="005E58D9">
        <w:rPr>
          <w:rFonts w:ascii="Times New Roman" w:eastAsia="Times New Roman" w:hAnsi="Times New Roman"/>
          <w:sz w:val="24"/>
          <w:szCs w:val="24"/>
          <w:lang w:eastAsia="fr-FR"/>
        </w:rPr>
        <w:t xml:space="preserve">Roselyne Baffet, Arlette Roth qui prennent comme point de référence le théâtre grec pour rejeter l’existence d’éléments dramatiques dans les sociétés arabes. </w:t>
      </w:r>
    </w:p>
    <w:p w:rsidR="006A4EED" w:rsidRPr="005E58D9" w:rsidRDefault="006A4EED" w:rsidP="00976DD4">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 xml:space="preserve">Nous </w:t>
      </w:r>
      <w:r w:rsidRPr="005E58D9">
        <w:rPr>
          <w:rFonts w:ascii="Times New Roman" w:eastAsia="Times New Roman" w:hAnsi="Times New Roman"/>
          <w:sz w:val="24"/>
          <w:szCs w:val="24"/>
          <w:lang w:eastAsia="fr-FR"/>
        </w:rPr>
        <w:t>estim</w:t>
      </w:r>
      <w:r>
        <w:rPr>
          <w:rFonts w:ascii="Times New Roman" w:eastAsia="Times New Roman" w:hAnsi="Times New Roman"/>
          <w:sz w:val="24"/>
          <w:szCs w:val="24"/>
          <w:lang w:eastAsia="fr-FR"/>
        </w:rPr>
        <w:t>ons</w:t>
      </w:r>
      <w:r w:rsidRPr="005E58D9">
        <w:rPr>
          <w:rFonts w:ascii="Times New Roman" w:eastAsia="Times New Roman" w:hAnsi="Times New Roman"/>
          <w:sz w:val="24"/>
          <w:szCs w:val="24"/>
          <w:lang w:eastAsia="fr-FR"/>
        </w:rPr>
        <w:t xml:space="preserve"> donc pour </w:t>
      </w:r>
      <w:r>
        <w:rPr>
          <w:rFonts w:ascii="Times New Roman" w:eastAsia="Times New Roman" w:hAnsi="Times New Roman"/>
          <w:sz w:val="24"/>
          <w:szCs w:val="24"/>
          <w:lang w:eastAsia="fr-FR"/>
        </w:rPr>
        <w:t>notre</w:t>
      </w:r>
      <w:r w:rsidRPr="005E58D9">
        <w:rPr>
          <w:rFonts w:ascii="Times New Roman" w:eastAsia="Times New Roman" w:hAnsi="Times New Roman"/>
          <w:sz w:val="24"/>
          <w:szCs w:val="24"/>
          <w:lang w:eastAsia="fr-FR"/>
        </w:rPr>
        <w:t xml:space="preserve"> part que toutes les formes traditionnelles, structures pré-théâtrales nous mettent en présence de « formes primaires » engendrant inéluctablement des pratiques théâtrales, même si ces formes n’aboutissent pas forcément à la mise en œuvre d’un théâtre « classique » (évidemment, le garagouz, le bsat, le boughanja ou l’Imma Talghoundja n’ont pas grand-chose à voir avec un théâtre de type classique). Par ailleurs, l’expression </w:t>
      </w:r>
      <w:r w:rsidRPr="005E58D9">
        <w:rPr>
          <w:rFonts w:ascii="Times New Roman" w:eastAsia="Times New Roman" w:hAnsi="Times New Roman"/>
          <w:sz w:val="24"/>
          <w:szCs w:val="24"/>
          <w:lang w:eastAsia="fr-FR"/>
        </w:rPr>
        <w:lastRenderedPageBreak/>
        <w:t>« formes pré-théâtrales », ne reflète en rien une quelconque infériorité chez une société ou un peuple.</w:t>
      </w:r>
    </w:p>
    <w:p w:rsidR="006A4EED" w:rsidRPr="005E58D9" w:rsidRDefault="006A4EED" w:rsidP="00092280">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Cela dit, il est évident que le théâtre, tel qu’il est conçu aujourd’hui, n’aura vu que tardivement le jour dans les sociétés arabes. Il n’a en effet été adopté qu’à la Nahda (Renaissance), période qui a vu les pays du Maghreb et du Moyen-Orient, s’ouvrir à l’Europe. </w:t>
      </w:r>
      <w:r w:rsidRPr="005E58D9">
        <w:rPr>
          <w:lang w:eastAsia="fr-FR"/>
        </w:rPr>
        <w:t xml:space="preserve"> </w:t>
      </w:r>
      <w:r w:rsidRPr="005E58D9">
        <w:rPr>
          <w:rFonts w:ascii="Times New Roman" w:hAnsi="Times New Roman"/>
          <w:sz w:val="24"/>
          <w:szCs w:val="24"/>
        </w:rPr>
        <w:t>Ainsi, en 1908 les troupes d’Abdelkader El Masri et de Souleimane Qardahi se déplacèrent en Tunisie et en Algérie pour représenter leurs pièces. Vers les années vingt, la troupe libanaise de Georges Abiad était en tournée en Algérie, ce qui fut décisif pour la promotion de l’art scénique en Algérie. Bachetarzi, Ksentini et Allalou sont aussi des pionniers du théâtre algérien qui ont, en réalité, traversé plusieurs étapes, dont la première commence en 1919. Les différentes tournées des troupes du Machrek permirent aux Algériens de se familiariser avec l’art scénique puis de s’organiser et de créer des troupes.</w:t>
      </w:r>
    </w:p>
    <w:p w:rsidR="00784D77" w:rsidRDefault="00784D77" w:rsidP="00931D4A">
      <w:pPr>
        <w:pStyle w:val="Titre5"/>
        <w:spacing w:before="0" w:after="0"/>
        <w:ind w:left="641" w:hanging="357"/>
        <w:jc w:val="both"/>
        <w:rPr>
          <w:rFonts w:ascii="Times New Roman" w:hAnsi="Times New Roman"/>
          <w:color w:val="auto"/>
        </w:rPr>
      </w:pPr>
    </w:p>
    <w:p w:rsidR="006A4EED" w:rsidRPr="00931D4A" w:rsidRDefault="00931D4A" w:rsidP="00931D4A">
      <w:pPr>
        <w:pStyle w:val="Titre5"/>
        <w:spacing w:before="0" w:after="0"/>
        <w:ind w:left="641" w:hanging="357"/>
        <w:jc w:val="both"/>
        <w:rPr>
          <w:rFonts w:ascii="Times New Roman" w:hAnsi="Times New Roman"/>
          <w:color w:val="auto"/>
        </w:rPr>
      </w:pPr>
      <w:bookmarkStart w:id="33" w:name="_Toc471484409"/>
      <w:r>
        <w:rPr>
          <w:rFonts w:ascii="Times New Roman" w:hAnsi="Times New Roman"/>
          <w:color w:val="auto"/>
        </w:rPr>
        <w:t>2.2.2.</w:t>
      </w:r>
      <w:r w:rsidR="001968E2">
        <w:rPr>
          <w:rFonts w:ascii="Times New Roman" w:hAnsi="Times New Roman"/>
          <w:color w:val="auto"/>
        </w:rPr>
        <w:t xml:space="preserve"> </w:t>
      </w:r>
      <w:r w:rsidR="006A4EED" w:rsidRPr="00931D4A">
        <w:rPr>
          <w:rFonts w:ascii="Times New Roman" w:hAnsi="Times New Roman"/>
          <w:color w:val="auto"/>
        </w:rPr>
        <w:t>Le théâtre algérien et son rapport à l’Islam</w:t>
      </w:r>
      <w:bookmarkEnd w:id="33"/>
    </w:p>
    <w:p w:rsidR="006A4EED" w:rsidRPr="005E58D9" w:rsidRDefault="006A4EED" w:rsidP="001968E2">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Il convient de poser la question des liens entre le théâtre algérien et l’Islam. Cette question n’est pas forcément claire dans la littérature, comme celle d’ailleurs de la figuration et son rapport à la religion. Par exemple, le Coran interdit-il les représentations dramatiques ? Le sociologue Mohamed Aziza s’exprime clairement sur cette question :</w:t>
      </w:r>
    </w:p>
    <w:p w:rsidR="006A4EED" w:rsidRDefault="006A4EED" w:rsidP="00F20B36">
      <w:pPr>
        <w:pStyle w:val="Citationintense"/>
        <w:spacing w:before="0" w:after="0"/>
        <w:ind w:left="567" w:right="0"/>
        <w:rPr>
          <w:iCs w:val="0"/>
          <w:sz w:val="20"/>
          <w:szCs w:val="20"/>
          <w:lang w:eastAsia="fr-FR"/>
        </w:rPr>
      </w:pPr>
      <w:r w:rsidRPr="001968E2">
        <w:rPr>
          <w:iCs w:val="0"/>
          <w:sz w:val="20"/>
          <w:szCs w:val="20"/>
          <w:lang w:eastAsia="fr-FR"/>
        </w:rPr>
        <w:t xml:space="preserve">En dehors de l’anathème jeté sur des pratiques païennes bien définies, telles que le culte des statuettes anté-islamiques Al lât, Al Ozza et Manat, dans les célèbres « versets sataniques » (Al Ayat al Chaïtaniyah), le Coran n’a édicté aucune interdiction explicite  concernant l’art en général et la figuration en particulier. </w:t>
      </w:r>
      <w:r w:rsidR="001968E2">
        <w:rPr>
          <w:iCs w:val="0"/>
          <w:sz w:val="20"/>
          <w:szCs w:val="20"/>
          <w:lang w:eastAsia="fr-FR"/>
        </w:rPr>
        <w:t>[</w:t>
      </w:r>
      <w:r w:rsidRPr="001968E2">
        <w:rPr>
          <w:iCs w:val="0"/>
          <w:sz w:val="20"/>
          <w:szCs w:val="20"/>
          <w:lang w:eastAsia="fr-FR"/>
        </w:rPr>
        <w:t>…</w:t>
      </w:r>
      <w:r w:rsidR="001968E2">
        <w:rPr>
          <w:iCs w:val="0"/>
          <w:sz w:val="20"/>
          <w:szCs w:val="20"/>
          <w:lang w:eastAsia="fr-FR"/>
        </w:rPr>
        <w:t>]</w:t>
      </w:r>
      <w:r w:rsidRPr="001968E2">
        <w:rPr>
          <w:iCs w:val="0"/>
          <w:sz w:val="20"/>
          <w:szCs w:val="20"/>
          <w:lang w:eastAsia="fr-FR"/>
        </w:rPr>
        <w:t xml:space="preserve"> N’est stigmatisé dans le Coran que l’objet d’art qui devient source d’idolâtrie</w:t>
      </w:r>
      <w:r w:rsidR="001968E2">
        <w:rPr>
          <w:iCs w:val="0"/>
          <w:sz w:val="20"/>
          <w:szCs w:val="20"/>
          <w:lang w:eastAsia="fr-FR"/>
        </w:rPr>
        <w:t>.</w:t>
      </w:r>
      <w:r w:rsidR="0051625D">
        <w:rPr>
          <w:iCs w:val="0"/>
          <w:sz w:val="20"/>
          <w:szCs w:val="20"/>
          <w:lang w:eastAsia="fr-FR"/>
        </w:rPr>
        <w:t xml:space="preserve"> (M. Aziza, 1978, p.38).</w:t>
      </w:r>
    </w:p>
    <w:p w:rsidR="001968E2" w:rsidRPr="001968E2" w:rsidRDefault="001968E2" w:rsidP="001968E2">
      <w:pPr>
        <w:rPr>
          <w:lang w:eastAsia="fr-FR"/>
        </w:rPr>
      </w:pPr>
    </w:p>
    <w:p w:rsidR="006A4EED" w:rsidRPr="008C0DEF" w:rsidRDefault="006A4EED" w:rsidP="00097413">
      <w:pPr>
        <w:spacing w:after="0" w:line="360" w:lineRule="auto"/>
        <w:ind w:firstLine="284"/>
        <w:jc w:val="both"/>
        <w:rPr>
          <w:iCs/>
          <w:sz w:val="20"/>
          <w:szCs w:val="20"/>
          <w:lang w:eastAsia="fr-FR"/>
        </w:rPr>
      </w:pPr>
      <w:r w:rsidRPr="005E58D9">
        <w:rPr>
          <w:rFonts w:ascii="Times New Roman" w:eastAsia="Times New Roman" w:hAnsi="Times New Roman"/>
          <w:sz w:val="24"/>
          <w:szCs w:val="24"/>
          <w:lang w:eastAsia="fr-FR"/>
        </w:rPr>
        <w:t>Mais il est clair que le théâtre et la figuration, dans les faits, ont été mal vus dans les cercles religieux. C’est pourquoi avant et après l’apparition de l’Islam, avaient lieu des jeux, des représentations faisant appel à la représentation figurative. S’ils n’obéissaient pas au même fonctionnement que le théâtre européen, ils n’en gardaient pas moins des signes d’une représentation scénique abstraite. Des artistes ont eu recours à cette représentation abstraite, pour contourner le discours hostile à la figuration hérité de l’Islam ou d’une certaine interprétation de l’Islam. Mohamed Aziza cite à ce propos une anecdote intéressante : </w:t>
      </w:r>
      <w:r w:rsidR="00097413" w:rsidRPr="00B82A44">
        <w:rPr>
          <w:rFonts w:asciiTheme="majorBidi" w:eastAsia="Times New Roman" w:hAnsiTheme="majorBidi" w:cstheme="majorBidi"/>
          <w:sz w:val="24"/>
          <w:szCs w:val="24"/>
          <w:lang w:eastAsia="fr-FR"/>
        </w:rPr>
        <w:t>« </w:t>
      </w:r>
      <w:r w:rsidR="008C0DEF" w:rsidRPr="00B82A44">
        <w:rPr>
          <w:rFonts w:asciiTheme="majorBidi" w:hAnsiTheme="majorBidi" w:cstheme="majorBidi"/>
          <w:sz w:val="24"/>
          <w:szCs w:val="24"/>
          <w:lang w:eastAsia="fr-FR"/>
        </w:rPr>
        <w:t>U</w:t>
      </w:r>
      <w:r w:rsidRPr="00B82A44">
        <w:rPr>
          <w:rFonts w:asciiTheme="majorBidi" w:hAnsiTheme="majorBidi" w:cstheme="majorBidi"/>
          <w:sz w:val="24"/>
          <w:szCs w:val="24"/>
          <w:lang w:eastAsia="fr-FR"/>
        </w:rPr>
        <w:t xml:space="preserve">n artiste iranien converti à l’Islam se désolait de devoir renoncer </w:t>
      </w:r>
      <w:r w:rsidRPr="00B82A44">
        <w:rPr>
          <w:rFonts w:asciiTheme="majorBidi" w:hAnsiTheme="majorBidi" w:cstheme="majorBidi"/>
          <w:sz w:val="24"/>
          <w:szCs w:val="24"/>
          <w:lang w:eastAsia="fr-FR"/>
        </w:rPr>
        <w:lastRenderedPageBreak/>
        <w:t>à son art. Le khalife Umar lui répondit : allons donc, tu prends tes personnages, tu leur donnes la forme d’une fleur et tu leur</w:t>
      </w:r>
      <w:r w:rsidR="008C0DEF" w:rsidRPr="00B82A44">
        <w:rPr>
          <w:rFonts w:asciiTheme="majorBidi" w:hAnsiTheme="majorBidi" w:cstheme="majorBidi"/>
          <w:sz w:val="24"/>
          <w:szCs w:val="24"/>
          <w:lang w:eastAsia="fr-FR"/>
        </w:rPr>
        <w:t xml:space="preserve"> coupes la tête</w:t>
      </w:r>
      <w:r w:rsidR="00097413" w:rsidRPr="00B82A44">
        <w:rPr>
          <w:rFonts w:asciiTheme="majorBidi" w:hAnsiTheme="majorBidi" w:cstheme="majorBidi"/>
          <w:sz w:val="24"/>
          <w:szCs w:val="24"/>
          <w:lang w:eastAsia="fr-FR"/>
        </w:rPr>
        <w:t> »</w:t>
      </w:r>
      <w:r w:rsidR="00097413">
        <w:rPr>
          <w:rFonts w:asciiTheme="majorBidi" w:hAnsiTheme="majorBidi" w:cstheme="majorBidi"/>
          <w:i/>
          <w:iCs/>
          <w:sz w:val="24"/>
          <w:szCs w:val="24"/>
          <w:lang w:eastAsia="fr-FR"/>
        </w:rPr>
        <w:t xml:space="preserve"> (Ibid</w:t>
      </w:r>
      <w:r w:rsidR="00097413">
        <w:rPr>
          <w:rFonts w:asciiTheme="majorBidi" w:hAnsiTheme="majorBidi" w:cstheme="majorBidi"/>
          <w:sz w:val="24"/>
          <w:szCs w:val="24"/>
          <w:lang w:eastAsia="fr-FR"/>
        </w:rPr>
        <w:t>, p.42).</w:t>
      </w:r>
      <w:r w:rsidRPr="008C0DEF">
        <w:rPr>
          <w:sz w:val="20"/>
          <w:szCs w:val="20"/>
          <w:lang w:eastAsia="fr-FR"/>
        </w:rPr>
        <w:t xml:space="preserve"> </w:t>
      </w:r>
      <w:r w:rsidR="00097413">
        <w:rPr>
          <w:sz w:val="20"/>
          <w:szCs w:val="20"/>
          <w:lang w:eastAsia="fr-FR"/>
        </w:rPr>
        <w:t> </w:t>
      </w:r>
    </w:p>
    <w:p w:rsidR="00784D77" w:rsidRDefault="00784D77" w:rsidP="00BE2876">
      <w:pPr>
        <w:pStyle w:val="Titre5"/>
        <w:spacing w:before="0" w:after="0"/>
        <w:ind w:firstLine="284"/>
        <w:jc w:val="both"/>
        <w:rPr>
          <w:rFonts w:ascii="Times New Roman" w:hAnsi="Times New Roman"/>
          <w:color w:val="auto"/>
        </w:rPr>
      </w:pPr>
    </w:p>
    <w:p w:rsidR="006A4EED" w:rsidRPr="00126A80" w:rsidRDefault="00126A80" w:rsidP="00BE2876">
      <w:pPr>
        <w:pStyle w:val="Titre5"/>
        <w:spacing w:before="0" w:after="0"/>
        <w:ind w:firstLine="284"/>
        <w:jc w:val="both"/>
        <w:rPr>
          <w:rFonts w:ascii="Times New Roman" w:hAnsi="Times New Roman"/>
          <w:color w:val="auto"/>
        </w:rPr>
      </w:pPr>
      <w:bookmarkStart w:id="34" w:name="_Toc471484410"/>
      <w:r w:rsidRPr="00126A80">
        <w:rPr>
          <w:rFonts w:ascii="Times New Roman" w:hAnsi="Times New Roman"/>
          <w:color w:val="auto"/>
        </w:rPr>
        <w:t>2.2.3. Le</w:t>
      </w:r>
      <w:r w:rsidR="006A4EED" w:rsidRPr="00126A80">
        <w:rPr>
          <w:rFonts w:ascii="Times New Roman" w:hAnsi="Times New Roman"/>
          <w:color w:val="auto"/>
        </w:rPr>
        <w:t xml:space="preserve"> théâtre algérien et la culture populaire</w:t>
      </w:r>
      <w:bookmarkEnd w:id="34"/>
    </w:p>
    <w:p w:rsidR="006A4EED" w:rsidRPr="005E58D9" w:rsidRDefault="006A4EED" w:rsidP="00BE2876">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Le théâtre a connu en Algérie des heures de grande vulgarisation dès lors qu’il a été approprié par les masses populaires et en est devenu le reflet. </w:t>
      </w:r>
    </w:p>
    <w:p w:rsidR="006A4EED" w:rsidRPr="005E58D9" w:rsidRDefault="006A4EED" w:rsidP="005545F4">
      <w:pPr>
        <w:spacing w:after="0" w:line="360" w:lineRule="auto"/>
        <w:ind w:firstLine="284"/>
        <w:jc w:val="both"/>
        <w:rPr>
          <w:rFonts w:ascii="Times New Roman" w:hAnsi="Times New Roman"/>
          <w:sz w:val="24"/>
          <w:szCs w:val="24"/>
        </w:rPr>
      </w:pPr>
      <w:r>
        <w:rPr>
          <w:rFonts w:ascii="Times New Roman" w:hAnsi="Times New Roman"/>
          <w:sz w:val="24"/>
          <w:szCs w:val="24"/>
        </w:rPr>
        <w:t xml:space="preserve">Ahmed </w:t>
      </w:r>
      <w:r w:rsidRPr="005E58D9">
        <w:rPr>
          <w:rFonts w:ascii="Times New Roman" w:hAnsi="Times New Roman"/>
          <w:sz w:val="24"/>
          <w:szCs w:val="24"/>
        </w:rPr>
        <w:t>C</w:t>
      </w:r>
      <w:r w:rsidR="005545F4">
        <w:rPr>
          <w:rFonts w:ascii="Times New Roman" w:hAnsi="Times New Roman"/>
          <w:sz w:val="24"/>
          <w:szCs w:val="24"/>
        </w:rPr>
        <w:t>heniki</w:t>
      </w:r>
      <w:r w:rsidRPr="005E58D9">
        <w:rPr>
          <w:rFonts w:ascii="Times New Roman" w:hAnsi="Times New Roman"/>
          <w:sz w:val="24"/>
          <w:szCs w:val="24"/>
        </w:rPr>
        <w:t xml:space="preserve"> reconnait ainsi une place fondamentale au théâtre algérien populaire. Même s’il considère que le théâtre est d’abord un «</w:t>
      </w:r>
      <w:r w:rsidRPr="005E58D9">
        <w:rPr>
          <w:rFonts w:ascii="Times New Roman" w:hAnsi="Times New Roman"/>
          <w:i/>
          <w:sz w:val="24"/>
          <w:szCs w:val="24"/>
        </w:rPr>
        <w:t>art d’importation</w:t>
      </w:r>
      <w:r w:rsidRPr="005E58D9">
        <w:rPr>
          <w:rFonts w:ascii="Times New Roman" w:hAnsi="Times New Roman"/>
          <w:sz w:val="24"/>
          <w:szCs w:val="24"/>
        </w:rPr>
        <w:t xml:space="preserve"> »,  il reconnait que son creuset populaire l’a fortement enrichi, lui conférant un aspect totalement et résolument algérien. C’est le public et l’emprunt à la culture populaire qui fera du théâtre importé un « théâtre algérien ». </w:t>
      </w:r>
      <w:r>
        <w:rPr>
          <w:rFonts w:ascii="Times New Roman" w:hAnsi="Times New Roman"/>
          <w:sz w:val="24"/>
          <w:szCs w:val="24"/>
        </w:rPr>
        <w:t>Il</w:t>
      </w:r>
      <w:r w:rsidRPr="005E58D9">
        <w:rPr>
          <w:rFonts w:ascii="Times New Roman" w:hAnsi="Times New Roman"/>
          <w:sz w:val="24"/>
          <w:szCs w:val="24"/>
        </w:rPr>
        <w:t xml:space="preserve"> écrit :</w:t>
      </w:r>
    </w:p>
    <w:p w:rsidR="006A4EED" w:rsidRPr="00213F7D" w:rsidRDefault="006A4EED" w:rsidP="00401400">
      <w:pPr>
        <w:pStyle w:val="Citationintense"/>
        <w:spacing w:before="0" w:after="0"/>
        <w:ind w:left="567" w:right="0"/>
        <w:rPr>
          <w:sz w:val="20"/>
          <w:szCs w:val="20"/>
          <w:lang w:eastAsia="fr-FR"/>
        </w:rPr>
      </w:pPr>
      <w:r w:rsidRPr="00213F7D">
        <w:rPr>
          <w:iCs w:val="0"/>
          <w:sz w:val="20"/>
          <w:szCs w:val="20"/>
          <w:lang w:eastAsia="fr-FR"/>
        </w:rPr>
        <w:t>L’assimilation du modèle français n’effaça pas les lieux culturels populaires qui se manifestaient dans les pièces écrites par les auteurs trop marqués par l’imaginaire collectif et les stigmates de la littérature populaire. C’est vrai que plusieurs formes « traditionnelles » connurent une disparition certaine, une fois le théâtre adopté par les Algériens, et surtout sous la pression des changements et des événements qui secouaient de fond en comble la société algérienne</w:t>
      </w:r>
      <w:r w:rsidRPr="00213F7D">
        <w:rPr>
          <w:rStyle w:val="Appelnotedebasdep"/>
          <w:sz w:val="20"/>
          <w:szCs w:val="20"/>
          <w:lang w:eastAsia="fr-FR"/>
        </w:rPr>
        <w:footnoteReference w:id="60"/>
      </w:r>
      <w:r w:rsidR="00401400">
        <w:rPr>
          <w:iCs w:val="0"/>
          <w:sz w:val="20"/>
          <w:szCs w:val="20"/>
          <w:lang w:eastAsia="fr-FR"/>
        </w:rPr>
        <w:t>.</w:t>
      </w:r>
    </w:p>
    <w:p w:rsidR="00401400" w:rsidRDefault="00401400" w:rsidP="001F2285">
      <w:pPr>
        <w:spacing w:line="360" w:lineRule="auto"/>
        <w:ind w:firstLine="709"/>
        <w:jc w:val="both"/>
        <w:rPr>
          <w:rFonts w:ascii="Times New Roman" w:hAnsi="Times New Roman"/>
          <w:sz w:val="24"/>
          <w:szCs w:val="24"/>
        </w:rPr>
      </w:pPr>
    </w:p>
    <w:p w:rsidR="006A4EED" w:rsidRPr="001F2285" w:rsidRDefault="006A4EED" w:rsidP="0072241A">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En examinant les premières productions théâtrales en Algérie durant le début du siècle, on peut constater que des promoteurs tels Allalou, Ksentini et Bachetarzi, qui déjà puisaient dans les principes européens, sont quand même restés très attachés au fonds dramatique populaire qui investit l’imaginaire et la culture de leur théâtre agissant comme une </w:t>
      </w:r>
      <w:r w:rsidRPr="001F2285">
        <w:rPr>
          <w:rFonts w:ascii="Times New Roman" w:hAnsi="Times New Roman"/>
          <w:sz w:val="24"/>
          <w:szCs w:val="24"/>
        </w:rPr>
        <w:t xml:space="preserve">véritable force magnétique. C’est ce que constate Cheniki qui dit : </w:t>
      </w:r>
      <w:r w:rsidR="001F2285">
        <w:rPr>
          <w:rFonts w:ascii="Times New Roman" w:hAnsi="Times New Roman"/>
          <w:sz w:val="24"/>
          <w:szCs w:val="24"/>
        </w:rPr>
        <w:t>« </w:t>
      </w:r>
      <w:r w:rsidR="00653A1B" w:rsidRPr="001F2285">
        <w:rPr>
          <w:rFonts w:ascii="Times New Roman" w:hAnsi="Times New Roman"/>
          <w:sz w:val="24"/>
          <w:szCs w:val="24"/>
        </w:rPr>
        <w:t>La</w:t>
      </w:r>
      <w:r w:rsidRPr="001F2285">
        <w:rPr>
          <w:rFonts w:ascii="Times New Roman" w:hAnsi="Times New Roman"/>
          <w:sz w:val="24"/>
          <w:szCs w:val="24"/>
        </w:rPr>
        <w:t xml:space="preserve"> pièce théâtrale obéissait, certes, à la forme européenne d’agencement, mais devenait le lieu qui cristallisait volontairement ou non, les signes de la culture populaire</w:t>
      </w:r>
      <w:r w:rsidR="001F2285">
        <w:rPr>
          <w:rFonts w:ascii="Times New Roman" w:hAnsi="Times New Roman"/>
          <w:sz w:val="24"/>
          <w:szCs w:val="24"/>
        </w:rPr>
        <w:t>»</w:t>
      </w:r>
      <w:r w:rsidRPr="001F2285">
        <w:rPr>
          <w:rStyle w:val="Appelnotedebasdep"/>
          <w:rFonts w:ascii="Times New Roman" w:hAnsi="Times New Roman"/>
          <w:sz w:val="24"/>
          <w:szCs w:val="24"/>
        </w:rPr>
        <w:footnoteReference w:id="61"/>
      </w:r>
      <w:r w:rsidR="0072241A">
        <w:rPr>
          <w:rFonts w:ascii="Times New Roman" w:hAnsi="Times New Roman"/>
          <w:sz w:val="24"/>
          <w:szCs w:val="24"/>
        </w:rPr>
        <w:t>.</w:t>
      </w:r>
    </w:p>
    <w:p w:rsidR="006A4EED" w:rsidRPr="005E58D9" w:rsidRDefault="006A4EED" w:rsidP="00B47B3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Mais qu’apporte précisément cette culture populaire dans le théâtre algérien ? Qu’est ce qu’elle a de spécial voire d’inédit ? L’apport véritable de cette culture populaire se trouve dans la manifestation de l’imaginaire collectif qui renait, après avoir été mis à mal par un contexte historico social d’enfermement colonial. Ainsi, avec le théâtre,  ressurgit la sécularité des sociétés et des formes populaires enfouies, à l’état latent, dans le subconscient et qui se révèlent, à des moments peu précis d’expressions culturelles et sociales. Dès lors, cette culture populaire, qu’on </w:t>
      </w:r>
      <w:r w:rsidRPr="005E58D9">
        <w:rPr>
          <w:rFonts w:ascii="Times New Roman" w:hAnsi="Times New Roman"/>
          <w:sz w:val="24"/>
          <w:szCs w:val="24"/>
        </w:rPr>
        <w:lastRenderedPageBreak/>
        <w:t xml:space="preserve">a pu croire disparue ou qui a été à tort considérée comme définitivement morte, se métamorphose subitement et réussit à transformer les formes modernes, savantes, les formes européennes. </w:t>
      </w:r>
    </w:p>
    <w:p w:rsidR="006A4EED" w:rsidRPr="005E58D9" w:rsidRDefault="006A4EED" w:rsidP="00B06406">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Cette intrusion de l’inattendu dans des espaces apparemment fermés s’avère créatrice d’un théâtre nouveau pour lequel l’emprunt, souvent latent, parcourt les lieux traditionnellement  «hermétiques </w:t>
      </w:r>
      <w:r w:rsidRPr="005E58D9">
        <w:rPr>
          <w:rFonts w:ascii="Times New Roman" w:hAnsi="Times New Roman"/>
          <w:i/>
          <w:iCs/>
          <w:sz w:val="24"/>
          <w:szCs w:val="24"/>
        </w:rPr>
        <w:t xml:space="preserve">» </w:t>
      </w:r>
      <w:r w:rsidRPr="005E58D9">
        <w:rPr>
          <w:rFonts w:ascii="Times New Roman" w:hAnsi="Times New Roman"/>
          <w:sz w:val="24"/>
          <w:szCs w:val="24"/>
        </w:rPr>
        <w:t xml:space="preserve">et peu accueillants de la forme empruntée. Ainsi, les textes </w:t>
      </w:r>
      <w:proofErr w:type="gramStart"/>
      <w:r w:rsidRPr="005E58D9">
        <w:rPr>
          <w:rFonts w:ascii="Times New Roman" w:hAnsi="Times New Roman"/>
          <w:sz w:val="24"/>
          <w:szCs w:val="24"/>
        </w:rPr>
        <w:t>de Allalou</w:t>
      </w:r>
      <w:proofErr w:type="gramEnd"/>
      <w:r w:rsidRPr="005E58D9">
        <w:rPr>
          <w:rFonts w:ascii="Times New Roman" w:hAnsi="Times New Roman"/>
          <w:sz w:val="24"/>
          <w:szCs w:val="24"/>
        </w:rPr>
        <w:t>, de Ksentini ou de Bachetarzi contiennent, plus ou moins, des résidus de la culture originelle et populaire de la société algérienne, sans obéir forcément aux formes et au primat de l’appareil théâtral occidental.</w:t>
      </w:r>
    </w:p>
    <w:p w:rsidR="006A4EED" w:rsidRPr="005E58D9" w:rsidRDefault="006A4EED" w:rsidP="00322F1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C’est de cette façon que sont nés les personnages issus des contes populaires et dont on parlera plus loin avec Kaki. En effet, les auteurs algériens qui ont fini par comprendre les réactions et les volontés de leur public ont décidé de mettre en vedette et en scène des personnages tirés des contes populaires et de la littérature orale et écrite. Les thèmes extraits des féeries et des contes empruntaient toutefois beaucoup au quotidien. C’est incontestablement le cas dans </w:t>
      </w:r>
      <w:r w:rsidRPr="005E58D9">
        <w:rPr>
          <w:rFonts w:ascii="Times New Roman" w:hAnsi="Times New Roman"/>
          <w:i/>
          <w:iCs/>
          <w:sz w:val="24"/>
          <w:szCs w:val="24"/>
        </w:rPr>
        <w:t xml:space="preserve">Les Mille et Une Nuits </w:t>
      </w:r>
      <w:r w:rsidRPr="005E58D9">
        <w:rPr>
          <w:rFonts w:ascii="Times New Roman" w:hAnsi="Times New Roman"/>
          <w:sz w:val="24"/>
          <w:szCs w:val="24"/>
        </w:rPr>
        <w:t xml:space="preserve">et dans les aventures de </w:t>
      </w:r>
      <w:r w:rsidRPr="005E58D9">
        <w:rPr>
          <w:rFonts w:ascii="Times New Roman" w:hAnsi="Times New Roman"/>
          <w:i/>
          <w:sz w:val="24"/>
          <w:szCs w:val="24"/>
        </w:rPr>
        <w:t>Djeha</w:t>
      </w:r>
      <w:r w:rsidRPr="005E58D9">
        <w:rPr>
          <w:rFonts w:ascii="Times New Roman" w:hAnsi="Times New Roman"/>
          <w:sz w:val="24"/>
          <w:szCs w:val="24"/>
        </w:rPr>
        <w:t xml:space="preserve">, un personnage populaire arabe. Très apprécié dans les milieux populaires, ce personnage de </w:t>
      </w:r>
      <w:r w:rsidRPr="005E58D9">
        <w:rPr>
          <w:rFonts w:ascii="Times New Roman" w:hAnsi="Times New Roman"/>
          <w:i/>
          <w:sz w:val="24"/>
          <w:szCs w:val="24"/>
        </w:rPr>
        <w:t>Djeha</w:t>
      </w:r>
      <w:r w:rsidRPr="005E58D9">
        <w:rPr>
          <w:rFonts w:ascii="Times New Roman" w:hAnsi="Times New Roman"/>
          <w:sz w:val="24"/>
          <w:szCs w:val="24"/>
        </w:rPr>
        <w:t>,  a fait l’objet, avec ses exploits et ses ruses, des premières pièces algériennes en arabe.</w:t>
      </w:r>
    </w:p>
    <w:p w:rsidR="006A4EED" w:rsidRPr="005E58D9" w:rsidRDefault="006A4EED" w:rsidP="00322F1B">
      <w:pPr>
        <w:spacing w:after="0" w:line="360" w:lineRule="auto"/>
        <w:ind w:firstLine="284"/>
        <w:jc w:val="both"/>
        <w:rPr>
          <w:rFonts w:ascii="Times New Roman" w:hAnsi="Times New Roman"/>
          <w:sz w:val="24"/>
          <w:szCs w:val="24"/>
        </w:rPr>
      </w:pPr>
      <w:r w:rsidRPr="005E58D9">
        <w:rPr>
          <w:rFonts w:ascii="Times New Roman" w:hAnsi="Times New Roman"/>
          <w:sz w:val="24"/>
          <w:szCs w:val="24"/>
        </w:rPr>
        <w:t>D’un point de vue de la structure littéraire de ce théâtre inattendu, Cheniki donne la description suivante :</w:t>
      </w:r>
    </w:p>
    <w:p w:rsidR="006A4EED" w:rsidRPr="007B3414" w:rsidRDefault="006A4EED" w:rsidP="007B3414">
      <w:pPr>
        <w:pStyle w:val="Citationintense"/>
        <w:spacing w:before="0" w:after="0"/>
        <w:ind w:left="567" w:right="0"/>
        <w:rPr>
          <w:sz w:val="20"/>
          <w:szCs w:val="20"/>
        </w:rPr>
      </w:pPr>
      <w:r w:rsidRPr="007B3414">
        <w:rPr>
          <w:iCs w:val="0"/>
          <w:sz w:val="20"/>
          <w:szCs w:val="20"/>
        </w:rPr>
        <w:t>Les pièces obéissaient fondamentalement, sur le plan de l’agencement, à la structure théâtrale de type européen, mais se caractérisaient souvent par un fonctionnement circulaire, propre au conte populaire, qui mettait également en œuvre le fantastique et le merveilleux. Découpées en actes (de un à cinq), les pièces reprenaient souvent des thèmes et des situations puisés dans l’univers du conte populaire. Les redondances, la forme en spirale, la primauté du verbe sur le jeu, l’importance du conteur, l’usage d’accessoires simples (la canne par exemple) étaient autant d’éléments qui investissaient le spectacle théâtral. C’était un théâtre du verbe, de la parole. Les comédiens se substituaient souvent au gouwal ou au meddah (conteurs traditionnels). Tout reposait sur la verve et l’habileté de l’acteur et sa capacité à employer et à maîtriser le jeu de la parole et de la réplique qui fait mouche</w:t>
      </w:r>
      <w:r w:rsidRPr="007B3414">
        <w:rPr>
          <w:sz w:val="20"/>
          <w:szCs w:val="20"/>
        </w:rPr>
        <w:t>.</w:t>
      </w:r>
      <w:r w:rsidRPr="007B3414">
        <w:rPr>
          <w:rStyle w:val="Appelnotedebasdep"/>
          <w:sz w:val="20"/>
          <w:szCs w:val="20"/>
        </w:rPr>
        <w:footnoteReference w:id="62"/>
      </w:r>
      <w:r w:rsidRPr="007B3414">
        <w:rPr>
          <w:sz w:val="20"/>
          <w:szCs w:val="20"/>
        </w:rPr>
        <w:t>.</w:t>
      </w:r>
    </w:p>
    <w:p w:rsidR="00725841" w:rsidRDefault="00725841" w:rsidP="006A4EED">
      <w:pPr>
        <w:spacing w:line="360" w:lineRule="auto"/>
        <w:ind w:firstLine="708"/>
        <w:jc w:val="both"/>
        <w:rPr>
          <w:rFonts w:ascii="Times New Roman" w:hAnsi="Times New Roman"/>
          <w:sz w:val="24"/>
          <w:szCs w:val="24"/>
        </w:rPr>
      </w:pPr>
    </w:p>
    <w:p w:rsidR="006A4EED" w:rsidRPr="005E58D9" w:rsidRDefault="006A4EED" w:rsidP="00ED413D">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Le théâtre populaire est donc propice à une improvisation omniprésente. Le public en  raffole d’ailleurs. Ces interminables improvisations lui rappellent son conteur du marché, lequel s’introduit là, par effraction dans le théâtre. Le théâtre </w:t>
      </w:r>
      <w:r w:rsidRPr="005E58D9">
        <w:rPr>
          <w:rFonts w:ascii="Times New Roman" w:hAnsi="Times New Roman"/>
          <w:sz w:val="24"/>
          <w:szCs w:val="24"/>
        </w:rPr>
        <w:lastRenderedPageBreak/>
        <w:t>populaire algérien a pour charme le jeu de l’imaginaire qui est si important dans la façon dont ce théâtre est représenté et reçu.</w:t>
      </w:r>
    </w:p>
    <w:p w:rsidR="006A4EED" w:rsidRPr="005E58D9" w:rsidRDefault="006A4EED" w:rsidP="00ED413D">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Enfin, le contenu est un élément central : le théâtre populaire algérien puise largement dans la satire sociale celle-ci émanant elle-même du parcours narratif du conte. Ainsi, les récits de </w:t>
      </w:r>
      <w:r w:rsidRPr="005E58D9">
        <w:rPr>
          <w:rFonts w:ascii="Times New Roman" w:hAnsi="Times New Roman"/>
          <w:i/>
          <w:sz w:val="24"/>
          <w:szCs w:val="24"/>
        </w:rPr>
        <w:t>Djeha</w:t>
      </w:r>
      <w:r w:rsidRPr="005E58D9">
        <w:rPr>
          <w:rFonts w:ascii="Times New Roman" w:hAnsi="Times New Roman"/>
          <w:sz w:val="24"/>
          <w:szCs w:val="24"/>
        </w:rPr>
        <w:t xml:space="preserve">, dont on vient de parler, dénonçaient la malhonnêteté des muftis, la cupidité de certains riches. Bref, des contes qui s’insurgeaient contre l’hypocrisie et les travers de la société algérienne. C’est dans cette logique que plusieurs thèmes et personnages habitués du fonds populaire, trouvaient une seconde vie dans les pièces </w:t>
      </w:r>
      <w:proofErr w:type="gramStart"/>
      <w:r w:rsidRPr="005E58D9">
        <w:rPr>
          <w:rFonts w:ascii="Times New Roman" w:hAnsi="Times New Roman"/>
          <w:sz w:val="24"/>
          <w:szCs w:val="24"/>
        </w:rPr>
        <w:t>de Allalou</w:t>
      </w:r>
      <w:proofErr w:type="gramEnd"/>
      <w:r w:rsidRPr="005E58D9">
        <w:rPr>
          <w:rFonts w:ascii="Times New Roman" w:hAnsi="Times New Roman"/>
          <w:sz w:val="24"/>
          <w:szCs w:val="24"/>
        </w:rPr>
        <w:t xml:space="preserve">, Bachetarzi, Ksentini, Touri et même Rouiched. </w:t>
      </w:r>
    </w:p>
    <w:p w:rsidR="006A4EED" w:rsidRPr="005E58D9" w:rsidRDefault="006A4EED" w:rsidP="000C4C12">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Kateb Yacine, Abdelkader Alloula, Ould Abderrahmane Kaki et Slimane Bénaissa sont les dignes représentants de ce courant reprenant volontairement le corpus de la culture populaire. Ce faisant, ils ont initié une autre théâtralité, une forme de théâtre nouveau reliant et alliant « tradition» et « modernité ». Et là apparait et se concrétise l’originalité, la richesse du théâtre algérien. </w:t>
      </w:r>
    </w:p>
    <w:p w:rsidR="006A4EED" w:rsidRPr="005E58D9" w:rsidRDefault="006A4EED" w:rsidP="00374670">
      <w:pPr>
        <w:spacing w:after="0" w:line="360" w:lineRule="auto"/>
        <w:ind w:firstLine="284"/>
        <w:jc w:val="both"/>
        <w:rPr>
          <w:rFonts w:ascii="Times New Roman" w:hAnsi="Times New Roman"/>
          <w:sz w:val="24"/>
          <w:szCs w:val="24"/>
        </w:rPr>
      </w:pPr>
      <w:r w:rsidRPr="005E58D9">
        <w:rPr>
          <w:rFonts w:ascii="Times New Roman" w:hAnsi="Times New Roman"/>
          <w:sz w:val="24"/>
          <w:szCs w:val="24"/>
        </w:rPr>
        <w:t>Kateb</w:t>
      </w:r>
      <w:r w:rsidR="00374670">
        <w:rPr>
          <w:rFonts w:ascii="Times New Roman" w:hAnsi="Times New Roman"/>
          <w:sz w:val="24"/>
          <w:szCs w:val="24"/>
        </w:rPr>
        <w:t xml:space="preserve"> </w:t>
      </w:r>
      <w:r w:rsidRPr="005E58D9">
        <w:rPr>
          <w:rFonts w:ascii="Times New Roman" w:hAnsi="Times New Roman"/>
          <w:sz w:val="24"/>
          <w:szCs w:val="24"/>
        </w:rPr>
        <w:t>Yacine notamment fait partie des promoteurs de ce théâtre populaire et précieux. C’e</w:t>
      </w:r>
      <w:r>
        <w:rPr>
          <w:rFonts w:ascii="Times New Roman" w:hAnsi="Times New Roman"/>
          <w:sz w:val="24"/>
          <w:szCs w:val="24"/>
        </w:rPr>
        <w:t>s</w:t>
      </w:r>
      <w:r w:rsidRPr="005E58D9">
        <w:rPr>
          <w:rFonts w:ascii="Times New Roman" w:hAnsi="Times New Roman"/>
          <w:sz w:val="24"/>
          <w:szCs w:val="24"/>
        </w:rPr>
        <w:t xml:space="preserve">t en effet cet auteur qui articula la structure narrative autour du fameux personnage de </w:t>
      </w:r>
      <w:r w:rsidRPr="005E58D9">
        <w:rPr>
          <w:rFonts w:ascii="Times New Roman" w:hAnsi="Times New Roman"/>
          <w:i/>
          <w:sz w:val="24"/>
          <w:szCs w:val="24"/>
        </w:rPr>
        <w:t>Djeha</w:t>
      </w:r>
      <w:r w:rsidRPr="005E58D9">
        <w:rPr>
          <w:rFonts w:ascii="Times New Roman" w:hAnsi="Times New Roman"/>
          <w:sz w:val="24"/>
          <w:szCs w:val="24"/>
        </w:rPr>
        <w:t xml:space="preserve"> (même transformé, pour la circonstance, en </w:t>
      </w:r>
      <w:r w:rsidRPr="005E58D9">
        <w:rPr>
          <w:rFonts w:ascii="Times New Roman" w:hAnsi="Times New Roman"/>
          <w:i/>
          <w:sz w:val="24"/>
          <w:szCs w:val="24"/>
        </w:rPr>
        <w:t>Nuage de Fumée</w:t>
      </w:r>
      <w:r w:rsidRPr="005E58D9">
        <w:rPr>
          <w:rFonts w:ascii="Times New Roman" w:hAnsi="Times New Roman"/>
          <w:sz w:val="24"/>
          <w:szCs w:val="24"/>
        </w:rPr>
        <w:t xml:space="preserve"> ou </w:t>
      </w:r>
      <w:r w:rsidRPr="005E58D9">
        <w:rPr>
          <w:rFonts w:ascii="Times New Roman" w:hAnsi="Times New Roman"/>
          <w:i/>
          <w:sz w:val="24"/>
          <w:szCs w:val="24"/>
        </w:rPr>
        <w:t>Moh Zitoun</w:t>
      </w:r>
      <w:r w:rsidRPr="005E58D9">
        <w:rPr>
          <w:rFonts w:ascii="Times New Roman" w:hAnsi="Times New Roman"/>
          <w:sz w:val="24"/>
          <w:szCs w:val="24"/>
        </w:rPr>
        <w:t>). Les transformations régulières sur scène de son personnage, en ont fait, un acteur clé de faits de société et d’évènements d’actualité au sein de la population algérienne.</w:t>
      </w:r>
    </w:p>
    <w:p w:rsidR="006A4EED" w:rsidRPr="005E58D9" w:rsidRDefault="006A4EED" w:rsidP="00B93AF6">
      <w:pPr>
        <w:spacing w:after="0" w:line="360" w:lineRule="auto"/>
        <w:ind w:firstLine="284"/>
        <w:jc w:val="both"/>
        <w:rPr>
          <w:rFonts w:ascii="Times New Roman" w:hAnsi="Times New Roman"/>
          <w:sz w:val="24"/>
          <w:szCs w:val="24"/>
        </w:rPr>
      </w:pPr>
      <w:r w:rsidRPr="005E58D9">
        <w:rPr>
          <w:rFonts w:ascii="Times New Roman" w:hAnsi="Times New Roman"/>
          <w:sz w:val="24"/>
          <w:szCs w:val="24"/>
        </w:rPr>
        <w:t>En effet, après le vif succès de ses œuvres romanesques et théâtrales particulièrement appréciées par l’élite coloniale, Kateb avait décidé de se tourner vers le peuple algérien, vers les masses populaires algériennes. Kateb choisi de déplacer sa parole d’auteur littéraire vers celle de dénonciateur, d’éveilleur de conscience, afin de rompre le vaste silence autour des brutalités de l’histoire imposées aux opprimés. C’est dans cet esprit qu’il conçoit «</w:t>
      </w:r>
      <w:r w:rsidRPr="005E58D9">
        <w:rPr>
          <w:rFonts w:ascii="Times New Roman" w:hAnsi="Times New Roman"/>
          <w:i/>
          <w:sz w:val="24"/>
          <w:szCs w:val="24"/>
        </w:rPr>
        <w:t>un théâtre politique dans la langue populaire</w:t>
      </w:r>
      <w:r w:rsidRPr="005E58D9">
        <w:rPr>
          <w:rFonts w:ascii="Times New Roman" w:hAnsi="Times New Roman"/>
          <w:sz w:val="24"/>
          <w:szCs w:val="24"/>
        </w:rPr>
        <w:t xml:space="preserve"> ». Cette approche lie profondément en Algérie, comme on le verra avec Kaki, deux faces d’une même pièce : théâtre populaire et théâtre engagé. Le théâtre populaire épousera en effet les contours d’un théâtre de contestation qui deviendra le théâtre algérien engagé. </w:t>
      </w:r>
      <w:r>
        <w:rPr>
          <w:rFonts w:ascii="Times New Roman" w:hAnsi="Times New Roman"/>
          <w:sz w:val="24"/>
          <w:szCs w:val="24"/>
        </w:rPr>
        <w:t>Nous</w:t>
      </w:r>
      <w:r w:rsidRPr="005E58D9">
        <w:rPr>
          <w:rFonts w:ascii="Times New Roman" w:hAnsi="Times New Roman"/>
          <w:sz w:val="24"/>
          <w:szCs w:val="24"/>
        </w:rPr>
        <w:t xml:space="preserve"> en reparler</w:t>
      </w:r>
      <w:r>
        <w:rPr>
          <w:rFonts w:ascii="Times New Roman" w:hAnsi="Times New Roman"/>
          <w:sz w:val="24"/>
          <w:szCs w:val="24"/>
        </w:rPr>
        <w:t>ons</w:t>
      </w:r>
      <w:r w:rsidRPr="005E58D9">
        <w:rPr>
          <w:rFonts w:ascii="Times New Roman" w:hAnsi="Times New Roman"/>
          <w:sz w:val="24"/>
          <w:szCs w:val="24"/>
        </w:rPr>
        <w:t>.</w:t>
      </w:r>
    </w:p>
    <w:p w:rsidR="006A4EED" w:rsidRPr="005E58D9" w:rsidRDefault="006A4EED" w:rsidP="00415F3C">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Notons pour l’heure que ce phénomène visible et important de la tendance de plusieurs auteurs algériens à  s’inspirer de la culture populaire a été de nature à </w:t>
      </w:r>
      <w:r w:rsidRPr="005E58D9">
        <w:rPr>
          <w:rFonts w:ascii="Times New Roman" w:hAnsi="Times New Roman"/>
          <w:sz w:val="24"/>
          <w:szCs w:val="24"/>
        </w:rPr>
        <w:lastRenderedPageBreak/>
        <w:t xml:space="preserve">enrichir le théâtre algérien. Plusieurs auteurs utilisant des récits et des histoires héritées du patrimoine littéraire, une série d’éléments tirés de la culture populaire, étaient contenus dans de très nombreux textes dramatiques algériens. Certes, le phénomène a diminué avec l’occidentalisation qui a gagné de nombreux espaces. Mais certains auteurs réutilisent toujours les anciennes formes dramatiques (la halqa, le gouwal, le meddah, Aissaoua ou jeu de transes). </w:t>
      </w:r>
    </w:p>
    <w:p w:rsidR="006A4EED" w:rsidRPr="005E58D9" w:rsidRDefault="006A4EED" w:rsidP="00F70789">
      <w:pPr>
        <w:spacing w:after="0" w:line="360" w:lineRule="auto"/>
        <w:ind w:firstLine="284"/>
        <w:jc w:val="both"/>
        <w:rPr>
          <w:rFonts w:ascii="Times New Roman" w:hAnsi="Times New Roman"/>
          <w:sz w:val="24"/>
          <w:szCs w:val="24"/>
        </w:rPr>
      </w:pPr>
      <w:r w:rsidRPr="005E58D9">
        <w:rPr>
          <w:rFonts w:ascii="Times New Roman" w:hAnsi="Times New Roman"/>
          <w:sz w:val="24"/>
          <w:szCs w:val="24"/>
        </w:rPr>
        <w:t>Saadeddine Bencheneb, cité par Ahmed Cheniki, expliquait ainsi l’apport de la «tradition » orale au théâtre en Algérie :</w:t>
      </w:r>
    </w:p>
    <w:p w:rsidR="006A4EED" w:rsidRPr="00154B8B" w:rsidRDefault="006A4EED" w:rsidP="00154B8B">
      <w:pPr>
        <w:pStyle w:val="Citationintense"/>
        <w:spacing w:before="0" w:after="0"/>
        <w:ind w:left="567" w:right="0"/>
        <w:rPr>
          <w:sz w:val="20"/>
          <w:szCs w:val="20"/>
        </w:rPr>
      </w:pPr>
      <w:r w:rsidRPr="00154B8B">
        <w:rPr>
          <w:iCs w:val="0"/>
          <w:sz w:val="20"/>
          <w:szCs w:val="20"/>
        </w:rPr>
        <w:t>L’histoire à laquelle puisent les auteurs algérois est constituée de récits merveilleux et légendes dorées transmises depuis des siècles de bouche à oreille, non par des textes. Cette particularité tient sans doute au caractère purement populaire du théâtre algérois (qui est un théâtre comique) dont les auteurs ne sont pas des érudits. (…) Les œuvres algéroises ne sont pas des reconstitutions car les auteurs puisent toujours leurs sources dans le fonds commun que le peuple a constitué de la civilisation et de l’histoire arabe</w:t>
      </w:r>
      <w:r w:rsidRPr="00154B8B">
        <w:rPr>
          <w:rStyle w:val="Appelnotedebasdep"/>
          <w:sz w:val="20"/>
          <w:szCs w:val="20"/>
        </w:rPr>
        <w:footnoteReference w:id="63"/>
      </w:r>
      <w:r w:rsidR="00D514F0">
        <w:rPr>
          <w:iCs w:val="0"/>
          <w:sz w:val="20"/>
          <w:szCs w:val="20"/>
        </w:rPr>
        <w:t>.</w:t>
      </w:r>
    </w:p>
    <w:p w:rsidR="00D514F0" w:rsidRDefault="00D514F0" w:rsidP="006A4EED">
      <w:pPr>
        <w:spacing w:line="360" w:lineRule="auto"/>
        <w:ind w:firstLine="709"/>
        <w:jc w:val="both"/>
        <w:rPr>
          <w:rFonts w:ascii="Times New Roman" w:hAnsi="Times New Roman"/>
          <w:sz w:val="24"/>
          <w:szCs w:val="24"/>
        </w:rPr>
      </w:pPr>
    </w:p>
    <w:p w:rsidR="006A4EED" w:rsidRPr="005E58D9" w:rsidRDefault="006A4EED" w:rsidP="008F0BAE">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Et la pratique, loin de disparaitre semble encore avoir de beaux jours devant elle. Globalement, les auteurs arabes et africains s’intéressent sérieusement à la réadaptation des formes populaires. Les récentes productions algériennes restent ponctuées par de fréquents appels à l’histoire ancienne et aux différentes structures dramatiques nationales. Ainsi, la pièce du théâtre régional de Constantine (TRC), </w:t>
      </w:r>
      <w:r w:rsidRPr="005E58D9">
        <w:rPr>
          <w:rFonts w:ascii="Times New Roman" w:hAnsi="Times New Roman"/>
          <w:i/>
          <w:iCs/>
          <w:sz w:val="24"/>
          <w:szCs w:val="24"/>
        </w:rPr>
        <w:t>Def el goul oual bendir (chauffe la parole</w:t>
      </w:r>
      <w:r w:rsidRPr="005E58D9">
        <w:rPr>
          <w:rFonts w:ascii="Times New Roman" w:hAnsi="Times New Roman"/>
          <w:sz w:val="24"/>
          <w:szCs w:val="24"/>
        </w:rPr>
        <w:t>) d’un jeune auteur, Tayeb Déhimi, transpose certaines des formes anciennes dont on a parlé plus haut (le gouwal, le meddah, les aissaoua, le Boughandja, etc.)</w:t>
      </w:r>
    </w:p>
    <w:p w:rsidR="00784D77" w:rsidRDefault="00784D77" w:rsidP="00EE7B6A">
      <w:pPr>
        <w:pStyle w:val="Titre5"/>
        <w:spacing w:before="0" w:after="0"/>
        <w:ind w:firstLine="284"/>
        <w:jc w:val="both"/>
        <w:rPr>
          <w:rFonts w:ascii="Times New Roman" w:hAnsi="Times New Roman"/>
          <w:color w:val="auto"/>
        </w:rPr>
      </w:pPr>
    </w:p>
    <w:p w:rsidR="006A4EED" w:rsidRPr="002A6583" w:rsidRDefault="00716A95" w:rsidP="00EE7B6A">
      <w:pPr>
        <w:pStyle w:val="Titre5"/>
        <w:spacing w:before="0" w:after="0"/>
        <w:ind w:firstLine="284"/>
        <w:jc w:val="both"/>
        <w:rPr>
          <w:rFonts w:ascii="Times New Roman" w:hAnsi="Times New Roman"/>
          <w:color w:val="auto"/>
        </w:rPr>
      </w:pPr>
      <w:bookmarkStart w:id="35" w:name="_Toc471484411"/>
      <w:r>
        <w:rPr>
          <w:rFonts w:ascii="Times New Roman" w:hAnsi="Times New Roman"/>
          <w:color w:val="auto"/>
        </w:rPr>
        <w:t>2.2.4</w:t>
      </w:r>
      <w:r w:rsidR="00EE7B6A">
        <w:rPr>
          <w:rFonts w:ascii="Times New Roman" w:hAnsi="Times New Roman"/>
          <w:color w:val="auto"/>
        </w:rPr>
        <w:t>.</w:t>
      </w:r>
      <w:r w:rsidR="00EE7B6A" w:rsidRPr="002A6583">
        <w:rPr>
          <w:rFonts w:ascii="Times New Roman" w:hAnsi="Times New Roman"/>
          <w:color w:val="auto"/>
        </w:rPr>
        <w:t xml:space="preserve"> Le</w:t>
      </w:r>
      <w:r w:rsidR="006A4EED" w:rsidRPr="002A6583">
        <w:rPr>
          <w:rFonts w:ascii="Times New Roman" w:hAnsi="Times New Roman"/>
          <w:color w:val="auto"/>
        </w:rPr>
        <w:t xml:space="preserve"> théâtre algérien engagé</w:t>
      </w:r>
      <w:bookmarkEnd w:id="35"/>
    </w:p>
    <w:p w:rsidR="006A4EED" w:rsidRPr="005E58D9" w:rsidRDefault="006A4EED" w:rsidP="00843F6F">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 En Algérie s’est progressivement affirmé un théâtre de dénonciation sociale, un théâtre engagé. Ses thèmes majeurs et récurrents étaient : le maraboutisme, le mariage forcé, la dot, le divorce et l’argent, l’identité algérienne etc. À ce propos, </w:t>
      </w:r>
      <w:r>
        <w:rPr>
          <w:rFonts w:ascii="Times New Roman" w:hAnsi="Times New Roman"/>
          <w:sz w:val="24"/>
          <w:szCs w:val="24"/>
        </w:rPr>
        <w:t xml:space="preserve">Abdelhamid </w:t>
      </w:r>
      <w:r w:rsidRPr="005E58D9">
        <w:rPr>
          <w:rFonts w:ascii="Times New Roman" w:hAnsi="Times New Roman"/>
          <w:sz w:val="24"/>
          <w:szCs w:val="24"/>
        </w:rPr>
        <w:t>G</w:t>
      </w:r>
      <w:r w:rsidR="00843F6F">
        <w:rPr>
          <w:rFonts w:ascii="Times New Roman" w:hAnsi="Times New Roman"/>
          <w:sz w:val="24"/>
          <w:szCs w:val="24"/>
        </w:rPr>
        <w:t>uerfi</w:t>
      </w:r>
      <w:r w:rsidRPr="005E58D9">
        <w:rPr>
          <w:rFonts w:ascii="Times New Roman" w:hAnsi="Times New Roman"/>
          <w:sz w:val="24"/>
          <w:szCs w:val="24"/>
        </w:rPr>
        <w:t> écrit :</w:t>
      </w:r>
    </w:p>
    <w:p w:rsidR="001F2285" w:rsidRDefault="006A4EED" w:rsidP="00843F6F">
      <w:pPr>
        <w:pStyle w:val="Citationintense"/>
        <w:spacing w:before="0" w:after="0"/>
        <w:ind w:left="567" w:right="0"/>
        <w:rPr>
          <w:sz w:val="20"/>
          <w:szCs w:val="20"/>
        </w:rPr>
      </w:pPr>
      <w:r w:rsidRPr="001F2285">
        <w:rPr>
          <w:sz w:val="20"/>
          <w:szCs w:val="20"/>
        </w:rPr>
        <w:t>Le théâtre algérien s’est développé avec Rachid Ksentini, Mahieddine Bachtarzi et Mustapha Kateb, entre autres, et ce durant la colonisation. Cependant le théâtre algérien a acquis ses lettres de noblesse avec Ould Abderrahmane Kaki, Abdelkader Alloula, Slimane Benaissa, et Ziani Cherif Ayad, essentiellement. Ce fut un théâtre engagé qui a traité des questions historiques existentielles et identitaires</w:t>
      </w:r>
      <w:r w:rsidRPr="001F2285">
        <w:rPr>
          <w:rStyle w:val="Appelnotedebasdep"/>
          <w:sz w:val="20"/>
          <w:szCs w:val="20"/>
        </w:rPr>
        <w:footnoteReference w:id="64"/>
      </w:r>
      <w:r w:rsidR="00843F6F">
        <w:rPr>
          <w:sz w:val="20"/>
          <w:szCs w:val="20"/>
        </w:rPr>
        <w:t>.</w:t>
      </w:r>
      <w:r w:rsidRPr="001F2285">
        <w:rPr>
          <w:sz w:val="20"/>
          <w:szCs w:val="20"/>
        </w:rPr>
        <w:t xml:space="preserve"> </w:t>
      </w:r>
    </w:p>
    <w:p w:rsidR="001F2285" w:rsidRPr="001F2285" w:rsidRDefault="001F2285" w:rsidP="001F2285">
      <w:pPr>
        <w:spacing w:after="0" w:line="240" w:lineRule="auto"/>
      </w:pPr>
    </w:p>
    <w:p w:rsidR="006A4EED" w:rsidRPr="005E58D9" w:rsidRDefault="006A4EED" w:rsidP="00574AC8">
      <w:pPr>
        <w:spacing w:after="0" w:line="360" w:lineRule="auto"/>
        <w:ind w:firstLine="284"/>
        <w:jc w:val="both"/>
        <w:rPr>
          <w:rFonts w:ascii="Times New Roman" w:hAnsi="Times New Roman"/>
          <w:sz w:val="24"/>
          <w:szCs w:val="24"/>
        </w:rPr>
      </w:pPr>
      <w:r w:rsidRPr="005E58D9">
        <w:rPr>
          <w:rFonts w:ascii="Times New Roman" w:hAnsi="Times New Roman"/>
          <w:sz w:val="24"/>
          <w:szCs w:val="24"/>
        </w:rPr>
        <w:lastRenderedPageBreak/>
        <w:t xml:space="preserve">Pour parler engagement, prenons l’illustration du théâtre de Kateb Yacine avec son œuvre </w:t>
      </w:r>
      <w:r w:rsidRPr="005E58D9">
        <w:rPr>
          <w:rFonts w:ascii="Times New Roman" w:hAnsi="Times New Roman"/>
          <w:i/>
          <w:iCs/>
          <w:sz w:val="24"/>
          <w:szCs w:val="24"/>
        </w:rPr>
        <w:t xml:space="preserve">Mohamed prends ta valise qui </w:t>
      </w:r>
      <w:r w:rsidRPr="005E58D9">
        <w:rPr>
          <w:rFonts w:ascii="Times New Roman" w:hAnsi="Times New Roman"/>
          <w:sz w:val="24"/>
          <w:szCs w:val="24"/>
        </w:rPr>
        <w:t xml:space="preserve">fut représentée en 1971. A cette période, l’Algérien en France éprouvait rejet et honte. Kateb voulait transformer cette honte en conscience de l’injustice. La sortie de sa pièce a coïncidé d’ailleurs avec les manifestations et grèves de la faim de clandestins algériens en France en 1971. </w:t>
      </w:r>
      <w:r w:rsidRPr="005E58D9">
        <w:rPr>
          <w:rFonts w:ascii="Times New Roman" w:hAnsi="Times New Roman"/>
          <w:i/>
          <w:iCs/>
          <w:sz w:val="24"/>
          <w:szCs w:val="24"/>
        </w:rPr>
        <w:t xml:space="preserve">Mohamed prends ta valise </w:t>
      </w:r>
      <w:r w:rsidRPr="005E58D9">
        <w:rPr>
          <w:rFonts w:ascii="Times New Roman" w:hAnsi="Times New Roman"/>
          <w:sz w:val="24"/>
          <w:szCs w:val="24"/>
        </w:rPr>
        <w:t>rend compte de ce mouvement de révolte. La pièce fait entendre la parole de ces immigrés déplacés, oubliés, ces immigrés algériens à la situation bien précaire dans la France d’après-guerre. Le statut illégal de ces immigrés convenait aux employeurs, qui n’avaient pas à respecter leurs droits. Ces immigrés étaient exclus du débat politique, ignorés des syndicats, marginalisés socialement et géographiquement du fait qu’ils vivaient à l’extérieur des villes. A cette situation inacceptable, Kateb va opposer, dira t-il lui-même,  un « </w:t>
      </w:r>
      <w:r w:rsidRPr="005E58D9">
        <w:rPr>
          <w:rFonts w:ascii="Times New Roman" w:hAnsi="Times New Roman"/>
          <w:i/>
          <w:sz w:val="24"/>
          <w:szCs w:val="24"/>
        </w:rPr>
        <w:t>théâtre de combat</w:t>
      </w:r>
      <w:r w:rsidRPr="005E58D9">
        <w:rPr>
          <w:rFonts w:ascii="Times New Roman" w:hAnsi="Times New Roman"/>
          <w:sz w:val="24"/>
          <w:szCs w:val="24"/>
        </w:rPr>
        <w:t xml:space="preserve"> » pour </w:t>
      </w:r>
      <w:r w:rsidRPr="00D52186">
        <w:rPr>
          <w:rFonts w:ascii="Times New Roman" w:hAnsi="Times New Roman"/>
          <w:sz w:val="24"/>
          <w:szCs w:val="24"/>
        </w:rPr>
        <w:t>« porter des témoignages, parler de ceux qui luttent »</w:t>
      </w:r>
      <w:r w:rsidRPr="00D52186">
        <w:rPr>
          <w:rStyle w:val="Appelnotedebasdep"/>
          <w:rFonts w:ascii="Times New Roman" w:hAnsi="Times New Roman"/>
          <w:sz w:val="24"/>
          <w:szCs w:val="24"/>
        </w:rPr>
        <w:footnoteReference w:id="65"/>
      </w:r>
      <w:r w:rsidRPr="00D52186">
        <w:rPr>
          <w:rFonts w:ascii="Times New Roman" w:hAnsi="Times New Roman"/>
          <w:sz w:val="24"/>
          <w:szCs w:val="24"/>
        </w:rPr>
        <w:t>. Après une avant-première à Alger en 1971, Mohamed prends ta valise est joué en France et dans des endroits populaires : usines, Maisons des Jeunes</w:t>
      </w:r>
      <w:r w:rsidRPr="005E58D9">
        <w:rPr>
          <w:rFonts w:ascii="Times New Roman" w:hAnsi="Times New Roman"/>
          <w:sz w:val="24"/>
          <w:szCs w:val="24"/>
        </w:rPr>
        <w:t>, centres professionnels, lycées, quartiers d’immigrés. La pièce de Kateb est saluée unanimement par un public de 350 000 spectateurs des deux côtés de la Méditerranée.</w:t>
      </w:r>
    </w:p>
    <w:p w:rsidR="006A4EED" w:rsidRPr="005B175E" w:rsidRDefault="006A4EED" w:rsidP="005B175E">
      <w:pPr>
        <w:spacing w:after="0" w:line="360" w:lineRule="auto"/>
        <w:ind w:firstLine="284"/>
        <w:jc w:val="both"/>
        <w:rPr>
          <w:rFonts w:ascii="Times New Roman" w:hAnsi="Times New Roman"/>
          <w:sz w:val="24"/>
          <w:szCs w:val="24"/>
        </w:rPr>
      </w:pPr>
      <w:r w:rsidRPr="005B175E">
        <w:rPr>
          <w:rFonts w:ascii="Times New Roman" w:hAnsi="Times New Roman"/>
          <w:sz w:val="24"/>
          <w:szCs w:val="24"/>
        </w:rPr>
        <w:t xml:space="preserve">En réalité, le théâtre engagé est un genre qui fait partie de l’identité même du théâtre algérien. Il connait ses heures de noblesses avec le mouvement de décolonisation et tout le long de la période post coloniale. Ce théâtre qui permet, selon Finburgh </w:t>
      </w:r>
      <w:r w:rsidRPr="005B175E">
        <w:rPr>
          <w:rFonts w:ascii="Times New Roman" w:hAnsi="Times New Roman"/>
          <w:i/>
          <w:sz w:val="24"/>
          <w:szCs w:val="24"/>
        </w:rPr>
        <w:t xml:space="preserve">de </w:t>
      </w:r>
      <w:r w:rsidRPr="005B175E">
        <w:rPr>
          <w:rFonts w:ascii="Times New Roman" w:hAnsi="Times New Roman"/>
          <w:sz w:val="24"/>
          <w:szCs w:val="24"/>
        </w:rPr>
        <w:t>« faire entendre la parole des déplacés, exilés et émigrés, qui peuplent de plus en plus la planète</w:t>
      </w:r>
      <w:r w:rsidRPr="005B175E">
        <w:rPr>
          <w:rFonts w:ascii="Times New Roman" w:hAnsi="Times New Roman"/>
          <w:i/>
          <w:sz w:val="24"/>
          <w:szCs w:val="24"/>
        </w:rPr>
        <w:t> »</w:t>
      </w:r>
      <w:r w:rsidRPr="005B175E">
        <w:rPr>
          <w:rStyle w:val="Appelnotedebasdep"/>
          <w:rFonts w:ascii="Times New Roman" w:hAnsi="Times New Roman"/>
          <w:sz w:val="24"/>
          <w:szCs w:val="24"/>
        </w:rPr>
        <w:footnoteReference w:id="66"/>
      </w:r>
      <w:r w:rsidRPr="005B175E">
        <w:rPr>
          <w:rFonts w:ascii="Times New Roman" w:hAnsi="Times New Roman"/>
          <w:sz w:val="24"/>
          <w:szCs w:val="24"/>
        </w:rPr>
        <w:t xml:space="preserve"> connait chez les auteurs algériens quelque chose de très personnel. Pendant qu’il rédige Mohamed, Kateb dira :</w:t>
      </w:r>
    </w:p>
    <w:p w:rsidR="006A4EED" w:rsidRPr="001C015A" w:rsidRDefault="006A4EED" w:rsidP="00DB3A59">
      <w:pPr>
        <w:pStyle w:val="Citationintense"/>
        <w:spacing w:before="0" w:after="0"/>
        <w:ind w:left="567" w:right="0"/>
        <w:rPr>
          <w:sz w:val="20"/>
          <w:szCs w:val="20"/>
        </w:rPr>
      </w:pPr>
      <w:r w:rsidRPr="001C015A">
        <w:rPr>
          <w:iCs w:val="0"/>
          <w:sz w:val="20"/>
          <w:szCs w:val="20"/>
        </w:rPr>
        <w:t>Ce que j’entends par théâtre politique, c’est un théâtre qui sort des sentiers battus du théâtre traditionnel, qui ne prend à ce dernier que sa forme dialoguée, les</w:t>
      </w:r>
      <w:r w:rsidR="00002BE5" w:rsidRPr="001C015A">
        <w:rPr>
          <w:iCs w:val="0"/>
          <w:sz w:val="20"/>
          <w:szCs w:val="20"/>
        </w:rPr>
        <w:t xml:space="preserve"> </w:t>
      </w:r>
      <w:r w:rsidRPr="001C015A">
        <w:rPr>
          <w:iCs w:val="0"/>
          <w:sz w:val="20"/>
          <w:szCs w:val="20"/>
        </w:rPr>
        <w:t>chœurs, certains moyens techniques, mais qui, volontairement, sacrifie le côté dit culturel à la politique proprement dite et plonge au cœur des événements</w:t>
      </w:r>
      <w:r w:rsidRPr="001C015A">
        <w:rPr>
          <w:rStyle w:val="Appelnotedebasdep"/>
          <w:sz w:val="20"/>
          <w:szCs w:val="20"/>
        </w:rPr>
        <w:footnoteReference w:id="67"/>
      </w:r>
      <w:r w:rsidR="00DB3A59">
        <w:rPr>
          <w:sz w:val="20"/>
          <w:szCs w:val="20"/>
        </w:rPr>
        <w:t>.</w:t>
      </w:r>
    </w:p>
    <w:p w:rsidR="00DB3A59" w:rsidRDefault="00DB3A59" w:rsidP="006A4EED">
      <w:pPr>
        <w:spacing w:line="360" w:lineRule="auto"/>
        <w:ind w:firstLine="708"/>
        <w:jc w:val="both"/>
        <w:rPr>
          <w:rFonts w:ascii="Times New Roman" w:hAnsi="Times New Roman"/>
          <w:sz w:val="24"/>
          <w:szCs w:val="24"/>
        </w:rPr>
      </w:pPr>
    </w:p>
    <w:p w:rsidR="006A4EED" w:rsidRPr="005E58D9" w:rsidRDefault="006A4EED" w:rsidP="00CE7FE3">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Mais le théâtre algérien engagé n’est pas orphelin. Il s’inscrit dans un vaste mouvement algérien bien sûr, mais aussi européen. </w:t>
      </w:r>
      <w:bookmarkStart w:id="36" w:name="_Toc215135518"/>
      <w:r w:rsidRPr="005E58D9">
        <w:rPr>
          <w:rFonts w:ascii="Times New Roman" w:hAnsi="Times New Roman"/>
          <w:sz w:val="24"/>
          <w:szCs w:val="24"/>
        </w:rPr>
        <w:t xml:space="preserve">D’ailleurs, les deux </w:t>
      </w:r>
      <w:r w:rsidRPr="005E58D9">
        <w:rPr>
          <w:rFonts w:ascii="Times New Roman" w:hAnsi="Times New Roman"/>
          <w:sz w:val="24"/>
          <w:szCs w:val="24"/>
        </w:rPr>
        <w:lastRenderedPageBreak/>
        <w:t xml:space="preserve">représentants principaux du théâtre politique sont bien connus : Jean-Paul Sartre et Bertolt Brecht.  De ce point de vue, force est de reconnaitre que le théâtre engagé dans l’Algérie coloniale et post coloniale coïncide avec le théâtre engagé européen, étant donné que son histoire présente, du point de vue du peuple un vaste panorama épique et documentaire, de l’histoire mondiale impérialiste. Le soulèvement littéraire d’auteurs algériens est donc inspiré et nourris par un mouvement plus large, plus international de contestation et de désobéissance alimenté par les pères du théâtre engagé comme Sartre ou Brecht.  </w:t>
      </w:r>
    </w:p>
    <w:p w:rsidR="006A4EED" w:rsidRPr="00903EF1" w:rsidRDefault="006A4EED" w:rsidP="00903EF1">
      <w:pPr>
        <w:spacing w:after="0" w:line="360" w:lineRule="auto"/>
        <w:ind w:firstLine="284"/>
        <w:jc w:val="both"/>
        <w:rPr>
          <w:rFonts w:asciiTheme="majorBidi" w:hAnsiTheme="majorBidi" w:cstheme="majorBidi"/>
          <w:sz w:val="24"/>
          <w:szCs w:val="24"/>
        </w:rPr>
      </w:pPr>
      <w:r w:rsidRPr="005E58D9">
        <w:rPr>
          <w:rFonts w:ascii="Times New Roman" w:hAnsi="Times New Roman"/>
          <w:sz w:val="24"/>
          <w:szCs w:val="24"/>
        </w:rPr>
        <w:t>K</w:t>
      </w:r>
      <w:r w:rsidR="001F2285">
        <w:rPr>
          <w:rFonts w:ascii="Times New Roman" w:hAnsi="Times New Roman"/>
          <w:sz w:val="24"/>
          <w:szCs w:val="24"/>
        </w:rPr>
        <w:t>ateb</w:t>
      </w:r>
      <w:r w:rsidRPr="005E58D9">
        <w:rPr>
          <w:rFonts w:ascii="Times New Roman" w:hAnsi="Times New Roman"/>
          <w:sz w:val="24"/>
          <w:szCs w:val="24"/>
        </w:rPr>
        <w:t xml:space="preserve"> </w:t>
      </w:r>
      <w:r>
        <w:rPr>
          <w:rFonts w:ascii="Times New Roman" w:hAnsi="Times New Roman"/>
          <w:sz w:val="24"/>
          <w:szCs w:val="24"/>
        </w:rPr>
        <w:t xml:space="preserve">Yacine </w:t>
      </w:r>
      <w:r w:rsidRPr="005E58D9">
        <w:rPr>
          <w:rFonts w:ascii="Times New Roman" w:hAnsi="Times New Roman"/>
          <w:sz w:val="24"/>
          <w:szCs w:val="24"/>
        </w:rPr>
        <w:t xml:space="preserve">dira d’ailleurs : </w:t>
      </w:r>
      <w:r w:rsidR="00903EF1" w:rsidRPr="00903EF1">
        <w:rPr>
          <w:rFonts w:asciiTheme="majorBidi" w:hAnsiTheme="majorBidi" w:cstheme="majorBidi"/>
          <w:sz w:val="24"/>
          <w:szCs w:val="24"/>
        </w:rPr>
        <w:t>« </w:t>
      </w:r>
      <w:r w:rsidRPr="00903EF1">
        <w:rPr>
          <w:rFonts w:asciiTheme="majorBidi" w:hAnsiTheme="majorBidi" w:cstheme="majorBidi"/>
          <w:sz w:val="24"/>
          <w:szCs w:val="24"/>
        </w:rPr>
        <w:t>Le théâtre de Brecht m’a confirmé dans la voie que j’avais choisie, parce que c’était alors le théâtre le plus directement politique»</w:t>
      </w:r>
      <w:r w:rsidRPr="00903EF1">
        <w:rPr>
          <w:rStyle w:val="Appelnotedebasdep"/>
          <w:rFonts w:asciiTheme="majorBidi" w:hAnsiTheme="majorBidi" w:cstheme="majorBidi"/>
          <w:sz w:val="24"/>
          <w:szCs w:val="24"/>
        </w:rPr>
        <w:footnoteReference w:id="68"/>
      </w:r>
      <w:r w:rsidR="00903EF1">
        <w:rPr>
          <w:rFonts w:asciiTheme="majorBidi" w:hAnsiTheme="majorBidi" w:cstheme="majorBidi"/>
          <w:sz w:val="24"/>
          <w:szCs w:val="24"/>
        </w:rPr>
        <w:t>.</w:t>
      </w:r>
    </w:p>
    <w:p w:rsidR="006A4EED" w:rsidRPr="005E58D9" w:rsidRDefault="006A4EED" w:rsidP="002B01B0">
      <w:pPr>
        <w:spacing w:after="0" w:line="360" w:lineRule="auto"/>
        <w:ind w:firstLine="284"/>
        <w:jc w:val="both"/>
        <w:rPr>
          <w:rFonts w:ascii="Times New Roman" w:hAnsi="Times New Roman"/>
          <w:sz w:val="24"/>
          <w:szCs w:val="24"/>
        </w:rPr>
      </w:pPr>
      <w:r w:rsidRPr="00903EF1">
        <w:rPr>
          <w:rFonts w:asciiTheme="majorBidi" w:hAnsiTheme="majorBidi" w:cstheme="majorBidi"/>
          <w:sz w:val="24"/>
          <w:szCs w:val="24"/>
        </w:rPr>
        <w:t>Toutefois, il est utile d’observer, dans le théâtre politique algérien une certaine singularité, marquant une différenciation idéologique et esthétique d’avec Sartre et</w:t>
      </w:r>
      <w:r w:rsidRPr="005E58D9">
        <w:rPr>
          <w:rFonts w:ascii="Times New Roman" w:hAnsi="Times New Roman"/>
          <w:sz w:val="24"/>
          <w:szCs w:val="24"/>
        </w:rPr>
        <w:t xml:space="preserve"> Brecht par exemple. La nuance est fine mais elle est certaine. Pour Claire Finburgh, le théâtre algérien est engagé, il est politique mais sans être didactique</w:t>
      </w:r>
      <w:r w:rsidRPr="005E58D9">
        <w:rPr>
          <w:rStyle w:val="Appelnotedebasdep"/>
          <w:rFonts w:ascii="Times New Roman" w:hAnsi="Times New Roman"/>
          <w:szCs w:val="24"/>
        </w:rPr>
        <w:footnoteReference w:id="69"/>
      </w:r>
      <w:r w:rsidRPr="005E58D9">
        <w:rPr>
          <w:rFonts w:ascii="Times New Roman" w:hAnsi="Times New Roman"/>
          <w:sz w:val="24"/>
          <w:szCs w:val="24"/>
        </w:rPr>
        <w:t xml:space="preserve">.  </w:t>
      </w:r>
    </w:p>
    <w:p w:rsidR="006A4EED" w:rsidRPr="005E58D9" w:rsidRDefault="006A4EED" w:rsidP="002B01B0">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Ce trait caractéristique s’attache à plusieurs auteurs algériens comme Kateb mais aussi Kaki. Les dramaturges algériens empruntent certes aux pères du théâtre politique les principes  existentialistes, mais ils les adaptent afin d’extraire l’aspect didactique potentiel qui semble aller intrinsèquement avec cette posture existentialiste. </w:t>
      </w:r>
    </w:p>
    <w:p w:rsidR="006A4EED" w:rsidRPr="007327EE" w:rsidRDefault="006A4EED" w:rsidP="007327EE">
      <w:pPr>
        <w:spacing w:after="0" w:line="360" w:lineRule="auto"/>
        <w:ind w:firstLine="284"/>
        <w:jc w:val="both"/>
        <w:rPr>
          <w:rFonts w:asciiTheme="majorBidi" w:hAnsiTheme="majorBidi" w:cstheme="majorBidi"/>
          <w:sz w:val="24"/>
          <w:szCs w:val="24"/>
        </w:rPr>
      </w:pPr>
      <w:r w:rsidRPr="00335D94">
        <w:rPr>
          <w:rFonts w:ascii="Times New Roman" w:hAnsi="Times New Roman"/>
          <w:sz w:val="24"/>
          <w:szCs w:val="24"/>
        </w:rPr>
        <w:t xml:space="preserve">Tentons d’expliquer cette posture. Tout comme Sartre, Kateb et Kaki expliquent que l’injustice, la pauvreté, la soumission ne sont pas innés. En cela ils adoptent clairement une approche existentialiste, laquelle place l’Homme et sa noblesse au dessus de tout. Rappelons avec Sartre que l’être humain est libre de par les  situations. Sartre, justement dans son « théâtre de situations »  démontre que l’être humain peut se dépasser et dépasser les injustices. En fait c’est sa raison d’être, c’est son humanisme. Brecht, dans la même verve adopte dans son théâtre cette posture résolument </w:t>
      </w:r>
      <w:r w:rsidRPr="007327EE">
        <w:rPr>
          <w:rFonts w:asciiTheme="majorBidi" w:hAnsiTheme="majorBidi" w:cstheme="majorBidi"/>
          <w:sz w:val="24"/>
          <w:szCs w:val="24"/>
        </w:rPr>
        <w:t>anti-déterministe</w:t>
      </w:r>
      <w:r w:rsidRPr="007327EE">
        <w:rPr>
          <w:rFonts w:asciiTheme="majorBidi" w:hAnsiTheme="majorBidi" w:cstheme="majorBidi"/>
          <w:i/>
          <w:iCs/>
          <w:sz w:val="24"/>
          <w:szCs w:val="24"/>
        </w:rPr>
        <w:t xml:space="preserve">: </w:t>
      </w:r>
      <w:r w:rsidRPr="007327EE">
        <w:rPr>
          <w:rFonts w:asciiTheme="majorBidi" w:hAnsiTheme="majorBidi" w:cstheme="majorBidi"/>
          <w:sz w:val="24"/>
          <w:szCs w:val="24"/>
        </w:rPr>
        <w:t xml:space="preserve">«On peut montrer que le comportement </w:t>
      </w:r>
      <w:r w:rsidRPr="007327EE">
        <w:rPr>
          <w:rFonts w:asciiTheme="majorBidi" w:hAnsiTheme="majorBidi" w:cstheme="majorBidi"/>
          <w:sz w:val="24"/>
          <w:szCs w:val="24"/>
        </w:rPr>
        <w:lastRenderedPageBreak/>
        <w:t>humain est transformable, que l’homme dépend de certains facteurs politiques et économiques et corrélativement qu’il peut les transformer»</w:t>
      </w:r>
      <w:r w:rsidRPr="007327EE">
        <w:rPr>
          <w:rStyle w:val="Appelnotedebasdep"/>
          <w:rFonts w:asciiTheme="majorBidi" w:hAnsiTheme="majorBidi" w:cstheme="majorBidi"/>
          <w:sz w:val="24"/>
          <w:szCs w:val="24"/>
        </w:rPr>
        <w:footnoteReference w:id="70"/>
      </w:r>
      <w:r w:rsidR="007327EE">
        <w:rPr>
          <w:rFonts w:asciiTheme="majorBidi" w:hAnsiTheme="majorBidi" w:cstheme="majorBidi"/>
          <w:sz w:val="24"/>
          <w:szCs w:val="24"/>
        </w:rPr>
        <w:t>.</w:t>
      </w:r>
      <w:r w:rsidRPr="007327EE">
        <w:rPr>
          <w:rFonts w:asciiTheme="majorBidi" w:hAnsiTheme="majorBidi" w:cstheme="majorBidi"/>
          <w:sz w:val="24"/>
          <w:szCs w:val="24"/>
        </w:rPr>
        <w:t xml:space="preserve"> </w:t>
      </w:r>
    </w:p>
    <w:p w:rsidR="006A4EED" w:rsidRPr="005E58D9" w:rsidRDefault="006A4EED" w:rsidP="00FD3585">
      <w:pPr>
        <w:spacing w:after="0" w:line="360" w:lineRule="auto"/>
        <w:ind w:firstLine="284"/>
        <w:jc w:val="both"/>
        <w:rPr>
          <w:rFonts w:ascii="Times New Roman" w:hAnsi="Times New Roman"/>
          <w:sz w:val="24"/>
          <w:szCs w:val="24"/>
        </w:rPr>
      </w:pPr>
      <w:r w:rsidRPr="005E58D9">
        <w:rPr>
          <w:rFonts w:ascii="Times New Roman" w:hAnsi="Times New Roman"/>
          <w:sz w:val="24"/>
          <w:szCs w:val="24"/>
        </w:rPr>
        <w:t>Les auteurs dramatiques algériens sont de parfaits défenseurs de cette logique et leur théâtre place l’Homme, l’Homme algérien en l’occurrence</w:t>
      </w:r>
      <w:r w:rsidR="00542022">
        <w:rPr>
          <w:rFonts w:ascii="Times New Roman" w:hAnsi="Times New Roman"/>
          <w:sz w:val="24"/>
          <w:szCs w:val="24"/>
        </w:rPr>
        <w:t>,</w:t>
      </w:r>
      <w:r w:rsidRPr="005E58D9">
        <w:rPr>
          <w:rFonts w:ascii="Times New Roman" w:hAnsi="Times New Roman"/>
          <w:sz w:val="24"/>
          <w:szCs w:val="24"/>
        </w:rPr>
        <w:t xml:space="preserve"> au centre des combats pour la reconnaissance, la just</w:t>
      </w:r>
      <w:r>
        <w:rPr>
          <w:rFonts w:ascii="Times New Roman" w:hAnsi="Times New Roman"/>
          <w:sz w:val="24"/>
          <w:szCs w:val="24"/>
        </w:rPr>
        <w:t xml:space="preserve">ice, la dignité, la prospérité. </w:t>
      </w:r>
      <w:r w:rsidRPr="005E58D9">
        <w:rPr>
          <w:rFonts w:ascii="Times New Roman" w:hAnsi="Times New Roman"/>
          <w:sz w:val="24"/>
          <w:szCs w:val="24"/>
        </w:rPr>
        <w:t xml:space="preserve">Les êtres humains peuvent conditionner le monde et pas seulement le contraire. </w:t>
      </w:r>
    </w:p>
    <w:p w:rsidR="006A4EED" w:rsidRPr="00EE4A2A" w:rsidRDefault="006A4EED" w:rsidP="00BF1F03">
      <w:pPr>
        <w:spacing w:after="0" w:line="360" w:lineRule="auto"/>
        <w:ind w:firstLine="284"/>
        <w:jc w:val="both"/>
        <w:rPr>
          <w:rFonts w:asciiTheme="majorBidi" w:hAnsiTheme="majorBidi" w:cstheme="majorBidi"/>
          <w:sz w:val="24"/>
          <w:szCs w:val="24"/>
        </w:rPr>
      </w:pPr>
      <w:r w:rsidRPr="005E58D9">
        <w:rPr>
          <w:rFonts w:ascii="Times New Roman" w:hAnsi="Times New Roman"/>
          <w:sz w:val="24"/>
          <w:szCs w:val="24"/>
        </w:rPr>
        <w:t>Le théâtre algérien traite beaucoup en ce sens de la situation de l’opprimé et s’inspire largement dans la façon d’aborder ce thème, du théâtre de Sartre et de Brecht. Mais à quel niveau se situe la différence ? Dans le théâtre algérien, dans celui de Kateb par exemple</w:t>
      </w:r>
      <w:r w:rsidRPr="005E58D9">
        <w:rPr>
          <w:rStyle w:val="Appelnotedebasdep"/>
          <w:rFonts w:ascii="Times New Roman" w:hAnsi="Times New Roman"/>
          <w:szCs w:val="24"/>
        </w:rPr>
        <w:footnoteReference w:id="71"/>
      </w:r>
      <w:r w:rsidRPr="005E58D9">
        <w:rPr>
          <w:rFonts w:ascii="Times New Roman" w:hAnsi="Times New Roman"/>
          <w:sz w:val="24"/>
          <w:szCs w:val="24"/>
        </w:rPr>
        <w:t>, la situation des opprimés est présentée, rappelée, décrite, dénoncée, mais aucune solution n’est expressément proposée. Très souvent, les auteurs algériens évitent de distiller un message politique définitif et univoque. L’approche est plus subtile que celle de Sartre pour qui il faut prendre position :</w:t>
      </w:r>
      <w:r>
        <w:rPr>
          <w:rFonts w:ascii="Times New Roman" w:hAnsi="Times New Roman"/>
          <w:sz w:val="24"/>
          <w:szCs w:val="24"/>
        </w:rPr>
        <w:t xml:space="preserve"> </w:t>
      </w:r>
      <w:r w:rsidR="00EE4A2A" w:rsidRPr="00EE4A2A">
        <w:rPr>
          <w:rFonts w:asciiTheme="majorBidi" w:hAnsiTheme="majorBidi" w:cstheme="majorBidi"/>
          <w:sz w:val="24"/>
          <w:szCs w:val="24"/>
        </w:rPr>
        <w:t>« </w:t>
      </w:r>
      <w:r w:rsidRPr="00EE4A2A">
        <w:rPr>
          <w:rFonts w:asciiTheme="majorBidi" w:hAnsiTheme="majorBidi" w:cstheme="majorBidi"/>
          <w:sz w:val="24"/>
          <w:szCs w:val="24"/>
        </w:rPr>
        <w:t>Le théâtre doit présenter à l’homme contemporain un portrait de lui-même, ses problèmes, ses espoirs et ses luttes»</w:t>
      </w:r>
      <w:r w:rsidRPr="00EE4A2A">
        <w:rPr>
          <w:rStyle w:val="Appelnotedebasdep"/>
          <w:rFonts w:asciiTheme="majorBidi" w:hAnsiTheme="majorBidi" w:cstheme="majorBidi"/>
          <w:sz w:val="24"/>
          <w:szCs w:val="24"/>
        </w:rPr>
        <w:footnoteReference w:id="72"/>
      </w:r>
      <w:r w:rsidR="00BF1F03">
        <w:rPr>
          <w:rFonts w:asciiTheme="majorBidi" w:hAnsiTheme="majorBidi" w:cstheme="majorBidi"/>
          <w:sz w:val="24"/>
          <w:szCs w:val="24"/>
        </w:rPr>
        <w:t>.</w:t>
      </w:r>
    </w:p>
    <w:p w:rsidR="006A4EED" w:rsidRPr="00EE4A2A" w:rsidRDefault="006A4EED" w:rsidP="00EE4A2A">
      <w:pPr>
        <w:spacing w:after="0" w:line="360" w:lineRule="auto"/>
        <w:ind w:firstLine="284"/>
        <w:jc w:val="both"/>
        <w:rPr>
          <w:rFonts w:asciiTheme="majorBidi" w:hAnsiTheme="majorBidi" w:cstheme="majorBidi"/>
          <w:sz w:val="24"/>
          <w:szCs w:val="24"/>
        </w:rPr>
      </w:pPr>
      <w:r w:rsidRPr="00EE4A2A">
        <w:rPr>
          <w:rFonts w:asciiTheme="majorBidi" w:hAnsiTheme="majorBidi" w:cstheme="majorBidi"/>
          <w:sz w:val="24"/>
          <w:szCs w:val="24"/>
        </w:rPr>
        <w:t xml:space="preserve">L’approche est aussi plus indirecte que celle de Brecht pour qui les personnages théâtraux doivent absolument démystifier des situations d’injustice et démontrer que l’acceptation passive n’est pas inévitable. </w:t>
      </w:r>
    </w:p>
    <w:p w:rsidR="006A4EED" w:rsidRPr="005E58D9" w:rsidRDefault="006A4EED" w:rsidP="007B65AA">
      <w:pPr>
        <w:spacing w:after="0" w:line="360" w:lineRule="auto"/>
        <w:ind w:firstLine="284"/>
        <w:jc w:val="both"/>
        <w:rPr>
          <w:rFonts w:ascii="Times New Roman" w:hAnsi="Times New Roman"/>
          <w:sz w:val="24"/>
          <w:szCs w:val="24"/>
        </w:rPr>
      </w:pPr>
      <w:r w:rsidRPr="005E58D9">
        <w:rPr>
          <w:rFonts w:ascii="Times New Roman" w:hAnsi="Times New Roman"/>
          <w:sz w:val="24"/>
          <w:szCs w:val="24"/>
        </w:rPr>
        <w:t>Le théâtre politique algérien joue davantage dans le registre de la suggestion. Kateb comme Kaki excluent de leur théâtre le dénouement, l’issue, la conclusion. Autrement dit, ils ne proposent aucune solution définitive.</w:t>
      </w:r>
    </w:p>
    <w:p w:rsidR="006A4EED" w:rsidRPr="005E58D9" w:rsidRDefault="006A4EED" w:rsidP="007B65AA">
      <w:pPr>
        <w:spacing w:after="0" w:line="360" w:lineRule="auto"/>
        <w:ind w:firstLine="284"/>
        <w:jc w:val="both"/>
        <w:rPr>
          <w:rFonts w:ascii="Times New Roman" w:hAnsi="Times New Roman"/>
          <w:sz w:val="24"/>
          <w:szCs w:val="24"/>
        </w:rPr>
      </w:pPr>
      <w:r w:rsidRPr="005E58D9">
        <w:rPr>
          <w:rFonts w:ascii="Times New Roman" w:hAnsi="Times New Roman"/>
          <w:sz w:val="24"/>
          <w:szCs w:val="24"/>
        </w:rPr>
        <w:t>Illustrons cela dans le détail avec un extrait de l’excellent article de Claire Finburgh qui s’est penché sur cette différence avec les pères du théâtre politique, en tentant de l’expliquer chez Kateb :</w:t>
      </w:r>
    </w:p>
    <w:p w:rsidR="006A4EED" w:rsidRPr="004E300B" w:rsidRDefault="006A4EED" w:rsidP="004E300B">
      <w:pPr>
        <w:pStyle w:val="Citationintense"/>
        <w:spacing w:before="0" w:after="0"/>
        <w:ind w:left="567" w:right="0"/>
        <w:rPr>
          <w:sz w:val="20"/>
          <w:szCs w:val="20"/>
        </w:rPr>
      </w:pPr>
      <w:r w:rsidRPr="004E300B">
        <w:rPr>
          <w:iCs w:val="0"/>
          <w:sz w:val="20"/>
          <w:szCs w:val="20"/>
        </w:rPr>
        <w:t xml:space="preserve">Contrairement aux personnages de Brecht, ceux de Mohamed prends ta valise subissent continuellement l’échec. Mohamed, personnage éponyme, se laisse exploiter inéluctablement. Ernest, colon français en Algérie, considère que son droit à la terre est inhérent. « Tu es chez moi ! » rugit-il à Mohamed, ahuri. Dans la pièce, la colonisation est perçue comme partie intégrante du programme capitaliste, lorsque le Négrier européen </w:t>
      </w:r>
      <w:r w:rsidRPr="004E300B">
        <w:rPr>
          <w:iCs w:val="0"/>
          <w:sz w:val="20"/>
          <w:szCs w:val="20"/>
        </w:rPr>
        <w:lastRenderedPageBreak/>
        <w:t>réquisitionne la terre de Mohamed pour l’y faire travailler. L’exploitation continue. Le Négrier l’asservit, mais le Mufti algérien ne le traite guère mieux. L’un des camarades de Mohamed se plaint : « Le colon nous donne / Le reste de ses chiens ». Mohamed répond, « Alors que le mufti / Ne nous donne rien ! ». Pendant ce temps, sa femme Aicha, servante, est malmenée et par le Négrier et par le Mufti. Mohamed et ses compatriotes sont recrutés contre leur gré par l’armée coloniale, pour réprimer les campagnes indépendantistes à Saïgon et au Cambodge. Quand l’armée française n’a plus besoin d’eux, ils rentrent en Algérie, où ils font face au chômage, à la famine, au typhus</w:t>
      </w:r>
      <w:r w:rsidRPr="004E300B">
        <w:rPr>
          <w:sz w:val="20"/>
          <w:szCs w:val="20"/>
        </w:rPr>
        <w:t>.</w:t>
      </w:r>
      <w:r w:rsidRPr="004E300B">
        <w:rPr>
          <w:rStyle w:val="Appelnotedebasdep"/>
          <w:sz w:val="20"/>
          <w:szCs w:val="20"/>
        </w:rPr>
        <w:footnoteReference w:id="73"/>
      </w:r>
    </w:p>
    <w:p w:rsidR="00437841" w:rsidRDefault="00437841" w:rsidP="006A4EED">
      <w:pPr>
        <w:spacing w:line="360" w:lineRule="auto"/>
        <w:ind w:firstLine="708"/>
        <w:jc w:val="both"/>
        <w:rPr>
          <w:rFonts w:ascii="Times New Roman" w:hAnsi="Times New Roman"/>
          <w:sz w:val="24"/>
          <w:szCs w:val="24"/>
        </w:rPr>
      </w:pPr>
    </w:p>
    <w:p w:rsidR="006A4EED" w:rsidRPr="005E58D9" w:rsidRDefault="006A4EED" w:rsidP="00437841">
      <w:pPr>
        <w:spacing w:after="0" w:line="360" w:lineRule="auto"/>
        <w:ind w:firstLine="284"/>
        <w:jc w:val="both"/>
        <w:rPr>
          <w:rFonts w:ascii="Times New Roman" w:hAnsi="Times New Roman"/>
          <w:sz w:val="24"/>
          <w:szCs w:val="24"/>
        </w:rPr>
      </w:pPr>
      <w:r w:rsidRPr="005E58D9">
        <w:rPr>
          <w:rFonts w:ascii="Times New Roman" w:hAnsi="Times New Roman"/>
          <w:sz w:val="24"/>
          <w:szCs w:val="24"/>
        </w:rPr>
        <w:t>Les opprimés de Sartre et Brecht trouvent des solutions. Ceux de Kateb, résignés,  passent d’une calamité à une autre comme s’ils étaient du bétail que l’on déplaçait. Le théâtre populaire katébien refuse l’optimisme beat du théâtre de Brecht. Mais il ne s’agit pas de laisser aller ou de laisser faire, bien au contraire. Kateb présente la violence et l’injustice sans complaisance. Mais en évitant de prescrire des solutions, évite-t-il que son théâtre devienne un pamphlet didactique. Il provoque une prise de conscience de la part du spectateur, qui est invité à concevoir ses propres solutions. La prise de conscience est d’autant plus grande et probablement plus efficace.</w:t>
      </w:r>
    </w:p>
    <w:p w:rsidR="006A4EED" w:rsidRPr="005E58D9" w:rsidRDefault="006A4EED" w:rsidP="00774AEB">
      <w:pPr>
        <w:spacing w:after="0" w:line="360" w:lineRule="auto"/>
        <w:ind w:firstLine="284"/>
        <w:jc w:val="both"/>
        <w:rPr>
          <w:rFonts w:ascii="Times New Roman" w:hAnsi="Times New Roman"/>
          <w:sz w:val="24"/>
          <w:szCs w:val="24"/>
        </w:rPr>
      </w:pPr>
      <w:r w:rsidRPr="005E58D9">
        <w:rPr>
          <w:rFonts w:ascii="Times New Roman" w:hAnsi="Times New Roman"/>
          <w:sz w:val="24"/>
          <w:szCs w:val="24"/>
        </w:rPr>
        <w:t>Globalement</w:t>
      </w:r>
      <w:r w:rsidR="00542022">
        <w:rPr>
          <w:rFonts w:ascii="Times New Roman" w:hAnsi="Times New Roman"/>
          <w:sz w:val="24"/>
          <w:szCs w:val="24"/>
        </w:rPr>
        <w:t>, l</w:t>
      </w:r>
      <w:r w:rsidRPr="005E58D9">
        <w:rPr>
          <w:rFonts w:ascii="Times New Roman" w:hAnsi="Times New Roman"/>
          <w:sz w:val="24"/>
          <w:szCs w:val="24"/>
        </w:rPr>
        <w:t>es dramaturges algériens exploitent bien ce procédé de prise de conscience par le public. Ils l’entourent aussi d’autres procédés visant à toucher et émouvoir le spectateur au moyen d’un style poétique, familier ou folklorique. Mais ce faisant, les auteurs algériens refusent l’enfermement. Pas question de limiter leur œuvre à une lutte contre l’ancienne colonie. Pas question de fétichiser l’immigration. L’oppression est située à un niveau global, humain. C’est l’oppression de tous. Au lecteur, au public de décider qui est le bourreau, pas besoin d’invective, pas besoin d’engagement didactique.</w:t>
      </w:r>
    </w:p>
    <w:p w:rsidR="006A4EED" w:rsidRPr="005E58D9" w:rsidRDefault="006A4EED" w:rsidP="00774AEB">
      <w:pPr>
        <w:spacing w:after="0" w:line="360" w:lineRule="auto"/>
        <w:ind w:firstLine="284"/>
        <w:jc w:val="both"/>
        <w:rPr>
          <w:rFonts w:ascii="Times New Roman" w:hAnsi="Times New Roman"/>
          <w:sz w:val="24"/>
          <w:szCs w:val="24"/>
        </w:rPr>
      </w:pPr>
      <w:r w:rsidRPr="005E58D9">
        <w:rPr>
          <w:rFonts w:ascii="Times New Roman" w:hAnsi="Times New Roman"/>
          <w:sz w:val="24"/>
          <w:szCs w:val="24"/>
        </w:rPr>
        <w:t>Finalement, cette posture engagée mais détachée du théâtre algérien a deux avantages :</w:t>
      </w:r>
    </w:p>
    <w:p w:rsidR="006A4EED" w:rsidRPr="0088451B" w:rsidRDefault="006A4EED" w:rsidP="0088451B">
      <w:pPr>
        <w:spacing w:after="0" w:line="360" w:lineRule="auto"/>
        <w:ind w:firstLine="284"/>
        <w:jc w:val="both"/>
        <w:rPr>
          <w:rFonts w:asciiTheme="majorBidi" w:hAnsiTheme="majorBidi" w:cstheme="majorBidi"/>
          <w:sz w:val="24"/>
          <w:szCs w:val="24"/>
        </w:rPr>
      </w:pPr>
      <w:r w:rsidRPr="005E58D9">
        <w:rPr>
          <w:rFonts w:ascii="Times New Roman" w:hAnsi="Times New Roman"/>
          <w:sz w:val="24"/>
          <w:szCs w:val="24"/>
        </w:rPr>
        <w:t xml:space="preserve">D’une part, d’un point de vue politique (l’engagement), le théâtre algérien s’ouvre au monde et démocratise ses combats. Kateb le revendique d’ailleurs très bien : </w:t>
      </w:r>
      <w:r w:rsidR="0088451B" w:rsidRPr="0088451B">
        <w:rPr>
          <w:rFonts w:asciiTheme="majorBidi" w:hAnsiTheme="majorBidi" w:cstheme="majorBidi"/>
          <w:sz w:val="24"/>
          <w:szCs w:val="24"/>
        </w:rPr>
        <w:t>« </w:t>
      </w:r>
      <w:r w:rsidRPr="0088451B">
        <w:rPr>
          <w:rFonts w:asciiTheme="majorBidi" w:hAnsiTheme="majorBidi" w:cstheme="majorBidi"/>
          <w:sz w:val="24"/>
          <w:szCs w:val="24"/>
        </w:rPr>
        <w:t>Le théâtre doit radicalement changer parce que l’homme d’aujourd’hui n’est plus celui d’hier. Il n’est plus l’homme d’un pays, d’un douar, d’une province, mais d’une planète»</w:t>
      </w:r>
      <w:r w:rsidRPr="0088451B">
        <w:rPr>
          <w:rStyle w:val="Appelnotedebasdep"/>
          <w:rFonts w:asciiTheme="majorBidi" w:hAnsiTheme="majorBidi" w:cstheme="majorBidi"/>
          <w:sz w:val="24"/>
          <w:szCs w:val="24"/>
        </w:rPr>
        <w:footnoteReference w:id="74"/>
      </w:r>
      <w:r w:rsidR="0088451B">
        <w:rPr>
          <w:rFonts w:asciiTheme="majorBidi" w:hAnsiTheme="majorBidi" w:cstheme="majorBidi"/>
          <w:sz w:val="24"/>
          <w:szCs w:val="24"/>
        </w:rPr>
        <w:t>.</w:t>
      </w:r>
    </w:p>
    <w:p w:rsidR="006A4EED" w:rsidRPr="005E58D9" w:rsidRDefault="006A4EED" w:rsidP="0088451B">
      <w:pPr>
        <w:spacing w:after="0" w:line="360" w:lineRule="auto"/>
        <w:ind w:firstLine="284"/>
        <w:jc w:val="both"/>
        <w:rPr>
          <w:rFonts w:ascii="Times New Roman" w:hAnsi="Times New Roman"/>
          <w:sz w:val="24"/>
          <w:szCs w:val="24"/>
        </w:rPr>
      </w:pPr>
      <w:r w:rsidRPr="005E58D9">
        <w:rPr>
          <w:rFonts w:ascii="Times New Roman" w:hAnsi="Times New Roman"/>
          <w:sz w:val="24"/>
          <w:szCs w:val="24"/>
        </w:rPr>
        <w:lastRenderedPageBreak/>
        <w:t xml:space="preserve">La parole engagée des auteurs algériens se déplace dès lors d’une représentation de l’injustice à une autre, d’un pays à un autre. Ainsi est créée une distance par rapport à une seule nation ou à un seul peuple. </w:t>
      </w:r>
    </w:p>
    <w:p w:rsidR="006A4EED" w:rsidRPr="00B06D93" w:rsidRDefault="006A4EED" w:rsidP="00B06D93">
      <w:pPr>
        <w:spacing w:after="0" w:line="360" w:lineRule="auto"/>
        <w:ind w:firstLine="284"/>
        <w:jc w:val="both"/>
        <w:rPr>
          <w:rFonts w:asciiTheme="majorBidi" w:hAnsiTheme="majorBidi" w:cstheme="majorBidi"/>
          <w:sz w:val="24"/>
          <w:szCs w:val="24"/>
        </w:rPr>
      </w:pPr>
      <w:r w:rsidRPr="005E58D9">
        <w:rPr>
          <w:rFonts w:ascii="Times New Roman" w:hAnsi="Times New Roman"/>
          <w:sz w:val="24"/>
          <w:szCs w:val="24"/>
        </w:rPr>
        <w:t>D’un point de vue artistique, le théâtre politique algérien semble aussi laisser davantage de place à la création artistique libre et donc à une certaine indépendance poétique et littéraire qui fait finalement la richesse de la création dramatique algérienne. Avec l’esprit internationaliste ci haut décrit, les auteurs dramatiques algériens s’ouvrent au niveau du contenu, et au niveau de l’expression de la pièce.</w:t>
      </w:r>
      <w:r w:rsidRPr="005E58D9">
        <w:rPr>
          <w:rFonts w:ascii="Times New Roman" w:hAnsi="Times New Roman"/>
          <w:sz w:val="23"/>
          <w:szCs w:val="23"/>
          <w:lang w:eastAsia="fr-FR"/>
        </w:rPr>
        <w:t xml:space="preserve"> </w:t>
      </w:r>
      <w:r w:rsidRPr="005E58D9">
        <w:rPr>
          <w:rFonts w:ascii="Times New Roman" w:hAnsi="Times New Roman"/>
          <w:sz w:val="24"/>
          <w:szCs w:val="24"/>
        </w:rPr>
        <w:t>Ils emploient les éléments culturels traditionnels, qui ont pour effet à la fois de rapprocher le public maghrébin, tout en évitant un nationalisme enfermé. En Algérie, comme les traditions orales sont encore vivantes,  l’appel à l’oralité est particulièrement efficace. Manifestation de couleurs, chants ininterrompus, images visuelles- Très souvent le théâtre algérien est une invitation au voyage : voyages entre plusieurs scènes, plusieurs réalités, plusieurs cultures. Dans le cas de Kateb, et comme le remarque un journaliste qui assiste à la pièce</w:t>
      </w:r>
      <w:r>
        <w:rPr>
          <w:rFonts w:ascii="Times New Roman" w:hAnsi="Times New Roman"/>
          <w:sz w:val="24"/>
          <w:szCs w:val="24"/>
        </w:rPr>
        <w:t xml:space="preserve"> : </w:t>
      </w:r>
      <w:r w:rsidR="00B06D93" w:rsidRPr="00B06D93">
        <w:rPr>
          <w:rFonts w:asciiTheme="majorBidi" w:hAnsiTheme="majorBidi" w:cstheme="majorBidi"/>
          <w:sz w:val="24"/>
          <w:szCs w:val="24"/>
        </w:rPr>
        <w:t>« </w:t>
      </w:r>
      <w:r w:rsidRPr="00B06D93">
        <w:rPr>
          <w:rFonts w:asciiTheme="majorBidi" w:hAnsiTheme="majorBidi" w:cstheme="majorBidi"/>
          <w:sz w:val="24"/>
          <w:szCs w:val="24"/>
        </w:rPr>
        <w:t>un accord de guitare nous transporte en Algérie, un autre nous ramène au foyer des émigrés »</w:t>
      </w:r>
      <w:r w:rsidRPr="00B06D93">
        <w:rPr>
          <w:rStyle w:val="Appelnotedebasdep"/>
          <w:rFonts w:asciiTheme="majorBidi" w:hAnsiTheme="majorBidi" w:cstheme="majorBidi"/>
          <w:sz w:val="24"/>
          <w:szCs w:val="24"/>
        </w:rPr>
        <w:footnoteReference w:id="75"/>
      </w:r>
      <w:r w:rsidR="00B06D93">
        <w:rPr>
          <w:rFonts w:asciiTheme="majorBidi" w:hAnsiTheme="majorBidi" w:cstheme="majorBidi"/>
          <w:sz w:val="24"/>
          <w:szCs w:val="24"/>
        </w:rPr>
        <w:t>.</w:t>
      </w:r>
    </w:p>
    <w:p w:rsidR="006A4EED" w:rsidRPr="005E58D9" w:rsidRDefault="006A4EED" w:rsidP="00B06D93">
      <w:pPr>
        <w:spacing w:after="0" w:line="360" w:lineRule="auto"/>
        <w:ind w:firstLine="284"/>
        <w:jc w:val="both"/>
        <w:rPr>
          <w:rFonts w:ascii="Times New Roman" w:hAnsi="Times New Roman"/>
          <w:sz w:val="24"/>
          <w:szCs w:val="24"/>
        </w:rPr>
      </w:pPr>
      <w:r w:rsidRPr="005E58D9">
        <w:rPr>
          <w:rFonts w:ascii="Times New Roman" w:hAnsi="Times New Roman"/>
          <w:sz w:val="24"/>
          <w:szCs w:val="24"/>
        </w:rPr>
        <w:t>Cette revue historique de la société algérienne suivie par l’exploration du théâtre algérien nous permet, à présent, de rentrer dans le vif du sujet : la présentation de Kaki, le dramaturge, et de son œuvre et de sa contribution au théâtre.</w:t>
      </w:r>
    </w:p>
    <w:bookmarkEnd w:id="36"/>
    <w:p w:rsidR="00784D77" w:rsidRDefault="00784D77" w:rsidP="0001066E">
      <w:pPr>
        <w:pStyle w:val="Titre3"/>
        <w:spacing w:before="0" w:after="0" w:line="360" w:lineRule="auto"/>
        <w:ind w:firstLine="284"/>
        <w:jc w:val="both"/>
        <w:rPr>
          <w:rFonts w:asciiTheme="majorBidi" w:hAnsiTheme="majorBidi" w:cstheme="majorBidi"/>
          <w:sz w:val="24"/>
          <w:szCs w:val="24"/>
        </w:rPr>
      </w:pPr>
    </w:p>
    <w:p w:rsidR="006A4EED" w:rsidRPr="0001066E" w:rsidRDefault="0001066E" w:rsidP="00D76F4F">
      <w:pPr>
        <w:pStyle w:val="Titre3"/>
        <w:spacing w:before="0" w:after="0" w:line="360" w:lineRule="auto"/>
        <w:ind w:firstLine="284"/>
        <w:jc w:val="both"/>
        <w:rPr>
          <w:rFonts w:asciiTheme="majorBidi" w:hAnsiTheme="majorBidi" w:cstheme="majorBidi"/>
          <w:sz w:val="24"/>
          <w:szCs w:val="24"/>
        </w:rPr>
      </w:pPr>
      <w:bookmarkStart w:id="37" w:name="_Toc471484412"/>
      <w:r w:rsidRPr="0001066E">
        <w:rPr>
          <w:rFonts w:asciiTheme="majorBidi" w:hAnsiTheme="majorBidi" w:cstheme="majorBidi"/>
          <w:sz w:val="24"/>
          <w:szCs w:val="24"/>
        </w:rPr>
        <w:t>3. Vie</w:t>
      </w:r>
      <w:r w:rsidR="006A4EED" w:rsidRPr="0001066E">
        <w:rPr>
          <w:rFonts w:asciiTheme="majorBidi" w:hAnsiTheme="majorBidi" w:cstheme="majorBidi"/>
          <w:sz w:val="24"/>
          <w:szCs w:val="24"/>
        </w:rPr>
        <w:t xml:space="preserve"> et œuvre de </w:t>
      </w:r>
      <w:r w:rsidR="00D76F4F">
        <w:rPr>
          <w:rFonts w:asciiTheme="majorBidi" w:hAnsiTheme="majorBidi" w:cstheme="majorBidi"/>
          <w:sz w:val="24"/>
          <w:szCs w:val="24"/>
        </w:rPr>
        <w:t xml:space="preserve">Ould Abderrahmane </w:t>
      </w:r>
      <w:r w:rsidR="006A4EED" w:rsidRPr="0001066E">
        <w:rPr>
          <w:rFonts w:asciiTheme="majorBidi" w:hAnsiTheme="majorBidi" w:cstheme="majorBidi"/>
          <w:sz w:val="24"/>
          <w:szCs w:val="24"/>
        </w:rPr>
        <w:t>Kaki</w:t>
      </w:r>
      <w:bookmarkEnd w:id="37"/>
      <w:r w:rsidR="00D76F4F">
        <w:rPr>
          <w:rFonts w:asciiTheme="majorBidi" w:hAnsiTheme="majorBidi" w:cstheme="majorBidi"/>
          <w:sz w:val="24"/>
          <w:szCs w:val="24"/>
        </w:rPr>
        <w:t xml:space="preserve"> </w:t>
      </w:r>
    </w:p>
    <w:p w:rsidR="006A4EED" w:rsidRPr="0001066E" w:rsidRDefault="006A4EED" w:rsidP="0001066E">
      <w:pPr>
        <w:spacing w:after="0" w:line="360" w:lineRule="auto"/>
        <w:ind w:firstLine="284"/>
        <w:jc w:val="both"/>
        <w:rPr>
          <w:rFonts w:asciiTheme="majorBidi" w:hAnsiTheme="majorBidi" w:cstheme="majorBidi"/>
          <w:sz w:val="24"/>
          <w:szCs w:val="24"/>
          <w:lang w:eastAsia="fr-FR"/>
        </w:rPr>
      </w:pPr>
      <w:r w:rsidRPr="0001066E">
        <w:rPr>
          <w:rFonts w:asciiTheme="majorBidi" w:hAnsiTheme="majorBidi" w:cstheme="majorBidi"/>
          <w:sz w:val="24"/>
          <w:szCs w:val="24"/>
          <w:lang w:eastAsia="fr-FR"/>
        </w:rPr>
        <w:t>Messaoud Benyouc</w:t>
      </w:r>
      <w:r w:rsidR="00D76F4F">
        <w:rPr>
          <w:rFonts w:asciiTheme="majorBidi" w:hAnsiTheme="majorBidi" w:cstheme="majorBidi"/>
          <w:sz w:val="24"/>
          <w:szCs w:val="24"/>
          <w:lang w:eastAsia="fr-FR"/>
        </w:rPr>
        <w:t xml:space="preserve"> </w:t>
      </w:r>
      <w:r w:rsidRPr="0001066E">
        <w:rPr>
          <w:rFonts w:asciiTheme="majorBidi" w:hAnsiTheme="majorBidi" w:cstheme="majorBidi"/>
          <w:sz w:val="24"/>
          <w:szCs w:val="24"/>
          <w:lang w:eastAsia="fr-FR"/>
        </w:rPr>
        <w:t>ef décrivait Kaki Ould Abderrahmane comme « </w:t>
      </w:r>
      <w:r w:rsidRPr="0001066E">
        <w:rPr>
          <w:rFonts w:asciiTheme="majorBidi" w:hAnsiTheme="majorBidi" w:cstheme="majorBidi"/>
          <w:i/>
          <w:sz w:val="24"/>
          <w:szCs w:val="24"/>
          <w:lang w:eastAsia="fr-FR"/>
        </w:rPr>
        <w:t>celui par qui le théâtre est arrivé </w:t>
      </w:r>
      <w:r w:rsidRPr="0001066E">
        <w:rPr>
          <w:rFonts w:asciiTheme="majorBidi" w:hAnsiTheme="majorBidi" w:cstheme="majorBidi"/>
          <w:sz w:val="24"/>
          <w:szCs w:val="24"/>
          <w:lang w:eastAsia="fr-FR"/>
        </w:rPr>
        <w:t>» ou encore « </w:t>
      </w:r>
      <w:r w:rsidRPr="0001066E">
        <w:rPr>
          <w:rFonts w:asciiTheme="majorBidi" w:hAnsiTheme="majorBidi" w:cstheme="majorBidi"/>
          <w:i/>
          <w:sz w:val="24"/>
          <w:szCs w:val="24"/>
          <w:lang w:eastAsia="fr-FR"/>
        </w:rPr>
        <w:t>le fondateur du théâtre algérien moderne</w:t>
      </w:r>
      <w:r w:rsidRPr="0001066E">
        <w:rPr>
          <w:rFonts w:asciiTheme="majorBidi" w:hAnsiTheme="majorBidi" w:cstheme="majorBidi"/>
          <w:sz w:val="24"/>
          <w:szCs w:val="24"/>
          <w:lang w:eastAsia="fr-FR"/>
        </w:rPr>
        <w:t> »</w:t>
      </w:r>
      <w:r w:rsidRPr="0001066E">
        <w:rPr>
          <w:rFonts w:asciiTheme="majorBidi" w:hAnsiTheme="majorBidi" w:cstheme="majorBidi"/>
          <w:bCs/>
          <w:sz w:val="24"/>
          <w:szCs w:val="24"/>
          <w:vertAlign w:val="superscript"/>
        </w:rPr>
        <w:footnoteReference w:id="76"/>
      </w:r>
      <w:r w:rsidRPr="0001066E">
        <w:rPr>
          <w:rFonts w:asciiTheme="majorBidi" w:hAnsiTheme="majorBidi" w:cstheme="majorBidi"/>
          <w:sz w:val="24"/>
          <w:szCs w:val="24"/>
          <w:lang w:eastAsia="fr-FR"/>
        </w:rPr>
        <w:t>, soulignant son poids précurseur dans le développement du théâtre algérien tel qu’on le connait aujourd’hui. Ce portrait pour flatteur est-il véridique ?  Explorons, pour le vérifier, l’homme pour ensuite appréhender l’auteur.</w:t>
      </w:r>
    </w:p>
    <w:p w:rsidR="006A4EED" w:rsidRPr="00B44214" w:rsidRDefault="00E34D6F" w:rsidP="00D76F4F">
      <w:pPr>
        <w:pStyle w:val="Titre4"/>
        <w:spacing w:before="0" w:after="0" w:line="360" w:lineRule="auto"/>
        <w:ind w:left="0" w:firstLine="284"/>
        <w:jc w:val="both"/>
        <w:rPr>
          <w:rFonts w:ascii="Times New Roman" w:hAnsi="Times New Roman"/>
          <w:i w:val="0"/>
          <w:iCs/>
          <w:lang w:eastAsia="fr-FR"/>
        </w:rPr>
      </w:pPr>
      <w:bookmarkStart w:id="38" w:name="_Toc471484413"/>
      <w:r>
        <w:rPr>
          <w:rFonts w:ascii="Times New Roman" w:hAnsi="Times New Roman"/>
          <w:i w:val="0"/>
          <w:iCs/>
          <w:lang w:eastAsia="fr-FR"/>
        </w:rPr>
        <w:lastRenderedPageBreak/>
        <w:t>3.1.</w:t>
      </w:r>
      <w:r w:rsidRPr="00B44214">
        <w:rPr>
          <w:rFonts w:ascii="Times New Roman" w:hAnsi="Times New Roman"/>
          <w:i w:val="0"/>
          <w:iCs/>
          <w:lang w:eastAsia="fr-FR"/>
        </w:rPr>
        <w:t xml:space="preserve"> </w:t>
      </w:r>
      <w:r w:rsidR="00D76F4F">
        <w:rPr>
          <w:rFonts w:ascii="Times New Roman" w:hAnsi="Times New Roman"/>
          <w:i w:val="0"/>
          <w:iCs/>
          <w:lang w:eastAsia="fr-FR"/>
        </w:rPr>
        <w:t>Biographie</w:t>
      </w:r>
      <w:r w:rsidR="006A4EED" w:rsidRPr="00B44214">
        <w:rPr>
          <w:rFonts w:ascii="Times New Roman" w:hAnsi="Times New Roman"/>
          <w:i w:val="0"/>
          <w:iCs/>
          <w:lang w:eastAsia="fr-FR"/>
        </w:rPr>
        <w:t xml:space="preserve"> de </w:t>
      </w:r>
      <w:r w:rsidR="00D76F4F">
        <w:rPr>
          <w:rFonts w:ascii="Times New Roman" w:hAnsi="Times New Roman"/>
          <w:i w:val="0"/>
          <w:iCs/>
          <w:lang w:eastAsia="fr-FR"/>
        </w:rPr>
        <w:t>O.A.</w:t>
      </w:r>
      <w:r w:rsidR="006A4EED" w:rsidRPr="00B44214">
        <w:rPr>
          <w:rFonts w:ascii="Times New Roman" w:hAnsi="Times New Roman"/>
          <w:i w:val="0"/>
          <w:iCs/>
          <w:lang w:eastAsia="fr-FR"/>
        </w:rPr>
        <w:t>Kaki</w:t>
      </w:r>
      <w:bookmarkEnd w:id="38"/>
    </w:p>
    <w:p w:rsidR="006A4EED" w:rsidRPr="005E58D9" w:rsidRDefault="006A4EED" w:rsidP="00E34D6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À notre humble avis, relater la vie de Kaki est une tâche qui nécessite à elle seule plus d’une thèse, tant la biographie de cette grande personnalité ayant marqué l’histoire culturelle de l’Algérie principalement l’art dramatique demeure emblématique à plus d’un titre. Néanmoins, et faisant appel à quelques témoignages et écrits lesquels, dans leurs quêtes de dépister l’itinéraire du parcours labyrinthique de ce Grand homme voire ce phénomène de théâtre, ont quand même le mérite d’avoir immortalisé - pour le moins qu’on puisse dire- ce Bertolt Brecht algérien tant et plus ses empreintes restent claires et imposantes que les créateurs en dramaturgie en puisent encore de nos jours. </w:t>
      </w:r>
    </w:p>
    <w:p w:rsidR="006A4EED" w:rsidRPr="005E58D9" w:rsidRDefault="006A4EED" w:rsidP="00E34D6F">
      <w:pPr>
        <w:spacing w:after="0" w:line="360" w:lineRule="auto"/>
        <w:ind w:firstLine="284"/>
        <w:jc w:val="both"/>
        <w:rPr>
          <w:rFonts w:ascii="Times New Roman" w:hAnsi="Times New Roman"/>
          <w:sz w:val="24"/>
          <w:szCs w:val="24"/>
          <w:lang w:eastAsia="fr-FR"/>
        </w:rPr>
      </w:pPr>
      <w:r w:rsidRPr="005E58D9">
        <w:rPr>
          <w:rFonts w:ascii="Times New Roman" w:eastAsia="Times New Roman" w:hAnsi="Times New Roman"/>
          <w:sz w:val="24"/>
          <w:szCs w:val="24"/>
          <w:lang w:eastAsia="fr-FR"/>
        </w:rPr>
        <w:t xml:space="preserve">Le dramaturge Abdel Kader Ould Abdel Rahmane, connu du public de théâtre au nom «Ould Abdel Rahmane Kaki», </w:t>
      </w:r>
      <w:r w:rsidRPr="005E58D9">
        <w:rPr>
          <w:rFonts w:ascii="Times New Roman" w:hAnsi="Times New Roman"/>
          <w:sz w:val="24"/>
          <w:szCs w:val="24"/>
          <w:lang w:eastAsia="fr-FR"/>
        </w:rPr>
        <w:t xml:space="preserve"> est né le 18 février 1934 à Mostaganem, dans le quartier populaire de Tigdit. Le jeune Kaki est affecté très tôt par une influence, celle de sa ville Mostaganem, cette grosse bourgade coloniale et rurale qui très vite est devenue une ville portuaire à l’activité incessante, exportant vins et agrumes. </w:t>
      </w:r>
    </w:p>
    <w:p w:rsidR="006A4EED" w:rsidRPr="005E58D9" w:rsidRDefault="006A4EED" w:rsidP="00E34D6F">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Mostaganem c’est aussi une ville déjà ouverte au théâtre ou aux manifestations proches du théâtre, dans et à travers lesquelles Kaki découvre très tôt l'art scénique. Il fait ses études primaires à Mostaganem et ses premiers pas dans le théâtre au sein des Scouts Musulmans Algériens (S.M.A). Il interprète de petits rôles dans son quartier d'origine, Tigdit. Véritable passionné de l'art dramatique, il s'inscrit à de nombreux stages de formation théâtrale. Il participe notamment à un cycle de formation organisé par le service de l'Education Populaire sous la direction de Henri Cordereau qui continua à donner des cours d'art dramatique en Algérie après l'indépendance et dans d'autres pays africains. </w:t>
      </w:r>
    </w:p>
    <w:p w:rsidR="006A4EED" w:rsidRPr="002B5D4D" w:rsidRDefault="006A4EED" w:rsidP="0061366C">
      <w:pPr>
        <w:spacing w:after="0" w:line="360" w:lineRule="auto"/>
        <w:ind w:firstLine="284"/>
        <w:jc w:val="both"/>
        <w:rPr>
          <w:rFonts w:asciiTheme="majorBidi" w:hAnsiTheme="majorBidi" w:cstheme="majorBidi"/>
          <w:sz w:val="24"/>
          <w:szCs w:val="24"/>
          <w:lang w:eastAsia="fr-FR"/>
        </w:rPr>
      </w:pPr>
      <w:r w:rsidRPr="005E58D9">
        <w:rPr>
          <w:rFonts w:ascii="Times New Roman" w:hAnsi="Times New Roman"/>
          <w:sz w:val="24"/>
          <w:szCs w:val="24"/>
          <w:lang w:eastAsia="fr-FR"/>
        </w:rPr>
        <w:t>D’après Mostefa, Kaki sera très tôt touché par le théâtre populaire, celui de la société déjà présent et visible chez quelques maîtres :</w:t>
      </w:r>
      <w:r>
        <w:rPr>
          <w:rFonts w:ascii="Times New Roman" w:hAnsi="Times New Roman"/>
          <w:sz w:val="24"/>
          <w:szCs w:val="24"/>
          <w:lang w:eastAsia="fr-FR"/>
        </w:rPr>
        <w:t xml:space="preserve"> </w:t>
      </w:r>
      <w:r w:rsidR="002B5D4D" w:rsidRPr="002B5D4D">
        <w:rPr>
          <w:rFonts w:asciiTheme="majorBidi" w:hAnsiTheme="majorBidi" w:cstheme="majorBidi"/>
          <w:sz w:val="24"/>
          <w:szCs w:val="24"/>
          <w:lang w:eastAsia="fr-FR"/>
        </w:rPr>
        <w:t>« </w:t>
      </w:r>
      <w:r w:rsidRPr="002B5D4D">
        <w:rPr>
          <w:rFonts w:asciiTheme="majorBidi" w:hAnsiTheme="majorBidi" w:cstheme="majorBidi"/>
          <w:sz w:val="24"/>
          <w:szCs w:val="24"/>
          <w:lang w:eastAsia="fr-FR"/>
        </w:rPr>
        <w:t>(Kaki sera) influencé par plusieurs maîtres dont je ne citerais que Lakhdar Benkhelouf, Abderrahmane Mejdoub, Cheikh Hamada, des sources multiples et de tradition orale entre autres le Chir Melhoun, le chaabi et la halqa</w:t>
      </w:r>
      <w:r w:rsidR="002B5D4D" w:rsidRPr="002B5D4D">
        <w:rPr>
          <w:rFonts w:asciiTheme="majorBidi" w:hAnsiTheme="majorBidi" w:cstheme="majorBidi"/>
          <w:sz w:val="24"/>
          <w:szCs w:val="24"/>
          <w:lang w:eastAsia="fr-FR"/>
        </w:rPr>
        <w:t> »</w:t>
      </w:r>
      <w:r w:rsidRPr="002B5D4D">
        <w:rPr>
          <w:rStyle w:val="Appelnotedebasdep"/>
          <w:rFonts w:asciiTheme="majorBidi" w:hAnsiTheme="majorBidi" w:cstheme="majorBidi"/>
          <w:sz w:val="24"/>
          <w:szCs w:val="24"/>
          <w:lang w:eastAsia="fr-FR"/>
        </w:rPr>
        <w:footnoteReference w:id="77"/>
      </w:r>
      <w:r w:rsidR="0061366C">
        <w:rPr>
          <w:rFonts w:asciiTheme="majorBidi" w:hAnsiTheme="majorBidi" w:cstheme="majorBidi"/>
          <w:sz w:val="24"/>
          <w:szCs w:val="24"/>
          <w:lang w:eastAsia="fr-FR"/>
        </w:rPr>
        <w:t>.</w:t>
      </w:r>
    </w:p>
    <w:p w:rsidR="006A4EED" w:rsidRPr="005E58D9" w:rsidRDefault="006A4EED" w:rsidP="00451112">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lastRenderedPageBreak/>
        <w:t xml:space="preserve">C’est de là que Kaki héritera le </w:t>
      </w:r>
      <w:r w:rsidR="00E53361" w:rsidRPr="00D41F7B">
        <w:rPr>
          <w:rFonts w:asciiTheme="majorBidi" w:hAnsiTheme="majorBidi" w:cstheme="majorBidi"/>
          <w:sz w:val="24"/>
          <w:szCs w:val="24"/>
        </w:rPr>
        <w:t>goût</w:t>
      </w:r>
      <w:r w:rsidRPr="00D41F7B">
        <w:rPr>
          <w:rFonts w:ascii="Times New Roman" w:hAnsi="Times New Roman"/>
          <w:sz w:val="28"/>
          <w:szCs w:val="28"/>
          <w:lang w:eastAsia="fr-FR"/>
        </w:rPr>
        <w:t xml:space="preserve"> </w:t>
      </w:r>
      <w:r w:rsidRPr="005E58D9">
        <w:rPr>
          <w:rFonts w:ascii="Times New Roman" w:hAnsi="Times New Roman"/>
          <w:sz w:val="24"/>
          <w:szCs w:val="24"/>
          <w:lang w:eastAsia="fr-FR"/>
        </w:rPr>
        <w:t>pour ces tournures caustiques qu’on lui connait, ces  belles expressions imagées qui s’ajoutent aux histoires naguère narrées par sa grand-mère Khrofa. En Kaki sommeillera donc toujours une part de Tigdit, ce lieu vivace de toute une littérature surtout orale, héritée des saints patrons de Mostaganem et racontée par des chanteurs locaux dans une ambiance festive et bon enfant. Du reste, le jeune Kaki a évolué dans un environnement structurant qui orientait son imaginaire vers le merveilleux et les histoires aussi fantastiques les unes que les autres.</w:t>
      </w:r>
    </w:p>
    <w:p w:rsidR="006A4EED" w:rsidRPr="005E58D9" w:rsidRDefault="006A4EED" w:rsidP="00451112">
      <w:pPr>
        <w:spacing w:after="0" w:line="360" w:lineRule="auto"/>
        <w:ind w:firstLine="284"/>
        <w:jc w:val="both"/>
        <w:rPr>
          <w:rFonts w:ascii="Times New Roman" w:eastAsia="Times New Roman" w:hAnsi="Times New Roman"/>
          <w:sz w:val="24"/>
          <w:szCs w:val="24"/>
          <w:lang w:eastAsia="fr-FR"/>
        </w:rPr>
      </w:pPr>
      <w:r w:rsidRPr="005E58D9">
        <w:rPr>
          <w:rFonts w:ascii="Times New Roman" w:hAnsi="Times New Roman"/>
          <w:sz w:val="24"/>
          <w:szCs w:val="24"/>
          <w:lang w:eastAsia="fr-FR"/>
        </w:rPr>
        <w:t>Après 1962, Kaki écrit et met en scène plusieurs pièces et connait un succès grandissant.</w:t>
      </w:r>
      <w:r w:rsidRPr="005E58D9">
        <w:rPr>
          <w:rFonts w:ascii="Times New Roman" w:eastAsia="Times New Roman" w:hAnsi="Times New Roman"/>
          <w:color w:val="000000"/>
          <w:sz w:val="24"/>
          <w:szCs w:val="24"/>
          <w:lang w:eastAsia="fr-FR"/>
        </w:rPr>
        <w:t xml:space="preserve"> Mais en 1968, à l'approche du premier Festival Culturel Panafricain, qui devait se tenir en 1969 à Alger, un terrible accident de la circulation allait compromettre durablement sa fulgurante carrière théâtrale : grièvement blessé, il sera soigné au centre spécialisé de Garches, puis recueilli et accompagné par son ami, le peintre Jean-Pierre Bellan, auquel il devra sans doute d’avoir survécu aux multiples traumatismes de l'accident. Kaki survivra, certes, mais demeurera définitivement diminué. Il sera directeur du Théâtre Régional d'Oran quelque temps, puis conseiller culturel de sa bonne ville de Mostaganem, siège d'un festival annuel du théâtre amateur particulièrement dynamique.</w:t>
      </w:r>
      <w:r w:rsidRPr="005E58D9">
        <w:rPr>
          <w:rFonts w:ascii="Times New Roman" w:eastAsia="Times New Roman" w:hAnsi="Times New Roman"/>
          <w:sz w:val="24"/>
          <w:szCs w:val="24"/>
          <w:lang w:eastAsia="fr-FR"/>
        </w:rPr>
        <w:t xml:space="preserve"> </w:t>
      </w:r>
    </w:p>
    <w:p w:rsidR="00784D77" w:rsidRDefault="00784D77" w:rsidP="00C97E4E">
      <w:pPr>
        <w:pStyle w:val="Titre4"/>
        <w:spacing w:before="0" w:after="0" w:line="360" w:lineRule="auto"/>
        <w:ind w:left="0" w:firstLine="284"/>
        <w:jc w:val="both"/>
        <w:rPr>
          <w:rFonts w:ascii="Times New Roman" w:hAnsi="Times New Roman"/>
          <w:i w:val="0"/>
          <w:iCs/>
          <w:lang w:eastAsia="fr-FR"/>
        </w:rPr>
      </w:pPr>
    </w:p>
    <w:p w:rsidR="006A4EED" w:rsidRPr="00B44214" w:rsidRDefault="0010776F" w:rsidP="00D76F4F">
      <w:pPr>
        <w:pStyle w:val="Titre4"/>
        <w:spacing w:before="0" w:after="0" w:line="360" w:lineRule="auto"/>
        <w:ind w:left="0" w:firstLine="284"/>
        <w:jc w:val="both"/>
        <w:rPr>
          <w:rFonts w:ascii="Times New Roman" w:hAnsi="Times New Roman"/>
          <w:i w:val="0"/>
          <w:iCs/>
          <w:lang w:eastAsia="fr-FR"/>
        </w:rPr>
      </w:pPr>
      <w:bookmarkStart w:id="39" w:name="_Toc471484414"/>
      <w:r>
        <w:rPr>
          <w:rFonts w:ascii="Times New Roman" w:hAnsi="Times New Roman"/>
          <w:i w:val="0"/>
          <w:iCs/>
          <w:lang w:eastAsia="fr-FR"/>
        </w:rPr>
        <w:t>3.2.</w:t>
      </w:r>
      <w:r w:rsidRPr="00B44214">
        <w:rPr>
          <w:rFonts w:ascii="Times New Roman" w:hAnsi="Times New Roman"/>
          <w:i w:val="0"/>
          <w:iCs/>
          <w:lang w:eastAsia="fr-FR"/>
        </w:rPr>
        <w:t xml:space="preserve"> </w:t>
      </w:r>
      <w:r w:rsidR="00D76F4F">
        <w:rPr>
          <w:rFonts w:ascii="Times New Roman" w:hAnsi="Times New Roman"/>
          <w:i w:val="0"/>
          <w:iCs/>
          <w:lang w:eastAsia="fr-FR"/>
        </w:rPr>
        <w:t>Œu</w:t>
      </w:r>
      <w:r w:rsidR="00D76F4F" w:rsidRPr="00B44214">
        <w:rPr>
          <w:rFonts w:ascii="Times New Roman" w:hAnsi="Times New Roman"/>
          <w:i w:val="0"/>
          <w:iCs/>
          <w:lang w:eastAsia="fr-FR"/>
        </w:rPr>
        <w:t>vres</w:t>
      </w:r>
      <w:r w:rsidR="006A4EED" w:rsidRPr="00B44214">
        <w:rPr>
          <w:rFonts w:ascii="Times New Roman" w:hAnsi="Times New Roman"/>
          <w:i w:val="0"/>
          <w:iCs/>
          <w:lang w:eastAsia="fr-FR"/>
        </w:rPr>
        <w:t xml:space="preserve"> de </w:t>
      </w:r>
      <w:r w:rsidR="00D76F4F">
        <w:rPr>
          <w:rFonts w:ascii="Times New Roman" w:hAnsi="Times New Roman"/>
          <w:i w:val="0"/>
          <w:iCs/>
          <w:lang w:eastAsia="fr-FR"/>
        </w:rPr>
        <w:t>O.A.</w:t>
      </w:r>
      <w:r w:rsidR="006A4EED" w:rsidRPr="00B44214">
        <w:rPr>
          <w:rFonts w:ascii="Times New Roman" w:hAnsi="Times New Roman"/>
          <w:i w:val="0"/>
          <w:iCs/>
          <w:lang w:eastAsia="fr-FR"/>
        </w:rPr>
        <w:t>Kaki</w:t>
      </w:r>
      <w:bookmarkEnd w:id="39"/>
    </w:p>
    <w:p w:rsidR="006A4EED" w:rsidRPr="0010776F" w:rsidRDefault="0010776F" w:rsidP="00C97E4E">
      <w:pPr>
        <w:pStyle w:val="Titre5"/>
        <w:spacing w:before="0" w:after="0"/>
        <w:ind w:firstLine="284"/>
        <w:jc w:val="both"/>
        <w:rPr>
          <w:rFonts w:ascii="Times New Roman" w:hAnsi="Times New Roman"/>
          <w:color w:val="auto"/>
          <w:lang w:eastAsia="fr-FR"/>
        </w:rPr>
      </w:pPr>
      <w:bookmarkStart w:id="40" w:name="_Toc471484415"/>
      <w:r>
        <w:rPr>
          <w:rFonts w:ascii="Times New Roman" w:hAnsi="Times New Roman"/>
          <w:color w:val="auto"/>
          <w:lang w:eastAsia="fr-FR"/>
        </w:rPr>
        <w:t>3.2.1.</w:t>
      </w:r>
      <w:r w:rsidRPr="0010776F">
        <w:rPr>
          <w:rFonts w:ascii="Times New Roman" w:hAnsi="Times New Roman"/>
          <w:color w:val="auto"/>
          <w:lang w:eastAsia="fr-FR"/>
        </w:rPr>
        <w:t xml:space="preserve"> Principales</w:t>
      </w:r>
      <w:r w:rsidR="006A4EED" w:rsidRPr="0010776F">
        <w:rPr>
          <w:rFonts w:ascii="Times New Roman" w:hAnsi="Times New Roman"/>
          <w:color w:val="auto"/>
          <w:lang w:eastAsia="fr-FR"/>
        </w:rPr>
        <w:t xml:space="preserve"> œuvres de Kaki</w:t>
      </w:r>
      <w:bookmarkEnd w:id="40"/>
    </w:p>
    <w:p w:rsidR="006A4EED" w:rsidRPr="005E58D9" w:rsidRDefault="006A4EED" w:rsidP="00C97E4E">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De l’avis de la majorité des hommes de théâtre algérien, Kaki reste l'un des dramaturges les plus actifs en Algérie dans l’écriture et la production théâtrale et qui fut tout aussi l'un des fondateurs de «Festival du théâtre amateur» à Mostaganem.</w:t>
      </w:r>
    </w:p>
    <w:p w:rsidR="006A4EED" w:rsidRPr="005E58D9" w:rsidRDefault="006A4EED" w:rsidP="00C97E4E">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Il aimait depuis l'enfance la scène, et il a travaillé depuis les premières années de sa jeunesse sur l'ancrage du théâtre dans la tradition orale algérienne grâce à la fondation de sa troupe "Algaragouz" en 1958, à partir de laquelle il a pris une nouvelle approche qui diffère de ce qui était présenté par les troupes théâtrales en ce temps, et ce en procédant à l’intégration, au sein du théâtre, la réalité culturelle et sociale puisées de l’originalité et des racines de la société algérienne notamment ses grands poètes dont les textes sublimes et pleins de sagesse ne cessent de résonner sa mémoire et raisonner sa morale.</w:t>
      </w:r>
    </w:p>
    <w:p w:rsidR="006A4EED" w:rsidRPr="005E58D9" w:rsidRDefault="006A4EED" w:rsidP="00C97E4E">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lastRenderedPageBreak/>
        <w:t xml:space="preserve">Kaki est l'auteur de nombreuses pièces. Ses œuvres les plus connues sont incontestablement celles qu'il a réalisées après l'indépendance : </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 xml:space="preserve">Théâtre </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Le photographe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Smasria</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La valise de Plaute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L'oiseau vert de Carlo Gozzi.</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La cantatrice chauve (d'après Eugène Ionesco).</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La légende de la rose.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El Hadj Brahim (d'après le Tartuffe de Molière).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Tabib fi filadj ma hou tabib.</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Docteur Mounir (comédie en 4 tableaux, adaptation du "Docteur Knok" de Jules Romains).</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Un acteur est mort.</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Bache rake m'ride oucha deurake.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El Mouakhda.</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Les déboires du cordonnier.</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Mname Soltane Soulimane.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Le salon d'honneur.</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Dem el Hob (ou l'amour impossible).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Dem ala tarik.</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Errabie (le printemps)</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El Aroui Okacha (comédie en 1 acte d'après G.Dandin de Molière).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La salle d'attente (tragi–comédie en 1 acte).</w:t>
      </w:r>
    </w:p>
    <w:p w:rsidR="006A4EED" w:rsidRPr="00C97E4E" w:rsidRDefault="006A4EED" w:rsidP="00230C65">
      <w:pPr>
        <w:pStyle w:val="Paragraphedeliste"/>
        <w:numPr>
          <w:ilvl w:val="0"/>
          <w:numId w:val="61"/>
        </w:numPr>
        <w:autoSpaceDE w:val="0"/>
        <w:autoSpaceDN w:val="0"/>
        <w:adjustRightInd w:val="0"/>
        <w:spacing w:after="0" w:line="360" w:lineRule="auto"/>
        <w:rPr>
          <w:rFonts w:ascii="Times New Roman" w:hAnsi="Times New Roman"/>
          <w:sz w:val="24"/>
          <w:szCs w:val="24"/>
        </w:rPr>
      </w:pPr>
      <w:r w:rsidRPr="00C97E4E">
        <w:rPr>
          <w:rFonts w:ascii="Times New Roman" w:hAnsi="Times New Roman"/>
          <w:sz w:val="24"/>
          <w:szCs w:val="24"/>
        </w:rPr>
        <w:t>Dar Rabbi</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 xml:space="preserve">Avant Théâtre </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Le filet</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Le voyage</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La cabane</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Le cauchemar.</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La cage</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El –Menfi.</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El Garagouze.</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lastRenderedPageBreak/>
        <w:t>Fin de partie (d'après Samuel Beckett).</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En attendant Godot (d'après Samuel Beckett).</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Errebah</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L’antiquaire au clair de lune</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 xml:space="preserve">La nuit </w:t>
      </w:r>
      <w:proofErr w:type="gramStart"/>
      <w:r w:rsidRPr="00D769F9">
        <w:rPr>
          <w:rFonts w:ascii="Times New Roman" w:hAnsi="Times New Roman"/>
          <w:sz w:val="24"/>
          <w:szCs w:val="24"/>
        </w:rPr>
        <w:t>( Ellil</w:t>
      </w:r>
      <w:proofErr w:type="gramEnd"/>
      <w:r w:rsidRPr="00D769F9">
        <w:rPr>
          <w:rFonts w:ascii="Times New Roman" w:hAnsi="Times New Roman"/>
          <w:sz w:val="24"/>
          <w:szCs w:val="24"/>
        </w:rPr>
        <w:t xml:space="preserve"> )</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Dar sidna Nouh</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Les méfaits du tabac (d'après A.Tchekov)</w:t>
      </w:r>
    </w:p>
    <w:p w:rsidR="006A4EED" w:rsidRPr="00D769F9"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D769F9">
        <w:rPr>
          <w:rFonts w:ascii="Times New Roman" w:hAnsi="Times New Roman"/>
          <w:sz w:val="24"/>
          <w:szCs w:val="24"/>
        </w:rPr>
        <w:t>Novembre des ignorés</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Une carafe d'eau fraîche, un verre propre</w:t>
      </w:r>
      <w:r w:rsidR="00D769F9" w:rsidRPr="003072CD">
        <w:rPr>
          <w:rFonts w:ascii="Times New Roman" w:hAnsi="Times New Roman"/>
          <w:sz w:val="24"/>
          <w:szCs w:val="24"/>
        </w:rPr>
        <w:t xml:space="preserve"> </w:t>
      </w:r>
      <w:r w:rsidRPr="003072CD">
        <w:rPr>
          <w:rFonts w:ascii="Times New Roman" w:hAnsi="Times New Roman"/>
          <w:sz w:val="24"/>
          <w:szCs w:val="24"/>
        </w:rPr>
        <w:t>et les journaux s'ils sont libres.</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lang w:val="en-GB"/>
        </w:rPr>
      </w:pPr>
      <w:r w:rsidRPr="003072CD">
        <w:rPr>
          <w:rFonts w:ascii="Times New Roman" w:hAnsi="Times New Roman"/>
          <w:sz w:val="24"/>
          <w:szCs w:val="24"/>
          <w:lang w:val="en-GB"/>
        </w:rPr>
        <w:t>Nasse Diwane Oua Hikayete el Makhlok</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132 ans</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Le peuple de la nuit</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Afrique avant 1</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Les vieux</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Diwan el garagouz</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El guerrab oua salihine</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Koul wahed ou houkmou</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Beni kalboune</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Diwan el melah</w:t>
      </w:r>
    </w:p>
    <w:p w:rsidR="006A4EED" w:rsidRPr="003072CD" w:rsidRDefault="006A4EED" w:rsidP="00230C65">
      <w:pPr>
        <w:pStyle w:val="Paragraphedeliste"/>
        <w:numPr>
          <w:ilvl w:val="0"/>
          <w:numId w:val="62"/>
        </w:numPr>
        <w:autoSpaceDE w:val="0"/>
        <w:autoSpaceDN w:val="0"/>
        <w:adjustRightInd w:val="0"/>
        <w:spacing w:after="0" w:line="360" w:lineRule="auto"/>
        <w:rPr>
          <w:rFonts w:ascii="Times New Roman" w:hAnsi="Times New Roman"/>
          <w:sz w:val="24"/>
          <w:szCs w:val="24"/>
        </w:rPr>
      </w:pPr>
      <w:r w:rsidRPr="003072CD">
        <w:rPr>
          <w:rFonts w:ascii="Times New Roman" w:hAnsi="Times New Roman"/>
          <w:sz w:val="24"/>
          <w:szCs w:val="24"/>
        </w:rPr>
        <w:t>Ech'Hadna</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Mises en scène de A.</w:t>
      </w:r>
      <w:r w:rsidR="00231BCB">
        <w:rPr>
          <w:rFonts w:ascii="Times New Roman" w:hAnsi="Times New Roman"/>
          <w:b/>
          <w:bCs/>
          <w:sz w:val="24"/>
          <w:szCs w:val="24"/>
        </w:rPr>
        <w:t xml:space="preserve"> </w:t>
      </w:r>
      <w:r w:rsidRPr="005E58D9">
        <w:rPr>
          <w:rFonts w:ascii="Times New Roman" w:hAnsi="Times New Roman"/>
          <w:b/>
          <w:bCs/>
          <w:sz w:val="24"/>
          <w:szCs w:val="24"/>
        </w:rPr>
        <w:t>K</w:t>
      </w:r>
      <w:r w:rsidR="00231BCB">
        <w:rPr>
          <w:rFonts w:ascii="Times New Roman" w:hAnsi="Times New Roman"/>
          <w:b/>
          <w:bCs/>
          <w:sz w:val="24"/>
          <w:szCs w:val="24"/>
        </w:rPr>
        <w:t>aki</w:t>
      </w:r>
      <w:r w:rsidRPr="005E58D9">
        <w:rPr>
          <w:rFonts w:ascii="Times New Roman" w:hAnsi="Times New Roman"/>
          <w:b/>
          <w:bCs/>
          <w:sz w:val="24"/>
          <w:szCs w:val="24"/>
        </w:rPr>
        <w:t xml:space="preserve"> </w:t>
      </w:r>
    </w:p>
    <w:p w:rsidR="006A4EED" w:rsidRPr="00780B2B" w:rsidRDefault="006A4EED" w:rsidP="00230C65">
      <w:pPr>
        <w:pStyle w:val="Paragraphedeliste"/>
        <w:numPr>
          <w:ilvl w:val="0"/>
          <w:numId w:val="63"/>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 xml:space="preserve">"Deux pièces cuisine" </w:t>
      </w:r>
      <w:proofErr w:type="gramStart"/>
      <w:r w:rsidRPr="00780B2B">
        <w:rPr>
          <w:rFonts w:ascii="Times New Roman" w:hAnsi="Times New Roman"/>
          <w:sz w:val="24"/>
          <w:szCs w:val="24"/>
        </w:rPr>
        <w:t>de Abdelkader</w:t>
      </w:r>
      <w:proofErr w:type="gramEnd"/>
      <w:r w:rsidRPr="00780B2B">
        <w:rPr>
          <w:rFonts w:ascii="Times New Roman" w:hAnsi="Times New Roman"/>
          <w:sz w:val="24"/>
          <w:szCs w:val="24"/>
        </w:rPr>
        <w:t xml:space="preserve"> Safiri</w:t>
      </w:r>
    </w:p>
    <w:p w:rsidR="006A4EED" w:rsidRPr="00780B2B" w:rsidRDefault="006A4EED" w:rsidP="00230C65">
      <w:pPr>
        <w:pStyle w:val="Paragraphedeliste"/>
        <w:numPr>
          <w:ilvl w:val="0"/>
          <w:numId w:val="63"/>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"Hab el moulouk fi tarik el harb" de Abdelkader Djemaï.</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 xml:space="preserve">Adaptation radiophonique </w:t>
      </w:r>
    </w:p>
    <w:p w:rsidR="006A4EED" w:rsidRPr="00780B2B" w:rsidRDefault="006A4EED" w:rsidP="00230C65">
      <w:pPr>
        <w:pStyle w:val="Paragraphedeliste"/>
        <w:numPr>
          <w:ilvl w:val="0"/>
          <w:numId w:val="64"/>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Le cas Machiavel (essai)</w:t>
      </w:r>
    </w:p>
    <w:p w:rsidR="006A4EED" w:rsidRPr="00780B2B" w:rsidRDefault="006A4EED" w:rsidP="00230C65">
      <w:pPr>
        <w:pStyle w:val="Paragraphedeliste"/>
        <w:numPr>
          <w:ilvl w:val="0"/>
          <w:numId w:val="64"/>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Le captif (d'après Cervantès)</w:t>
      </w:r>
    </w:p>
    <w:p w:rsidR="006A4EED" w:rsidRPr="00780B2B" w:rsidRDefault="006A4EED" w:rsidP="00230C65">
      <w:pPr>
        <w:pStyle w:val="Paragraphedeliste"/>
        <w:numPr>
          <w:ilvl w:val="0"/>
          <w:numId w:val="64"/>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Clizia (d'après Machiavel)</w:t>
      </w:r>
    </w:p>
    <w:p w:rsidR="006A4EED" w:rsidRPr="00780B2B" w:rsidRDefault="006A4EED" w:rsidP="00230C65">
      <w:pPr>
        <w:pStyle w:val="Paragraphedeliste"/>
        <w:numPr>
          <w:ilvl w:val="0"/>
          <w:numId w:val="64"/>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Le serin qui ne disait pas la vérité et le pic–vert</w:t>
      </w:r>
    </w:p>
    <w:p w:rsidR="006A4EED" w:rsidRPr="00780B2B" w:rsidRDefault="00780B2B" w:rsidP="00230C65">
      <w:pPr>
        <w:pStyle w:val="Paragraphedeliste"/>
        <w:numPr>
          <w:ilvl w:val="0"/>
          <w:numId w:val="64"/>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Ennemi</w:t>
      </w:r>
      <w:r w:rsidR="006A4EED" w:rsidRPr="00780B2B">
        <w:rPr>
          <w:rFonts w:ascii="Times New Roman" w:hAnsi="Times New Roman"/>
          <w:sz w:val="24"/>
          <w:szCs w:val="24"/>
        </w:rPr>
        <w:t xml:space="preserve"> du mensonge</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 xml:space="preserve">Nouvelles </w:t>
      </w:r>
    </w:p>
    <w:p w:rsidR="006A4EED" w:rsidRPr="00780B2B" w:rsidRDefault="006A4EED" w:rsidP="00230C65">
      <w:pPr>
        <w:pStyle w:val="Paragraphedeliste"/>
        <w:numPr>
          <w:ilvl w:val="0"/>
          <w:numId w:val="65"/>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Le petit bonhomme à lunettes</w:t>
      </w:r>
    </w:p>
    <w:p w:rsidR="006A4EED" w:rsidRPr="00780B2B" w:rsidRDefault="006A4EED" w:rsidP="00230C65">
      <w:pPr>
        <w:pStyle w:val="Paragraphedeliste"/>
        <w:numPr>
          <w:ilvl w:val="0"/>
          <w:numId w:val="65"/>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Envisagez le pire et vivez les restes</w:t>
      </w:r>
    </w:p>
    <w:p w:rsidR="006A4EED" w:rsidRPr="00780B2B" w:rsidRDefault="006A4EED" w:rsidP="00230C65">
      <w:pPr>
        <w:pStyle w:val="Paragraphedeliste"/>
        <w:numPr>
          <w:ilvl w:val="0"/>
          <w:numId w:val="65"/>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Comédie d’hiver</w:t>
      </w:r>
    </w:p>
    <w:p w:rsidR="006A4EED" w:rsidRPr="00780B2B" w:rsidRDefault="006A4EED" w:rsidP="00230C65">
      <w:pPr>
        <w:pStyle w:val="Paragraphedeliste"/>
        <w:numPr>
          <w:ilvl w:val="0"/>
          <w:numId w:val="65"/>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lastRenderedPageBreak/>
        <w:t>La mort des Maures</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 xml:space="preserve">Scénarios </w:t>
      </w:r>
    </w:p>
    <w:p w:rsidR="006A4EED" w:rsidRPr="00780B2B" w:rsidRDefault="006A4EED" w:rsidP="00230C65">
      <w:pPr>
        <w:pStyle w:val="Paragraphedeliste"/>
        <w:numPr>
          <w:ilvl w:val="0"/>
          <w:numId w:val="66"/>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Ouled el-Hadj</w:t>
      </w:r>
    </w:p>
    <w:p w:rsidR="006A4EED" w:rsidRPr="00780B2B" w:rsidRDefault="006A4EED" w:rsidP="00230C65">
      <w:pPr>
        <w:pStyle w:val="Paragraphedeliste"/>
        <w:numPr>
          <w:ilvl w:val="0"/>
          <w:numId w:val="66"/>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La fête des autres</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 xml:space="preserve">Œuvres inachevées </w:t>
      </w:r>
    </w:p>
    <w:p w:rsidR="006A4EED" w:rsidRPr="00780B2B" w:rsidRDefault="006A4EED" w:rsidP="00230C65">
      <w:pPr>
        <w:pStyle w:val="Paragraphedeliste"/>
        <w:numPr>
          <w:ilvl w:val="0"/>
          <w:numId w:val="67"/>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 xml:space="preserve">Un feuilleton pour TV </w:t>
      </w:r>
      <w:r w:rsidRPr="00780B2B">
        <w:rPr>
          <w:rFonts w:ascii="Times New Roman" w:hAnsi="Times New Roman"/>
          <w:b/>
          <w:bCs/>
          <w:sz w:val="24"/>
          <w:szCs w:val="24"/>
        </w:rPr>
        <w:t>"</w:t>
      </w:r>
      <w:r w:rsidRPr="00780B2B">
        <w:rPr>
          <w:rFonts w:ascii="Times New Roman" w:hAnsi="Times New Roman"/>
          <w:sz w:val="24"/>
          <w:szCs w:val="24"/>
        </w:rPr>
        <w:t>L’histoire d’une rue"</w:t>
      </w:r>
    </w:p>
    <w:p w:rsidR="006A4EED" w:rsidRPr="00780B2B" w:rsidRDefault="00780B2B" w:rsidP="00230C65">
      <w:pPr>
        <w:pStyle w:val="Paragraphedeliste"/>
        <w:numPr>
          <w:ilvl w:val="0"/>
          <w:numId w:val="67"/>
        </w:numPr>
        <w:autoSpaceDE w:val="0"/>
        <w:autoSpaceDN w:val="0"/>
        <w:adjustRightInd w:val="0"/>
        <w:spacing w:after="0" w:line="360" w:lineRule="auto"/>
        <w:rPr>
          <w:rFonts w:ascii="Times New Roman" w:hAnsi="Times New Roman"/>
          <w:b/>
          <w:bCs/>
          <w:sz w:val="24"/>
          <w:szCs w:val="24"/>
        </w:rPr>
      </w:pPr>
      <w:r w:rsidRPr="00780B2B">
        <w:rPr>
          <w:rFonts w:ascii="Times New Roman" w:hAnsi="Times New Roman"/>
          <w:sz w:val="24"/>
          <w:szCs w:val="24"/>
        </w:rPr>
        <w:t xml:space="preserve">Une </w:t>
      </w:r>
      <w:r w:rsidR="006A4EED" w:rsidRPr="00780B2B">
        <w:rPr>
          <w:rFonts w:ascii="Times New Roman" w:hAnsi="Times New Roman"/>
          <w:sz w:val="24"/>
          <w:szCs w:val="24"/>
        </w:rPr>
        <w:t xml:space="preserve">pièce de théâtre </w:t>
      </w:r>
      <w:r w:rsidR="006A4EED" w:rsidRPr="00780B2B">
        <w:rPr>
          <w:rFonts w:ascii="Times New Roman" w:hAnsi="Times New Roman"/>
          <w:b/>
          <w:bCs/>
          <w:sz w:val="24"/>
          <w:szCs w:val="24"/>
        </w:rPr>
        <w:t xml:space="preserve">‘’ </w:t>
      </w:r>
      <w:r w:rsidR="006A4EED" w:rsidRPr="00780B2B">
        <w:rPr>
          <w:rFonts w:ascii="Times New Roman" w:hAnsi="Times New Roman"/>
          <w:sz w:val="24"/>
          <w:szCs w:val="24"/>
        </w:rPr>
        <w:t>Il est difficile d’être un homme</w:t>
      </w:r>
      <w:r w:rsidR="006A4EED" w:rsidRPr="00780B2B">
        <w:rPr>
          <w:rFonts w:ascii="Times New Roman" w:hAnsi="Times New Roman"/>
          <w:b/>
          <w:bCs/>
          <w:sz w:val="24"/>
          <w:szCs w:val="24"/>
        </w:rPr>
        <w:t>’’</w:t>
      </w:r>
    </w:p>
    <w:p w:rsidR="006A4EED" w:rsidRPr="005E58D9" w:rsidRDefault="006A4EED" w:rsidP="00B90C59">
      <w:pPr>
        <w:autoSpaceDE w:val="0"/>
        <w:autoSpaceDN w:val="0"/>
        <w:adjustRightInd w:val="0"/>
        <w:spacing w:after="0" w:line="360" w:lineRule="auto"/>
        <w:ind w:firstLine="284"/>
        <w:jc w:val="both"/>
        <w:rPr>
          <w:rFonts w:ascii="Times New Roman" w:hAnsi="Times New Roman"/>
          <w:b/>
          <w:bCs/>
          <w:sz w:val="24"/>
          <w:szCs w:val="24"/>
        </w:rPr>
      </w:pPr>
      <w:r w:rsidRPr="005E58D9">
        <w:rPr>
          <w:rFonts w:ascii="Times New Roman" w:hAnsi="Times New Roman"/>
          <w:b/>
          <w:bCs/>
          <w:sz w:val="24"/>
          <w:szCs w:val="24"/>
        </w:rPr>
        <w:t xml:space="preserve">Prix </w:t>
      </w:r>
    </w:p>
    <w:p w:rsidR="006A4EED" w:rsidRPr="00780B2B" w:rsidRDefault="006A4EED" w:rsidP="00230C65">
      <w:pPr>
        <w:pStyle w:val="Paragraphedeliste"/>
        <w:numPr>
          <w:ilvl w:val="0"/>
          <w:numId w:val="68"/>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Grand prix au 1er Festival Maghrébin de Sfax en 1966</w:t>
      </w:r>
    </w:p>
    <w:p w:rsidR="006A4EED" w:rsidRPr="00780B2B" w:rsidRDefault="006A4EED" w:rsidP="00230C65">
      <w:pPr>
        <w:pStyle w:val="Paragraphedeliste"/>
        <w:numPr>
          <w:ilvl w:val="0"/>
          <w:numId w:val="68"/>
        </w:numPr>
        <w:autoSpaceDE w:val="0"/>
        <w:autoSpaceDN w:val="0"/>
        <w:adjustRightInd w:val="0"/>
        <w:spacing w:after="0" w:line="360" w:lineRule="auto"/>
        <w:rPr>
          <w:rFonts w:ascii="Times New Roman" w:hAnsi="Times New Roman"/>
          <w:sz w:val="24"/>
          <w:szCs w:val="24"/>
        </w:rPr>
      </w:pPr>
      <w:r w:rsidRPr="00780B2B">
        <w:rPr>
          <w:rFonts w:ascii="Times New Roman" w:hAnsi="Times New Roman"/>
          <w:sz w:val="24"/>
          <w:szCs w:val="24"/>
        </w:rPr>
        <w:t>Médaille d’or au Festival Arabo–Africain de Tunis en 1987</w:t>
      </w:r>
    </w:p>
    <w:p w:rsidR="006A4EED" w:rsidRPr="00780B2B" w:rsidRDefault="006A4EED" w:rsidP="00230C65">
      <w:pPr>
        <w:pStyle w:val="Paragraphedeliste"/>
        <w:numPr>
          <w:ilvl w:val="0"/>
          <w:numId w:val="68"/>
        </w:numPr>
        <w:spacing w:line="360" w:lineRule="auto"/>
        <w:rPr>
          <w:rFonts w:ascii="Times New Roman" w:hAnsi="Times New Roman"/>
          <w:sz w:val="24"/>
          <w:szCs w:val="24"/>
        </w:rPr>
      </w:pPr>
      <w:r w:rsidRPr="00780B2B">
        <w:rPr>
          <w:rFonts w:ascii="Times New Roman" w:hAnsi="Times New Roman"/>
          <w:sz w:val="24"/>
          <w:szCs w:val="24"/>
        </w:rPr>
        <w:t>Médaille d’or au Festival du Théâtre Expérimental du Caire, 1989.</w:t>
      </w:r>
    </w:p>
    <w:p w:rsidR="006A4EED" w:rsidRPr="004E6449" w:rsidRDefault="004E6449" w:rsidP="00B90C59">
      <w:pPr>
        <w:pStyle w:val="Titre5"/>
        <w:spacing w:before="0" w:after="0"/>
        <w:ind w:left="641" w:hanging="357"/>
        <w:jc w:val="both"/>
        <w:rPr>
          <w:rFonts w:ascii="Times New Roman" w:hAnsi="Times New Roman"/>
          <w:color w:val="auto"/>
          <w:lang w:eastAsia="fr-FR"/>
        </w:rPr>
      </w:pPr>
      <w:bookmarkStart w:id="41" w:name="_Toc471484416"/>
      <w:r>
        <w:rPr>
          <w:rFonts w:ascii="Times New Roman" w:hAnsi="Times New Roman"/>
          <w:color w:val="auto"/>
          <w:lang w:eastAsia="fr-FR"/>
        </w:rPr>
        <w:t>3.2.2.</w:t>
      </w:r>
      <w:r w:rsidRPr="004E6449">
        <w:rPr>
          <w:rFonts w:ascii="Times New Roman" w:hAnsi="Times New Roman"/>
          <w:color w:val="auto"/>
          <w:lang w:eastAsia="fr-FR"/>
        </w:rPr>
        <w:t xml:space="preserve"> Qu’est</w:t>
      </w:r>
      <w:r>
        <w:rPr>
          <w:rFonts w:ascii="Times New Roman" w:hAnsi="Times New Roman"/>
          <w:color w:val="auto"/>
          <w:lang w:eastAsia="fr-FR"/>
        </w:rPr>
        <w:t>-</w:t>
      </w:r>
      <w:r w:rsidR="006A4EED" w:rsidRPr="004E6449">
        <w:rPr>
          <w:rFonts w:ascii="Times New Roman" w:hAnsi="Times New Roman"/>
          <w:color w:val="auto"/>
          <w:lang w:eastAsia="fr-FR"/>
        </w:rPr>
        <w:t>ce qui a changé avec Kaki</w:t>
      </w:r>
      <w:r w:rsidR="008806CD" w:rsidRPr="004E6449">
        <w:rPr>
          <w:rFonts w:ascii="Times New Roman" w:hAnsi="Times New Roman"/>
          <w:color w:val="auto"/>
          <w:lang w:eastAsia="fr-FR"/>
        </w:rPr>
        <w:t xml:space="preserve"> </w:t>
      </w:r>
      <w:r w:rsidR="006A4EED" w:rsidRPr="004E6449">
        <w:rPr>
          <w:rFonts w:ascii="Times New Roman" w:hAnsi="Times New Roman"/>
          <w:color w:val="auto"/>
          <w:lang w:eastAsia="fr-FR"/>
        </w:rPr>
        <w:t>? Description d’une révolution théâtrale</w:t>
      </w:r>
      <w:bookmarkEnd w:id="41"/>
      <w:r w:rsidR="006A4EED" w:rsidRPr="004E6449">
        <w:rPr>
          <w:rFonts w:ascii="Times New Roman" w:hAnsi="Times New Roman"/>
          <w:color w:val="auto"/>
          <w:lang w:eastAsia="fr-FR"/>
        </w:rPr>
        <w:t xml:space="preserve"> </w:t>
      </w:r>
    </w:p>
    <w:p w:rsidR="006A4EED" w:rsidRPr="005E58D9" w:rsidRDefault="006A4EED" w:rsidP="004E6449">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Kaki a incontestablement apporté un souffle nouveau au théâtre algérien. Un véritable bol d’air. Oubliée l’expression limitée, asséchée d’un théâtre urbain et bien pensant.</w:t>
      </w:r>
    </w:p>
    <w:p w:rsidR="006A4EED" w:rsidRPr="005E58D9" w:rsidRDefault="006A4EED" w:rsidP="004E6449">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La réalité est qu’avant Kaki, le théâtre algérien reprenait largement les préoccupations de la société algérienne coloniale ou postcoloniale. Ce théâtre s'adressait essentiellement aux citadins, il était enfermé dans la contrainte colonialiste, véritable frein à la créativité. Résultat, un </w:t>
      </w:r>
      <w:r w:rsidR="00D678B1" w:rsidRPr="005E58D9">
        <w:rPr>
          <w:rFonts w:ascii="Times New Roman" w:hAnsi="Times New Roman"/>
          <w:sz w:val="24"/>
          <w:szCs w:val="24"/>
          <w:lang w:eastAsia="fr-FR"/>
        </w:rPr>
        <w:t>théâtre</w:t>
      </w:r>
      <w:r w:rsidRPr="005E58D9">
        <w:rPr>
          <w:rFonts w:ascii="Times New Roman" w:hAnsi="Times New Roman"/>
          <w:sz w:val="24"/>
          <w:szCs w:val="24"/>
          <w:lang w:eastAsia="fr-FR"/>
        </w:rPr>
        <w:t xml:space="preserve"> sans relief, certes correct, mais préparé pour un public raffiné, baignant dans la culture urbaine. Un discours théâtral très atténué, articulé autour de finesses inhérentes à une société coloniale puis bourgeoise qu’on veut cajoler, comme pour lui cacher ses propres turpitudes.</w:t>
      </w:r>
    </w:p>
    <w:p w:rsidR="006A4EED" w:rsidRPr="005E58D9" w:rsidRDefault="006A4EED" w:rsidP="00912101">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Kaki rompt avec cette approche : terminés les traditionnels sujets du mariage imposé, du burlesque qui faisaient l'essentiel du théâtre de Allalou, Ksentini et Bachtarzi. Le dramaturge Kaki donne au théâtre algérien des approches nouvelles. Il propose une pratique en rupture avec le passé, dans le choix des thèmes et la nature de la mise en scène. Toutes les œuvres de Kaki offrent ainsi souvent un triple contenu :</w:t>
      </w:r>
    </w:p>
    <w:p w:rsidR="006A4EED" w:rsidRDefault="006A4EED" w:rsidP="00230C65">
      <w:pPr>
        <w:pStyle w:val="Paragraphedeliste"/>
        <w:numPr>
          <w:ilvl w:val="0"/>
          <w:numId w:val="69"/>
        </w:numPr>
        <w:spacing w:line="360" w:lineRule="auto"/>
        <w:jc w:val="both"/>
        <w:rPr>
          <w:rFonts w:ascii="Times New Roman" w:hAnsi="Times New Roman"/>
          <w:sz w:val="24"/>
          <w:szCs w:val="24"/>
          <w:lang w:eastAsia="fr-FR"/>
        </w:rPr>
      </w:pPr>
      <w:r w:rsidRPr="00560D16">
        <w:rPr>
          <w:rFonts w:ascii="Times New Roman" w:hAnsi="Times New Roman"/>
          <w:sz w:val="24"/>
          <w:szCs w:val="24"/>
          <w:lang w:eastAsia="fr-FR"/>
        </w:rPr>
        <w:t>Le sens du festif populaire, hérité de sa jeunesse épanouie et des souvenirs de sa joyeuse ville de Mostaganem</w:t>
      </w:r>
    </w:p>
    <w:p w:rsidR="006A4EED" w:rsidRPr="00560D16" w:rsidRDefault="006A4EED" w:rsidP="00230C65">
      <w:pPr>
        <w:pStyle w:val="Paragraphedeliste"/>
        <w:numPr>
          <w:ilvl w:val="0"/>
          <w:numId w:val="69"/>
        </w:numPr>
        <w:spacing w:line="360" w:lineRule="auto"/>
        <w:jc w:val="both"/>
        <w:rPr>
          <w:rFonts w:ascii="Times New Roman" w:hAnsi="Times New Roman"/>
          <w:sz w:val="24"/>
          <w:szCs w:val="24"/>
          <w:lang w:eastAsia="fr-FR"/>
        </w:rPr>
      </w:pPr>
      <w:r w:rsidRPr="00560D16">
        <w:rPr>
          <w:rFonts w:ascii="Times New Roman" w:hAnsi="Times New Roman"/>
          <w:sz w:val="24"/>
          <w:szCs w:val="24"/>
          <w:lang w:eastAsia="fr-FR"/>
        </w:rPr>
        <w:lastRenderedPageBreak/>
        <w:t>Le parler rural hérité de la voix des plus simples : ouvriers, marchands, commerçants, artisans</w:t>
      </w:r>
    </w:p>
    <w:p w:rsidR="006A4EED" w:rsidRPr="00560D16" w:rsidRDefault="006A4EED" w:rsidP="00230C65">
      <w:pPr>
        <w:pStyle w:val="Paragraphedeliste"/>
        <w:numPr>
          <w:ilvl w:val="0"/>
          <w:numId w:val="69"/>
        </w:numPr>
        <w:spacing w:line="360" w:lineRule="auto"/>
        <w:jc w:val="both"/>
        <w:rPr>
          <w:rFonts w:ascii="Times New Roman" w:hAnsi="Times New Roman"/>
          <w:sz w:val="24"/>
          <w:szCs w:val="24"/>
          <w:lang w:eastAsia="fr-FR"/>
        </w:rPr>
      </w:pPr>
      <w:r w:rsidRPr="00560D16">
        <w:rPr>
          <w:rFonts w:ascii="Times New Roman" w:hAnsi="Times New Roman"/>
          <w:sz w:val="24"/>
          <w:szCs w:val="24"/>
          <w:lang w:eastAsia="fr-FR"/>
        </w:rPr>
        <w:t>Le thème universel, tiré il est vrai de son ouverture vers les jeunesses scouts et le cinéma américain mais aussi, globalement, de cette capacité de Kaki à voir plus loin que l’environnement immédiat. Se poser des questions qui sont celles non d’un peuple, mais de l’humanité toute entière.</w:t>
      </w:r>
    </w:p>
    <w:p w:rsidR="006A4EED" w:rsidRPr="00EF7642" w:rsidRDefault="00560D16" w:rsidP="00B90C59">
      <w:pPr>
        <w:pStyle w:val="Titre5"/>
        <w:spacing w:before="0" w:after="0"/>
        <w:ind w:left="641" w:hanging="357"/>
        <w:jc w:val="both"/>
        <w:rPr>
          <w:rFonts w:ascii="Times New Roman" w:hAnsi="Times New Roman"/>
          <w:color w:val="auto"/>
          <w:szCs w:val="24"/>
          <w:lang w:eastAsia="fr-FR"/>
        </w:rPr>
      </w:pPr>
      <w:bookmarkStart w:id="42" w:name="_Toc471484417"/>
      <w:r w:rsidRPr="00EF7642">
        <w:rPr>
          <w:rFonts w:ascii="Times New Roman" w:hAnsi="Times New Roman"/>
          <w:color w:val="auto"/>
          <w:szCs w:val="24"/>
          <w:lang w:eastAsia="fr-FR"/>
        </w:rPr>
        <w:t>3.2.3</w:t>
      </w:r>
      <w:r w:rsidR="00EF7642" w:rsidRPr="00EF7642">
        <w:rPr>
          <w:rFonts w:ascii="Times New Roman" w:hAnsi="Times New Roman"/>
          <w:color w:val="auto"/>
          <w:szCs w:val="24"/>
          <w:lang w:eastAsia="fr-FR"/>
        </w:rPr>
        <w:t>. L’oralité</w:t>
      </w:r>
      <w:r w:rsidR="006A4EED" w:rsidRPr="00EF7642">
        <w:rPr>
          <w:rFonts w:ascii="Times New Roman" w:hAnsi="Times New Roman"/>
          <w:color w:val="auto"/>
          <w:szCs w:val="24"/>
          <w:lang w:eastAsia="fr-FR"/>
        </w:rPr>
        <w:t>, clé de voûte de l’œuvre de Kaki</w:t>
      </w:r>
      <w:bookmarkEnd w:id="42"/>
    </w:p>
    <w:p w:rsidR="006A4EED" w:rsidRPr="00EF7642" w:rsidRDefault="006A4EED" w:rsidP="00EF7642">
      <w:pPr>
        <w:spacing w:after="0" w:line="360" w:lineRule="auto"/>
        <w:ind w:firstLine="284"/>
        <w:jc w:val="both"/>
        <w:rPr>
          <w:rFonts w:ascii="Times New Roman" w:hAnsi="Times New Roman"/>
          <w:sz w:val="24"/>
          <w:szCs w:val="24"/>
          <w:lang w:eastAsia="fr-FR"/>
        </w:rPr>
      </w:pPr>
      <w:r w:rsidRPr="00EF7642">
        <w:rPr>
          <w:rFonts w:ascii="Times New Roman" w:hAnsi="Times New Roman"/>
          <w:sz w:val="24"/>
          <w:szCs w:val="24"/>
          <w:lang w:eastAsia="fr-FR"/>
        </w:rPr>
        <w:t xml:space="preserve">L’oralité est très importante chez Kaki. Une lecture de ce trait dramaturgique permet de dégager la richesse de cet auteur. En effet, pétri d'oralité le théâtre de Kaki va directement interpeller le spectateur qui se sentira concerné, interrogé et impliqué par l'événement scénique en représentation chez Kaki. Il peut s’agir autant </w:t>
      </w:r>
      <w:r w:rsidR="00677CBE" w:rsidRPr="00EF7642">
        <w:rPr>
          <w:rFonts w:ascii="Times New Roman" w:hAnsi="Times New Roman"/>
          <w:sz w:val="24"/>
          <w:szCs w:val="24"/>
          <w:lang w:eastAsia="fr-FR"/>
        </w:rPr>
        <w:t>du</w:t>
      </w:r>
      <w:r w:rsidRPr="00EF7642">
        <w:rPr>
          <w:rFonts w:ascii="Times New Roman" w:hAnsi="Times New Roman"/>
          <w:sz w:val="24"/>
          <w:szCs w:val="24"/>
          <w:lang w:eastAsia="fr-FR"/>
        </w:rPr>
        <w:t xml:space="preserve"> paysan que </w:t>
      </w:r>
      <w:r w:rsidR="00677CBE" w:rsidRPr="00EF7642">
        <w:rPr>
          <w:rFonts w:ascii="Times New Roman" w:hAnsi="Times New Roman"/>
          <w:sz w:val="24"/>
          <w:szCs w:val="24"/>
          <w:lang w:eastAsia="fr-FR"/>
        </w:rPr>
        <w:t>du</w:t>
      </w:r>
      <w:r w:rsidRPr="00EF7642">
        <w:rPr>
          <w:rFonts w:ascii="Times New Roman" w:hAnsi="Times New Roman"/>
          <w:sz w:val="24"/>
          <w:szCs w:val="24"/>
          <w:lang w:eastAsia="fr-FR"/>
        </w:rPr>
        <w:t xml:space="preserve"> citadin (Kaki, </w:t>
      </w:r>
      <w:r w:rsidR="00D678B1" w:rsidRPr="00EF7642">
        <w:rPr>
          <w:rFonts w:ascii="Times New Roman" w:hAnsi="Times New Roman"/>
          <w:sz w:val="24"/>
          <w:szCs w:val="24"/>
          <w:lang w:eastAsia="fr-FR"/>
        </w:rPr>
        <w:t>ç</w:t>
      </w:r>
      <w:r w:rsidRPr="00EF7642">
        <w:rPr>
          <w:rFonts w:ascii="Times New Roman" w:hAnsi="Times New Roman"/>
          <w:sz w:val="24"/>
          <w:szCs w:val="24"/>
          <w:lang w:eastAsia="fr-FR"/>
        </w:rPr>
        <w:t>a tombe bien, parle à l’un comme à l’autre).</w:t>
      </w:r>
    </w:p>
    <w:p w:rsidR="006A4EED" w:rsidRPr="00BE7521" w:rsidRDefault="006A4EED" w:rsidP="0058510E">
      <w:pPr>
        <w:spacing w:after="0" w:line="360" w:lineRule="auto"/>
        <w:ind w:firstLine="284"/>
        <w:jc w:val="both"/>
        <w:rPr>
          <w:rFonts w:asciiTheme="majorBidi" w:hAnsiTheme="majorBidi" w:cstheme="majorBidi"/>
          <w:sz w:val="24"/>
          <w:szCs w:val="24"/>
        </w:rPr>
      </w:pPr>
      <w:r w:rsidRPr="00EF7642">
        <w:rPr>
          <w:rFonts w:ascii="Times New Roman" w:hAnsi="Times New Roman"/>
          <w:sz w:val="24"/>
          <w:szCs w:val="24"/>
          <w:lang w:eastAsia="fr-FR"/>
        </w:rPr>
        <w:t xml:space="preserve">Kaki réussit à insérer le verbe du meddah, si prépondérant dans l'oralité, dans la liturgie théâtrale. Plus jeune, Kaki se cachait en effet pour écouter les méddahates, chanteuses traditionnelles réservées aux seules femmes. Il exploitera plus tard cette richesse. Du point de vue de la société algérienne, Kaki est celui qui répond le mieux au défi posé par Antonin Artaud qui </w:t>
      </w:r>
      <w:r w:rsidRPr="00EF7642">
        <w:rPr>
          <w:rFonts w:ascii="Times New Roman" w:hAnsi="Times New Roman"/>
          <w:sz w:val="24"/>
          <w:szCs w:val="24"/>
        </w:rPr>
        <w:t>donne deux définitions du « langage théâtral pur » dans Théâtre oriental et Théâtre occidental. En effet, selon lui, la nature des éléments du langage oriental se résume en ces définitions</w:t>
      </w:r>
      <w:r w:rsidR="00BE7521">
        <w:rPr>
          <w:rFonts w:ascii="Times New Roman" w:hAnsi="Times New Roman"/>
          <w:sz w:val="24"/>
          <w:szCs w:val="24"/>
        </w:rPr>
        <w:t> : « </w:t>
      </w:r>
      <w:r w:rsidRPr="00BE7521">
        <w:rPr>
          <w:rFonts w:asciiTheme="majorBidi" w:hAnsiTheme="majorBidi" w:cstheme="majorBidi"/>
          <w:sz w:val="24"/>
          <w:szCs w:val="24"/>
        </w:rPr>
        <w:t>1° D’une part, comme la matérialisation visuelle et plastique de la parole. 2° Comme le langage de tout ce qui peut se dire et se signifier sur une scène indépendamment de la parole, de tout ce qui trouve son expression dans l’espace, ou qui peut être atteint ou désagrégé par lui</w:t>
      </w:r>
      <w:r w:rsidR="0058510E">
        <w:rPr>
          <w:rFonts w:asciiTheme="majorBidi" w:hAnsiTheme="majorBidi" w:cstheme="majorBidi"/>
          <w:sz w:val="24"/>
          <w:szCs w:val="24"/>
        </w:rPr>
        <w:t> »</w:t>
      </w:r>
      <w:r w:rsidRPr="00BE7521">
        <w:rPr>
          <w:rStyle w:val="Appelnotedebasdep"/>
          <w:rFonts w:asciiTheme="majorBidi" w:hAnsiTheme="majorBidi" w:cstheme="majorBidi"/>
          <w:sz w:val="24"/>
          <w:szCs w:val="24"/>
          <w:lang w:eastAsia="fr-FR"/>
        </w:rPr>
        <w:footnoteReference w:id="78"/>
      </w:r>
      <w:r w:rsidR="0058510E">
        <w:rPr>
          <w:rFonts w:asciiTheme="majorBidi" w:hAnsiTheme="majorBidi" w:cstheme="majorBidi"/>
          <w:sz w:val="24"/>
          <w:szCs w:val="24"/>
        </w:rPr>
        <w:t>.</w:t>
      </w:r>
    </w:p>
    <w:p w:rsidR="006A4EED" w:rsidRPr="005E58D9" w:rsidRDefault="006A4EED" w:rsidP="001B3532">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Le fait est que Kaki est d'abord le produit d'une culture orale, en relation constante avec la tradition de l'écrit. Toutes les sources orales héritées de sa jeunesse et de son environnement constitueront l'essentiel de ses inspirations. Kaki a saisi très tôt qu'il y a mille et une manières de narrer une même histoire. L’une d’elles, le Meddah avec son éloquence et son improvisation, d’autres comme dans </w:t>
      </w:r>
      <w:r w:rsidRPr="005E58D9">
        <w:rPr>
          <w:rFonts w:ascii="Times New Roman" w:hAnsi="Times New Roman"/>
          <w:sz w:val="24"/>
          <w:szCs w:val="24"/>
          <w:lang w:eastAsia="fr-FR"/>
        </w:rPr>
        <w:lastRenderedPageBreak/>
        <w:t>la Halqa, avec ses gestes et ses déplacements. Kaki joue de cette oralité dans ses œuvres.</w:t>
      </w:r>
    </w:p>
    <w:p w:rsidR="006A4EED" w:rsidRPr="005E58D9" w:rsidRDefault="006A4EED" w:rsidP="001B3532">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Les œuvres de Kaki se jouent, elles ne s’écrivent pas. Le texte n’est qu’accessoire. Kaki rejoint en cela Artaud en s’éloignant d’une conception très occidentale du théâtre basée sur un texte immuable et intouchable. Le théâtre de Kaki c’est bien plus que du texte. Mostefa et Benchehida le résument parfaitement :  </w:t>
      </w:r>
    </w:p>
    <w:p w:rsidR="006A4EED" w:rsidRPr="001B3532" w:rsidRDefault="006A4EED" w:rsidP="001B3532">
      <w:pPr>
        <w:pStyle w:val="Citationintense"/>
        <w:spacing w:before="0" w:after="0"/>
        <w:ind w:left="567" w:right="0"/>
        <w:rPr>
          <w:sz w:val="20"/>
          <w:szCs w:val="20"/>
          <w:lang w:eastAsia="fr-FR"/>
        </w:rPr>
      </w:pPr>
      <w:r w:rsidRPr="001B3532">
        <w:rPr>
          <w:sz w:val="20"/>
          <w:szCs w:val="20"/>
          <w:lang w:eastAsia="fr-FR"/>
        </w:rPr>
        <w:t>Kaki a vu que c'est là un théâtre qui répond à nos coutumes langagières. Mais il a quelque peu adapté cette vision. Puisque de la position antinomique de parole et de scène, il a réalisé une conjugaison  harmonieuse de la parole du meddah et de la scène d'Artaud. C'est une expression dans l’espace.</w:t>
      </w:r>
      <w:r w:rsidRPr="001B3532">
        <w:rPr>
          <w:rStyle w:val="Appelnotedebasdep"/>
          <w:sz w:val="20"/>
          <w:szCs w:val="20"/>
          <w:lang w:eastAsia="fr-FR"/>
        </w:rPr>
        <w:footnoteReference w:id="79"/>
      </w:r>
    </w:p>
    <w:p w:rsidR="00A02171" w:rsidRDefault="00A02171" w:rsidP="00A02171">
      <w:pPr>
        <w:spacing w:after="0" w:line="360" w:lineRule="auto"/>
        <w:ind w:firstLine="284"/>
        <w:jc w:val="both"/>
        <w:rPr>
          <w:rFonts w:asciiTheme="majorBidi" w:hAnsiTheme="majorBidi" w:cstheme="majorBidi"/>
          <w:sz w:val="24"/>
          <w:szCs w:val="24"/>
          <w:lang w:eastAsia="fr-FR"/>
        </w:rPr>
      </w:pPr>
    </w:p>
    <w:p w:rsidR="006A4EED" w:rsidRPr="00A02171" w:rsidRDefault="006A4EED" w:rsidP="00A02171">
      <w:pPr>
        <w:spacing w:after="0" w:line="360" w:lineRule="auto"/>
        <w:ind w:firstLine="284"/>
        <w:jc w:val="both"/>
        <w:rPr>
          <w:rFonts w:asciiTheme="majorBidi" w:hAnsiTheme="majorBidi" w:cstheme="majorBidi"/>
          <w:sz w:val="24"/>
          <w:szCs w:val="24"/>
          <w:lang w:eastAsia="fr-FR"/>
        </w:rPr>
      </w:pPr>
      <w:r w:rsidRPr="00A02171">
        <w:rPr>
          <w:rFonts w:asciiTheme="majorBidi" w:hAnsiTheme="majorBidi" w:cstheme="majorBidi"/>
          <w:sz w:val="24"/>
          <w:szCs w:val="24"/>
          <w:lang w:eastAsia="fr-FR"/>
        </w:rPr>
        <w:t xml:space="preserve">Kaki est en cela révolutionnaire. Il donne une nouvelle dimension au théâtre algérien, en allant puiser dans les entrailles de la culture algérienne. Il met la société profonde algérienne sur un piédestal puisqu’il permet au spectateur de la vivre dans les moindres recoins et expressions. Il en devient aussitôt l’un des meilleurs représentants. Mostefa et Benchehida poursuivent, à propos de Kaki: </w:t>
      </w:r>
      <w:r w:rsidR="00A02171">
        <w:rPr>
          <w:rFonts w:asciiTheme="majorBidi" w:hAnsiTheme="majorBidi" w:cstheme="majorBidi"/>
          <w:sz w:val="24"/>
          <w:szCs w:val="24"/>
          <w:lang w:eastAsia="fr-FR"/>
        </w:rPr>
        <w:t>« </w:t>
      </w:r>
      <w:r w:rsidRPr="00A02171">
        <w:rPr>
          <w:rFonts w:asciiTheme="majorBidi" w:hAnsiTheme="majorBidi" w:cstheme="majorBidi"/>
          <w:sz w:val="24"/>
          <w:szCs w:val="24"/>
          <w:lang w:eastAsia="fr-FR"/>
        </w:rPr>
        <w:t>Faire lier le théâtre aux possibilités de l’expression par les formes, et par tout ce qui est gestes, bruits, couleurs, plastiques, etc., c’est le réhabiliter, le réconcilier avec l'univers maghrébin</w:t>
      </w:r>
      <w:r w:rsidR="00A02171">
        <w:rPr>
          <w:rFonts w:asciiTheme="majorBidi" w:hAnsiTheme="majorBidi" w:cstheme="majorBidi"/>
          <w:sz w:val="24"/>
          <w:szCs w:val="24"/>
          <w:lang w:eastAsia="fr-FR"/>
        </w:rPr>
        <w:t>»</w:t>
      </w:r>
      <w:r w:rsidRPr="00A02171">
        <w:rPr>
          <w:rStyle w:val="Appelnotedebasdep"/>
          <w:rFonts w:asciiTheme="majorBidi" w:hAnsiTheme="majorBidi" w:cstheme="majorBidi"/>
          <w:sz w:val="24"/>
          <w:szCs w:val="24"/>
          <w:lang w:eastAsia="fr-FR"/>
        </w:rPr>
        <w:footnoteReference w:id="80"/>
      </w:r>
      <w:r w:rsidR="00A02171">
        <w:rPr>
          <w:rFonts w:asciiTheme="majorBidi" w:hAnsiTheme="majorBidi" w:cstheme="majorBidi"/>
          <w:sz w:val="24"/>
          <w:szCs w:val="24"/>
          <w:lang w:eastAsia="fr-FR"/>
        </w:rPr>
        <w:t>.</w:t>
      </w:r>
    </w:p>
    <w:p w:rsidR="00784D77" w:rsidRDefault="00784D77" w:rsidP="00B90C59">
      <w:pPr>
        <w:pStyle w:val="Titre4"/>
        <w:spacing w:before="0" w:after="0" w:line="360" w:lineRule="auto"/>
        <w:ind w:left="641" w:hanging="357"/>
        <w:jc w:val="both"/>
        <w:rPr>
          <w:rFonts w:ascii="Times New Roman" w:hAnsi="Times New Roman"/>
          <w:i w:val="0"/>
          <w:iCs/>
          <w:lang w:eastAsia="fr-FR"/>
        </w:rPr>
      </w:pPr>
    </w:p>
    <w:p w:rsidR="006A4EED" w:rsidRPr="0034336F" w:rsidRDefault="00CC55AD" w:rsidP="00B90C59">
      <w:pPr>
        <w:pStyle w:val="Titre4"/>
        <w:spacing w:before="0" w:after="0" w:line="360" w:lineRule="auto"/>
        <w:ind w:left="641" w:hanging="357"/>
        <w:jc w:val="both"/>
        <w:rPr>
          <w:rFonts w:ascii="Times New Roman" w:hAnsi="Times New Roman"/>
          <w:i w:val="0"/>
          <w:iCs/>
          <w:lang w:eastAsia="fr-FR"/>
        </w:rPr>
      </w:pPr>
      <w:bookmarkStart w:id="43" w:name="_Toc471484418"/>
      <w:r>
        <w:rPr>
          <w:rFonts w:ascii="Times New Roman" w:hAnsi="Times New Roman"/>
          <w:i w:val="0"/>
          <w:iCs/>
          <w:lang w:eastAsia="fr-FR"/>
        </w:rPr>
        <w:t>3.3.</w:t>
      </w:r>
      <w:r w:rsidRPr="0034336F">
        <w:rPr>
          <w:rFonts w:ascii="Times New Roman" w:hAnsi="Times New Roman"/>
          <w:i w:val="0"/>
          <w:iCs/>
          <w:lang w:eastAsia="fr-FR"/>
        </w:rPr>
        <w:t xml:space="preserve"> Apports</w:t>
      </w:r>
      <w:r w:rsidR="006A4EED" w:rsidRPr="0034336F">
        <w:rPr>
          <w:rFonts w:ascii="Times New Roman" w:hAnsi="Times New Roman"/>
          <w:i w:val="0"/>
          <w:iCs/>
          <w:lang w:eastAsia="fr-FR"/>
        </w:rPr>
        <w:t xml:space="preserve"> dramaturgiques de Kaki</w:t>
      </w:r>
      <w:bookmarkEnd w:id="43"/>
    </w:p>
    <w:p w:rsidR="006A4EED" w:rsidRPr="005E58D9" w:rsidRDefault="006A4EED" w:rsidP="00CC55AD">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L’apport de Kaki dans la dramaturgie algérienne tient à une mise au point d'un langage dramaturgique propre. Kaki a en effet poursuivi et réussi le pari d’intégrer  la communication traditionnelle, la culture populaire et la mémoire collective des spectateurs dans son théâtre. </w:t>
      </w:r>
    </w:p>
    <w:p w:rsidR="006A4EED" w:rsidRPr="005E58D9" w:rsidRDefault="006A4EED" w:rsidP="00593303">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Le public se sent dès lors interpellé par une scène qui évoque pour lui un espace intellectuel et communicatif familier tout en le poussant  à la remise en question de son quotidien.</w:t>
      </w:r>
    </w:p>
    <w:p w:rsidR="006A4EED" w:rsidRDefault="006A4EED" w:rsidP="00593303">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En ce sens Kaki a mis à l’avant scène le théâtre dont nous avons parlé et qui a fait les lettres de noblesses de la création dramaturgique algérienne. Ce théâtre </w:t>
      </w:r>
      <w:r w:rsidRPr="005E58D9">
        <w:rPr>
          <w:rFonts w:ascii="Times New Roman" w:hAnsi="Times New Roman"/>
          <w:sz w:val="24"/>
          <w:szCs w:val="24"/>
          <w:lang w:eastAsia="fr-FR"/>
        </w:rPr>
        <w:lastRenderedPageBreak/>
        <w:t xml:space="preserve">revêt </w:t>
      </w:r>
      <w:r w:rsidR="00404E0B">
        <w:rPr>
          <w:rFonts w:ascii="Times New Roman" w:hAnsi="Times New Roman"/>
          <w:sz w:val="24"/>
          <w:szCs w:val="24"/>
          <w:lang w:eastAsia="fr-FR"/>
        </w:rPr>
        <w:t>trois</w:t>
      </w:r>
      <w:r w:rsidRPr="005E58D9">
        <w:rPr>
          <w:rFonts w:ascii="Times New Roman" w:hAnsi="Times New Roman"/>
          <w:sz w:val="24"/>
          <w:szCs w:val="24"/>
          <w:lang w:eastAsia="fr-FR"/>
        </w:rPr>
        <w:t xml:space="preserve"> aspects que nous avons </w:t>
      </w:r>
      <w:r w:rsidR="0034336F" w:rsidRPr="005E58D9">
        <w:rPr>
          <w:rFonts w:ascii="Times New Roman" w:hAnsi="Times New Roman"/>
          <w:sz w:val="24"/>
          <w:szCs w:val="24"/>
          <w:lang w:eastAsia="fr-FR"/>
        </w:rPr>
        <w:t>évoqués</w:t>
      </w:r>
      <w:r w:rsidRPr="005E58D9">
        <w:rPr>
          <w:rFonts w:ascii="Times New Roman" w:hAnsi="Times New Roman"/>
          <w:sz w:val="24"/>
          <w:szCs w:val="24"/>
          <w:lang w:eastAsia="fr-FR"/>
        </w:rPr>
        <w:t xml:space="preserve"> plus haut en explorant l’univers dramaturgique algérien :</w:t>
      </w:r>
    </w:p>
    <w:p w:rsidR="006A4EED" w:rsidRDefault="006A4EED" w:rsidP="00230C65">
      <w:pPr>
        <w:pStyle w:val="Paragraphedeliste"/>
        <w:numPr>
          <w:ilvl w:val="0"/>
          <w:numId w:val="60"/>
        </w:numPr>
        <w:spacing w:before="100" w:beforeAutospacing="1" w:after="100" w:afterAutospacing="1" w:line="360" w:lineRule="auto"/>
        <w:jc w:val="both"/>
        <w:rPr>
          <w:rFonts w:ascii="Times New Roman" w:hAnsi="Times New Roman"/>
          <w:sz w:val="24"/>
          <w:szCs w:val="24"/>
          <w:lang w:eastAsia="fr-FR"/>
        </w:rPr>
      </w:pPr>
      <w:r w:rsidRPr="00593303">
        <w:rPr>
          <w:rFonts w:ascii="Times New Roman" w:hAnsi="Times New Roman"/>
          <w:sz w:val="24"/>
          <w:szCs w:val="24"/>
          <w:lang w:eastAsia="fr-FR"/>
        </w:rPr>
        <w:t xml:space="preserve">Un théâtre populaire </w:t>
      </w:r>
    </w:p>
    <w:p w:rsidR="006A4EED" w:rsidRDefault="006A4EED" w:rsidP="00230C65">
      <w:pPr>
        <w:pStyle w:val="Paragraphedeliste"/>
        <w:numPr>
          <w:ilvl w:val="0"/>
          <w:numId w:val="60"/>
        </w:numPr>
        <w:spacing w:before="100" w:beforeAutospacing="1" w:after="100" w:afterAutospacing="1" w:line="360" w:lineRule="auto"/>
        <w:jc w:val="both"/>
        <w:rPr>
          <w:rFonts w:ascii="Times New Roman" w:hAnsi="Times New Roman"/>
          <w:sz w:val="24"/>
          <w:szCs w:val="24"/>
          <w:lang w:eastAsia="fr-FR"/>
        </w:rPr>
      </w:pPr>
      <w:r w:rsidRPr="00593303">
        <w:rPr>
          <w:rFonts w:ascii="Times New Roman" w:hAnsi="Times New Roman"/>
          <w:sz w:val="24"/>
          <w:szCs w:val="24"/>
          <w:lang w:eastAsia="fr-FR"/>
        </w:rPr>
        <w:t>Un théâtre hybride (moderne et authentique)</w:t>
      </w:r>
    </w:p>
    <w:p w:rsidR="006A4EED" w:rsidRPr="00593303" w:rsidRDefault="006A4EED" w:rsidP="00230C65">
      <w:pPr>
        <w:pStyle w:val="Paragraphedeliste"/>
        <w:numPr>
          <w:ilvl w:val="0"/>
          <w:numId w:val="60"/>
        </w:numPr>
        <w:spacing w:before="100" w:beforeAutospacing="1" w:after="100" w:afterAutospacing="1" w:line="360" w:lineRule="auto"/>
        <w:jc w:val="both"/>
        <w:rPr>
          <w:rFonts w:ascii="Times New Roman" w:hAnsi="Times New Roman"/>
          <w:sz w:val="24"/>
          <w:szCs w:val="24"/>
          <w:lang w:eastAsia="fr-FR"/>
        </w:rPr>
      </w:pPr>
      <w:r w:rsidRPr="00593303">
        <w:rPr>
          <w:rFonts w:ascii="Times New Roman" w:hAnsi="Times New Roman"/>
          <w:sz w:val="24"/>
          <w:szCs w:val="24"/>
          <w:lang w:eastAsia="fr-FR"/>
        </w:rPr>
        <w:t xml:space="preserve">Un théâtre engagé. </w:t>
      </w:r>
    </w:p>
    <w:p w:rsidR="006A4EED" w:rsidRPr="00EA6E04" w:rsidRDefault="006A4EED" w:rsidP="00EA6E04">
      <w:pPr>
        <w:spacing w:after="0" w:line="360" w:lineRule="auto"/>
        <w:ind w:firstLine="284"/>
        <w:jc w:val="both"/>
        <w:rPr>
          <w:rFonts w:asciiTheme="majorBidi" w:hAnsiTheme="majorBidi" w:cstheme="majorBidi"/>
          <w:sz w:val="24"/>
          <w:szCs w:val="24"/>
          <w:lang w:eastAsia="fr-FR"/>
        </w:rPr>
      </w:pPr>
      <w:r w:rsidRPr="00EA6E04">
        <w:rPr>
          <w:rFonts w:asciiTheme="majorBidi" w:hAnsiTheme="majorBidi" w:cstheme="majorBidi"/>
          <w:sz w:val="24"/>
          <w:szCs w:val="24"/>
          <w:lang w:eastAsia="fr-FR"/>
        </w:rPr>
        <w:t>Développons ci-dessous ces différentes dimensions</w:t>
      </w:r>
      <w:r w:rsidR="002E0231" w:rsidRPr="00EA6E04">
        <w:rPr>
          <w:rFonts w:asciiTheme="majorBidi" w:hAnsiTheme="majorBidi" w:cstheme="majorBidi"/>
          <w:sz w:val="24"/>
          <w:szCs w:val="24"/>
          <w:lang w:eastAsia="fr-FR"/>
        </w:rPr>
        <w:t> :</w:t>
      </w:r>
    </w:p>
    <w:p w:rsidR="00784D77" w:rsidRDefault="00784D77" w:rsidP="00293EF4">
      <w:pPr>
        <w:pStyle w:val="Titre5"/>
        <w:spacing w:before="0" w:after="0"/>
        <w:ind w:left="641" w:hanging="357"/>
        <w:jc w:val="both"/>
        <w:rPr>
          <w:rFonts w:asciiTheme="majorBidi" w:hAnsiTheme="majorBidi" w:cstheme="majorBidi"/>
          <w:color w:val="auto"/>
          <w:lang w:eastAsia="fr-FR"/>
        </w:rPr>
      </w:pPr>
    </w:p>
    <w:p w:rsidR="006A4EED" w:rsidRPr="00EA6E04" w:rsidRDefault="00293EF4" w:rsidP="00293EF4">
      <w:pPr>
        <w:pStyle w:val="Titre5"/>
        <w:spacing w:before="0" w:after="0"/>
        <w:ind w:left="641" w:hanging="357"/>
        <w:jc w:val="both"/>
        <w:rPr>
          <w:rFonts w:asciiTheme="majorBidi" w:hAnsiTheme="majorBidi" w:cstheme="majorBidi"/>
          <w:color w:val="auto"/>
          <w:lang w:eastAsia="fr-FR"/>
        </w:rPr>
      </w:pPr>
      <w:bookmarkStart w:id="44" w:name="_Toc471484419"/>
      <w:r>
        <w:rPr>
          <w:rFonts w:asciiTheme="majorBidi" w:hAnsiTheme="majorBidi" w:cstheme="majorBidi"/>
          <w:color w:val="auto"/>
          <w:lang w:eastAsia="fr-FR"/>
        </w:rPr>
        <w:t>3.3.1</w:t>
      </w:r>
      <w:r w:rsidR="004B2C81">
        <w:rPr>
          <w:rFonts w:asciiTheme="majorBidi" w:hAnsiTheme="majorBidi" w:cstheme="majorBidi"/>
          <w:color w:val="auto"/>
          <w:lang w:eastAsia="fr-FR"/>
        </w:rPr>
        <w:t>.</w:t>
      </w:r>
      <w:r w:rsidR="004B2C81" w:rsidRPr="00EA6E04">
        <w:rPr>
          <w:rFonts w:asciiTheme="majorBidi" w:hAnsiTheme="majorBidi" w:cstheme="majorBidi"/>
          <w:color w:val="auto"/>
          <w:lang w:eastAsia="fr-FR"/>
        </w:rPr>
        <w:t xml:space="preserve"> Kaki</w:t>
      </w:r>
      <w:r w:rsidR="006A4EED" w:rsidRPr="00EA6E04">
        <w:rPr>
          <w:rFonts w:asciiTheme="majorBidi" w:hAnsiTheme="majorBidi" w:cstheme="majorBidi"/>
          <w:color w:val="auto"/>
          <w:lang w:eastAsia="fr-FR"/>
        </w:rPr>
        <w:t xml:space="preserve"> et le théâtre tiré de la culture populaire</w:t>
      </w:r>
      <w:bookmarkEnd w:id="44"/>
    </w:p>
    <w:p w:rsidR="006A4EED" w:rsidRPr="009F6C89" w:rsidRDefault="006A4EED" w:rsidP="009F6C89">
      <w:pPr>
        <w:spacing w:after="0" w:line="360" w:lineRule="auto"/>
        <w:ind w:firstLine="284"/>
        <w:jc w:val="both"/>
        <w:rPr>
          <w:rFonts w:asciiTheme="majorBidi" w:hAnsiTheme="majorBidi" w:cstheme="majorBidi"/>
          <w:sz w:val="24"/>
          <w:szCs w:val="24"/>
          <w:lang w:eastAsia="fr-FR"/>
        </w:rPr>
      </w:pPr>
      <w:r w:rsidRPr="009E679E">
        <w:rPr>
          <w:rFonts w:asciiTheme="majorBidi" w:hAnsiTheme="majorBidi" w:cstheme="majorBidi"/>
          <w:sz w:val="24"/>
          <w:szCs w:val="24"/>
          <w:lang w:eastAsia="fr-FR"/>
        </w:rPr>
        <w:t>Kaki a parfaitement compris et intégré le précepte d’Artaud selon lequel :</w:t>
      </w:r>
      <w:r w:rsidRPr="009E679E">
        <w:rPr>
          <w:rFonts w:asciiTheme="majorBidi" w:hAnsiTheme="majorBidi" w:cstheme="majorBidi"/>
          <w:i/>
          <w:iCs/>
          <w:sz w:val="24"/>
          <w:szCs w:val="24"/>
          <w:lang w:eastAsia="fr-FR"/>
        </w:rPr>
        <w:t xml:space="preserve"> </w:t>
      </w:r>
      <w:r w:rsidRPr="009F6C89">
        <w:rPr>
          <w:rFonts w:asciiTheme="majorBidi" w:hAnsiTheme="majorBidi" w:cstheme="majorBidi"/>
          <w:sz w:val="24"/>
          <w:szCs w:val="24"/>
          <w:lang w:eastAsia="fr-FR"/>
        </w:rPr>
        <w:t>« Le théâtre est contenu dans les limites de tout ce qui peut se passer sur une scène, indépendamment du texte écrit»</w:t>
      </w:r>
      <w:r w:rsidRPr="009F6C89">
        <w:rPr>
          <w:rStyle w:val="Appelnotedebasdep"/>
          <w:rFonts w:asciiTheme="majorBidi" w:hAnsiTheme="majorBidi" w:cstheme="majorBidi"/>
          <w:sz w:val="24"/>
          <w:szCs w:val="24"/>
          <w:lang w:eastAsia="fr-FR"/>
        </w:rPr>
        <w:footnoteReference w:id="81"/>
      </w:r>
      <w:r w:rsidR="009F6C89" w:rsidRPr="009F6C89">
        <w:rPr>
          <w:rFonts w:asciiTheme="majorBidi" w:hAnsiTheme="majorBidi" w:cstheme="majorBidi"/>
          <w:sz w:val="24"/>
          <w:szCs w:val="24"/>
          <w:lang w:eastAsia="fr-FR"/>
        </w:rPr>
        <w:t>.</w:t>
      </w:r>
    </w:p>
    <w:p w:rsidR="006A4EED" w:rsidRPr="009E679E" w:rsidRDefault="006A4EED" w:rsidP="004B2C81">
      <w:pPr>
        <w:spacing w:after="0" w:line="360" w:lineRule="auto"/>
        <w:ind w:firstLine="284"/>
        <w:jc w:val="both"/>
        <w:rPr>
          <w:rFonts w:asciiTheme="majorBidi" w:hAnsiTheme="majorBidi" w:cstheme="majorBidi"/>
          <w:sz w:val="24"/>
          <w:szCs w:val="24"/>
          <w:lang w:eastAsia="fr-FR"/>
        </w:rPr>
      </w:pPr>
      <w:r w:rsidRPr="009E679E">
        <w:rPr>
          <w:rFonts w:asciiTheme="majorBidi" w:hAnsiTheme="majorBidi" w:cstheme="majorBidi"/>
          <w:sz w:val="24"/>
          <w:szCs w:val="24"/>
          <w:lang w:eastAsia="fr-FR"/>
        </w:rPr>
        <w:t xml:space="preserve">Cette oralité dont </w:t>
      </w:r>
      <w:r w:rsidR="002E0231" w:rsidRPr="009E679E">
        <w:rPr>
          <w:rFonts w:asciiTheme="majorBidi" w:hAnsiTheme="majorBidi" w:cstheme="majorBidi"/>
          <w:sz w:val="24"/>
          <w:szCs w:val="24"/>
          <w:lang w:eastAsia="fr-FR"/>
        </w:rPr>
        <w:t xml:space="preserve">on </w:t>
      </w:r>
      <w:r w:rsidRPr="009E679E">
        <w:rPr>
          <w:rFonts w:asciiTheme="majorBidi" w:hAnsiTheme="majorBidi" w:cstheme="majorBidi"/>
          <w:sz w:val="24"/>
          <w:szCs w:val="24"/>
          <w:lang w:eastAsia="fr-FR"/>
        </w:rPr>
        <w:t xml:space="preserve">a longuement parlé s’inscrit naturellement dans l’univers culturel algérien, lequel devient, pour ainsi dire, son creuset. Précisément la culture populaire. Celle, dirait-on, de l’Algérie profonde. On l’a vu,  le théâtre de Kaki est fondamentalement ancré dans la scène et résolument festif au point de prendre des libertés parfois nettes avec les principes modernes du théâtre. Mais l’ambition première de Kaki n’a jamais été de se défaire des canons fondamentaux du théâtre classique, mais plutôt de les enrichir d’un jeu populaire, clé de voûte, à son sens d’une authenticité toute algérienne. Et c’est précisément ce qui fait le charme de Kaki, c’est de là que nait l’originalité de ses pièces. Oui, la culture populaire ! Kaki a vécu dans un milieu qui l'a déterminé dans le sens du festif populaire, du parler rural et du thème universel. Ce seront trois traits caractéristiques forts de son théâtre. </w:t>
      </w:r>
    </w:p>
    <w:p w:rsidR="006A4EED" w:rsidRPr="00020773" w:rsidRDefault="006A4EED" w:rsidP="00020773">
      <w:pPr>
        <w:spacing w:after="0" w:line="360" w:lineRule="auto"/>
        <w:ind w:firstLine="284"/>
        <w:jc w:val="both"/>
        <w:rPr>
          <w:sz w:val="24"/>
          <w:szCs w:val="24"/>
          <w:lang w:eastAsia="fr-FR"/>
        </w:rPr>
      </w:pPr>
      <w:r w:rsidRPr="009E679E">
        <w:rPr>
          <w:rFonts w:asciiTheme="majorBidi" w:hAnsiTheme="majorBidi" w:cstheme="majorBidi"/>
          <w:sz w:val="24"/>
          <w:szCs w:val="24"/>
          <w:lang w:eastAsia="fr-FR"/>
        </w:rPr>
        <w:t>On le verra plus loin en analysant la sémiotique dans le théâtre de Kaki (Partie III). Kaki a largement emprunté à la beauté de la parole dans la culture traditionnelle</w:t>
      </w:r>
      <w:r w:rsidRPr="005E58D9">
        <w:rPr>
          <w:rFonts w:ascii="Times New Roman" w:hAnsi="Times New Roman"/>
          <w:sz w:val="24"/>
          <w:szCs w:val="24"/>
          <w:lang w:eastAsia="fr-FR"/>
        </w:rPr>
        <w:t xml:space="preserve"> algérienne et l’a recréée, dans le sens d’un lien indéfectible avec une  gestuelle qui, selon Mostefa et Benchehida</w:t>
      </w:r>
      <w:r w:rsidRPr="00352030">
        <w:rPr>
          <w:rFonts w:ascii="Times New Roman" w:hAnsi="Times New Roman"/>
          <w:i/>
          <w:iCs/>
          <w:sz w:val="24"/>
          <w:szCs w:val="24"/>
          <w:lang w:eastAsia="fr-FR"/>
        </w:rPr>
        <w:t>, </w:t>
      </w:r>
      <w:r w:rsidR="00020773" w:rsidRPr="00020773">
        <w:rPr>
          <w:rFonts w:ascii="Times New Roman" w:hAnsi="Times New Roman"/>
          <w:sz w:val="24"/>
          <w:szCs w:val="24"/>
          <w:lang w:eastAsia="fr-FR"/>
        </w:rPr>
        <w:t>« </w:t>
      </w:r>
      <w:r w:rsidRPr="00020773">
        <w:rPr>
          <w:rFonts w:ascii="Times New Roman" w:hAnsi="Times New Roman"/>
          <w:sz w:val="24"/>
          <w:szCs w:val="24"/>
          <w:lang w:eastAsia="fr-FR"/>
        </w:rPr>
        <w:t>marque et démarque l'espace pour l'inscrire dans une dimension non verbale mais physique</w:t>
      </w:r>
      <w:r w:rsidR="00020773" w:rsidRPr="00020773">
        <w:rPr>
          <w:rFonts w:ascii="Times New Roman" w:hAnsi="Times New Roman"/>
          <w:sz w:val="24"/>
          <w:szCs w:val="24"/>
          <w:lang w:eastAsia="fr-FR"/>
        </w:rPr>
        <w:t>»</w:t>
      </w:r>
      <w:r w:rsidRPr="00020773">
        <w:rPr>
          <w:rStyle w:val="Appelnotedebasdep"/>
          <w:rFonts w:ascii="Times New Roman" w:hAnsi="Times New Roman"/>
          <w:sz w:val="24"/>
          <w:szCs w:val="24"/>
          <w:lang w:eastAsia="fr-FR"/>
        </w:rPr>
        <w:footnoteReference w:id="82"/>
      </w:r>
      <w:r w:rsidR="00020773">
        <w:rPr>
          <w:rFonts w:ascii="Times New Roman" w:hAnsi="Times New Roman"/>
          <w:sz w:val="24"/>
          <w:szCs w:val="24"/>
          <w:lang w:eastAsia="fr-FR"/>
        </w:rPr>
        <w:t>.</w:t>
      </w:r>
      <w:r w:rsidRPr="00020773">
        <w:rPr>
          <w:sz w:val="24"/>
          <w:szCs w:val="24"/>
          <w:lang w:eastAsia="fr-FR"/>
        </w:rPr>
        <w:t xml:space="preserve"> </w:t>
      </w:r>
    </w:p>
    <w:p w:rsidR="006A4EED" w:rsidRPr="005E58D9" w:rsidRDefault="006A4EED" w:rsidP="00D14E4A">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Kaki</w:t>
      </w:r>
      <w:r w:rsidR="007433B8">
        <w:rPr>
          <w:rFonts w:ascii="Times New Roman" w:hAnsi="Times New Roman"/>
          <w:sz w:val="24"/>
          <w:szCs w:val="24"/>
          <w:lang w:eastAsia="fr-FR"/>
        </w:rPr>
        <w:t xml:space="preserve"> va ainsi, selon </w:t>
      </w:r>
      <w:r w:rsidR="00867140">
        <w:rPr>
          <w:rFonts w:ascii="Times New Roman" w:hAnsi="Times New Roman"/>
          <w:sz w:val="24"/>
          <w:szCs w:val="24"/>
          <w:lang w:eastAsia="fr-FR"/>
        </w:rPr>
        <w:t>les productions</w:t>
      </w:r>
      <w:r w:rsidR="007433B8">
        <w:rPr>
          <w:rFonts w:ascii="Times New Roman" w:hAnsi="Times New Roman"/>
          <w:sz w:val="24"/>
          <w:szCs w:val="24"/>
          <w:lang w:eastAsia="fr-FR"/>
        </w:rPr>
        <w:t>,</w:t>
      </w:r>
      <w:r w:rsidRPr="005E58D9">
        <w:rPr>
          <w:rFonts w:ascii="Times New Roman" w:hAnsi="Times New Roman"/>
          <w:sz w:val="24"/>
          <w:szCs w:val="24"/>
          <w:lang w:eastAsia="fr-FR"/>
        </w:rPr>
        <w:t xml:space="preserve"> utiliser la centralité d'un Meddah démiurge, articuler les mouvements autour d'un décor, d'un accessoire, voire d'une </w:t>
      </w:r>
      <w:r w:rsidRPr="005E58D9">
        <w:rPr>
          <w:rFonts w:ascii="Times New Roman" w:hAnsi="Times New Roman"/>
          <w:sz w:val="24"/>
          <w:szCs w:val="24"/>
          <w:lang w:eastAsia="fr-FR"/>
        </w:rPr>
        <w:lastRenderedPageBreak/>
        <w:t xml:space="preserve">idée. Kaki s’affirme comme  un auteur dramatique toujours attentif aux bruits, aux rumeurs, aux voix et à la vie de son quartier. Clairement, l'environnement humain dans lequel Kaki a grandi aura déclenché chez lui le besoin de communication avec le peuple. </w:t>
      </w:r>
    </w:p>
    <w:p w:rsidR="006A4EED" w:rsidRPr="00737860" w:rsidRDefault="006A4EED" w:rsidP="00737860">
      <w:pPr>
        <w:spacing w:after="0" w:line="360" w:lineRule="auto"/>
        <w:ind w:firstLine="284"/>
        <w:jc w:val="both"/>
        <w:rPr>
          <w:rFonts w:asciiTheme="majorBidi" w:hAnsiTheme="majorBidi" w:cstheme="majorBidi"/>
          <w:sz w:val="24"/>
          <w:szCs w:val="24"/>
          <w:lang w:eastAsia="fr-FR"/>
        </w:rPr>
      </w:pPr>
      <w:r w:rsidRPr="006239FD">
        <w:rPr>
          <w:rFonts w:asciiTheme="majorBidi" w:hAnsiTheme="majorBidi" w:cstheme="majorBidi"/>
          <w:sz w:val="24"/>
          <w:szCs w:val="24"/>
          <w:lang w:eastAsia="fr-FR"/>
        </w:rPr>
        <w:t xml:space="preserve">Cette approche de Kaki va lui ouvrir un univers insoupçonné de possibilité d’expression. Mettre en relation le théâtre avec  les possibilités de l’expression par les formes, les gestes, bruits, couleurs, plastiques, etc., c’est réconcilier le théâtre avec l'univers maghrébin, l’univers festif dont nous parlions tantôt. Kaki va se servir de ce socle traditionnel, identitaire et populaire pour forger son théâtre. Il dira : </w:t>
      </w:r>
      <w:r w:rsidR="00737860">
        <w:rPr>
          <w:rFonts w:asciiTheme="majorBidi" w:hAnsiTheme="majorBidi" w:cstheme="majorBidi"/>
          <w:sz w:val="24"/>
          <w:szCs w:val="24"/>
          <w:lang w:eastAsia="fr-FR"/>
        </w:rPr>
        <w:t>« </w:t>
      </w:r>
      <w:r w:rsidRPr="00BC3CFB">
        <w:rPr>
          <w:rFonts w:asciiTheme="majorBidi" w:hAnsiTheme="majorBidi" w:cstheme="majorBidi"/>
          <w:sz w:val="24"/>
          <w:szCs w:val="24"/>
          <w:lang w:eastAsia="fr-FR"/>
        </w:rPr>
        <w:t>Le théâtre ne peut être vu qu'après les trois coups sur scène. Et j'irai même plus loin. On peut effacer les trois coups, y compris la scène. Passer à la "Halqa"</w:t>
      </w:r>
      <w:r w:rsidR="00737860">
        <w:rPr>
          <w:rFonts w:asciiTheme="majorBidi" w:hAnsiTheme="majorBidi" w:cstheme="majorBidi"/>
          <w:i/>
          <w:iCs/>
          <w:sz w:val="24"/>
          <w:szCs w:val="24"/>
          <w:lang w:eastAsia="fr-FR"/>
        </w:rPr>
        <w:t>»</w:t>
      </w:r>
      <w:r w:rsidRPr="006239FD">
        <w:rPr>
          <w:rStyle w:val="Appelnotedebasdep"/>
          <w:rFonts w:asciiTheme="majorBidi" w:hAnsiTheme="majorBidi" w:cstheme="majorBidi"/>
          <w:sz w:val="24"/>
          <w:szCs w:val="24"/>
          <w:lang w:eastAsia="fr-FR"/>
        </w:rPr>
        <w:footnoteReference w:id="83"/>
      </w:r>
      <w:r w:rsidR="00737860">
        <w:rPr>
          <w:rFonts w:asciiTheme="majorBidi" w:hAnsiTheme="majorBidi" w:cstheme="majorBidi"/>
          <w:sz w:val="24"/>
          <w:szCs w:val="24"/>
          <w:lang w:eastAsia="fr-FR"/>
        </w:rPr>
        <w:t>.</w:t>
      </w:r>
    </w:p>
    <w:p w:rsidR="006A4EED" w:rsidRPr="00450C85" w:rsidRDefault="006A4EED" w:rsidP="00450C85">
      <w:pPr>
        <w:autoSpaceDE w:val="0"/>
        <w:autoSpaceDN w:val="0"/>
        <w:adjustRightInd w:val="0"/>
        <w:spacing w:after="0" w:line="360" w:lineRule="auto"/>
        <w:ind w:firstLine="284"/>
        <w:jc w:val="both"/>
        <w:rPr>
          <w:rFonts w:ascii="Times New Roman" w:hAnsi="Times New Roman"/>
          <w:sz w:val="24"/>
          <w:szCs w:val="24"/>
          <w:lang w:eastAsia="fr-FR"/>
        </w:rPr>
      </w:pPr>
      <w:r w:rsidRPr="00450C85">
        <w:rPr>
          <w:rFonts w:ascii="Times New Roman" w:hAnsi="Times New Roman"/>
          <w:sz w:val="24"/>
          <w:szCs w:val="24"/>
          <w:lang w:eastAsia="fr-FR"/>
        </w:rPr>
        <w:t>Dans ce coup pour l’expression scénique, notons l’apport  de Jerzy Grotowski</w:t>
      </w:r>
      <w:r w:rsidRPr="00450C85">
        <w:rPr>
          <w:rStyle w:val="Appelnotedebasdep"/>
          <w:rFonts w:ascii="Times New Roman" w:hAnsi="Times New Roman"/>
          <w:sz w:val="24"/>
          <w:szCs w:val="24"/>
          <w:lang w:eastAsia="fr-FR"/>
        </w:rPr>
        <w:footnoteReference w:id="84"/>
      </w:r>
      <w:r w:rsidRPr="00450C85">
        <w:rPr>
          <w:rFonts w:ascii="Times New Roman" w:hAnsi="Times New Roman"/>
          <w:sz w:val="24"/>
          <w:szCs w:val="24"/>
          <w:lang w:eastAsia="fr-FR"/>
        </w:rPr>
        <w:t xml:space="preserve"> dans le théâtre de Kaki puisqu’il va lui apporter le concept de la relation entre le comédien et les spectateurs. Kaki apprend et développe la communication non verbale mais totale entre celui qui joue et ceux qui regardent.</w:t>
      </w:r>
    </w:p>
    <w:p w:rsidR="00784D77" w:rsidRDefault="00784D77" w:rsidP="00471F40">
      <w:pPr>
        <w:pStyle w:val="Titre5"/>
        <w:spacing w:before="0" w:after="0"/>
        <w:ind w:firstLine="284"/>
        <w:jc w:val="both"/>
        <w:rPr>
          <w:rFonts w:ascii="Times New Roman" w:hAnsi="Times New Roman"/>
          <w:color w:val="auto"/>
          <w:lang w:eastAsia="fr-FR"/>
        </w:rPr>
      </w:pPr>
    </w:p>
    <w:p w:rsidR="006A4EED" w:rsidRPr="00145A5C" w:rsidRDefault="00145A5C" w:rsidP="00471F40">
      <w:pPr>
        <w:pStyle w:val="Titre5"/>
        <w:spacing w:before="0" w:after="0"/>
        <w:ind w:firstLine="284"/>
        <w:jc w:val="both"/>
        <w:rPr>
          <w:rFonts w:ascii="Times New Roman" w:hAnsi="Times New Roman"/>
          <w:color w:val="auto"/>
          <w:lang w:eastAsia="fr-FR"/>
        </w:rPr>
      </w:pPr>
      <w:bookmarkStart w:id="45" w:name="_Toc471484420"/>
      <w:r>
        <w:rPr>
          <w:rFonts w:ascii="Times New Roman" w:hAnsi="Times New Roman"/>
          <w:color w:val="auto"/>
          <w:lang w:eastAsia="fr-FR"/>
        </w:rPr>
        <w:t>3.3.2</w:t>
      </w:r>
      <w:r w:rsidR="00236FA7">
        <w:rPr>
          <w:rFonts w:ascii="Times New Roman" w:hAnsi="Times New Roman"/>
          <w:color w:val="auto"/>
          <w:lang w:eastAsia="fr-FR"/>
        </w:rPr>
        <w:t>.</w:t>
      </w:r>
      <w:r w:rsidR="00236FA7" w:rsidRPr="00145A5C">
        <w:rPr>
          <w:rFonts w:ascii="Times New Roman" w:hAnsi="Times New Roman"/>
          <w:color w:val="auto"/>
          <w:lang w:eastAsia="fr-FR"/>
        </w:rPr>
        <w:t xml:space="preserve"> Kaki</w:t>
      </w:r>
      <w:r w:rsidR="006A4EED" w:rsidRPr="00145A5C">
        <w:rPr>
          <w:rFonts w:ascii="Times New Roman" w:hAnsi="Times New Roman"/>
          <w:color w:val="auto"/>
          <w:lang w:eastAsia="fr-FR"/>
        </w:rPr>
        <w:t xml:space="preserve"> et le théâtre hybride (moderne et authentique)</w:t>
      </w:r>
      <w:bookmarkEnd w:id="45"/>
    </w:p>
    <w:p w:rsidR="006A4EED" w:rsidRPr="005E58D9" w:rsidRDefault="006A4EED" w:rsidP="00471F40">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Kaki demeure l'un des rares artistes parmi les dramaturges qui ont réussi à apprivoiser les techniques du théâtre européen pour servir la forme expressive procréée par les traditions folkloriques, réalisant ainsi une équation importante qui consistait à produire un mixage entre le patrimoine culturel folklorique avec les moyens  de  communication  modernes,  ce  qu’il  va  mettre  à  exécution en tant que Directeur du théâtre régional d’Oran. </w:t>
      </w:r>
    </w:p>
    <w:p w:rsidR="006A4EED" w:rsidRPr="005E58D9" w:rsidRDefault="006A4EED" w:rsidP="00471F40">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Si les psychopédagogues et les sociologues s’accordent à attester que la personnalité de l’homme se façonne à partir de l’âge de cinq ans, Kaki le petit enfant, mais déjà mûr et aguerri par le contexte spatiotemporel dans lequel il fut élevé, fut forgé dans un moule exceptionnel qui l’avait prédisposé à sa destinée artistique et culturelle. En effet Kaki a toujours affirmé</w:t>
      </w:r>
      <w:r w:rsidRPr="005E58D9">
        <w:rPr>
          <w:rFonts w:ascii="Times New Roman" w:eastAsia="Times New Roman" w:hAnsi="Times New Roman"/>
          <w:color w:val="000000"/>
          <w:sz w:val="24"/>
          <w:szCs w:val="24"/>
          <w:lang w:eastAsia="fr-FR"/>
        </w:rPr>
        <w:t xml:space="preserve"> qu’il a été,</w:t>
      </w:r>
      <w:r w:rsidRPr="005E58D9">
        <w:rPr>
          <w:rFonts w:ascii="Times New Roman" w:eastAsia="Times New Roman" w:hAnsi="Times New Roman" w:hint="cs"/>
          <w:color w:val="000000"/>
          <w:sz w:val="24"/>
          <w:szCs w:val="24"/>
          <w:rtl/>
          <w:lang w:eastAsia="fr-FR"/>
        </w:rPr>
        <w:t xml:space="preserve"> </w:t>
      </w:r>
      <w:r w:rsidRPr="005E58D9">
        <w:rPr>
          <w:rFonts w:ascii="Times New Roman" w:eastAsia="Times New Roman" w:hAnsi="Times New Roman"/>
          <w:color w:val="000000"/>
          <w:sz w:val="24"/>
          <w:szCs w:val="24"/>
          <w:lang w:eastAsia="fr-FR"/>
        </w:rPr>
        <w:t>dès son jeune âge, marqué par la diversité du patrimoine de son</w:t>
      </w:r>
      <w:r w:rsidRPr="005E58D9">
        <w:rPr>
          <w:rFonts w:ascii="Times New Roman" w:eastAsia="Times New Roman" w:hAnsi="Times New Roman" w:hint="cs"/>
          <w:color w:val="000000"/>
          <w:sz w:val="24"/>
          <w:szCs w:val="24"/>
          <w:rtl/>
          <w:lang w:eastAsia="fr-FR"/>
        </w:rPr>
        <w:t xml:space="preserve"> </w:t>
      </w:r>
      <w:r w:rsidRPr="005E58D9">
        <w:rPr>
          <w:rFonts w:ascii="Times New Roman" w:eastAsia="Times New Roman" w:hAnsi="Times New Roman"/>
          <w:color w:val="000000"/>
          <w:sz w:val="24"/>
          <w:szCs w:val="24"/>
          <w:lang w:eastAsia="fr-FR"/>
        </w:rPr>
        <w:t xml:space="preserve">quartier populaire de Tigditt. La </w:t>
      </w:r>
      <w:r w:rsidRPr="005E58D9">
        <w:rPr>
          <w:rFonts w:ascii="Times New Roman" w:eastAsia="Times New Roman" w:hAnsi="Times New Roman"/>
          <w:color w:val="000000"/>
          <w:sz w:val="24"/>
          <w:szCs w:val="24"/>
          <w:lang w:eastAsia="fr-FR"/>
        </w:rPr>
        <w:lastRenderedPageBreak/>
        <w:t>place publique de ce quartier</w:t>
      </w:r>
      <w:r w:rsidRPr="005E58D9">
        <w:rPr>
          <w:rFonts w:ascii="Times New Roman" w:eastAsia="Times New Roman" w:hAnsi="Times New Roman" w:hint="cs"/>
          <w:color w:val="000000"/>
          <w:sz w:val="24"/>
          <w:szCs w:val="24"/>
          <w:rtl/>
          <w:lang w:eastAsia="fr-FR"/>
        </w:rPr>
        <w:t xml:space="preserve"> </w:t>
      </w:r>
      <w:r w:rsidRPr="005E58D9">
        <w:rPr>
          <w:rFonts w:ascii="Times New Roman" w:eastAsia="Times New Roman" w:hAnsi="Times New Roman"/>
          <w:color w:val="000000"/>
          <w:sz w:val="24"/>
          <w:szCs w:val="24"/>
          <w:lang w:eastAsia="fr-FR"/>
        </w:rPr>
        <w:t>était un lieu de rencontre des conteurs de la région, des</w:t>
      </w:r>
      <w:r w:rsidRPr="005E58D9">
        <w:rPr>
          <w:rFonts w:ascii="Times New Roman" w:eastAsia="Times New Roman" w:hAnsi="Times New Roman" w:hint="cs"/>
          <w:color w:val="000000"/>
          <w:sz w:val="24"/>
          <w:szCs w:val="24"/>
          <w:rtl/>
          <w:lang w:eastAsia="fr-FR"/>
        </w:rPr>
        <w:t xml:space="preserve"> </w:t>
      </w:r>
      <w:r w:rsidRPr="005E58D9">
        <w:rPr>
          <w:rFonts w:ascii="Times New Roman" w:eastAsia="Times New Roman" w:hAnsi="Times New Roman"/>
          <w:color w:val="000000"/>
          <w:sz w:val="24"/>
          <w:szCs w:val="24"/>
          <w:lang w:eastAsia="fr-FR"/>
        </w:rPr>
        <w:t>négociants, des commerçants, etc. Les conteurs y retrouvaient</w:t>
      </w:r>
      <w:r w:rsidRPr="005E58D9">
        <w:rPr>
          <w:rFonts w:ascii="Times New Roman" w:eastAsia="Times New Roman" w:hAnsi="Times New Roman" w:hint="cs"/>
          <w:color w:val="000000"/>
          <w:sz w:val="24"/>
          <w:szCs w:val="24"/>
          <w:rtl/>
          <w:lang w:eastAsia="fr-FR"/>
        </w:rPr>
        <w:t xml:space="preserve"> </w:t>
      </w:r>
      <w:r w:rsidRPr="005E58D9">
        <w:rPr>
          <w:rFonts w:ascii="Times New Roman" w:eastAsia="Times New Roman" w:hAnsi="Times New Roman"/>
          <w:color w:val="000000"/>
          <w:sz w:val="24"/>
          <w:szCs w:val="24"/>
          <w:lang w:eastAsia="fr-FR"/>
        </w:rPr>
        <w:t>régulièrement leur public pour se donner à des représentations,</w:t>
      </w:r>
      <w:r w:rsidRPr="005E58D9">
        <w:rPr>
          <w:rFonts w:ascii="Times New Roman" w:eastAsia="Times New Roman" w:hAnsi="Times New Roman" w:hint="cs"/>
          <w:color w:val="000000"/>
          <w:sz w:val="24"/>
          <w:szCs w:val="24"/>
          <w:rtl/>
          <w:lang w:eastAsia="fr-FR"/>
        </w:rPr>
        <w:t xml:space="preserve"> </w:t>
      </w:r>
      <w:r w:rsidRPr="005E58D9">
        <w:rPr>
          <w:rFonts w:ascii="Times New Roman" w:eastAsia="Times New Roman" w:hAnsi="Times New Roman"/>
          <w:color w:val="000000"/>
          <w:sz w:val="24"/>
          <w:szCs w:val="24"/>
          <w:lang w:eastAsia="fr-FR"/>
        </w:rPr>
        <w:t>pour incarner un certain nombre de rôles et revivifier la</w:t>
      </w:r>
      <w:r w:rsidRPr="005E58D9">
        <w:rPr>
          <w:rFonts w:ascii="Times New Roman" w:eastAsia="Times New Roman" w:hAnsi="Times New Roman" w:hint="cs"/>
          <w:color w:val="000000"/>
          <w:sz w:val="24"/>
          <w:szCs w:val="24"/>
          <w:rtl/>
          <w:lang w:eastAsia="fr-FR"/>
        </w:rPr>
        <w:t xml:space="preserve"> </w:t>
      </w:r>
      <w:r w:rsidRPr="005E58D9">
        <w:rPr>
          <w:rFonts w:ascii="Times New Roman" w:eastAsia="Times New Roman" w:hAnsi="Times New Roman"/>
          <w:color w:val="000000"/>
          <w:sz w:val="24"/>
          <w:szCs w:val="24"/>
          <w:lang w:eastAsia="fr-FR"/>
        </w:rPr>
        <w:t>tradition ainsi que les us et coutumes populaires.</w:t>
      </w:r>
      <w:r w:rsidRPr="005E58D9">
        <w:rPr>
          <w:rFonts w:ascii="Times New Roman" w:eastAsia="Times New Roman" w:hAnsi="Times New Roman"/>
          <w:sz w:val="24"/>
          <w:szCs w:val="24"/>
          <w:lang w:eastAsia="fr-FR"/>
        </w:rPr>
        <w:t> </w:t>
      </w:r>
    </w:p>
    <w:p w:rsidR="006A4EED" w:rsidRDefault="006A4EED" w:rsidP="005D0801">
      <w:pPr>
        <w:pStyle w:val="Citationintense"/>
        <w:spacing w:before="0" w:after="0"/>
        <w:ind w:left="567" w:right="0"/>
        <w:rPr>
          <w:iCs w:val="0"/>
          <w:sz w:val="20"/>
          <w:szCs w:val="20"/>
        </w:rPr>
      </w:pPr>
      <w:r w:rsidRPr="005D0801">
        <w:rPr>
          <w:iCs w:val="0"/>
          <w:sz w:val="20"/>
          <w:szCs w:val="20"/>
        </w:rPr>
        <w:t>C'est là une référence inépuisable de tournures caustiques, de belles expressions, de perfides allusions ou d'élogieuses remarques qui s'ajoutaient aux dires de grand-mère Khrofa dans la tête du petit Kaki. Tigditt est le lieu vivace de toute une littérature héritée des saints patrons de la ville et reprises par les chanteurs locaux dans une atmosphère festive et bon enfant</w:t>
      </w:r>
      <w:r w:rsidRPr="005D0801">
        <w:rPr>
          <w:rStyle w:val="Appelnotedebasdep"/>
          <w:sz w:val="20"/>
          <w:szCs w:val="20"/>
        </w:rPr>
        <w:footnoteReference w:id="85"/>
      </w:r>
      <w:r w:rsidR="005D0801">
        <w:rPr>
          <w:iCs w:val="0"/>
          <w:sz w:val="20"/>
          <w:szCs w:val="20"/>
        </w:rPr>
        <w:t>.</w:t>
      </w:r>
    </w:p>
    <w:p w:rsidR="005D0801" w:rsidRPr="005D0801" w:rsidRDefault="005D0801" w:rsidP="005D0801"/>
    <w:p w:rsidR="006A4EED" w:rsidRPr="005D0801" w:rsidRDefault="006A4EED" w:rsidP="005D0801">
      <w:pPr>
        <w:spacing w:after="0" w:line="360" w:lineRule="auto"/>
        <w:ind w:firstLine="284"/>
        <w:jc w:val="both"/>
        <w:rPr>
          <w:rFonts w:ascii="Times New Roman" w:eastAsia="Times New Roman" w:hAnsi="Times New Roman"/>
          <w:i/>
          <w:iCs/>
          <w:color w:val="000000"/>
          <w:sz w:val="24"/>
          <w:szCs w:val="24"/>
          <w:rtl/>
          <w:lang w:eastAsia="fr-FR"/>
        </w:rPr>
      </w:pPr>
      <w:r w:rsidRPr="005D0801">
        <w:rPr>
          <w:rFonts w:ascii="Times New Roman" w:eastAsia="Times New Roman" w:hAnsi="Times New Roman"/>
          <w:sz w:val="24"/>
          <w:szCs w:val="24"/>
          <w:lang w:eastAsia="fr-FR"/>
        </w:rPr>
        <w:t>La gamme d'œuvres théâtrales, introduite par Kaki, s’inscrit dans la recherche d’un théâtre algérien authentique. Comme nous l’avons cité ci-haut, dans la pièce "</w:t>
      </w:r>
      <w:r w:rsidRPr="005D0801">
        <w:rPr>
          <w:rFonts w:ascii="Times New Roman" w:eastAsia="Times New Roman" w:hAnsi="Times New Roman"/>
          <w:i/>
          <w:iCs/>
          <w:sz w:val="24"/>
          <w:szCs w:val="24"/>
          <w:lang w:eastAsia="fr-FR"/>
        </w:rPr>
        <w:t>Guerrab Oua Salihine</w:t>
      </w:r>
      <w:r w:rsidRPr="005D0801">
        <w:rPr>
          <w:rFonts w:ascii="Times New Roman" w:eastAsia="Times New Roman" w:hAnsi="Times New Roman"/>
          <w:sz w:val="24"/>
          <w:szCs w:val="24"/>
          <w:lang w:eastAsia="fr-FR"/>
        </w:rPr>
        <w:t xml:space="preserve">" le thème fut inspiré d’un mythe populaire et adapté dans un moule dramatique remarquablement soigné, qui est similaire au mythe chinois dont Brecht en a façonné sa pièce </w:t>
      </w:r>
      <w:r w:rsidRPr="005D0801">
        <w:rPr>
          <w:rFonts w:ascii="Times New Roman" w:eastAsia="Times New Roman" w:hAnsi="Times New Roman"/>
          <w:color w:val="000000"/>
          <w:sz w:val="24"/>
          <w:szCs w:val="24"/>
          <w:lang w:eastAsia="fr-FR"/>
        </w:rPr>
        <w:t>"</w:t>
      </w:r>
      <w:r w:rsidRPr="005D0801">
        <w:rPr>
          <w:rFonts w:ascii="Times New Roman" w:eastAsia="Times New Roman" w:hAnsi="Times New Roman"/>
          <w:i/>
          <w:iCs/>
          <w:color w:val="000000"/>
          <w:sz w:val="24"/>
          <w:szCs w:val="24"/>
          <w:lang w:eastAsia="fr-FR"/>
        </w:rPr>
        <w:t>La Bonne âme de Se-Tchouan</w:t>
      </w:r>
      <w:r w:rsidRPr="005D0801">
        <w:rPr>
          <w:rFonts w:ascii="Times New Roman" w:eastAsia="Times New Roman" w:hAnsi="Times New Roman"/>
          <w:color w:val="000000"/>
          <w:sz w:val="24"/>
          <w:szCs w:val="24"/>
          <w:lang w:eastAsia="fr-FR"/>
        </w:rPr>
        <w:t>"</w:t>
      </w:r>
      <w:r w:rsidRPr="005D0801">
        <w:rPr>
          <w:rStyle w:val="Appelnotedebasdep"/>
          <w:rFonts w:ascii="Times New Roman" w:hAnsi="Times New Roman"/>
          <w:color w:val="000000"/>
          <w:sz w:val="24"/>
          <w:szCs w:val="24"/>
          <w:lang w:eastAsia="fr-FR"/>
        </w:rPr>
        <w:footnoteReference w:id="86"/>
      </w:r>
      <w:r w:rsidRPr="005D0801">
        <w:rPr>
          <w:rFonts w:ascii="Times New Roman" w:eastAsia="Times New Roman" w:hAnsi="Times New Roman"/>
          <w:color w:val="000000"/>
          <w:sz w:val="24"/>
          <w:szCs w:val="24"/>
          <w:lang w:eastAsia="fr-FR"/>
        </w:rPr>
        <w:t xml:space="preserve"> </w:t>
      </w:r>
    </w:p>
    <w:p w:rsidR="006A4EED" w:rsidRPr="005D0801" w:rsidRDefault="006A4EED" w:rsidP="005D0801">
      <w:pPr>
        <w:spacing w:after="0" w:line="360" w:lineRule="auto"/>
        <w:ind w:firstLine="284"/>
        <w:jc w:val="both"/>
        <w:rPr>
          <w:rFonts w:ascii="Times New Roman" w:eastAsia="Times New Roman" w:hAnsi="Times New Roman"/>
          <w:sz w:val="24"/>
          <w:szCs w:val="24"/>
          <w:lang w:eastAsia="fr-FR"/>
        </w:rPr>
      </w:pPr>
      <w:r w:rsidRPr="005D0801">
        <w:rPr>
          <w:rFonts w:ascii="Times New Roman" w:eastAsia="Times New Roman" w:hAnsi="Times New Roman"/>
          <w:sz w:val="24"/>
          <w:szCs w:val="24"/>
          <w:lang w:eastAsia="fr-FR"/>
        </w:rPr>
        <w:t>Cependant, Kaki a réussi le traitement du sujet, ce qui ne semble pas étrange de l'environnement algérien, il ne privait pas le village de sa foi, en procédant à un jeu d'événements religieux par le remplacement des trois dieux par trois Marabouts (</w:t>
      </w:r>
      <w:r w:rsidRPr="005D0801">
        <w:rPr>
          <w:rFonts w:ascii="Times New Roman" w:eastAsia="Times New Roman" w:hAnsi="Times New Roman"/>
          <w:i/>
          <w:iCs/>
          <w:sz w:val="24"/>
          <w:szCs w:val="24"/>
          <w:lang w:eastAsia="fr-FR"/>
        </w:rPr>
        <w:t>Salihines</w:t>
      </w:r>
      <w:r w:rsidRPr="005D0801">
        <w:rPr>
          <w:rFonts w:ascii="Times New Roman" w:eastAsia="Times New Roman" w:hAnsi="Times New Roman"/>
          <w:sz w:val="24"/>
          <w:szCs w:val="24"/>
          <w:lang w:eastAsia="fr-FR"/>
        </w:rPr>
        <w:t xml:space="preserve">), et le personnage Se-Tchouan par la vieille </w:t>
      </w:r>
      <w:r w:rsidRPr="005D0801">
        <w:rPr>
          <w:rFonts w:ascii="Times New Roman" w:eastAsia="Times New Roman" w:hAnsi="Times New Roman"/>
          <w:color w:val="000000"/>
          <w:sz w:val="24"/>
          <w:szCs w:val="24"/>
          <w:lang w:eastAsia="fr-FR"/>
        </w:rPr>
        <w:t>Halima, une femme aveugle mais très pieuse</w:t>
      </w:r>
      <w:r w:rsidRPr="005D0801">
        <w:rPr>
          <w:rFonts w:ascii="Times New Roman" w:eastAsia="Times New Roman" w:hAnsi="Times New Roman"/>
          <w:sz w:val="24"/>
          <w:szCs w:val="24"/>
          <w:lang w:eastAsia="fr-FR"/>
        </w:rPr>
        <w:t>.</w:t>
      </w:r>
    </w:p>
    <w:p w:rsidR="006A4EED" w:rsidRPr="005E58D9" w:rsidRDefault="006A4EED" w:rsidP="00A05F4B">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En fait, l'expérience théâtrale de Kaki a été caractérisée par la recherche d’espaces et formes d'expression esthétique singulières, basée sur une combinaison de la nature locale et la dimension humaine, tout en profitant des expériences universelles dans un effort de contact permanent avec le public acteur/spectateur. Tout comme ses tentatives qui se sont singularisées par sa quête permanente pour relancer et renouveler les méthodes traditionnelles de communication menacées d'extinction en raison des évolutions qu’avait connues la société algérienne.</w:t>
      </w:r>
    </w:p>
    <w:p w:rsidR="006A4EED" w:rsidRPr="005E58D9" w:rsidRDefault="006A4EED" w:rsidP="00A05F4B">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Quant aux techniques de la représentation, Kaki a su fusionner entre l’espace traditionnel de l’adage populaire et les capacités communicationnelles du narrateur, en reprenant au début le lieu du spectacle traditionnel « El-Halka », où les spectateurs s’attroupent dans un cercle pour prendre part au spectacle. Cela signifie qu’il a transféré la relation: acteur/public d’El-Halka vers le théâtre en </w:t>
      </w:r>
      <w:r w:rsidRPr="005E58D9">
        <w:rPr>
          <w:rFonts w:ascii="Times New Roman" w:eastAsia="Times New Roman" w:hAnsi="Times New Roman"/>
          <w:sz w:val="24"/>
          <w:szCs w:val="24"/>
          <w:lang w:eastAsia="fr-FR"/>
        </w:rPr>
        <w:lastRenderedPageBreak/>
        <w:t>travaillant à recréer la sensation et l’émotion qui caractérisent ce type d’attroupement, où le troubadour « El-Meddah » joue un rôle important dans ce spectacle caractérisant El-Halka, en contant des épopées tout en comptant usant, dans un style argumentaire fort persuasif, de l’éloquence et la rhétorique accompagnées de rythme pondéré (</w:t>
      </w:r>
      <w:r w:rsidRPr="005E58D9">
        <w:rPr>
          <w:rFonts w:ascii="Times New Roman" w:eastAsia="Times New Roman" w:hAnsi="Times New Roman"/>
          <w:i/>
          <w:iCs/>
          <w:sz w:val="24"/>
          <w:szCs w:val="24"/>
          <w:lang w:eastAsia="fr-FR"/>
        </w:rPr>
        <w:t>Gasba et Gallal</w:t>
      </w:r>
      <w:r w:rsidRPr="005E58D9">
        <w:rPr>
          <w:rFonts w:ascii="Times New Roman" w:eastAsia="Times New Roman" w:hAnsi="Times New Roman"/>
          <w:sz w:val="24"/>
          <w:szCs w:val="24"/>
          <w:lang w:eastAsia="fr-FR"/>
        </w:rPr>
        <w:t>) avec des mouvements harmonieux, technique qui s’avère comme un élément passionnant de la relation entre la scène et le public.</w:t>
      </w:r>
    </w:p>
    <w:p w:rsidR="006A4EED" w:rsidRPr="005E58D9" w:rsidRDefault="006A4EED" w:rsidP="00C248BA">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En réhabilitant cette forme d'art qui était menacée d'extinction et ce en l’employant en dehors de son contexte habituel social </w:t>
      </w:r>
      <w:r w:rsidRPr="00BC3CFB">
        <w:rPr>
          <w:rFonts w:ascii="Times New Roman" w:eastAsia="Times New Roman" w:hAnsi="Times New Roman"/>
          <w:sz w:val="24"/>
          <w:szCs w:val="24"/>
          <w:lang w:eastAsia="fr-FR"/>
        </w:rPr>
        <w:t>(dans les souks et durant les fêtes religieuses)</w:t>
      </w:r>
      <w:r w:rsidRPr="005E58D9">
        <w:rPr>
          <w:rFonts w:ascii="Times New Roman" w:eastAsia="Times New Roman" w:hAnsi="Times New Roman"/>
          <w:sz w:val="24"/>
          <w:szCs w:val="24"/>
          <w:lang w:eastAsia="fr-FR"/>
        </w:rPr>
        <w:t xml:space="preserve"> par son adaptation avec les nécessités de la scène du théâtre moderne, Kaki a calqué les techniques européennes de </w:t>
      </w:r>
      <w:r w:rsidRPr="005E58D9">
        <w:rPr>
          <w:rFonts w:ascii="Times New Roman" w:hAnsi="Times New Roman"/>
          <w:sz w:val="24"/>
          <w:szCs w:val="24"/>
        </w:rPr>
        <w:t>l’espace théâtral</w:t>
      </w:r>
      <w:r w:rsidRPr="005E58D9">
        <w:rPr>
          <w:sz w:val="24"/>
          <w:szCs w:val="24"/>
        </w:rPr>
        <w:t xml:space="preserve">  </w:t>
      </w:r>
      <w:r w:rsidRPr="005E58D9">
        <w:rPr>
          <w:rFonts w:ascii="Times New Roman" w:eastAsia="Times New Roman" w:hAnsi="Times New Roman"/>
          <w:sz w:val="24"/>
          <w:szCs w:val="24"/>
          <w:lang w:eastAsia="fr-FR"/>
        </w:rPr>
        <w:t>au service d’une forme expressive, engendrée par les traditions populaires, réalisée par l’équation triangulaire : le style, le contenu du message et le destinataire,  une fusion entre les traditions de la poésie populaire et les techniques de la communication moderne, l'importance de cette expérience réside donc dans la dramatisation de traditions populaires anciennes.</w:t>
      </w:r>
    </w:p>
    <w:p w:rsidR="006A4EED" w:rsidRPr="005E58D9" w:rsidRDefault="006A4EED" w:rsidP="00C248BA">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Dans sa quête de formes expressives puisées du folklore populaire, convaincu que le théâtre aristotélicien né dans un environnement culturel occidental ne correspondait pas à la spécificité de la culture algérienne, Kaki a revendiqué la nécessité de revenir aux formes d'art populaire, en adoptant le style d’El-Halka  et du Meddah, qui se focalise sur un discours auditif qui interpelle à son tour l'imagination.</w:t>
      </w:r>
    </w:p>
    <w:p w:rsidR="006A4EED" w:rsidRPr="005E58D9" w:rsidRDefault="006A4EED" w:rsidP="00873053">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En fait, le recours à ces modes de représentation dans le théâtre fut dicté pour la plupart des pays qui ont été colonisés  par le souci de la restauration de formes diverses d'expression culturelle dont le patrimoine culturel se distinguait par sa richesse, il s’agit là d’un retour aux origines qui caractérisaient la société avant la colonisation et ses desseins d’acculturation et d</w:t>
      </w:r>
      <w:r w:rsidR="00D758E5">
        <w:rPr>
          <w:rFonts w:ascii="Times New Roman" w:eastAsia="Times New Roman" w:hAnsi="Times New Roman"/>
          <w:sz w:val="24"/>
          <w:szCs w:val="24"/>
          <w:lang w:eastAsia="fr-FR"/>
        </w:rPr>
        <w:t>’</w:t>
      </w:r>
      <w:r w:rsidRPr="005E58D9">
        <w:rPr>
          <w:rFonts w:ascii="Times New Roman" w:eastAsia="Times New Roman" w:hAnsi="Times New Roman"/>
          <w:sz w:val="24"/>
          <w:szCs w:val="24"/>
          <w:lang w:eastAsia="fr-FR"/>
        </w:rPr>
        <w:t>aliénation...</w:t>
      </w:r>
    </w:p>
    <w:p w:rsidR="006A4EED" w:rsidRPr="005E58D9" w:rsidRDefault="006A4EED" w:rsidP="00873053">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 Le Meddah (le narrateur) est l'un des principaux personnages qui contrôlent le récit historique, la narration sur la scène représente ainsi un moyen économique permettant de créer une atmosphère de théâtre de sorte qu'il dépend de l'imagination, de l’énonciation et de l'improvisation, et ne repose pas nécessairement sur les nombreuses propriétés caractérisant  la scène théâtrale moderne. Kaki, tout comme d’autres dramaturges (principalement A</w:t>
      </w:r>
      <w:r w:rsidR="00D758E5" w:rsidRPr="005E58D9">
        <w:rPr>
          <w:rFonts w:ascii="Times New Roman" w:eastAsia="Times New Roman" w:hAnsi="Times New Roman"/>
          <w:sz w:val="24"/>
          <w:szCs w:val="24"/>
          <w:lang w:eastAsia="fr-FR"/>
        </w:rPr>
        <w:t>lloula</w:t>
      </w:r>
      <w:r w:rsidRPr="005E58D9">
        <w:rPr>
          <w:rFonts w:ascii="Times New Roman" w:eastAsia="Times New Roman" w:hAnsi="Times New Roman"/>
          <w:sz w:val="24"/>
          <w:szCs w:val="24"/>
          <w:lang w:eastAsia="fr-FR"/>
        </w:rPr>
        <w:t xml:space="preserve">) a réussi </w:t>
      </w:r>
      <w:r w:rsidRPr="005E58D9">
        <w:rPr>
          <w:rFonts w:ascii="Times New Roman" w:eastAsia="Times New Roman" w:hAnsi="Times New Roman"/>
          <w:sz w:val="24"/>
          <w:szCs w:val="24"/>
          <w:lang w:eastAsia="fr-FR"/>
        </w:rPr>
        <w:lastRenderedPageBreak/>
        <w:t xml:space="preserve">à transférer ce patrimoine du conte populaire sur la scène théâtrale comme une nouvelle forme de communication avec le public. </w:t>
      </w:r>
    </w:p>
    <w:p w:rsidR="006A4EED" w:rsidRPr="005E58D9" w:rsidRDefault="006A4EED" w:rsidP="00350A79">
      <w:pPr>
        <w:spacing w:after="0" w:line="360" w:lineRule="auto"/>
        <w:ind w:firstLine="284"/>
        <w:jc w:val="both"/>
        <w:rPr>
          <w:rFonts w:ascii="Times New Roman" w:eastAsia="Times New Roman" w:hAnsi="Times New Roman"/>
          <w:sz w:val="24"/>
          <w:szCs w:val="24"/>
          <w:lang w:eastAsia="fr-FR"/>
        </w:rPr>
      </w:pPr>
      <w:r w:rsidRPr="00D758E5">
        <w:rPr>
          <w:rFonts w:ascii="Times New Roman" w:eastAsia="Times New Roman" w:hAnsi="Times New Roman"/>
          <w:sz w:val="24"/>
          <w:szCs w:val="24"/>
          <w:lang w:eastAsia="fr-FR"/>
        </w:rPr>
        <w:t xml:space="preserve">À cet égard, </w:t>
      </w:r>
      <w:r w:rsidR="00D758E5">
        <w:rPr>
          <w:rFonts w:ascii="Times New Roman" w:eastAsia="Times New Roman" w:hAnsi="Times New Roman"/>
          <w:sz w:val="24"/>
          <w:szCs w:val="24"/>
          <w:lang w:eastAsia="fr-FR"/>
        </w:rPr>
        <w:t>on peut avancer qu’il a</w:t>
      </w:r>
      <w:r w:rsidRPr="00D758E5">
        <w:rPr>
          <w:rFonts w:ascii="Times New Roman" w:eastAsia="Times New Roman" w:hAnsi="Times New Roman"/>
          <w:sz w:val="24"/>
          <w:szCs w:val="24"/>
          <w:lang w:eastAsia="fr-FR"/>
        </w:rPr>
        <w:t xml:space="preserve"> fait la distinction entre deux concepts: " la rédaction et le récit historique"</w:t>
      </w:r>
      <w:r w:rsidR="00D758E5">
        <w:rPr>
          <w:rFonts w:ascii="Times New Roman" w:eastAsia="Times New Roman" w:hAnsi="Times New Roman"/>
          <w:sz w:val="24"/>
          <w:szCs w:val="24"/>
          <w:lang w:eastAsia="fr-FR"/>
        </w:rPr>
        <w:t xml:space="preserve">, </w:t>
      </w:r>
      <w:r w:rsidRPr="005E58D9">
        <w:rPr>
          <w:rFonts w:ascii="Times New Roman" w:eastAsia="Times New Roman" w:hAnsi="Times New Roman"/>
          <w:sz w:val="24"/>
          <w:szCs w:val="24"/>
          <w:lang w:eastAsia="fr-FR"/>
        </w:rPr>
        <w:t xml:space="preserve">en estimant que l'histoire est écrite comme une forme de conte historique en évitant les détails de  l'interprétation et en dépouillant la narration du contexte de la prononciation, et ce en cherchant aussi à suggérer que la signification est toujours fixée dans la langue. Contradictoirement,  la narration qui est similaire à la rédaction met en exergue le rôle du participant au dialogue et le contexte de la prononciation linguistique, ce qui laissera émerger des sens divers et variables. </w:t>
      </w:r>
    </w:p>
    <w:p w:rsidR="006A4EED" w:rsidRPr="005E58D9" w:rsidRDefault="006A4EED" w:rsidP="00350A79">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Etant donné que le narrateur est conscient du public et de sa situation en tant que source de loisirs et de divertissement, il revient, pour les besoins de chaque spectacle, à l’histoire de sorte qu’il fait parler le passé avec le présent. Par conséquent, les références à des événements improvisés en rapport avec des réactions d’actualité ou suite aux réactions du public, consistent à conduire le spectacle tout en créant une atmosphère d'intimité qui renforce et forge les messages que le narrateur veut transmettre quant à l’histoire.</w:t>
      </w:r>
    </w:p>
    <w:p w:rsidR="00784D77" w:rsidRDefault="00784D77" w:rsidP="004031DD">
      <w:pPr>
        <w:pStyle w:val="Titre5"/>
        <w:spacing w:before="0" w:after="0"/>
        <w:ind w:firstLine="284"/>
        <w:jc w:val="both"/>
        <w:rPr>
          <w:rFonts w:ascii="Times New Roman" w:hAnsi="Times New Roman"/>
          <w:color w:val="auto"/>
          <w:lang w:eastAsia="fr-FR"/>
        </w:rPr>
      </w:pPr>
    </w:p>
    <w:p w:rsidR="006A4EED" w:rsidRPr="004031DD" w:rsidRDefault="004031DD" w:rsidP="004031DD">
      <w:pPr>
        <w:pStyle w:val="Titre5"/>
        <w:spacing w:before="0" w:after="0"/>
        <w:ind w:firstLine="284"/>
        <w:jc w:val="both"/>
        <w:rPr>
          <w:rFonts w:ascii="Times New Roman" w:hAnsi="Times New Roman"/>
          <w:color w:val="auto"/>
          <w:lang w:eastAsia="fr-FR"/>
        </w:rPr>
      </w:pPr>
      <w:bookmarkStart w:id="46" w:name="_Toc471484421"/>
      <w:r>
        <w:rPr>
          <w:rFonts w:ascii="Times New Roman" w:hAnsi="Times New Roman"/>
          <w:color w:val="auto"/>
          <w:lang w:eastAsia="fr-FR"/>
        </w:rPr>
        <w:t>3.3.3.</w:t>
      </w:r>
      <w:r w:rsidRPr="004031DD">
        <w:rPr>
          <w:rFonts w:ascii="Times New Roman" w:hAnsi="Times New Roman"/>
          <w:color w:val="auto"/>
          <w:lang w:eastAsia="fr-FR"/>
        </w:rPr>
        <w:t xml:space="preserve"> Kaki</w:t>
      </w:r>
      <w:r w:rsidR="006A4EED" w:rsidRPr="004031DD">
        <w:rPr>
          <w:rFonts w:ascii="Times New Roman" w:hAnsi="Times New Roman"/>
          <w:color w:val="auto"/>
          <w:lang w:eastAsia="fr-FR"/>
        </w:rPr>
        <w:t xml:space="preserve"> et le théâtre engagé</w:t>
      </w:r>
      <w:bookmarkEnd w:id="46"/>
    </w:p>
    <w:p w:rsidR="006A4EED" w:rsidRPr="008806CD" w:rsidRDefault="006A4EED" w:rsidP="004031DD">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L’engagement pourrait simplement s’exprimer à travers une « prise de position », en faveur d’un événement donné, ou tout simplement, dans le fait de soutenir une cause donnée. Autrement dit, il se manifeste dans les écrits qui se prêtaient généralement à une interprétation sans équivoque, prenant leur distance par rapport à la théorie de l’art pour l’art. L’engagement consiste en une intense participation à la vie politique, selon les convictions de l’intellectuel. Ainsi, engagement et littérature renvoient à une conception militante de la création littéraire, liée à la pensée marxiste et à la philosophie existentialiste. Il est important de comprendre l’engagement au sens sartrien, comme un état de fait, lié à la condition humaine. L’intellectuel est condamné à l’engagement, de la même façon qu’il est condamné à être libre. Cette précision est fondamentale, car c’est sur cette conception de l’engagement que l’existentialisme assoit ses positions. Jean Paul Sartre affirme, dès 1948, dans un texte devenu canonique : </w:t>
      </w:r>
    </w:p>
    <w:p w:rsidR="006A4EED" w:rsidRPr="004031DD" w:rsidRDefault="006A4EED" w:rsidP="0083635E">
      <w:pPr>
        <w:pStyle w:val="Citationintense"/>
        <w:spacing w:before="0" w:after="0"/>
        <w:ind w:left="567" w:right="0"/>
        <w:rPr>
          <w:sz w:val="20"/>
          <w:szCs w:val="20"/>
          <w:lang w:eastAsia="fr-FR"/>
        </w:rPr>
      </w:pPr>
      <w:r w:rsidRPr="004031DD">
        <w:rPr>
          <w:iCs w:val="0"/>
          <w:sz w:val="20"/>
          <w:szCs w:val="20"/>
          <w:lang w:eastAsia="fr-FR"/>
        </w:rPr>
        <w:lastRenderedPageBreak/>
        <w:t>Un</w:t>
      </w:r>
      <w:r w:rsidR="0083635E">
        <w:rPr>
          <w:iCs w:val="0"/>
          <w:sz w:val="20"/>
          <w:szCs w:val="20"/>
          <w:lang w:eastAsia="fr-FR"/>
        </w:rPr>
        <w:t xml:space="preserve"> </w:t>
      </w:r>
      <w:r w:rsidRPr="004031DD">
        <w:rPr>
          <w:iCs w:val="0"/>
          <w:sz w:val="20"/>
          <w:szCs w:val="20"/>
          <w:lang w:eastAsia="fr-FR"/>
        </w:rPr>
        <w:t>jour vient où la plume est contrainte de s’arrêter et il faut alors que                                                       l’écrivain, prenne les armes. Aussi de quelque façon que vous y soyez venu,                                                       quelles</w:t>
      </w:r>
      <w:r w:rsidR="0083635E">
        <w:rPr>
          <w:iCs w:val="0"/>
          <w:sz w:val="20"/>
          <w:szCs w:val="20"/>
          <w:lang w:eastAsia="fr-FR"/>
        </w:rPr>
        <w:t xml:space="preserve"> </w:t>
      </w:r>
      <w:r w:rsidRPr="004031DD">
        <w:rPr>
          <w:iCs w:val="0"/>
          <w:sz w:val="20"/>
          <w:szCs w:val="20"/>
          <w:lang w:eastAsia="fr-FR"/>
        </w:rPr>
        <w:t>que</w:t>
      </w:r>
      <w:r w:rsidR="0083635E">
        <w:rPr>
          <w:iCs w:val="0"/>
          <w:sz w:val="20"/>
          <w:szCs w:val="20"/>
          <w:lang w:eastAsia="fr-FR"/>
        </w:rPr>
        <w:t xml:space="preserve"> </w:t>
      </w:r>
      <w:r w:rsidRPr="004031DD">
        <w:rPr>
          <w:iCs w:val="0"/>
          <w:sz w:val="20"/>
          <w:szCs w:val="20"/>
          <w:lang w:eastAsia="fr-FR"/>
        </w:rPr>
        <w:t>soient les opinions que vous ayez professées,</w:t>
      </w:r>
      <w:r w:rsidR="0083635E">
        <w:rPr>
          <w:iCs w:val="0"/>
          <w:sz w:val="20"/>
          <w:szCs w:val="20"/>
          <w:lang w:eastAsia="fr-FR"/>
        </w:rPr>
        <w:t xml:space="preserve"> </w:t>
      </w:r>
      <w:r w:rsidRPr="004031DD">
        <w:rPr>
          <w:iCs w:val="0"/>
          <w:sz w:val="20"/>
          <w:szCs w:val="20"/>
          <w:lang w:eastAsia="fr-FR"/>
        </w:rPr>
        <w:t>la littérature vous                                                           jette dans la bataille ; écrire c’est une façon de vouloir la liberté; si vous avez commencé de gré ou de force vous êtes engagés</w:t>
      </w:r>
      <w:r w:rsidRPr="004031DD">
        <w:rPr>
          <w:sz w:val="20"/>
          <w:szCs w:val="20"/>
          <w:lang w:eastAsia="fr-FR"/>
        </w:rPr>
        <w:t xml:space="preserve">. </w:t>
      </w:r>
      <w:r w:rsidRPr="004031DD">
        <w:rPr>
          <w:sz w:val="20"/>
          <w:szCs w:val="20"/>
          <w:vertAlign w:val="superscript"/>
          <w:lang w:eastAsia="fr-FR"/>
        </w:rPr>
        <w:footnoteReference w:id="87"/>
      </w:r>
      <w:r w:rsidRPr="004031DD">
        <w:rPr>
          <w:sz w:val="20"/>
          <w:szCs w:val="20"/>
          <w:lang w:eastAsia="fr-FR"/>
        </w:rPr>
        <w:t xml:space="preserve"> </w:t>
      </w:r>
    </w:p>
    <w:p w:rsidR="004031DD" w:rsidRDefault="004031DD" w:rsidP="008806CD">
      <w:pPr>
        <w:spacing w:after="0" w:line="360" w:lineRule="auto"/>
        <w:ind w:firstLine="709"/>
        <w:jc w:val="both"/>
        <w:rPr>
          <w:rFonts w:ascii="Times New Roman" w:eastAsia="Times New Roman" w:hAnsi="Times New Roman"/>
          <w:sz w:val="24"/>
          <w:szCs w:val="24"/>
          <w:lang w:eastAsia="fr-FR"/>
        </w:rPr>
      </w:pPr>
    </w:p>
    <w:p w:rsidR="006A4EED" w:rsidRPr="005E58D9" w:rsidRDefault="006A4EED" w:rsidP="004031DD">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Entre les deux guerres, l’engagement a pris la forme d’un combat contre le fascisme. Certains écrivains, dont André Malraux, ont pris les armes afin de combattre pour la liberté pendant la guerre d’Espagne. Cette question entraîne, dans son sillage, celle des droits de l’homme. L’écrivain prend en charge cette cause, par solidarité ou par obligation, car il se sent totalement impliqué, faisant de la question humaine, une question prioritaire. Ces écrivains ont fait de l’engagement, une morale et un comportement. Cela signifie que la notion d’engagement rend compte, non seulement de l’implication de l’écrivain dans le champ politique, social ou historique, mais aussi, de la spécificité du phénomène littéraire comme phénomène de communication interpellant le destinataire, parce que l’émetteur est totalement engagé.</w:t>
      </w:r>
    </w:p>
    <w:p w:rsidR="006A4EED" w:rsidRPr="005E58D9" w:rsidRDefault="006A4EED" w:rsidP="004031DD">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 Selon l’acception sartrienne, axée sur la question de l’articulation entre visée politique et énonciation littéraire, le lieu même de l’engagement demeure ce rapport entre la littérature et le politique. Alors, comment la notion d’engagement peut-elle contribuer à faire du théâtre un instrument, un moyen, une tribune à partir de laquelle on s’engage pour une cause ? </w:t>
      </w:r>
    </w:p>
    <w:p w:rsidR="006A4EED" w:rsidRPr="008806CD" w:rsidRDefault="006A4EED" w:rsidP="004031DD">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Le metteur en scène allemand, Erwin Piscator, est le premier à avoir voulu placer le théâtre au service des mouvements révolutionnaires. À la suite, et avec Berthold Brecht, le théâtre politique prend toute sa dimension dans la théorie du théâtre épique. L’Europe de l’Est prône un théâtre politique dont la caricature en fait un théâtre au service de l’idéologie au pouvoir et dont les plus beaux fruits sont ceux d’un théâtre en prise avec le réel pour l’interpeller.</w:t>
      </w:r>
    </w:p>
    <w:p w:rsidR="006A4EED" w:rsidRPr="005E58D9" w:rsidRDefault="006A4EED" w:rsidP="004031DD">
      <w:pPr>
        <w:autoSpaceDE w:val="0"/>
        <w:autoSpaceDN w:val="0"/>
        <w:adjustRightInd w:val="0"/>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Le théâtre de Kaki, au-delà de son coté festif et de son ancrage dans la culture populaire va développer un volet idéologique lié au contexte historico</w:t>
      </w:r>
      <w:r w:rsidR="00D758E5">
        <w:rPr>
          <w:rFonts w:ascii="Times New Roman" w:hAnsi="Times New Roman"/>
          <w:sz w:val="24"/>
          <w:szCs w:val="24"/>
          <w:lang w:eastAsia="fr-FR"/>
        </w:rPr>
        <w:t>-s</w:t>
      </w:r>
      <w:r w:rsidRPr="005E58D9">
        <w:rPr>
          <w:rFonts w:ascii="Times New Roman" w:hAnsi="Times New Roman"/>
          <w:sz w:val="24"/>
          <w:szCs w:val="24"/>
          <w:lang w:eastAsia="fr-FR"/>
        </w:rPr>
        <w:t xml:space="preserve">ocial dans lequel évolue l’auteur. Kaki semble avoir été convaincu par le  théâtre engagé (didactique ou pas) et bel et bien politique. Dans l’Algérie en lutte pour son indépendance, il en aurait difficilement été autrement. Cependant, l’engagement dramatique chez Kaki est avant tout question d’universalité. Cette universalité </w:t>
      </w:r>
      <w:r w:rsidRPr="005E58D9">
        <w:rPr>
          <w:rFonts w:ascii="Times New Roman" w:hAnsi="Times New Roman"/>
          <w:sz w:val="24"/>
          <w:szCs w:val="24"/>
          <w:lang w:eastAsia="fr-FR"/>
        </w:rPr>
        <w:lastRenderedPageBreak/>
        <w:t xml:space="preserve">héritée de sa jeunesse chez les scouts. D’où l’apparition de thèmes engagés mais génériques et généraux : lutte contre l’injustice, lutte contre l’oppression, lutte contre l’obscurantisme. L’idée n’est donc pas de s’enfermer dans le combat idéologique anti colonial ou post colonial. </w:t>
      </w:r>
    </w:p>
    <w:p w:rsidR="006A4EED" w:rsidRPr="005E58D9" w:rsidRDefault="008C0DEF" w:rsidP="006A7865">
      <w:pPr>
        <w:autoSpaceDE w:val="0"/>
        <w:autoSpaceDN w:val="0"/>
        <w:adjustRightInd w:val="0"/>
        <w:spacing w:after="0" w:line="360" w:lineRule="auto"/>
        <w:ind w:firstLine="284"/>
        <w:jc w:val="both"/>
        <w:rPr>
          <w:rFonts w:ascii="Times New Roman" w:hAnsi="Times New Roman"/>
          <w:sz w:val="24"/>
          <w:szCs w:val="24"/>
          <w:lang w:eastAsia="fr-FR"/>
        </w:rPr>
      </w:pPr>
      <w:r w:rsidRPr="00D41F7B">
        <w:rPr>
          <w:rFonts w:ascii="Times New Roman" w:hAnsi="Times New Roman"/>
          <w:sz w:val="24"/>
          <w:szCs w:val="24"/>
          <w:lang w:eastAsia="fr-FR"/>
        </w:rPr>
        <w:t>Nous allons à présent examiner</w:t>
      </w:r>
      <w:r>
        <w:rPr>
          <w:rFonts w:ascii="Times New Roman" w:hAnsi="Times New Roman"/>
          <w:sz w:val="24"/>
          <w:szCs w:val="24"/>
          <w:lang w:eastAsia="fr-FR"/>
        </w:rPr>
        <w:t xml:space="preserve"> </w:t>
      </w:r>
      <w:r w:rsidR="006A4EED" w:rsidRPr="005E58D9">
        <w:rPr>
          <w:rFonts w:ascii="Times New Roman" w:hAnsi="Times New Roman"/>
          <w:sz w:val="24"/>
          <w:szCs w:val="24"/>
          <w:lang w:eastAsia="fr-FR"/>
        </w:rPr>
        <w:t>comment s’est illustré l’engagement dans le théâtre de Kaki. Nous mettrons ensuite en exergue ce qui fait la particularité de l’engagement chez Kaki.</w:t>
      </w:r>
    </w:p>
    <w:p w:rsidR="006A4EED" w:rsidRPr="00CA2A73" w:rsidRDefault="006A4EED" w:rsidP="00230C65">
      <w:pPr>
        <w:pStyle w:val="Titre6"/>
        <w:numPr>
          <w:ilvl w:val="0"/>
          <w:numId w:val="70"/>
        </w:numPr>
        <w:spacing w:before="0" w:after="0" w:line="360" w:lineRule="auto"/>
        <w:jc w:val="both"/>
        <w:rPr>
          <w:b/>
          <w:bCs w:val="0"/>
          <w:i w:val="0"/>
          <w:iCs/>
          <w:sz w:val="24"/>
          <w:szCs w:val="24"/>
          <w:u w:val="none"/>
        </w:rPr>
      </w:pPr>
      <w:r w:rsidRPr="00CA2A73">
        <w:rPr>
          <w:b/>
          <w:bCs w:val="0"/>
          <w:i w:val="0"/>
          <w:iCs/>
          <w:sz w:val="24"/>
          <w:szCs w:val="24"/>
          <w:u w:val="none"/>
        </w:rPr>
        <w:t>Kaki  engagé : dramaturgie et thématiques</w:t>
      </w:r>
    </w:p>
    <w:p w:rsidR="006A4EED" w:rsidRPr="005E58D9" w:rsidRDefault="006A4EED" w:rsidP="00501305">
      <w:pPr>
        <w:autoSpaceDE w:val="0"/>
        <w:autoSpaceDN w:val="0"/>
        <w:adjustRightInd w:val="0"/>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 Kaki aura été incontestablement un auteur engagé, autant dans ses choix dramaturgiques que par les thèmes abordés par son théâtre.</w:t>
      </w:r>
    </w:p>
    <w:p w:rsidR="006A4EED" w:rsidRPr="0044477F" w:rsidRDefault="006A4EED" w:rsidP="00230C65">
      <w:pPr>
        <w:pStyle w:val="Paragraphedeliste"/>
        <w:numPr>
          <w:ilvl w:val="0"/>
          <w:numId w:val="71"/>
        </w:numPr>
        <w:autoSpaceDE w:val="0"/>
        <w:autoSpaceDN w:val="0"/>
        <w:adjustRightInd w:val="0"/>
        <w:spacing w:after="0" w:line="360" w:lineRule="auto"/>
        <w:jc w:val="both"/>
        <w:rPr>
          <w:rFonts w:ascii="Times New Roman" w:hAnsi="Times New Roman"/>
          <w:sz w:val="24"/>
          <w:szCs w:val="24"/>
          <w:lang w:eastAsia="fr-FR"/>
        </w:rPr>
      </w:pPr>
      <w:r w:rsidRPr="0044477F">
        <w:rPr>
          <w:rFonts w:ascii="Times New Roman" w:hAnsi="Times New Roman"/>
          <w:b/>
          <w:bCs/>
          <w:iCs/>
          <w:sz w:val="24"/>
          <w:szCs w:val="24"/>
          <w:lang w:eastAsia="fr-FR"/>
        </w:rPr>
        <w:t>Engagement au niveau de ses choix dramaturgiques</w:t>
      </w:r>
      <w:r w:rsidRPr="0044477F">
        <w:rPr>
          <w:rFonts w:ascii="Times New Roman" w:hAnsi="Times New Roman"/>
          <w:sz w:val="24"/>
          <w:szCs w:val="24"/>
          <w:lang w:eastAsia="fr-FR"/>
        </w:rPr>
        <w:t> : l’orientation de Kaki pour un théâtre populaire, festif, coloré et proche du public est la première manifestation de son engagement. Avant Kaki le théâtre typiquement algérien n’existait pas, celui populaire et imprégné des traditions algériennes. L’option dramaturgique de Kaki est  donc le signe premier et le plus éclatant de l’engagement de Kaki pour l’authenticité algérienne. A ce propos, Kaki aura indubitablement participé à la reconnaissance de l’identité algérienne, de la culture algérienne à travers le monde. Etant donné que son théâtre émerge à un moment où l’Algérie lutte pour sa reconnaissance, son indépendance, son identité internationale, le théâtre de Kaki arrive à point nommé. Avec ou sans l’aval de son auteur, les œuvres de Kaki deviennent l’étendard d’une certaine singularité algérienne. Kaki aura participé à la quête de l’Algérie libre.</w:t>
      </w:r>
    </w:p>
    <w:p w:rsidR="006A4EED" w:rsidRPr="0044477F" w:rsidRDefault="006A4EED" w:rsidP="00230C65">
      <w:pPr>
        <w:pStyle w:val="Paragraphedeliste"/>
        <w:numPr>
          <w:ilvl w:val="0"/>
          <w:numId w:val="71"/>
        </w:numPr>
        <w:autoSpaceDE w:val="0"/>
        <w:autoSpaceDN w:val="0"/>
        <w:adjustRightInd w:val="0"/>
        <w:spacing w:after="0" w:line="360" w:lineRule="auto"/>
        <w:jc w:val="both"/>
        <w:rPr>
          <w:rFonts w:ascii="Times New Roman" w:hAnsi="Times New Roman"/>
          <w:sz w:val="24"/>
          <w:szCs w:val="24"/>
          <w:lang w:eastAsia="fr-FR"/>
        </w:rPr>
      </w:pPr>
      <w:r w:rsidRPr="0044477F">
        <w:rPr>
          <w:rFonts w:ascii="Times New Roman" w:hAnsi="Times New Roman"/>
          <w:b/>
          <w:bCs/>
          <w:iCs/>
          <w:sz w:val="24"/>
          <w:szCs w:val="24"/>
          <w:lang w:eastAsia="fr-FR"/>
        </w:rPr>
        <w:t>Engagement dans le choix des thèmes</w:t>
      </w:r>
      <w:r w:rsidRPr="0044477F">
        <w:rPr>
          <w:rFonts w:ascii="Times New Roman" w:hAnsi="Times New Roman"/>
          <w:sz w:val="24"/>
          <w:szCs w:val="24"/>
          <w:lang w:eastAsia="fr-FR"/>
        </w:rPr>
        <w:t xml:space="preserve"> : le théâtre de Kaki traite d’un certain nombre de sujets qui mettent en avant un engagement pour l’humanisme, mais d’un point de vue universel. Kaki s’engage contre l’obscurantisme religieux, contre l’injustice sociale, contre la pauvreté des masses, contre l’enfermement idéologique. En cela, Kaki est un auteur dont le théâtre ne laisse pas indifférent du point de vue des messages véhiculés en arrière fond. Force est donc de constater que Kaki n’est pas associé aux thématiques directes de </w:t>
      </w:r>
      <w:r w:rsidRPr="0044477F">
        <w:rPr>
          <w:rFonts w:ascii="Times New Roman" w:hAnsi="Times New Roman"/>
          <w:sz w:val="24"/>
          <w:szCs w:val="24"/>
          <w:lang w:eastAsia="fr-FR"/>
        </w:rPr>
        <w:lastRenderedPageBreak/>
        <w:t>l’indépendance, de l’autonomie algérienne, même si il a pu y contribué, comme on l’a vu, d’un point de vue typiquement dramaturgique. Après l'indépendance de l’Algérie, l’engagement de plusieurs auteurs au profit de l’Algérie libre sera davantage atténué au profit de la reconquête de la mémoire collective algérienne. Kaki est lui davantage associé à l’universalité.</w:t>
      </w:r>
    </w:p>
    <w:p w:rsidR="006A4EED" w:rsidRPr="008806CD" w:rsidRDefault="006A4EED" w:rsidP="00230C65">
      <w:pPr>
        <w:pStyle w:val="Titre6"/>
        <w:numPr>
          <w:ilvl w:val="0"/>
          <w:numId w:val="70"/>
        </w:numPr>
        <w:rPr>
          <w:b/>
          <w:bCs w:val="0"/>
          <w:i w:val="0"/>
          <w:iCs/>
          <w:sz w:val="24"/>
          <w:szCs w:val="24"/>
          <w:u w:val="none"/>
        </w:rPr>
      </w:pPr>
      <w:r w:rsidRPr="00442662">
        <w:rPr>
          <w:b/>
          <w:bCs w:val="0"/>
          <w:i w:val="0"/>
          <w:iCs/>
          <w:sz w:val="24"/>
          <w:szCs w:val="24"/>
          <w:u w:val="none"/>
        </w:rPr>
        <w:t>Particularités de  Kaki : un théâtre engagé mais pas enfermé</w:t>
      </w:r>
    </w:p>
    <w:p w:rsidR="006A4EED" w:rsidRPr="005E58D9" w:rsidRDefault="006A4EED" w:rsidP="0044477F">
      <w:pPr>
        <w:autoSpaceDE w:val="0"/>
        <w:autoSpaceDN w:val="0"/>
        <w:adjustRightInd w:val="0"/>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Comme on l’a annoncé, l’engagement de Kaki est un engagement particulier, qui souscrit à une logique propre. Nous avons vu, en explorant la thématique de l’engagement dans le théâtre algérien, que les dramaturges</w:t>
      </w:r>
      <w:r w:rsidR="00CA2A73">
        <w:rPr>
          <w:rFonts w:ascii="Times New Roman" w:hAnsi="Times New Roman"/>
          <w:sz w:val="24"/>
          <w:szCs w:val="24"/>
          <w:lang w:eastAsia="fr-FR"/>
        </w:rPr>
        <w:t xml:space="preserve"> y évoluant</w:t>
      </w:r>
      <w:r w:rsidRPr="005E58D9">
        <w:rPr>
          <w:rFonts w:ascii="Times New Roman" w:hAnsi="Times New Roman"/>
          <w:sz w:val="24"/>
          <w:szCs w:val="24"/>
          <w:lang w:eastAsia="fr-FR"/>
        </w:rPr>
        <w:t xml:space="preserve">, en empruntant effectivement aux préceptes bien connus de l’engagement dans le théâtre (humanisme avec Sartre, prise de conscience et action concrète avec Brecht), avaient cependant choisi de suivre une voie singulière. </w:t>
      </w:r>
      <w:r w:rsidRPr="005E58D9">
        <w:rPr>
          <w:rFonts w:ascii="Times New Roman" w:hAnsi="Times New Roman"/>
          <w:sz w:val="24"/>
          <w:szCs w:val="24"/>
        </w:rPr>
        <w:t>Les dramaturges algériens exploitent d’autres procédés s’agissant de l’engagement, visant à toucher et émouvoir le spectateur au moyen d’un style poétique, familier ou folklorique. Ils refusent aussi, on l’a expliqué, l’enfermement du combat direct et hésitent à s’ériger en donneur de leçons. Pas question par exemple, de limiter leur œuvre à une lutte contre l’ancienne colonie française. Pas question non plus de faire de l’oppression un phénomène typiquement algérien. Pas besoin d’invective à l’encontre de tel ou tel groupe, pas besoin d’engagement absolument didactique. Telle est exactement la logique de Kaki.</w:t>
      </w:r>
    </w:p>
    <w:p w:rsidR="006A4EED" w:rsidRPr="005E58D9" w:rsidRDefault="006A4EED" w:rsidP="00937920">
      <w:pPr>
        <w:autoSpaceDE w:val="0"/>
        <w:autoSpaceDN w:val="0"/>
        <w:adjustRightInd w:val="0"/>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Le théâtre de Kaki est engagé mais il n’est pas enfermé. Il a pu être didactique à ses débuts, puisqu’il fallait bien parler de décolonisation. Mais Kaki est toujours allé dans le sens de laisser le lecteur se forger sa propre opinion et donc ses propres réactions. C’est un engagement subtil qui ne s’en trouve que plus noble, plus édifiant, car il n’ordonne pas d’émotions mais suscite une libre prise de conscience. D’ailleurs, après l'indépendance</w:t>
      </w:r>
      <w:r w:rsidR="00F3765D">
        <w:rPr>
          <w:rFonts w:ascii="Times New Roman" w:hAnsi="Times New Roman"/>
          <w:sz w:val="24"/>
          <w:szCs w:val="24"/>
          <w:lang w:eastAsia="fr-FR"/>
        </w:rPr>
        <w:t xml:space="preserve">, </w:t>
      </w:r>
      <w:r w:rsidRPr="005E58D9">
        <w:rPr>
          <w:rFonts w:ascii="Times New Roman" w:hAnsi="Times New Roman"/>
          <w:sz w:val="24"/>
          <w:szCs w:val="24"/>
          <w:lang w:eastAsia="fr-FR"/>
        </w:rPr>
        <w:t xml:space="preserve"> Kaki va davantage orienter son engagement de dramaturge vers la reconquête de la mémoire collective algérienne. Ce qui donnera lieu à un théâtre épique dont Berthold Brecht s'était déjà fait le théoricien et l'illustrateur. </w:t>
      </w:r>
    </w:p>
    <w:p w:rsidR="00784D77" w:rsidRDefault="00784D77" w:rsidP="00DD3927">
      <w:pPr>
        <w:pStyle w:val="Titre4"/>
        <w:spacing w:before="0" w:after="0" w:line="360" w:lineRule="auto"/>
        <w:ind w:left="0" w:firstLine="284"/>
        <w:jc w:val="both"/>
        <w:rPr>
          <w:rFonts w:asciiTheme="majorBidi" w:hAnsiTheme="majorBidi" w:cstheme="majorBidi"/>
          <w:i w:val="0"/>
          <w:iCs/>
          <w:lang w:eastAsia="fr-FR"/>
        </w:rPr>
      </w:pPr>
    </w:p>
    <w:p w:rsidR="006A4EED" w:rsidRPr="00DD3927" w:rsidRDefault="00DD3927" w:rsidP="00DD3927">
      <w:pPr>
        <w:pStyle w:val="Titre4"/>
        <w:spacing w:before="0" w:after="0" w:line="360" w:lineRule="auto"/>
        <w:ind w:left="0" w:firstLine="284"/>
        <w:jc w:val="both"/>
        <w:rPr>
          <w:rFonts w:asciiTheme="majorBidi" w:hAnsiTheme="majorBidi" w:cstheme="majorBidi"/>
          <w:i w:val="0"/>
          <w:iCs/>
          <w:lang w:eastAsia="fr-FR"/>
        </w:rPr>
      </w:pPr>
      <w:bookmarkStart w:id="47" w:name="_Toc471484422"/>
      <w:r w:rsidRPr="00DD3927">
        <w:rPr>
          <w:rFonts w:asciiTheme="majorBidi" w:hAnsiTheme="majorBidi" w:cstheme="majorBidi"/>
          <w:i w:val="0"/>
          <w:iCs/>
          <w:lang w:eastAsia="fr-FR"/>
        </w:rPr>
        <w:t>4. Témoignages</w:t>
      </w:r>
      <w:r w:rsidR="006A4EED" w:rsidRPr="00DD3927">
        <w:rPr>
          <w:rFonts w:asciiTheme="majorBidi" w:hAnsiTheme="majorBidi" w:cstheme="majorBidi"/>
          <w:i w:val="0"/>
          <w:iCs/>
          <w:lang w:eastAsia="fr-FR"/>
        </w:rPr>
        <w:t xml:space="preserve"> autour de l’œuvre de Kaki</w:t>
      </w:r>
      <w:bookmarkEnd w:id="47"/>
    </w:p>
    <w:p w:rsidR="006A4EED" w:rsidRPr="00DD3927" w:rsidRDefault="006A4EED" w:rsidP="00DD3927">
      <w:pPr>
        <w:spacing w:after="0" w:line="360" w:lineRule="auto"/>
        <w:ind w:firstLine="284"/>
        <w:jc w:val="both"/>
        <w:rPr>
          <w:rFonts w:asciiTheme="majorBidi" w:hAnsiTheme="majorBidi" w:cstheme="majorBidi"/>
          <w:sz w:val="24"/>
          <w:szCs w:val="24"/>
        </w:rPr>
      </w:pPr>
      <w:r w:rsidRPr="00DD3927">
        <w:rPr>
          <w:rFonts w:asciiTheme="majorBidi" w:hAnsiTheme="majorBidi" w:cstheme="majorBidi"/>
          <w:sz w:val="24"/>
          <w:szCs w:val="24"/>
        </w:rPr>
        <w:t>Dans le but d’avoir un aperçu authentique sur la valeur de l’œuvre de Kaki, plusieurs témoignages, sont révélateurs du panorama de l’œuvre emblématique, riche et variée de Kaki.</w:t>
      </w:r>
    </w:p>
    <w:p w:rsidR="006A4EED" w:rsidRPr="008806CD" w:rsidRDefault="006A4EED" w:rsidP="004E0A5E">
      <w:pPr>
        <w:spacing w:after="0" w:line="360" w:lineRule="auto"/>
        <w:ind w:firstLine="284"/>
        <w:jc w:val="both"/>
        <w:rPr>
          <w:rFonts w:ascii="Times New Roman" w:hAnsi="Times New Roman"/>
          <w:sz w:val="24"/>
          <w:szCs w:val="24"/>
        </w:rPr>
      </w:pPr>
      <w:r w:rsidRPr="00DD3927">
        <w:rPr>
          <w:rFonts w:asciiTheme="majorBidi" w:hAnsiTheme="majorBidi" w:cstheme="majorBidi"/>
          <w:sz w:val="24"/>
          <w:szCs w:val="24"/>
        </w:rPr>
        <w:t>Le frère de Kaki, Ould Abderrahmane Mazouz,</w:t>
      </w:r>
      <w:r w:rsidRPr="00DD3927">
        <w:rPr>
          <w:rFonts w:asciiTheme="majorBidi" w:hAnsiTheme="majorBidi" w:cstheme="majorBidi"/>
          <w:i/>
          <w:iCs/>
          <w:sz w:val="20"/>
          <w:szCs w:val="20"/>
        </w:rPr>
        <w:t xml:space="preserve"> </w:t>
      </w:r>
      <w:r w:rsidRPr="00DD3927">
        <w:rPr>
          <w:rFonts w:asciiTheme="majorBidi" w:hAnsiTheme="majorBidi" w:cstheme="majorBidi"/>
          <w:sz w:val="24"/>
          <w:szCs w:val="24"/>
        </w:rPr>
        <w:t>actuellement au Canada où il a réalisé plusieurs films pour le compte de la Télévision Canadienne, qui sera de toutes</w:t>
      </w:r>
      <w:r w:rsidRPr="005E58D9">
        <w:rPr>
          <w:rFonts w:ascii="TimesNewRoman" w:hAnsi="TimesNewRoman" w:cs="TimesNewRoman"/>
          <w:sz w:val="24"/>
          <w:szCs w:val="24"/>
        </w:rPr>
        <w:t xml:space="preserve"> les expériences de Kaki, rapporte ce témoignage dans la préface de l’œuvre</w:t>
      </w:r>
      <w:r w:rsidRPr="005E58D9">
        <w:rPr>
          <w:rFonts w:ascii="TimesNewRoman" w:hAnsi="TimesNewRoman" w:cs="TimesNewRoman"/>
          <w:sz w:val="20"/>
          <w:szCs w:val="20"/>
        </w:rPr>
        <w:t xml:space="preserve"> </w:t>
      </w:r>
      <w:proofErr w:type="gramStart"/>
      <w:r w:rsidRPr="00F3765D">
        <w:rPr>
          <w:rFonts w:ascii="TimesNewRoman" w:hAnsi="TimesNewRoman" w:cs="TimesNewRoman"/>
          <w:sz w:val="24"/>
          <w:szCs w:val="24"/>
        </w:rPr>
        <w:t>de</w:t>
      </w:r>
      <w:r w:rsidRPr="005E58D9">
        <w:rPr>
          <w:rFonts w:ascii="TimesNewRoman" w:hAnsi="TimesNewRoman" w:cs="TimesNewRoman"/>
          <w:sz w:val="20"/>
          <w:szCs w:val="20"/>
        </w:rPr>
        <w:t xml:space="preserve"> </w:t>
      </w:r>
      <w:r w:rsidRPr="005E58D9">
        <w:rPr>
          <w:rFonts w:ascii="TimesNewRoman" w:hAnsi="TimesNewRoman" w:cs="TimesNewRoman"/>
          <w:sz w:val="24"/>
          <w:szCs w:val="24"/>
        </w:rPr>
        <w:t>Abderrahmane</w:t>
      </w:r>
      <w:proofErr w:type="gramEnd"/>
      <w:r w:rsidRPr="005E58D9">
        <w:rPr>
          <w:rFonts w:ascii="TimesNewRoman" w:hAnsi="TimesNewRoman" w:cs="TimesNewRoman"/>
          <w:sz w:val="24"/>
          <w:szCs w:val="24"/>
        </w:rPr>
        <w:t xml:space="preserve"> M</w:t>
      </w:r>
      <w:r w:rsidR="004E0A5E">
        <w:rPr>
          <w:rFonts w:ascii="TimesNewRoman" w:hAnsi="TimesNewRoman" w:cs="TimesNewRoman"/>
          <w:sz w:val="24"/>
          <w:szCs w:val="24"/>
        </w:rPr>
        <w:t>ostefa</w:t>
      </w:r>
      <w:r w:rsidRPr="005E58D9">
        <w:rPr>
          <w:rFonts w:ascii="TimesNewRoman" w:hAnsi="TimesNewRoman" w:cs="TimesNewRoman"/>
          <w:sz w:val="24"/>
          <w:szCs w:val="24"/>
        </w:rPr>
        <w:t xml:space="preserve"> et Mansour B</w:t>
      </w:r>
      <w:r w:rsidR="004E0A5E">
        <w:rPr>
          <w:rFonts w:ascii="TimesNewRoman" w:hAnsi="TimesNewRoman" w:cs="TimesNewRoman"/>
          <w:sz w:val="24"/>
          <w:szCs w:val="24"/>
        </w:rPr>
        <w:t>enchehida</w:t>
      </w:r>
      <w:r w:rsidRPr="005E58D9">
        <w:rPr>
          <w:rFonts w:ascii="TimesNewRoman" w:hAnsi="TimesNewRoman" w:cs="TimesNewRoman"/>
          <w:sz w:val="24"/>
          <w:szCs w:val="24"/>
        </w:rPr>
        <w:t xml:space="preserve"> : </w:t>
      </w:r>
    </w:p>
    <w:p w:rsidR="006A4EED" w:rsidRPr="00760648" w:rsidRDefault="006A4EED" w:rsidP="00760648">
      <w:pPr>
        <w:pStyle w:val="Citationintense"/>
        <w:spacing w:before="0" w:after="0"/>
        <w:ind w:left="567" w:right="0"/>
        <w:rPr>
          <w:sz w:val="20"/>
          <w:szCs w:val="20"/>
        </w:rPr>
      </w:pPr>
      <w:r w:rsidRPr="00760648">
        <w:rPr>
          <w:sz w:val="20"/>
          <w:szCs w:val="20"/>
        </w:rPr>
        <w:t>KAKI n’est pas un homme de théâtre, c’est un phénomène de théâtre. Pourquoi ? Parce qu’habituellement un homme de théâtre se forme dans un mouvement de pensées, de traditions, et suit le cheminement de ses maîtres. Vilar ne s’est pas fait tout seul. Il vient de l’école du Théâtre du Cartel61 qui a bouleversé le théâtre bourgeois français. Déjà dans les années 40, Kaki jouait des petites saynètes dans le giron du mouvement nationaliste scout, et c’est là qu’il a pris goût à la pratique dramatique. (...) Le phénomène Kaki va briller par un talent de comédien et d’écrivain. Il va adapter le"Tartuffe" de Molière "El Hadj Brahim", "Le docteur K’nok" de Jules Romain "Tabib El filadj ma hou Tabib", "Les méfaits du tabac" de Tchekov. L'activité théâtrale de cette époque était limitée par l'habitude qui régence tout spectacle en une première partie, "Le sketch", et en deuxième partie, la plus importante, "Le concert de variétés", dont le clou était la danseuse du ventre. Le public venait pour le nombril de la danseuse. Dans les années 50, à l'occasion du rassemblement mondial de la jeunesse, Kaki va faire un séjour en Roumanie. Il va voir beaucoup de théâtre, rencontrer beaucoup de personnalités théâtrales de l'époque et ne rater aucune conférence de théâtre pendant cette grande manifestation de la culture. Il en revient transformé et dit à qui veut l’entendre que la danse du ventre n’est pas du théâtre. (...)Kaki avait des difficultés à imposer ses nouvelles façons de faire du théâtre. Tous les gens de sa génération étaient contre. C’est pourquoi il avait misé sur les jeunes. Seul, coupé des traditions et contre tous, il va faire un théâtre propre à lui avec douze gars inconscients de l'aventure dans laquelle ils s'embarquaient, ignorants qu’ils allaient faire tout ce qu’il leur demanderait de faire. Et "Le cauchemar" est né. La vraie théâtralité de Kaki, c’est "Le cauchemar", "Le filet", "Le voyage", "La cabane", "El-menfi", "La cage". La première version de "Diwan el garagouz", pas celle de "L’oiseau vert", parce que par la suite, ces pièces allaient s’inscrire dans la tradition Stanislavsky, et le bio - mécanisme de Meyerholdt. En 1954, même en le comparant avec ce qui se passait dans le reste du monde, Kaki avait pris une avance de 20 ans sur le théâtre dit de laboratoire A Paris, en 1964, il joue "Avant théâtre" produit de ce travail laboratoire, qu'il avait pourtant laissé de côté depuis 4 ans alors. Il étonne le Tout-Paris. Six ans après le "Living théâtre" de New York arriva avec le même théâtre, il allait s’imposer durant dix ans sur la scène internationale</w:t>
      </w:r>
      <w:r w:rsidRPr="00760648">
        <w:rPr>
          <w:rStyle w:val="Appelnotedebasdep"/>
          <w:sz w:val="20"/>
          <w:szCs w:val="20"/>
        </w:rPr>
        <w:footnoteReference w:id="88"/>
      </w:r>
      <w:proofErr w:type="gramStart"/>
      <w:r w:rsidR="00760648">
        <w:rPr>
          <w:sz w:val="20"/>
          <w:szCs w:val="20"/>
        </w:rPr>
        <w:t>.</w:t>
      </w:r>
      <w:r w:rsidRPr="00760648">
        <w:rPr>
          <w:sz w:val="20"/>
          <w:szCs w:val="20"/>
          <w:vertAlign w:val="superscript"/>
        </w:rPr>
        <w:t>.</w:t>
      </w:r>
      <w:proofErr w:type="gramEnd"/>
      <w:r w:rsidRPr="00760648">
        <w:rPr>
          <w:sz w:val="20"/>
          <w:szCs w:val="20"/>
        </w:rPr>
        <w:t xml:space="preserve"> </w:t>
      </w:r>
    </w:p>
    <w:p w:rsidR="006A4EED" w:rsidRPr="005E58D9" w:rsidRDefault="006A4EED" w:rsidP="006A4EED">
      <w:pPr>
        <w:autoSpaceDE w:val="0"/>
        <w:autoSpaceDN w:val="0"/>
        <w:adjustRightInd w:val="0"/>
        <w:spacing w:after="0" w:line="360" w:lineRule="auto"/>
        <w:ind w:left="851" w:right="368"/>
        <w:jc w:val="both"/>
        <w:rPr>
          <w:rFonts w:ascii="Times New Roman" w:hAnsi="Times New Roman"/>
          <w:i/>
          <w:iCs/>
          <w:sz w:val="20"/>
          <w:szCs w:val="20"/>
        </w:rPr>
      </w:pPr>
    </w:p>
    <w:p w:rsidR="006A4EED" w:rsidRPr="005E58D9" w:rsidRDefault="006A4EED" w:rsidP="003B4944">
      <w:pPr>
        <w:spacing w:line="360" w:lineRule="auto"/>
        <w:jc w:val="both"/>
        <w:rPr>
          <w:rFonts w:ascii="Times New Roman" w:eastAsia="Times New Roman" w:hAnsi="Times New Roman"/>
          <w:sz w:val="24"/>
          <w:szCs w:val="24"/>
          <w:lang w:eastAsia="fr-FR"/>
        </w:rPr>
      </w:pPr>
      <w:r w:rsidRPr="005E58D9">
        <w:rPr>
          <w:rFonts w:ascii="Times New Roman" w:hAnsi="Times New Roman"/>
          <w:sz w:val="24"/>
          <w:szCs w:val="24"/>
        </w:rPr>
        <w:t>Ce succès « arraché » à Paris - la capitale de la culture européenne</w:t>
      </w:r>
      <w:r w:rsidR="00F3765D">
        <w:rPr>
          <w:rFonts w:ascii="Times New Roman" w:hAnsi="Times New Roman"/>
          <w:sz w:val="24"/>
          <w:szCs w:val="24"/>
        </w:rPr>
        <w:t>,</w:t>
      </w:r>
      <w:r w:rsidRPr="005E58D9">
        <w:rPr>
          <w:rFonts w:ascii="Times New Roman" w:hAnsi="Times New Roman"/>
          <w:sz w:val="24"/>
          <w:szCs w:val="24"/>
        </w:rPr>
        <w:t xml:space="preserve"> la coquette de la civilisation occidentale - évoqué dans ce témoignage du frère de kaki, est d’ailleurs confirmé par la critique théâtrale française.</w:t>
      </w:r>
      <w:r w:rsidR="003B4944">
        <w:rPr>
          <w:rFonts w:ascii="Times New Roman" w:hAnsi="Times New Roman"/>
          <w:sz w:val="24"/>
          <w:szCs w:val="24"/>
        </w:rPr>
        <w:t xml:space="preserve"> </w:t>
      </w:r>
      <w:r w:rsidRPr="005E58D9">
        <w:rPr>
          <w:rFonts w:ascii="Times New Roman" w:eastAsia="Times New Roman" w:hAnsi="Times New Roman"/>
          <w:sz w:val="24"/>
          <w:szCs w:val="24"/>
          <w:lang w:eastAsia="fr-FR"/>
        </w:rPr>
        <w:t>C'est ainsi que Gilles Sandier, le critique de théâtre français écrivit et hurla de bonheur à la suite de la représentation d'</w:t>
      </w:r>
      <w:r w:rsidRPr="00F3765D">
        <w:rPr>
          <w:rFonts w:ascii="Times New Roman" w:eastAsia="Times New Roman" w:hAnsi="Times New Roman"/>
          <w:i/>
          <w:iCs/>
          <w:sz w:val="24"/>
          <w:szCs w:val="24"/>
          <w:lang w:eastAsia="fr-FR"/>
        </w:rPr>
        <w:t>Avant-Théâtre</w:t>
      </w:r>
      <w:r w:rsidRPr="005E58D9">
        <w:rPr>
          <w:rFonts w:ascii="Times New Roman" w:eastAsia="Times New Roman" w:hAnsi="Times New Roman"/>
          <w:sz w:val="24"/>
          <w:szCs w:val="24"/>
          <w:lang w:eastAsia="fr-FR"/>
        </w:rPr>
        <w:t>, en mai 1964, à Paris :</w:t>
      </w:r>
    </w:p>
    <w:p w:rsidR="006A4EED" w:rsidRPr="00DA36FD" w:rsidRDefault="006A4EED" w:rsidP="00DA36FD">
      <w:pPr>
        <w:pStyle w:val="Citationintense"/>
        <w:spacing w:before="0" w:after="0"/>
        <w:ind w:left="567" w:right="0"/>
        <w:rPr>
          <w:sz w:val="20"/>
          <w:szCs w:val="20"/>
        </w:rPr>
      </w:pPr>
      <w:r w:rsidRPr="00DA36FD">
        <w:rPr>
          <w:sz w:val="20"/>
          <w:szCs w:val="20"/>
        </w:rPr>
        <w:lastRenderedPageBreak/>
        <w:t>Comme il est rare de trouver une troupe d'acteurs qui soit véritablement une troupe, un outil de création théâtrale ; car c'est le cas de la troupe de Kaki, qui cherche depuis dix ans à définir un style de théâtre dans un pays, l'Algérie qui n'a pas de tradition théâtrale. Les comédiens de Kaki ont puisé dans les grandes traditions : nô japonais, tragédie grecque, commedia dell'arte, cérémonies africaines. Ils ont utilisé l'enseignement de Copeau et de l'Actor's Studio. Mais je me demande où est le vrai théâtre, de cette joie profonde du retour aux sources ou des simagrées de nos cabotins. J'ai éprouvé, devant ces comédiens, le rare plaisir qu'on ressent devant le théâtre en train de naître, le jeu dramatique dans sa pureté. Car ils n'ont pas seulement la sincérité et la ferveur, ils ont le don inné du théâtre, aussi bien l'art de faire le clown que l'art d'exprimer notre tragique ; ils ont le sens de la gravité, de l'élégance, du rythme, du raffinement et de la violence par lesquels ils imposent sur la scène un univers profondément, intensément humain</w:t>
      </w:r>
      <w:r w:rsidRPr="00DA36FD">
        <w:rPr>
          <w:rStyle w:val="Appelnotedebasdep"/>
          <w:sz w:val="20"/>
          <w:szCs w:val="20"/>
        </w:rPr>
        <w:footnoteReference w:id="89"/>
      </w:r>
      <w:r w:rsidR="000C27A9">
        <w:rPr>
          <w:sz w:val="20"/>
          <w:szCs w:val="20"/>
        </w:rPr>
        <w:t>.</w:t>
      </w:r>
    </w:p>
    <w:p w:rsidR="000E1826" w:rsidRDefault="000E1826" w:rsidP="00E91F9D">
      <w:pPr>
        <w:spacing w:after="0" w:line="360" w:lineRule="auto"/>
        <w:ind w:firstLine="284"/>
        <w:jc w:val="both"/>
        <w:rPr>
          <w:rFonts w:ascii="Times New Roman" w:hAnsi="Times New Roman"/>
          <w:sz w:val="24"/>
          <w:szCs w:val="24"/>
          <w:lang w:eastAsia="fr-FR"/>
        </w:rPr>
      </w:pPr>
    </w:p>
    <w:p w:rsidR="004B401E" w:rsidRDefault="006A4EED" w:rsidP="00E91F9D">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Nous constatons clairement que cette expérience digne de considération du dramaturge Kaki, celle de la fondation dans les années cinquante du siècle dernier, de la troupe de théâtre appelée "ELGARAGOUZ» et avec laquelle il avait commencé à s’inspirer des formes traditionnelles pour les employer dans ses pièces,  c’est à dire à la recherche d’un théâtre typiquement algérien, a donné ses fruits suite à cette représentation théâtrale intitulée: "Avant-théâtre". Une expérience qui ne pouvait qu’engendrer un grand succès même à Paris, où la critique avait un regard perçant et une plume avérée !</w:t>
      </w:r>
      <w:r w:rsidR="004B401E">
        <w:rPr>
          <w:rFonts w:ascii="Times New Roman" w:hAnsi="Times New Roman"/>
          <w:sz w:val="24"/>
          <w:szCs w:val="24"/>
          <w:lang w:eastAsia="fr-FR"/>
        </w:rPr>
        <w:t xml:space="preserve"> </w:t>
      </w:r>
      <w:r w:rsidRPr="005E58D9">
        <w:rPr>
          <w:rFonts w:ascii="Times New Roman" w:hAnsi="Times New Roman"/>
          <w:sz w:val="24"/>
          <w:szCs w:val="24"/>
          <w:lang w:eastAsia="fr-FR"/>
        </w:rPr>
        <w:t xml:space="preserve">Et autres expériences où il a su élaborer une harmonie entre la création et la mise en scène. </w:t>
      </w:r>
    </w:p>
    <w:p w:rsidR="006A4EED" w:rsidRPr="005E58D9" w:rsidRDefault="006A4EED" w:rsidP="00767CF6">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Ses travaux ont toujours - on ne peut plus clair - été valorisés et primés dans les différentes capitales arabes et européennes, où il a reçu de nombreux prix et distinctions, notamment son couronnement par la médaille d'or au Caire à la fin des années quatre-vingt du siècle dernier. </w:t>
      </w:r>
    </w:p>
    <w:p w:rsidR="006A4EED" w:rsidRPr="00A662FF" w:rsidRDefault="006A4EED" w:rsidP="00767CF6">
      <w:pPr>
        <w:spacing w:after="0" w:line="360" w:lineRule="auto"/>
        <w:ind w:firstLine="284"/>
        <w:jc w:val="both"/>
        <w:rPr>
          <w:rFonts w:ascii="Times New Roman" w:hAnsi="Times New Roman"/>
          <w:sz w:val="24"/>
          <w:szCs w:val="24"/>
          <w:lang w:eastAsia="fr-FR"/>
        </w:rPr>
      </w:pPr>
      <w:r w:rsidRPr="005E58D9">
        <w:rPr>
          <w:rFonts w:ascii="Times New Roman" w:hAnsi="Times New Roman"/>
          <w:sz w:val="24"/>
          <w:szCs w:val="24"/>
          <w:lang w:eastAsia="fr-FR"/>
        </w:rPr>
        <w:t xml:space="preserve">Un autre témoignage est digne d’intérêt, celui du metteur en scène français Jean-Pierre Vincent qui souligne dans son témoignage l’apport considérable et l’influence qu’a eue Kaki dans </w:t>
      </w:r>
      <w:r w:rsidR="004B401E">
        <w:rPr>
          <w:rFonts w:ascii="Times New Roman" w:hAnsi="Times New Roman"/>
          <w:sz w:val="24"/>
          <w:szCs w:val="24"/>
          <w:lang w:eastAsia="fr-FR"/>
        </w:rPr>
        <w:t xml:space="preserve">sa </w:t>
      </w:r>
      <w:r w:rsidRPr="005E58D9">
        <w:rPr>
          <w:rFonts w:ascii="Times New Roman" w:hAnsi="Times New Roman"/>
          <w:sz w:val="24"/>
          <w:szCs w:val="24"/>
          <w:lang w:eastAsia="fr-FR"/>
        </w:rPr>
        <w:t xml:space="preserve">formation théâtrale comme comédien tout en attestant qu’il lui reste redevable car c’est grâce à lui qu’il est ce qu’il est comme metteur en scène :   </w:t>
      </w:r>
    </w:p>
    <w:p w:rsidR="006A4EED" w:rsidRPr="00594621" w:rsidRDefault="006A4EED" w:rsidP="00594621">
      <w:pPr>
        <w:pStyle w:val="Citationintense"/>
        <w:spacing w:before="0" w:after="0"/>
        <w:ind w:left="567" w:right="0"/>
        <w:rPr>
          <w:sz w:val="20"/>
          <w:szCs w:val="20"/>
        </w:rPr>
      </w:pPr>
      <w:r w:rsidRPr="00594621">
        <w:rPr>
          <w:sz w:val="20"/>
          <w:szCs w:val="20"/>
        </w:rPr>
        <w:t xml:space="preserve">J’ai eu l’occasion de travailler avec Ould Abderrahmane Kaki de façon très brève malheureusement. Mais cette rencontre a été tout à fait décisive pour moi : pour la confirmation de ma vocation, pour l’appréhension très vive d’un certain nombre de réalités du théâtre, pour le déclenchement en particulier de certains moteurs du jeu  d’acteur (engagement personnel, risque, précision, etc.). C’était lors d’un stage d’art dramatique à Bouiseville en 1961. Un groupe de jeunes acteurs universitaires, encadrés par des professionnels confirmés, y ont donné huit pièces en huit semaines. C’était un travail de </w:t>
      </w:r>
      <w:r w:rsidRPr="00594621">
        <w:rPr>
          <w:sz w:val="20"/>
          <w:szCs w:val="20"/>
        </w:rPr>
        <w:lastRenderedPageBreak/>
        <w:t xml:space="preserve">fous. Tout n’était sans doute pas merveilleux, mais ce rythme et cette traversée de plusieurs styles ont été  extraordinairement formateurs. Mais l’expérience la plus vive de ce stage a été pour moi le travail sur "L’oiseau Vert" de Carlos Gozzi avec Ould Abderrahmane Kaki. Je n’oublierai l’intensité amicale avec laquelle cet homme nous a communiqué sa force artistique. Après plusieurs expériences universitaires soigneuses et consciencieuses, c’était la première fois qu’on faisait appel directement, dans le vif, à ma créativité personnelle, à mon élan intérieur. Les échos de cette semaine de travail se sont </w:t>
      </w:r>
      <w:proofErr w:type="gramStart"/>
      <w:r w:rsidRPr="00594621">
        <w:rPr>
          <w:sz w:val="20"/>
          <w:szCs w:val="20"/>
        </w:rPr>
        <w:t>faits</w:t>
      </w:r>
      <w:proofErr w:type="gramEnd"/>
      <w:r w:rsidRPr="00594621">
        <w:rPr>
          <w:sz w:val="20"/>
          <w:szCs w:val="20"/>
        </w:rPr>
        <w:t xml:space="preserve"> sentir bien des années encore, tant que j’ai été comédien. Et aujourd’hui, metteur en scène, je me sens encore redevable à Kaki de la disponibilité que je pense avoir en face des acteurs. Ce </w:t>
      </w:r>
      <w:r w:rsidR="000E02B1" w:rsidRPr="00594621">
        <w:rPr>
          <w:sz w:val="20"/>
          <w:szCs w:val="20"/>
        </w:rPr>
        <w:t xml:space="preserve">que </w:t>
      </w:r>
      <w:r w:rsidRPr="00594621">
        <w:rPr>
          <w:sz w:val="20"/>
          <w:szCs w:val="20"/>
        </w:rPr>
        <w:t>j’ai appris de lui, c’est la vivacité unique, brûlante de l’acte artistique, un acte qui, pour concerner les autres, doit d’abord me concerner moi-même, en me brûlant un peu. J’ai aussi découvert alors l’importance du travail corporel de l’acteur. La tradition française est plutôt "langagière", "littéraire". Kaki m’a ouvert un autre monde : celui de l’acrobatie, du corps qui se fait parfois souffrir pour devenir beau et significatif.</w:t>
      </w:r>
      <w:r w:rsidRPr="00594621">
        <w:rPr>
          <w:rStyle w:val="Appelnotedebasdep"/>
          <w:sz w:val="20"/>
          <w:szCs w:val="20"/>
        </w:rPr>
        <w:footnoteReference w:id="90"/>
      </w:r>
      <w:r w:rsidR="00594621">
        <w:rPr>
          <w:sz w:val="20"/>
          <w:szCs w:val="20"/>
        </w:rPr>
        <w:t>.</w:t>
      </w:r>
    </w:p>
    <w:p w:rsidR="00482DCD" w:rsidRDefault="00482DCD" w:rsidP="00D94547">
      <w:pPr>
        <w:spacing w:line="360" w:lineRule="auto"/>
        <w:ind w:firstLine="708"/>
        <w:jc w:val="both"/>
        <w:rPr>
          <w:rFonts w:ascii="Times New Roman" w:hAnsi="Times New Roman"/>
          <w:sz w:val="24"/>
          <w:szCs w:val="24"/>
          <w:lang w:eastAsia="fr-FR"/>
        </w:rPr>
      </w:pPr>
    </w:p>
    <w:p w:rsidR="006A4EED" w:rsidRPr="00D41F7B" w:rsidRDefault="00BC3CFB" w:rsidP="00482DCD">
      <w:pPr>
        <w:spacing w:after="0" w:line="360" w:lineRule="auto"/>
        <w:ind w:firstLine="284"/>
        <w:jc w:val="both"/>
        <w:rPr>
          <w:rFonts w:ascii="Times New Roman" w:hAnsi="Times New Roman"/>
          <w:sz w:val="24"/>
          <w:szCs w:val="24"/>
          <w:lang w:eastAsia="fr-FR"/>
        </w:rPr>
      </w:pPr>
      <w:r>
        <w:rPr>
          <w:rFonts w:ascii="Times New Roman" w:hAnsi="Times New Roman"/>
          <w:sz w:val="24"/>
          <w:szCs w:val="24"/>
          <w:lang w:eastAsia="fr-FR"/>
        </w:rPr>
        <w:t>A</w:t>
      </w:r>
      <w:r w:rsidR="006A4EED" w:rsidRPr="005E58D9">
        <w:rPr>
          <w:rFonts w:ascii="Times New Roman" w:hAnsi="Times New Roman"/>
          <w:sz w:val="24"/>
          <w:szCs w:val="24"/>
          <w:lang w:eastAsia="fr-FR"/>
        </w:rPr>
        <w:t xml:space="preserve"> la lumière de</w:t>
      </w:r>
      <w:r w:rsidR="007D7CA1">
        <w:rPr>
          <w:rFonts w:ascii="Times New Roman" w:hAnsi="Times New Roman"/>
          <w:sz w:val="24"/>
          <w:szCs w:val="24"/>
          <w:lang w:eastAsia="fr-FR"/>
        </w:rPr>
        <w:t xml:space="preserve"> ce</w:t>
      </w:r>
      <w:r w:rsidR="006A4EED" w:rsidRPr="005E58D9">
        <w:rPr>
          <w:rFonts w:ascii="Times New Roman" w:hAnsi="Times New Roman"/>
          <w:sz w:val="24"/>
          <w:szCs w:val="24"/>
          <w:lang w:eastAsia="fr-FR"/>
        </w:rPr>
        <w:t>s repères succincts ayant jalonnés sa vie et de ses nombreuses contributions dramaturgiques, Ould Abdel Rahmane Kaki</w:t>
      </w:r>
      <w:r w:rsidR="00D94547">
        <w:rPr>
          <w:rFonts w:ascii="Times New Roman" w:hAnsi="Times New Roman"/>
          <w:sz w:val="24"/>
          <w:szCs w:val="24"/>
          <w:lang w:eastAsia="fr-FR"/>
        </w:rPr>
        <w:t xml:space="preserve"> </w:t>
      </w:r>
      <w:r w:rsidR="006A4EED" w:rsidRPr="005E58D9">
        <w:rPr>
          <w:rFonts w:ascii="Times New Roman" w:hAnsi="Times New Roman"/>
          <w:sz w:val="24"/>
          <w:szCs w:val="24"/>
          <w:lang w:eastAsia="fr-FR"/>
        </w:rPr>
        <w:t xml:space="preserve">représente finalement une icône scintillante dans le ciel de la culture algérienne et un géant qui constitue les grands piliers structurant le théâtre algérien, et ce  à travers un énorme parcours dans lequel il s’est distingué tant dans l’écriture que dans les nombreuses mises en scène dramatiques, tout comme le fait que toute une génération d'artistes et animateurs dramaturges ait été formée par ses soins et particulièrement son emblématique œuvre qu’il a léguée au quatrième art algérien, une œuvre </w:t>
      </w:r>
      <w:r w:rsidR="006A4EED" w:rsidRPr="00D41F7B">
        <w:rPr>
          <w:rFonts w:ascii="Times New Roman" w:hAnsi="Times New Roman"/>
          <w:sz w:val="24"/>
          <w:szCs w:val="24"/>
          <w:lang w:eastAsia="fr-FR"/>
        </w:rPr>
        <w:t>théâtrale considérable.</w:t>
      </w:r>
    </w:p>
    <w:p w:rsidR="006A4EED" w:rsidRPr="005E58D9" w:rsidRDefault="008C0DEF" w:rsidP="00482DCD">
      <w:pPr>
        <w:spacing w:after="0" w:line="360" w:lineRule="auto"/>
        <w:ind w:firstLine="284"/>
        <w:jc w:val="both"/>
        <w:rPr>
          <w:rFonts w:ascii="Times New Roman" w:hAnsi="Times New Roman"/>
          <w:sz w:val="24"/>
          <w:szCs w:val="24"/>
          <w:lang w:eastAsia="fr-FR"/>
        </w:rPr>
      </w:pPr>
      <w:r w:rsidRPr="00D41F7B">
        <w:rPr>
          <w:rFonts w:ascii="Times New Roman" w:hAnsi="Times New Roman"/>
          <w:sz w:val="24"/>
          <w:szCs w:val="24"/>
          <w:lang w:eastAsia="fr-FR"/>
        </w:rPr>
        <w:t>Il convient à</w:t>
      </w:r>
      <w:r w:rsidR="006A4EED" w:rsidRPr="00D41F7B">
        <w:rPr>
          <w:rFonts w:ascii="Times New Roman" w:hAnsi="Times New Roman"/>
          <w:sz w:val="24"/>
          <w:szCs w:val="24"/>
          <w:lang w:eastAsia="fr-FR"/>
        </w:rPr>
        <w:t xml:space="preserve"> présent, dans le chapitre qui suit, </w:t>
      </w:r>
      <w:r w:rsidRPr="00D41F7B">
        <w:rPr>
          <w:rFonts w:ascii="Times New Roman" w:hAnsi="Times New Roman"/>
          <w:sz w:val="24"/>
          <w:szCs w:val="24"/>
          <w:lang w:eastAsia="fr-FR"/>
        </w:rPr>
        <w:t>d</w:t>
      </w:r>
      <w:r w:rsidR="00E61F93" w:rsidRPr="00D41F7B">
        <w:rPr>
          <w:rFonts w:ascii="Times New Roman" w:hAnsi="Times New Roman"/>
          <w:sz w:val="24"/>
          <w:szCs w:val="24"/>
          <w:lang w:eastAsia="fr-FR"/>
        </w:rPr>
        <w:t xml:space="preserve">e voir </w:t>
      </w:r>
      <w:r w:rsidR="006A4EED" w:rsidRPr="00D41F7B">
        <w:rPr>
          <w:rFonts w:ascii="Times New Roman" w:hAnsi="Times New Roman"/>
          <w:sz w:val="24"/>
          <w:szCs w:val="24"/>
          <w:lang w:eastAsia="fr-FR"/>
        </w:rPr>
        <w:t xml:space="preserve">ce qu’il en est de notre </w:t>
      </w:r>
      <w:r w:rsidR="00E61F93" w:rsidRPr="00D41F7B">
        <w:rPr>
          <w:rFonts w:ascii="Times New Roman" w:hAnsi="Times New Roman"/>
          <w:sz w:val="24"/>
          <w:szCs w:val="24"/>
          <w:lang w:eastAsia="fr-FR"/>
        </w:rPr>
        <w:t>second</w:t>
      </w:r>
      <w:r w:rsidR="006A4EED" w:rsidRPr="00D41F7B">
        <w:rPr>
          <w:rFonts w:ascii="Times New Roman" w:hAnsi="Times New Roman"/>
          <w:sz w:val="24"/>
          <w:szCs w:val="24"/>
          <w:lang w:eastAsia="fr-FR"/>
        </w:rPr>
        <w:t xml:space="preserve"> auteur, Michel de Ghelderode.</w:t>
      </w:r>
    </w:p>
    <w:p w:rsidR="006A4EED" w:rsidRPr="005E58D9" w:rsidRDefault="006A4EED" w:rsidP="006A4EED">
      <w:pPr>
        <w:spacing w:line="360" w:lineRule="auto"/>
        <w:ind w:firstLine="708"/>
        <w:jc w:val="both"/>
        <w:rPr>
          <w:rFonts w:ascii="Times New Roman" w:hAnsi="Times New Roman"/>
          <w:sz w:val="24"/>
          <w:szCs w:val="24"/>
          <w:lang w:eastAsia="fr-FR"/>
        </w:rPr>
      </w:pPr>
    </w:p>
    <w:p w:rsidR="006A4EED" w:rsidRPr="005E58D9" w:rsidRDefault="006A4EED" w:rsidP="006A4EED">
      <w:pPr>
        <w:autoSpaceDE w:val="0"/>
        <w:autoSpaceDN w:val="0"/>
        <w:adjustRightInd w:val="0"/>
        <w:spacing w:after="0" w:line="360" w:lineRule="auto"/>
        <w:jc w:val="both"/>
        <w:rPr>
          <w:rFonts w:ascii="Times New Roman" w:hAnsi="Times New Roman"/>
          <w:sz w:val="24"/>
          <w:szCs w:val="24"/>
          <w:lang w:eastAsia="fr-FR"/>
        </w:rPr>
      </w:pPr>
    </w:p>
    <w:p w:rsidR="006A4EED" w:rsidRDefault="006A4EED" w:rsidP="006A4EED">
      <w:pPr>
        <w:spacing w:after="0" w:line="240" w:lineRule="auto"/>
        <w:rPr>
          <w:i/>
        </w:rPr>
      </w:pPr>
    </w:p>
    <w:p w:rsidR="006A4EED" w:rsidRPr="00426A17" w:rsidRDefault="00A6282E" w:rsidP="00E208D9">
      <w:pPr>
        <w:pStyle w:val="Titre2"/>
        <w:spacing w:before="0" w:after="0"/>
        <w:jc w:val="both"/>
        <w:rPr>
          <w:rFonts w:ascii="Times New Roman" w:hAnsi="Times New Roman" w:cs="Times New Roman"/>
          <w:sz w:val="24"/>
          <w:szCs w:val="24"/>
        </w:rPr>
      </w:pPr>
      <w:r>
        <w:rPr>
          <w:rFonts w:ascii="Times New Roman" w:hAnsi="Times New Roman" w:cs="Times New Roman"/>
          <w:i w:val="0"/>
        </w:rPr>
        <w:br w:type="page"/>
      </w:r>
      <w:bookmarkStart w:id="48" w:name="_Toc471484423"/>
      <w:r w:rsidR="006A4EED" w:rsidRPr="00426A17">
        <w:rPr>
          <w:rFonts w:ascii="Times New Roman" w:hAnsi="Times New Roman" w:cs="Times New Roman"/>
          <w:i w:val="0"/>
          <w:sz w:val="24"/>
          <w:szCs w:val="24"/>
        </w:rPr>
        <w:lastRenderedPageBreak/>
        <w:t>Chapitre 2</w:t>
      </w:r>
      <w:r w:rsidR="00426A17" w:rsidRPr="00426A17">
        <w:rPr>
          <w:rFonts w:ascii="Times New Roman" w:hAnsi="Times New Roman" w:cs="Times New Roman"/>
          <w:i w:val="0"/>
          <w:sz w:val="24"/>
          <w:szCs w:val="24"/>
        </w:rPr>
        <w:t xml:space="preserve"> : </w:t>
      </w:r>
      <w:r w:rsidR="006A4EED" w:rsidRPr="00426A17">
        <w:rPr>
          <w:rFonts w:ascii="Times New Roman" w:hAnsi="Times New Roman" w:cs="Times New Roman"/>
          <w:i w:val="0"/>
          <w:iCs w:val="0"/>
          <w:sz w:val="24"/>
          <w:szCs w:val="24"/>
        </w:rPr>
        <w:t>G</w:t>
      </w:r>
      <w:r w:rsidR="00334133" w:rsidRPr="00426A17">
        <w:rPr>
          <w:rFonts w:ascii="Times New Roman" w:hAnsi="Times New Roman" w:cs="Times New Roman"/>
          <w:i w:val="0"/>
          <w:iCs w:val="0"/>
          <w:sz w:val="24"/>
          <w:szCs w:val="24"/>
        </w:rPr>
        <w:t>helderode dans le théâtre belge</w:t>
      </w:r>
      <w:bookmarkEnd w:id="48"/>
    </w:p>
    <w:p w:rsidR="00E61F93" w:rsidRDefault="00E61F93" w:rsidP="00A662FF">
      <w:pPr>
        <w:spacing w:line="360" w:lineRule="auto"/>
        <w:ind w:firstLine="709"/>
        <w:jc w:val="both"/>
        <w:rPr>
          <w:rFonts w:ascii="Times New Roman" w:eastAsia="Times New Roman" w:hAnsi="Times New Roman"/>
          <w:sz w:val="24"/>
          <w:szCs w:val="24"/>
          <w:lang w:eastAsia="fr-FR"/>
        </w:rPr>
      </w:pPr>
    </w:p>
    <w:p w:rsidR="006A4EED" w:rsidRDefault="006A4EED" w:rsidP="00CE5613">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Ce chapitre vise à présenter et situer l’œuvre de Michel de Ghelderode. Pour ce faire nous passerons entre les méandres du théâtre européen, de la société et du théâtre belge, afin de comprendre le dramaturge Ghelderode et son œuvre</w:t>
      </w:r>
      <w:r w:rsidR="00CE5613">
        <w:rPr>
          <w:rFonts w:ascii="Times New Roman" w:eastAsia="Times New Roman" w:hAnsi="Times New Roman"/>
          <w:sz w:val="24"/>
          <w:szCs w:val="24"/>
          <w:lang w:eastAsia="fr-FR"/>
        </w:rPr>
        <w:t>.</w:t>
      </w:r>
    </w:p>
    <w:p w:rsidR="00784D77" w:rsidRDefault="00784D77" w:rsidP="00CC1B34">
      <w:pPr>
        <w:pStyle w:val="Titre3"/>
        <w:spacing w:before="0" w:after="0" w:line="360" w:lineRule="auto"/>
        <w:ind w:firstLine="284"/>
        <w:jc w:val="both"/>
        <w:rPr>
          <w:rFonts w:ascii="Times New Roman" w:hAnsi="Times New Roman" w:cs="Times New Roman"/>
          <w:sz w:val="24"/>
          <w:szCs w:val="24"/>
        </w:rPr>
      </w:pPr>
    </w:p>
    <w:p w:rsidR="006A4EED" w:rsidRPr="00CE5613" w:rsidRDefault="00CC1B34" w:rsidP="00CC1B34">
      <w:pPr>
        <w:pStyle w:val="Titre3"/>
        <w:spacing w:before="0" w:after="0" w:line="360" w:lineRule="auto"/>
        <w:ind w:firstLine="284"/>
        <w:jc w:val="both"/>
        <w:rPr>
          <w:rFonts w:ascii="Times New Roman" w:hAnsi="Times New Roman" w:cs="Times New Roman"/>
          <w:sz w:val="24"/>
          <w:szCs w:val="24"/>
        </w:rPr>
      </w:pPr>
      <w:bookmarkStart w:id="49" w:name="_Toc471484424"/>
      <w:r>
        <w:rPr>
          <w:rFonts w:ascii="Times New Roman" w:hAnsi="Times New Roman" w:cs="Times New Roman"/>
          <w:sz w:val="24"/>
          <w:szCs w:val="24"/>
        </w:rPr>
        <w:t>1.</w:t>
      </w:r>
      <w:r w:rsidRPr="00CE5613">
        <w:rPr>
          <w:rFonts w:ascii="Times New Roman" w:hAnsi="Times New Roman" w:cs="Times New Roman"/>
          <w:sz w:val="24"/>
          <w:szCs w:val="24"/>
        </w:rPr>
        <w:t xml:space="preserve"> Le</w:t>
      </w:r>
      <w:r w:rsidR="006A4EED" w:rsidRPr="00CE5613">
        <w:rPr>
          <w:rFonts w:ascii="Times New Roman" w:hAnsi="Times New Roman" w:cs="Times New Roman"/>
          <w:sz w:val="24"/>
          <w:szCs w:val="24"/>
        </w:rPr>
        <w:t xml:space="preserve"> théâtre européen à l’époque de Ghelderode : contexte</w:t>
      </w:r>
      <w:bookmarkEnd w:id="49"/>
      <w:r w:rsidR="006A4EED" w:rsidRPr="00CE5613">
        <w:rPr>
          <w:rFonts w:ascii="Times New Roman" w:hAnsi="Times New Roman" w:cs="Times New Roman"/>
          <w:sz w:val="24"/>
          <w:szCs w:val="24"/>
        </w:rPr>
        <w:t xml:space="preserve"> </w:t>
      </w:r>
    </w:p>
    <w:p w:rsidR="006A4EED" w:rsidRPr="00CE5613" w:rsidRDefault="006A4EED" w:rsidP="00CC1B34">
      <w:pPr>
        <w:spacing w:after="0" w:line="360" w:lineRule="auto"/>
        <w:ind w:firstLine="284"/>
        <w:jc w:val="both"/>
        <w:rPr>
          <w:rFonts w:ascii="Times New Roman" w:eastAsia="Times New Roman" w:hAnsi="Times New Roman"/>
          <w:sz w:val="24"/>
          <w:szCs w:val="24"/>
          <w:lang w:eastAsia="fr-FR"/>
        </w:rPr>
      </w:pPr>
      <w:r w:rsidRPr="00CE5613">
        <w:rPr>
          <w:rFonts w:ascii="Times New Roman" w:eastAsia="Times New Roman" w:hAnsi="Times New Roman"/>
          <w:sz w:val="24"/>
          <w:szCs w:val="24"/>
          <w:lang w:eastAsia="fr-FR"/>
        </w:rPr>
        <w:t>Proposer une lecture de la place de Ghelderode dans le théâtre européen commande, au préalable, d’esquisser un rapide rappel historique de l’évolution du théâtre sur le vieux continent.</w:t>
      </w:r>
    </w:p>
    <w:p w:rsidR="006A4EED" w:rsidRPr="005E58D9" w:rsidRDefault="006A4EED" w:rsidP="006D257E">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Trois grandes étapes permettent de décrire rapidement l’évolution du théâtre européen</w:t>
      </w:r>
      <w:r w:rsidRPr="005E58D9">
        <w:rPr>
          <w:rFonts w:ascii="Times New Roman" w:hAnsi="Times New Roman"/>
          <w:sz w:val="24"/>
          <w:szCs w:val="24"/>
          <w:vertAlign w:val="superscript"/>
          <w:lang w:eastAsia="fr-FR"/>
        </w:rPr>
        <w:footnoteReference w:id="91"/>
      </w:r>
      <w:r w:rsidRPr="005E58D9">
        <w:rPr>
          <w:rFonts w:ascii="Times New Roman" w:eastAsia="Times New Roman" w:hAnsi="Times New Roman"/>
          <w:sz w:val="24"/>
          <w:szCs w:val="24"/>
          <w:lang w:eastAsia="fr-FR"/>
        </w:rPr>
        <w:t xml:space="preserve">. </w:t>
      </w:r>
    </w:p>
    <w:p w:rsidR="006A4EED" w:rsidRPr="005E58D9" w:rsidRDefault="006A4EED" w:rsidP="006D257E">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La première période, dès le V</w:t>
      </w:r>
      <w:r w:rsidRPr="005E58D9">
        <w:rPr>
          <w:rFonts w:ascii="Times New Roman" w:eastAsia="Times New Roman" w:hAnsi="Times New Roman"/>
          <w:sz w:val="24"/>
          <w:szCs w:val="24"/>
          <w:vertAlign w:val="superscript"/>
          <w:lang w:eastAsia="fr-FR"/>
        </w:rPr>
        <w:t>ème</w:t>
      </w:r>
      <w:r w:rsidRPr="005E58D9">
        <w:rPr>
          <w:rFonts w:ascii="Times New Roman" w:eastAsia="Times New Roman" w:hAnsi="Times New Roman"/>
          <w:sz w:val="24"/>
          <w:szCs w:val="24"/>
          <w:lang w:eastAsia="fr-FR"/>
        </w:rPr>
        <w:t xml:space="preserve">  siècle avant J-C, touche au "théâtre antique" : développement du théâtre en Grèce et à Rome, mais également chute de l'Empire romain à travers le Moyen Age. L’histoire du théâtre depuis la Grèce jusqu’à Rome, et l'histoire médiévale du théâtre après la chute de Rome révèlent un théâtre dominé par une combinaison improbable constituée de l'Eglise et des troupes des professionnels du spectacle itinérant. </w:t>
      </w:r>
    </w:p>
    <w:p w:rsidR="006A4EED" w:rsidRPr="005E58D9" w:rsidRDefault="006A4EED" w:rsidP="005838D8">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   La deuxième période, étalée du XV</w:t>
      </w:r>
      <w:r w:rsidRPr="005E58D9">
        <w:rPr>
          <w:rFonts w:ascii="Times New Roman" w:eastAsia="Times New Roman" w:hAnsi="Times New Roman"/>
          <w:sz w:val="24"/>
          <w:szCs w:val="24"/>
          <w:vertAlign w:val="superscript"/>
          <w:lang w:eastAsia="fr-FR"/>
        </w:rPr>
        <w:t>e</w:t>
      </w:r>
      <w:r w:rsidRPr="005E58D9">
        <w:rPr>
          <w:rFonts w:ascii="Times New Roman" w:eastAsia="Times New Roman" w:hAnsi="Times New Roman"/>
          <w:sz w:val="24"/>
          <w:szCs w:val="24"/>
          <w:lang w:eastAsia="fr-FR"/>
        </w:rPr>
        <w:t xml:space="preserve"> au  XVI</w:t>
      </w:r>
      <w:r w:rsidRPr="005E58D9">
        <w:rPr>
          <w:rFonts w:ascii="Times New Roman" w:eastAsia="Times New Roman" w:hAnsi="Times New Roman"/>
          <w:sz w:val="24"/>
          <w:szCs w:val="24"/>
          <w:vertAlign w:val="superscript"/>
          <w:lang w:eastAsia="fr-FR"/>
        </w:rPr>
        <w:t>e</w:t>
      </w:r>
      <w:r w:rsidRPr="005E58D9">
        <w:rPr>
          <w:rFonts w:ascii="Times New Roman" w:eastAsia="Times New Roman" w:hAnsi="Times New Roman"/>
          <w:sz w:val="24"/>
          <w:szCs w:val="24"/>
          <w:lang w:eastAsia="fr-FR"/>
        </w:rPr>
        <w:t xml:space="preserve"> siècle, celle de la renaissance du théâtre provoqué par la Renaissance et la Réforme protestante, l'influence du dramaturge de génie Shakespeare et le développement ultérieur du théâtre à travers la restauration de la Couronne d'Angleterre après la République. C’est la période de renaissance du théâtre et c'est au cours de cette période que le théâtre se dégage de l'Eglise devenant un théâtre laïque - même s’il reste largement sous le contrôle de l'Etat, que ce soit celle des Rois ou de la République.  </w:t>
      </w:r>
    </w:p>
    <w:p w:rsidR="006A4EED" w:rsidRPr="005E58D9" w:rsidRDefault="006A4EED" w:rsidP="005838D8">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Enfin, l'histoire du théâtre dans les XVIII</w:t>
      </w:r>
      <w:r w:rsidRPr="005E58D9">
        <w:rPr>
          <w:rFonts w:ascii="Times New Roman" w:eastAsia="Times New Roman" w:hAnsi="Times New Roman"/>
          <w:sz w:val="24"/>
          <w:szCs w:val="24"/>
          <w:vertAlign w:val="superscript"/>
          <w:lang w:eastAsia="fr-FR"/>
        </w:rPr>
        <w:t>e</w:t>
      </w:r>
      <w:r w:rsidRPr="005E58D9">
        <w:rPr>
          <w:rFonts w:ascii="Times New Roman" w:eastAsia="Times New Roman" w:hAnsi="Times New Roman"/>
          <w:sz w:val="24"/>
          <w:szCs w:val="24"/>
          <w:lang w:eastAsia="fr-FR"/>
        </w:rPr>
        <w:t>, XIX</w:t>
      </w:r>
      <w:r w:rsidRPr="005E58D9">
        <w:rPr>
          <w:rFonts w:ascii="Times New Roman" w:eastAsia="Times New Roman" w:hAnsi="Times New Roman"/>
          <w:sz w:val="24"/>
          <w:szCs w:val="24"/>
          <w:vertAlign w:val="superscript"/>
          <w:lang w:eastAsia="fr-FR"/>
        </w:rPr>
        <w:t>e</w:t>
      </w:r>
      <w:r w:rsidRPr="005E58D9">
        <w:rPr>
          <w:rFonts w:ascii="Times New Roman" w:eastAsia="Times New Roman" w:hAnsi="Times New Roman"/>
          <w:sz w:val="24"/>
          <w:szCs w:val="24"/>
          <w:lang w:eastAsia="fr-FR"/>
        </w:rPr>
        <w:t xml:space="preserve"> et XX</w:t>
      </w:r>
      <w:r w:rsidRPr="005E58D9">
        <w:rPr>
          <w:rFonts w:ascii="Times New Roman" w:eastAsia="Times New Roman" w:hAnsi="Times New Roman"/>
          <w:sz w:val="24"/>
          <w:szCs w:val="24"/>
          <w:vertAlign w:val="superscript"/>
          <w:lang w:eastAsia="fr-FR"/>
        </w:rPr>
        <w:t>e</w:t>
      </w:r>
      <w:r w:rsidRPr="005E58D9">
        <w:rPr>
          <w:rFonts w:ascii="Times New Roman" w:eastAsia="Times New Roman" w:hAnsi="Times New Roman"/>
          <w:sz w:val="24"/>
          <w:szCs w:val="24"/>
          <w:lang w:eastAsia="fr-FR"/>
        </w:rPr>
        <w:t xml:space="preserve"> siècles, qui est la poursuite du développement du théâtre comme forme d'art, est caractérisée par la commercialisation croissante de l'art, accompagné par les innovations technologiques, l'introduction d'un examen critique sérieux, et l'accent mis sur plus de formes naturelles et de qualité. Le Théâtre, qui avait été dominée par l'Église </w:t>
      </w:r>
      <w:r w:rsidRPr="005E58D9">
        <w:rPr>
          <w:rFonts w:ascii="Times New Roman" w:eastAsia="Times New Roman" w:hAnsi="Times New Roman"/>
          <w:sz w:val="24"/>
          <w:szCs w:val="24"/>
          <w:lang w:eastAsia="fr-FR"/>
        </w:rPr>
        <w:lastRenderedPageBreak/>
        <w:t>pendant des siècles, puis par le goût des monarques pour plus de 200 ans, est devenu accessible à des marchands, des industriels, de la bourgeoisie et les masses. Pendant le 19ème siècle, la révolution industrielle a changé la façon dont les gens ont vécu et travaillé - et cela a changé, il est tout à fait clair, la face du théâtre.</w:t>
      </w:r>
    </w:p>
    <w:p w:rsidR="006A4EED" w:rsidRPr="005E58D9" w:rsidRDefault="006A4EED" w:rsidP="00BC3CFB">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  </w:t>
      </w:r>
      <w:r w:rsidRPr="00FE605C">
        <w:rPr>
          <w:rFonts w:asciiTheme="majorBidi" w:eastAsia="Times New Roman" w:hAnsiTheme="majorBidi" w:cstheme="majorBidi"/>
          <w:sz w:val="24"/>
          <w:szCs w:val="24"/>
          <w:lang w:eastAsia="fr-FR"/>
        </w:rPr>
        <w:t>Le 20</w:t>
      </w:r>
      <w:r w:rsidR="00BC3CFB">
        <w:rPr>
          <w:rFonts w:asciiTheme="majorBidi" w:eastAsia="Times New Roman" w:hAnsiTheme="majorBidi" w:cstheme="majorBidi"/>
          <w:sz w:val="24"/>
          <w:szCs w:val="24"/>
          <w:vertAlign w:val="superscript"/>
          <w:lang w:eastAsia="fr-FR"/>
        </w:rPr>
        <w:t>ème</w:t>
      </w:r>
      <w:r w:rsidRPr="00FE605C">
        <w:rPr>
          <w:rFonts w:asciiTheme="majorBidi" w:eastAsia="Times New Roman" w:hAnsiTheme="majorBidi" w:cstheme="majorBidi"/>
          <w:sz w:val="24"/>
          <w:szCs w:val="24"/>
          <w:lang w:eastAsia="fr-FR"/>
        </w:rPr>
        <w:t xml:space="preserve"> siècle, celui qui nous intéresse et qui fut témoin des deux grandes guerres de l'histoire, engendra des bouleversements sociaux sans précédent qui ont affecté le théâtre. Les soubresauts du «prolétariat» se sont manifestés dans le théâtre par des mouvements comme : le réalisme, le naturalisme, le symbolisme, l'impressionnisme et, finalement, très stylisée, le « nouveau théâtre » qui sera connu par la suite comme étant le « théâtre de l’absurde » et dont les précurseurs et les visages seront : Guillaume Apollinaire (</w:t>
      </w:r>
      <w:hyperlink r:id="rId9" w:history="1">
        <w:r w:rsidRPr="00FE605C">
          <w:rPr>
            <w:rFonts w:asciiTheme="majorBidi" w:eastAsia="Times New Roman" w:hAnsiTheme="majorBidi" w:cstheme="majorBidi"/>
            <w:sz w:val="24"/>
            <w:szCs w:val="24"/>
            <w:lang w:eastAsia="fr-FR"/>
          </w:rPr>
          <w:t>1880</w:t>
        </w:r>
      </w:hyperlink>
      <w:r w:rsidRPr="00FE605C">
        <w:rPr>
          <w:rFonts w:asciiTheme="majorBidi" w:eastAsia="Times New Roman" w:hAnsiTheme="majorBidi" w:cstheme="majorBidi"/>
          <w:sz w:val="24"/>
          <w:szCs w:val="24"/>
          <w:lang w:eastAsia="fr-FR"/>
        </w:rPr>
        <w:t>–</w:t>
      </w:r>
      <w:hyperlink r:id="rId10" w:history="1">
        <w:r w:rsidRPr="00FE605C">
          <w:rPr>
            <w:rFonts w:asciiTheme="majorBidi" w:eastAsia="Times New Roman" w:hAnsiTheme="majorBidi" w:cstheme="majorBidi"/>
            <w:sz w:val="24"/>
            <w:szCs w:val="24"/>
            <w:lang w:eastAsia="fr-FR"/>
          </w:rPr>
          <w:t>1918</w:t>
        </w:r>
      </w:hyperlink>
      <w:r w:rsidRPr="00FE605C">
        <w:rPr>
          <w:rFonts w:asciiTheme="majorBidi" w:eastAsia="Times New Roman" w:hAnsiTheme="majorBidi" w:cstheme="majorBidi"/>
          <w:sz w:val="24"/>
          <w:szCs w:val="24"/>
          <w:lang w:eastAsia="fr-FR"/>
        </w:rPr>
        <w:t xml:space="preserve">), </w:t>
      </w:r>
      <w:hyperlink r:id="rId11" w:history="1">
        <w:r w:rsidRPr="00FE605C">
          <w:rPr>
            <w:rFonts w:asciiTheme="majorBidi" w:eastAsia="Times New Roman" w:hAnsiTheme="majorBidi" w:cstheme="majorBidi"/>
            <w:sz w:val="24"/>
            <w:szCs w:val="24"/>
            <w:lang w:eastAsia="fr-FR"/>
          </w:rPr>
          <w:t>Albert Camus</w:t>
        </w:r>
      </w:hyperlink>
      <w:r w:rsidRPr="00FE605C">
        <w:rPr>
          <w:rFonts w:asciiTheme="majorBidi" w:eastAsia="Times New Roman" w:hAnsiTheme="majorBidi" w:cstheme="majorBidi"/>
          <w:sz w:val="24"/>
          <w:szCs w:val="24"/>
          <w:lang w:eastAsia="fr-FR"/>
        </w:rPr>
        <w:t xml:space="preserve"> (</w:t>
      </w:r>
      <w:hyperlink r:id="rId12" w:history="1">
        <w:r w:rsidRPr="00FE605C">
          <w:rPr>
            <w:rFonts w:asciiTheme="majorBidi" w:eastAsia="Times New Roman" w:hAnsiTheme="majorBidi" w:cstheme="majorBidi"/>
            <w:sz w:val="24"/>
            <w:szCs w:val="24"/>
            <w:lang w:eastAsia="fr-FR"/>
          </w:rPr>
          <w:t>1913</w:t>
        </w:r>
      </w:hyperlink>
      <w:r w:rsidRPr="00FE605C">
        <w:rPr>
          <w:rFonts w:asciiTheme="majorBidi" w:eastAsia="Times New Roman" w:hAnsiTheme="majorBidi" w:cstheme="majorBidi"/>
          <w:sz w:val="24"/>
          <w:szCs w:val="24"/>
          <w:lang w:eastAsia="fr-FR"/>
        </w:rPr>
        <w:t>–</w:t>
      </w:r>
      <w:hyperlink r:id="rId13" w:history="1">
        <w:r w:rsidRPr="00FE605C">
          <w:rPr>
            <w:rFonts w:asciiTheme="majorBidi" w:eastAsia="Times New Roman" w:hAnsiTheme="majorBidi" w:cstheme="majorBidi"/>
            <w:sz w:val="24"/>
            <w:szCs w:val="24"/>
            <w:lang w:eastAsia="fr-FR"/>
          </w:rPr>
          <w:t>1960</w:t>
        </w:r>
      </w:hyperlink>
      <w:r w:rsidRPr="00FE605C">
        <w:rPr>
          <w:rFonts w:asciiTheme="majorBidi" w:eastAsia="Times New Roman" w:hAnsiTheme="majorBidi" w:cstheme="majorBidi"/>
          <w:sz w:val="24"/>
          <w:szCs w:val="24"/>
          <w:lang w:eastAsia="fr-FR"/>
        </w:rPr>
        <w:t xml:space="preserve">), </w:t>
      </w:r>
      <w:hyperlink r:id="rId14" w:history="1">
        <w:r w:rsidRPr="00FE605C">
          <w:rPr>
            <w:rFonts w:asciiTheme="majorBidi" w:eastAsia="Times New Roman" w:hAnsiTheme="majorBidi" w:cstheme="majorBidi"/>
            <w:sz w:val="24"/>
            <w:szCs w:val="24"/>
            <w:lang w:eastAsia="fr-FR"/>
          </w:rPr>
          <w:t>Roger Vitrac</w:t>
        </w:r>
      </w:hyperlink>
      <w:r w:rsidRPr="00FE605C">
        <w:rPr>
          <w:rFonts w:asciiTheme="majorBidi" w:eastAsia="Times New Roman" w:hAnsiTheme="majorBidi" w:cstheme="majorBidi"/>
          <w:sz w:val="24"/>
          <w:szCs w:val="24"/>
          <w:lang w:eastAsia="fr-FR"/>
        </w:rPr>
        <w:t xml:space="preserve"> (</w:t>
      </w:r>
      <w:hyperlink r:id="rId15" w:history="1">
        <w:r w:rsidRPr="00FE605C">
          <w:rPr>
            <w:rFonts w:asciiTheme="majorBidi" w:eastAsia="Times New Roman" w:hAnsiTheme="majorBidi" w:cstheme="majorBidi"/>
            <w:sz w:val="24"/>
            <w:szCs w:val="24"/>
            <w:lang w:eastAsia="fr-FR"/>
          </w:rPr>
          <w:t>1899</w:t>
        </w:r>
      </w:hyperlink>
      <w:r w:rsidRPr="00FE605C">
        <w:rPr>
          <w:rFonts w:asciiTheme="majorBidi" w:eastAsia="Times New Roman" w:hAnsiTheme="majorBidi" w:cstheme="majorBidi"/>
          <w:sz w:val="24"/>
          <w:szCs w:val="24"/>
          <w:lang w:eastAsia="fr-FR"/>
        </w:rPr>
        <w:t>–</w:t>
      </w:r>
      <w:hyperlink r:id="rId16" w:history="1">
        <w:r w:rsidRPr="00FE605C">
          <w:rPr>
            <w:rFonts w:asciiTheme="majorBidi" w:eastAsia="Times New Roman" w:hAnsiTheme="majorBidi" w:cstheme="majorBidi"/>
            <w:sz w:val="24"/>
            <w:szCs w:val="24"/>
            <w:lang w:eastAsia="fr-FR"/>
          </w:rPr>
          <w:t>1952</w:t>
        </w:r>
      </w:hyperlink>
      <w:r w:rsidRPr="00FE605C">
        <w:rPr>
          <w:rFonts w:asciiTheme="majorBidi" w:eastAsia="Times New Roman" w:hAnsiTheme="majorBidi" w:cstheme="majorBidi"/>
          <w:sz w:val="24"/>
          <w:szCs w:val="24"/>
          <w:lang w:eastAsia="fr-FR"/>
        </w:rPr>
        <w:t xml:space="preserve">), </w:t>
      </w:r>
      <w:hyperlink r:id="rId17" w:history="1">
        <w:r w:rsidRPr="00FE605C">
          <w:rPr>
            <w:rFonts w:asciiTheme="majorBidi" w:eastAsia="Times New Roman" w:hAnsiTheme="majorBidi" w:cstheme="majorBidi"/>
            <w:sz w:val="24"/>
            <w:szCs w:val="24"/>
            <w:lang w:eastAsia="fr-FR"/>
          </w:rPr>
          <w:t>Julien Torma</w:t>
        </w:r>
      </w:hyperlink>
      <w:r w:rsidRPr="00FE605C">
        <w:rPr>
          <w:rFonts w:asciiTheme="majorBidi" w:eastAsia="Times New Roman" w:hAnsiTheme="majorBidi" w:cstheme="majorBidi"/>
          <w:sz w:val="24"/>
          <w:szCs w:val="24"/>
          <w:lang w:eastAsia="fr-FR"/>
        </w:rPr>
        <w:t xml:space="preserve"> (</w:t>
      </w:r>
      <w:hyperlink r:id="rId18" w:history="1">
        <w:r w:rsidRPr="00FE605C">
          <w:rPr>
            <w:rFonts w:asciiTheme="majorBidi" w:eastAsia="Times New Roman" w:hAnsiTheme="majorBidi" w:cstheme="majorBidi"/>
            <w:sz w:val="24"/>
            <w:szCs w:val="24"/>
            <w:lang w:eastAsia="fr-FR"/>
          </w:rPr>
          <w:t>1902</w:t>
        </w:r>
      </w:hyperlink>
      <w:r w:rsidRPr="00FE605C">
        <w:rPr>
          <w:rFonts w:asciiTheme="majorBidi" w:eastAsia="Times New Roman" w:hAnsiTheme="majorBidi" w:cstheme="majorBidi"/>
          <w:sz w:val="24"/>
          <w:szCs w:val="24"/>
          <w:lang w:eastAsia="fr-FR"/>
        </w:rPr>
        <w:t>–</w:t>
      </w:r>
      <w:hyperlink r:id="rId19" w:history="1">
        <w:r w:rsidRPr="00FE605C">
          <w:rPr>
            <w:rFonts w:asciiTheme="majorBidi" w:eastAsia="Times New Roman" w:hAnsiTheme="majorBidi" w:cstheme="majorBidi"/>
            <w:sz w:val="24"/>
            <w:szCs w:val="24"/>
            <w:lang w:eastAsia="fr-FR"/>
          </w:rPr>
          <w:t>1933</w:t>
        </w:r>
      </w:hyperlink>
      <w:r w:rsidRPr="00FE605C">
        <w:rPr>
          <w:rFonts w:asciiTheme="majorBidi" w:eastAsia="Times New Roman" w:hAnsiTheme="majorBidi" w:cstheme="majorBidi"/>
          <w:sz w:val="24"/>
          <w:szCs w:val="24"/>
          <w:lang w:eastAsia="fr-FR"/>
        </w:rPr>
        <w:t xml:space="preserve">), </w:t>
      </w:r>
      <w:hyperlink r:id="rId20" w:history="1">
        <w:r w:rsidRPr="00FE605C">
          <w:rPr>
            <w:rFonts w:asciiTheme="majorBidi" w:eastAsia="Times New Roman" w:hAnsiTheme="majorBidi" w:cstheme="majorBidi"/>
            <w:sz w:val="24"/>
            <w:szCs w:val="24"/>
            <w:lang w:eastAsia="fr-FR"/>
          </w:rPr>
          <w:t>Antonin Artaud</w:t>
        </w:r>
      </w:hyperlink>
      <w:r w:rsidRPr="00FE605C">
        <w:rPr>
          <w:rFonts w:asciiTheme="majorBidi" w:eastAsia="Times New Roman" w:hAnsiTheme="majorBidi" w:cstheme="majorBidi"/>
          <w:sz w:val="24"/>
          <w:szCs w:val="24"/>
          <w:lang w:eastAsia="fr-FR"/>
        </w:rPr>
        <w:t xml:space="preserve"> (</w:t>
      </w:r>
      <w:hyperlink r:id="rId21" w:history="1">
        <w:r w:rsidRPr="00FE605C">
          <w:rPr>
            <w:rFonts w:asciiTheme="majorBidi" w:eastAsia="Times New Roman" w:hAnsiTheme="majorBidi" w:cstheme="majorBidi"/>
            <w:sz w:val="24"/>
            <w:szCs w:val="24"/>
            <w:lang w:eastAsia="fr-FR"/>
          </w:rPr>
          <w:t>1893</w:t>
        </w:r>
      </w:hyperlink>
      <w:r w:rsidRPr="00FE605C">
        <w:rPr>
          <w:rFonts w:asciiTheme="majorBidi" w:eastAsia="Times New Roman" w:hAnsiTheme="majorBidi" w:cstheme="majorBidi"/>
          <w:sz w:val="24"/>
          <w:szCs w:val="24"/>
          <w:lang w:eastAsia="fr-FR"/>
        </w:rPr>
        <w:t>–</w:t>
      </w:r>
      <w:hyperlink r:id="rId22" w:history="1">
        <w:r w:rsidRPr="00FE605C">
          <w:rPr>
            <w:rFonts w:asciiTheme="majorBidi" w:eastAsia="Times New Roman" w:hAnsiTheme="majorBidi" w:cstheme="majorBidi"/>
            <w:sz w:val="24"/>
            <w:szCs w:val="24"/>
            <w:lang w:eastAsia="fr-FR"/>
          </w:rPr>
          <w:t>1948</w:t>
        </w:r>
      </w:hyperlink>
      <w:r w:rsidRPr="00FE605C">
        <w:rPr>
          <w:rFonts w:asciiTheme="majorBidi" w:eastAsia="Times New Roman" w:hAnsiTheme="majorBidi" w:cstheme="majorBidi"/>
          <w:sz w:val="24"/>
          <w:szCs w:val="24"/>
          <w:lang w:eastAsia="fr-FR"/>
        </w:rPr>
        <w:t xml:space="preserve">) et </w:t>
      </w:r>
      <w:hyperlink r:id="rId23" w:history="1">
        <w:r w:rsidRPr="00FE605C">
          <w:rPr>
            <w:rFonts w:asciiTheme="majorBidi" w:eastAsia="Times New Roman" w:hAnsiTheme="majorBidi" w:cstheme="majorBidi"/>
            <w:sz w:val="24"/>
            <w:szCs w:val="24"/>
            <w:lang w:eastAsia="fr-FR"/>
          </w:rPr>
          <w:t>Michel de Ghelderode</w:t>
        </w:r>
      </w:hyperlink>
      <w:r w:rsidRPr="00FE605C">
        <w:rPr>
          <w:rFonts w:asciiTheme="majorBidi" w:eastAsia="Times New Roman" w:hAnsiTheme="majorBidi" w:cstheme="majorBidi"/>
          <w:sz w:val="24"/>
          <w:szCs w:val="24"/>
          <w:lang w:eastAsia="fr-FR"/>
        </w:rPr>
        <w:t xml:space="preserve"> (</w:t>
      </w:r>
      <w:hyperlink r:id="rId24" w:history="1">
        <w:r w:rsidRPr="00FE605C">
          <w:rPr>
            <w:rFonts w:asciiTheme="majorBidi" w:eastAsia="Times New Roman" w:hAnsiTheme="majorBidi" w:cstheme="majorBidi"/>
            <w:sz w:val="24"/>
            <w:szCs w:val="24"/>
            <w:lang w:eastAsia="fr-FR"/>
          </w:rPr>
          <w:t>1898</w:t>
        </w:r>
      </w:hyperlink>
      <w:r w:rsidRPr="00FE605C">
        <w:rPr>
          <w:rFonts w:asciiTheme="majorBidi" w:eastAsia="Times New Roman" w:hAnsiTheme="majorBidi" w:cstheme="majorBidi"/>
          <w:sz w:val="24"/>
          <w:szCs w:val="24"/>
          <w:lang w:eastAsia="fr-FR"/>
        </w:rPr>
        <w:t>-</w:t>
      </w:r>
      <w:hyperlink r:id="rId25" w:history="1">
        <w:r w:rsidRPr="00FE605C">
          <w:rPr>
            <w:rFonts w:asciiTheme="majorBidi" w:eastAsia="Times New Roman" w:hAnsiTheme="majorBidi" w:cstheme="majorBidi"/>
            <w:sz w:val="24"/>
            <w:szCs w:val="24"/>
            <w:lang w:eastAsia="fr-FR"/>
          </w:rPr>
          <w:t>1962</w:t>
        </w:r>
      </w:hyperlink>
      <w:r w:rsidRPr="00FE605C">
        <w:rPr>
          <w:rFonts w:asciiTheme="majorBidi" w:eastAsia="Times New Roman" w:hAnsiTheme="majorBidi" w:cstheme="majorBidi"/>
          <w:sz w:val="24"/>
          <w:szCs w:val="24"/>
          <w:lang w:eastAsia="fr-FR"/>
        </w:rPr>
        <w:t xml:space="preserve">). C’est une époque au cours de laquelle la société a lutté pour déterminer les objectifs ultimes et le sens de la philosophie politique dans la vie de la personne moyenne notamment suite aux traumatismes causés par les controverses de </w:t>
      </w:r>
      <w:r w:rsidR="00172C6D" w:rsidRPr="00FE605C">
        <w:rPr>
          <w:rFonts w:asciiTheme="majorBidi" w:eastAsia="Times New Roman" w:hAnsiTheme="majorBidi" w:cstheme="majorBidi"/>
          <w:sz w:val="24"/>
          <w:szCs w:val="24"/>
          <w:lang w:eastAsia="fr-FR"/>
        </w:rPr>
        <w:t>l’après-guerre</w:t>
      </w:r>
      <w:r w:rsidRPr="005E58D9">
        <w:rPr>
          <w:rFonts w:ascii="Times New Roman" w:eastAsia="Times New Roman" w:hAnsi="Times New Roman"/>
          <w:sz w:val="24"/>
          <w:szCs w:val="24"/>
          <w:lang w:eastAsia="fr-FR"/>
        </w:rPr>
        <w:t>.</w:t>
      </w:r>
    </w:p>
    <w:p w:rsidR="006A4EED" w:rsidRPr="005E58D9" w:rsidRDefault="006A4EED" w:rsidP="00EF3642">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   Ainsi, dans le théâtre produit immédiatement après la première Guerre mondiale, laquelle avait sans doute changé la manière dont le drame tragique était présenté, l'art de la comédie écrite fut porté à un niveau proche de la perfection (et le succès commercial).</w:t>
      </w:r>
    </w:p>
    <w:p w:rsidR="006A4EED" w:rsidRPr="005E58D9" w:rsidRDefault="006A4EED" w:rsidP="007A43BF">
      <w:pPr>
        <w:spacing w:after="0" w:line="360" w:lineRule="auto"/>
        <w:ind w:firstLine="284"/>
        <w:jc w:val="both"/>
        <w:rPr>
          <w:rFonts w:ascii="Times New Roman" w:eastAsia="Times New Roman" w:hAnsi="Times New Roman"/>
          <w:sz w:val="24"/>
          <w:szCs w:val="24"/>
          <w:lang w:eastAsia="fr-FR"/>
        </w:rPr>
      </w:pPr>
      <w:r w:rsidRPr="005E58D9">
        <w:rPr>
          <w:rFonts w:ascii="Times New Roman" w:eastAsia="Times New Roman" w:hAnsi="Times New Roman"/>
          <w:sz w:val="24"/>
          <w:szCs w:val="24"/>
          <w:lang w:eastAsia="fr-FR"/>
        </w:rPr>
        <w:t xml:space="preserve">Faire une étude de l’influence de Michel de Ghelderode dans le théâtre européen et notamment belge, c’est en fait raconter l’histoire de ces sociétés, qui voient naitre la lutte des classes, telles que théorisée par Karl Marx, proclame le rejet du dogme catholique et milite pour la prise en compte du respect des valeurs humaines. </w:t>
      </w:r>
    </w:p>
    <w:p w:rsidR="006A4EED" w:rsidRPr="00C55F45" w:rsidRDefault="006A4EED" w:rsidP="00C55F45">
      <w:pPr>
        <w:spacing w:after="0" w:line="360" w:lineRule="auto"/>
        <w:ind w:firstLine="284"/>
        <w:jc w:val="both"/>
        <w:rPr>
          <w:lang w:eastAsia="fr-FR"/>
        </w:rPr>
      </w:pPr>
      <w:r w:rsidRPr="005E58D9">
        <w:rPr>
          <w:rFonts w:ascii="Times New Roman" w:eastAsia="Times New Roman" w:hAnsi="Times New Roman"/>
          <w:sz w:val="24"/>
          <w:szCs w:val="24"/>
          <w:lang w:eastAsia="fr-FR"/>
        </w:rPr>
        <w:t>Le choix pour Michel de Ghelderode, nous offre l’opportunité d’examiner l'un des plus grands dramaturges du XX</w:t>
      </w:r>
      <w:r w:rsidRPr="005E58D9">
        <w:rPr>
          <w:rFonts w:ascii="Times New Roman" w:eastAsia="Times New Roman" w:hAnsi="Times New Roman"/>
          <w:sz w:val="24"/>
          <w:szCs w:val="24"/>
          <w:vertAlign w:val="superscript"/>
          <w:lang w:eastAsia="fr-FR"/>
        </w:rPr>
        <w:t>e</w:t>
      </w:r>
      <w:r w:rsidRPr="005E58D9">
        <w:rPr>
          <w:rFonts w:ascii="Times New Roman" w:eastAsia="Times New Roman" w:hAnsi="Times New Roman"/>
          <w:sz w:val="24"/>
          <w:szCs w:val="24"/>
          <w:lang w:eastAsia="fr-FR"/>
        </w:rPr>
        <w:t xml:space="preserve"> siècle qui marqua, de par ses multiples œuvres, son époque. Dans un bon mot rapporté par Hervé Cnudde dans son article  intitulé  </w:t>
      </w:r>
      <w:r w:rsidRPr="005E58D9">
        <w:rPr>
          <w:rFonts w:ascii="Times New Roman" w:eastAsia="Times New Roman" w:hAnsi="Times New Roman"/>
          <w:i/>
          <w:iCs/>
          <w:sz w:val="24"/>
          <w:szCs w:val="24"/>
          <w:lang w:eastAsia="fr-FR"/>
        </w:rPr>
        <w:t>Rêver la Mort avec Michel de Ghelderode</w:t>
      </w:r>
      <w:r w:rsidRPr="005E58D9">
        <w:rPr>
          <w:rFonts w:ascii="Times New Roman" w:eastAsia="Times New Roman" w:hAnsi="Times New Roman"/>
          <w:sz w:val="24"/>
          <w:szCs w:val="24"/>
          <w:lang w:eastAsia="fr-FR"/>
        </w:rPr>
        <w:t>  Jean Cocteau dira</w:t>
      </w:r>
      <w:r>
        <w:rPr>
          <w:rFonts w:ascii="Times New Roman" w:eastAsia="Times New Roman" w:hAnsi="Times New Roman"/>
          <w:sz w:val="24"/>
          <w:szCs w:val="24"/>
          <w:lang w:eastAsia="fr-FR"/>
        </w:rPr>
        <w:t xml:space="preserve"> </w:t>
      </w:r>
      <w:r w:rsidRPr="005E58D9">
        <w:rPr>
          <w:rFonts w:ascii="Times New Roman" w:eastAsia="Times New Roman" w:hAnsi="Times New Roman"/>
          <w:sz w:val="24"/>
          <w:szCs w:val="24"/>
          <w:lang w:eastAsia="fr-FR"/>
        </w:rPr>
        <w:t>du dramaturge belge</w:t>
      </w:r>
      <w:r>
        <w:rPr>
          <w:rFonts w:ascii="Times New Roman" w:eastAsia="Times New Roman" w:hAnsi="Times New Roman"/>
          <w:sz w:val="24"/>
          <w:szCs w:val="24"/>
          <w:lang w:eastAsia="fr-FR"/>
        </w:rPr>
        <w:t>, comme nous l’avons déjà cité ci-haut en page 13,</w:t>
      </w:r>
      <w:r w:rsidRPr="005E58D9">
        <w:rPr>
          <w:rFonts w:ascii="Times New Roman" w:eastAsia="Times New Roman" w:hAnsi="Times New Roman"/>
          <w:sz w:val="24"/>
          <w:szCs w:val="24"/>
          <w:lang w:eastAsia="fr-FR"/>
        </w:rPr>
        <w:t xml:space="preserve"> </w:t>
      </w:r>
      <w:r>
        <w:rPr>
          <w:rFonts w:ascii="Times New Roman" w:eastAsia="Times New Roman" w:hAnsi="Times New Roman"/>
          <w:sz w:val="24"/>
          <w:szCs w:val="24"/>
          <w:lang w:eastAsia="fr-FR"/>
        </w:rPr>
        <w:t>ceci</w:t>
      </w:r>
      <w:r w:rsidRPr="005E58D9">
        <w:rPr>
          <w:rFonts w:ascii="Times New Roman" w:eastAsia="Times New Roman" w:hAnsi="Times New Roman"/>
          <w:sz w:val="24"/>
          <w:szCs w:val="24"/>
          <w:lang w:eastAsia="fr-FR"/>
        </w:rPr>
        <w:t xml:space="preserve"> :</w:t>
      </w:r>
      <w:r>
        <w:rPr>
          <w:rFonts w:ascii="Times New Roman" w:eastAsia="Times New Roman" w:hAnsi="Times New Roman"/>
          <w:sz w:val="24"/>
          <w:szCs w:val="24"/>
          <w:lang w:eastAsia="fr-FR"/>
        </w:rPr>
        <w:t xml:space="preserve"> </w:t>
      </w:r>
      <w:r w:rsidRPr="00C55F45">
        <w:rPr>
          <w:rFonts w:ascii="Times New Roman" w:hAnsi="Times New Roman"/>
          <w:sz w:val="24"/>
          <w:szCs w:val="24"/>
          <w:lang w:eastAsia="fr-FR"/>
        </w:rPr>
        <w:t>« Ghelderode, c’est le diamant qui ferme le collier de poètes que la Belgique porte autour du cou. Ce dimant noir jette des feux cruels et nobles. Ils ne blessent que les petites âmes. Ils éblouissent les autres</w:t>
      </w:r>
      <w:r w:rsidR="00C55F45">
        <w:rPr>
          <w:rFonts w:ascii="Times New Roman" w:hAnsi="Times New Roman"/>
          <w:sz w:val="24"/>
          <w:szCs w:val="24"/>
          <w:lang w:eastAsia="fr-FR"/>
        </w:rPr>
        <w:t>.</w:t>
      </w:r>
      <w:r w:rsidRPr="00C55F45">
        <w:rPr>
          <w:rFonts w:ascii="Times New Roman" w:hAnsi="Times New Roman"/>
          <w:sz w:val="24"/>
          <w:szCs w:val="24"/>
          <w:lang w:eastAsia="fr-FR"/>
        </w:rPr>
        <w:t>»</w:t>
      </w:r>
      <w:r w:rsidRPr="00C55F45">
        <w:rPr>
          <w:sz w:val="20"/>
          <w:szCs w:val="20"/>
          <w:lang w:eastAsia="fr-FR"/>
        </w:rPr>
        <w:t xml:space="preserve"> </w:t>
      </w:r>
    </w:p>
    <w:p w:rsidR="006A4EED" w:rsidRPr="005E58D9" w:rsidRDefault="006A4EED" w:rsidP="00CA557E">
      <w:pPr>
        <w:spacing w:after="0" w:line="360" w:lineRule="auto"/>
        <w:ind w:firstLine="284"/>
        <w:jc w:val="both"/>
        <w:rPr>
          <w:rFonts w:ascii="Times New Roman" w:hAnsi="Times New Roman"/>
          <w:sz w:val="24"/>
          <w:szCs w:val="24"/>
        </w:rPr>
      </w:pPr>
      <w:r w:rsidRPr="005E58D9">
        <w:rPr>
          <w:rFonts w:ascii="Times New Roman" w:hAnsi="Times New Roman"/>
          <w:sz w:val="24"/>
          <w:szCs w:val="24"/>
        </w:rPr>
        <w:lastRenderedPageBreak/>
        <w:t xml:space="preserve">Replacerons à présent Ghelderode au cœur de l’histoire de la Belgique, tout en présentant les grandes caractéristiques du théâtre belge. La vie et l’œuvre de Ghelderode pourront ensuite être parfaitement </w:t>
      </w:r>
      <w:proofErr w:type="gramStart"/>
      <w:r w:rsidRPr="005E58D9">
        <w:rPr>
          <w:rFonts w:ascii="Times New Roman" w:hAnsi="Times New Roman"/>
          <w:sz w:val="24"/>
          <w:szCs w:val="24"/>
        </w:rPr>
        <w:t>introduites</w:t>
      </w:r>
      <w:proofErr w:type="gramEnd"/>
      <w:r w:rsidRPr="005E58D9">
        <w:rPr>
          <w:rFonts w:ascii="Times New Roman" w:hAnsi="Times New Roman"/>
          <w:sz w:val="24"/>
          <w:szCs w:val="24"/>
        </w:rPr>
        <w:t xml:space="preserve">. </w:t>
      </w:r>
    </w:p>
    <w:p w:rsidR="00784D77" w:rsidRDefault="00784D77" w:rsidP="00E73D03">
      <w:pPr>
        <w:pStyle w:val="Titre3"/>
        <w:spacing w:before="0" w:after="0" w:line="360" w:lineRule="auto"/>
        <w:ind w:left="641" w:hanging="357"/>
        <w:jc w:val="both"/>
        <w:rPr>
          <w:rFonts w:ascii="Times New Roman" w:hAnsi="Times New Roman" w:cs="Times New Roman"/>
          <w:sz w:val="24"/>
          <w:szCs w:val="24"/>
        </w:rPr>
      </w:pPr>
    </w:p>
    <w:p w:rsidR="006A4EED" w:rsidRPr="00E73D03" w:rsidRDefault="00E73D03" w:rsidP="00E73D03">
      <w:pPr>
        <w:pStyle w:val="Titre3"/>
        <w:spacing w:before="0" w:after="0" w:line="360" w:lineRule="auto"/>
        <w:ind w:left="641" w:hanging="357"/>
        <w:jc w:val="both"/>
        <w:rPr>
          <w:rFonts w:ascii="Times New Roman" w:hAnsi="Times New Roman" w:cs="Times New Roman"/>
          <w:sz w:val="24"/>
          <w:szCs w:val="24"/>
        </w:rPr>
      </w:pPr>
      <w:bookmarkStart w:id="50" w:name="_Toc471484425"/>
      <w:r>
        <w:rPr>
          <w:rFonts w:ascii="Times New Roman" w:hAnsi="Times New Roman" w:cs="Times New Roman"/>
          <w:sz w:val="24"/>
          <w:szCs w:val="24"/>
        </w:rPr>
        <w:t>2.</w:t>
      </w:r>
      <w:r w:rsidRPr="00E73D03">
        <w:rPr>
          <w:rFonts w:ascii="Times New Roman" w:hAnsi="Times New Roman" w:cs="Times New Roman"/>
          <w:sz w:val="24"/>
          <w:szCs w:val="24"/>
        </w:rPr>
        <w:t xml:space="preserve"> Société</w:t>
      </w:r>
      <w:r w:rsidR="006A4EED" w:rsidRPr="00E73D03">
        <w:rPr>
          <w:rFonts w:ascii="Times New Roman" w:hAnsi="Times New Roman" w:cs="Times New Roman"/>
          <w:sz w:val="24"/>
          <w:szCs w:val="24"/>
        </w:rPr>
        <w:t xml:space="preserve"> et littérature belges à l’époque de Ghelderode</w:t>
      </w:r>
      <w:bookmarkEnd w:id="50"/>
    </w:p>
    <w:p w:rsidR="006A4EED" w:rsidRPr="00E73D03" w:rsidRDefault="006A4EED" w:rsidP="00E73D03">
      <w:pPr>
        <w:spacing w:after="0" w:line="360" w:lineRule="auto"/>
        <w:ind w:firstLine="284"/>
        <w:jc w:val="both"/>
        <w:rPr>
          <w:rFonts w:ascii="Times New Roman" w:hAnsi="Times New Roman"/>
          <w:sz w:val="24"/>
          <w:szCs w:val="24"/>
        </w:rPr>
      </w:pPr>
      <w:r w:rsidRPr="00E73D03">
        <w:rPr>
          <w:rFonts w:ascii="Times New Roman" w:hAnsi="Times New Roman"/>
          <w:sz w:val="24"/>
          <w:szCs w:val="24"/>
        </w:rPr>
        <w:t>Fait assez singulier en Europe, la Belgique est un jeune pays dans lequel cohabitent plusieurs langues : le français et le néerlandais (flamand), mais aussi l’allemand, le wallon et plusieurs dialectes. La question de savoir s’il existe une littérature belge rassemblant les auteurs s’exprimant dans ces différentes langues reste sujette à controverse.</w:t>
      </w:r>
    </w:p>
    <w:p w:rsidR="006A4EED" w:rsidRPr="005E58D9" w:rsidRDefault="006A4EED" w:rsidP="00C2601F">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Durant plusieurs années, les auteurs belges francophones ont été simplement  assimilés à la littérature française et les auteurs néerlandophones à la littérature néerlandaise. Des auteurs comme Henri Michaux ou Georges Simenon ont été étudiés en tant qu’auteurs francophones, tout en ignorant qu’ils étaient d’abord belges. On a même évoqué une littérature française de Belgique. </w:t>
      </w:r>
    </w:p>
    <w:p w:rsidR="006A4EED" w:rsidRPr="005E58D9" w:rsidRDefault="006A4EED" w:rsidP="00C2601F">
      <w:pPr>
        <w:spacing w:after="0" w:line="360" w:lineRule="auto"/>
        <w:ind w:firstLine="284"/>
        <w:jc w:val="both"/>
        <w:rPr>
          <w:rFonts w:ascii="Times New Roman" w:hAnsi="Times New Roman"/>
          <w:sz w:val="24"/>
          <w:szCs w:val="24"/>
        </w:rPr>
      </w:pPr>
      <w:r w:rsidRPr="005E58D9">
        <w:rPr>
          <w:rFonts w:ascii="Times New Roman" w:hAnsi="Times New Roman"/>
          <w:sz w:val="24"/>
          <w:szCs w:val="24"/>
        </w:rPr>
        <w:t>De fait, le cadre dans lequel ont évolué les écrivains belges francophones est assez complexe, puisqu’ils sont pour ainsi dire astreints au contexte linguistique dans lequel ils écrivent. Ainsi, au XIX</w:t>
      </w:r>
      <w:r w:rsidRPr="005E58D9">
        <w:rPr>
          <w:rFonts w:ascii="Times New Roman" w:hAnsi="Times New Roman"/>
          <w:sz w:val="24"/>
          <w:szCs w:val="24"/>
          <w:vertAlign w:val="superscript"/>
        </w:rPr>
        <w:t xml:space="preserve">e </w:t>
      </w:r>
      <w:r w:rsidRPr="005E58D9">
        <w:rPr>
          <w:rFonts w:ascii="Times New Roman" w:hAnsi="Times New Roman"/>
          <w:sz w:val="24"/>
          <w:szCs w:val="24"/>
        </w:rPr>
        <w:t xml:space="preserve">siècle, le français était considéré comme la langue de l’élite en Belgique, le flamand étant délaissé. C’est ce qui explique qu’un certain nombre d’auteurs belges aient choisi d’écrire en français alors qu’en réalité ils avaient le flamand pour langue maternelle (Ghelderode comme on le sait, mais aussi Maurice Maeterlinck, Emile Verhaeren etc.). </w:t>
      </w:r>
    </w:p>
    <w:p w:rsidR="006A4EED" w:rsidRPr="005E58D9" w:rsidRDefault="006A4EED" w:rsidP="00C2601F">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Pour l’auteur belge, écrire en français, c’est également écrire dans la langue du puissant voisin, un pays possédant une histoire littéraire longue et des institutions fortes. L’on sait que la Belgique est en effet un pays jeune (né en 1830). Au moment où sa littérature se constitue, la littérature française est déjà, pour sa part, solidement établie. De fait, écrire en français en Belgique pose plusieurs défis. D’abord le </w:t>
      </w:r>
      <w:r w:rsidR="00172C6D">
        <w:rPr>
          <w:rFonts w:ascii="Times New Roman" w:hAnsi="Times New Roman"/>
          <w:sz w:val="24"/>
          <w:szCs w:val="24"/>
        </w:rPr>
        <w:t xml:space="preserve">lecteur </w:t>
      </w:r>
      <w:r w:rsidRPr="005E58D9">
        <w:rPr>
          <w:rFonts w:ascii="Times New Roman" w:hAnsi="Times New Roman"/>
          <w:sz w:val="24"/>
          <w:szCs w:val="24"/>
        </w:rPr>
        <w:t>de destination : pour qui écrit l’écrivain belge francophone ? S’adresse-t-il seulement aux lecteurs belges francophones ? Si tel est le cas, alors  son public est d’emblée limité. Mais s’il veut s’adresser aussi au public français, voire à l’ensemble des locuteurs du français dans le monde, il a tout intérêt à avoir une audience conséquente en France et à publier à Paris.</w:t>
      </w:r>
    </w:p>
    <w:p w:rsidR="006A4EED" w:rsidRPr="005E58D9" w:rsidRDefault="006A4EED" w:rsidP="00BC21F3">
      <w:pPr>
        <w:spacing w:after="0" w:line="360" w:lineRule="auto"/>
        <w:ind w:firstLine="284"/>
        <w:jc w:val="both"/>
        <w:rPr>
          <w:rFonts w:ascii="Times New Roman" w:hAnsi="Times New Roman"/>
          <w:sz w:val="24"/>
          <w:szCs w:val="24"/>
        </w:rPr>
      </w:pPr>
      <w:r w:rsidRPr="005E58D9">
        <w:rPr>
          <w:rFonts w:ascii="Times New Roman" w:hAnsi="Times New Roman"/>
          <w:sz w:val="24"/>
          <w:szCs w:val="24"/>
        </w:rPr>
        <w:lastRenderedPageBreak/>
        <w:t xml:space="preserve">Le champ littéraire francophone est </w:t>
      </w:r>
      <w:r w:rsidR="008D3C65">
        <w:rPr>
          <w:rFonts w:ascii="Times New Roman" w:hAnsi="Times New Roman"/>
          <w:sz w:val="24"/>
          <w:szCs w:val="24"/>
        </w:rPr>
        <w:t xml:space="preserve">en </w:t>
      </w:r>
      <w:r w:rsidRPr="005E58D9">
        <w:rPr>
          <w:rFonts w:ascii="Times New Roman" w:hAnsi="Times New Roman"/>
          <w:sz w:val="24"/>
          <w:szCs w:val="24"/>
        </w:rPr>
        <w:t xml:space="preserve">effet dominé par Paris.  Pour y être publié, les auteurs belges peuvent choisir de gommer leur spécificité et de se fondre dans la littérature française ou au contraire de mettre en avant leur altérité, de cultiver la différence. C’est une situation qui n’est pas sans provoquer certaines tensions. </w:t>
      </w:r>
    </w:p>
    <w:p w:rsidR="006A4EED" w:rsidRPr="005E58D9" w:rsidRDefault="006A4EED" w:rsidP="00BC21F3">
      <w:pPr>
        <w:spacing w:after="0" w:line="360" w:lineRule="auto"/>
        <w:ind w:firstLine="284"/>
        <w:jc w:val="both"/>
        <w:rPr>
          <w:rFonts w:ascii="Times New Roman" w:hAnsi="Times New Roman"/>
          <w:sz w:val="24"/>
          <w:szCs w:val="24"/>
        </w:rPr>
      </w:pPr>
      <w:r w:rsidRPr="005E58D9">
        <w:rPr>
          <w:rFonts w:ascii="Times New Roman" w:hAnsi="Times New Roman"/>
          <w:sz w:val="24"/>
          <w:szCs w:val="24"/>
        </w:rPr>
        <w:t>Dans une de ses nouvelles, Nicolas Ancion évoque avec beaucoup d’humour et un certain cynisme cette relation pour le moins difficile entre la Belgique et la France : un membre éminent de l’Académie française en visite à Bruxelles se fait enlever par deux « activistes » qui le malmènent, le terrorisent et le forcent notamment à lécher toutes les pages du dictionnaire. Leur revendication : « Liberté à la langue ! »</w:t>
      </w:r>
      <w:r w:rsidRPr="005E58D9">
        <w:rPr>
          <w:rFonts w:ascii="Times New Roman" w:hAnsi="Times New Roman"/>
          <w:sz w:val="24"/>
          <w:szCs w:val="24"/>
          <w:vertAlign w:val="superscript"/>
        </w:rPr>
        <w:footnoteReference w:id="92"/>
      </w:r>
      <w:r w:rsidRPr="005E58D9">
        <w:rPr>
          <w:rFonts w:ascii="Times New Roman" w:hAnsi="Times New Roman"/>
          <w:sz w:val="24"/>
          <w:szCs w:val="24"/>
        </w:rPr>
        <w:t>.</w:t>
      </w:r>
    </w:p>
    <w:p w:rsidR="006A4EED" w:rsidRPr="005E58D9" w:rsidRDefault="006A4EED" w:rsidP="00BC21F3">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Toujours est-il que les étapes importantes de l’évolution de la littérature belge peuvent être </w:t>
      </w:r>
      <w:r w:rsidR="0027667B" w:rsidRPr="005E58D9">
        <w:rPr>
          <w:rFonts w:ascii="Times New Roman" w:hAnsi="Times New Roman"/>
          <w:sz w:val="24"/>
          <w:szCs w:val="24"/>
        </w:rPr>
        <w:t>scindées</w:t>
      </w:r>
      <w:r w:rsidRPr="005E58D9">
        <w:rPr>
          <w:rFonts w:ascii="Times New Roman" w:hAnsi="Times New Roman"/>
          <w:sz w:val="24"/>
          <w:szCs w:val="24"/>
        </w:rPr>
        <w:t xml:space="preserve"> en quatre grands moments chronologiques</w:t>
      </w:r>
      <w:r w:rsidR="00864D41">
        <w:rPr>
          <w:rStyle w:val="Appelnotedebasdep"/>
          <w:rFonts w:ascii="Times New Roman" w:hAnsi="Times New Roman"/>
          <w:sz w:val="24"/>
          <w:szCs w:val="24"/>
        </w:rPr>
        <w:footnoteReference w:id="93"/>
      </w:r>
      <w:r w:rsidRPr="005E58D9">
        <w:rPr>
          <w:rFonts w:ascii="Times New Roman" w:hAnsi="Times New Roman"/>
          <w:sz w:val="24"/>
          <w:szCs w:val="24"/>
        </w:rPr>
        <w:t xml:space="preserve"> : </w:t>
      </w:r>
    </w:p>
    <w:p w:rsidR="006A4EED" w:rsidRPr="005E58D9" w:rsidRDefault="006A4EED" w:rsidP="00864D41">
      <w:pPr>
        <w:pStyle w:val="Paragraphedeliste"/>
        <w:numPr>
          <w:ilvl w:val="0"/>
          <w:numId w:val="36"/>
        </w:numPr>
        <w:spacing w:line="360" w:lineRule="auto"/>
        <w:jc w:val="both"/>
        <w:rPr>
          <w:rFonts w:ascii="Times New Roman" w:hAnsi="Times New Roman"/>
          <w:sz w:val="24"/>
          <w:szCs w:val="24"/>
        </w:rPr>
      </w:pPr>
      <w:r w:rsidRPr="005E58D9">
        <w:rPr>
          <w:rFonts w:ascii="Times New Roman" w:hAnsi="Times New Roman"/>
          <w:b/>
          <w:sz w:val="24"/>
          <w:szCs w:val="24"/>
        </w:rPr>
        <w:t>1830-1880 : le roman historique et le naturalisme</w:t>
      </w:r>
      <w:r w:rsidRPr="005E58D9">
        <w:rPr>
          <w:rFonts w:ascii="Times New Roman" w:hAnsi="Times New Roman"/>
          <w:sz w:val="24"/>
          <w:szCs w:val="24"/>
        </w:rPr>
        <w:t> : dans la foulée de la création de l’état belge, un certain nationalisme littéraire se développe au XIXème siècle, avec pour ambition de défendre l’« âme belge », en valorisant notamment la culture flamande et la langue française. Les romans historiques et romantiques s’imposent, puis les romans réalistes. A partir de la fin du XIX</w:t>
      </w:r>
      <w:r w:rsidRPr="00BC21F3">
        <w:rPr>
          <w:rFonts w:ascii="Times New Roman" w:hAnsi="Times New Roman"/>
          <w:sz w:val="24"/>
          <w:szCs w:val="24"/>
          <w:vertAlign w:val="superscript"/>
        </w:rPr>
        <w:t>e</w:t>
      </w:r>
      <w:r w:rsidRPr="005E58D9">
        <w:rPr>
          <w:rFonts w:ascii="Times New Roman" w:hAnsi="Times New Roman"/>
          <w:sz w:val="24"/>
          <w:szCs w:val="24"/>
        </w:rPr>
        <w:t xml:space="preserve"> siècle, la littérature belge prend son véritable essor. Le roman historique, se matérialise par des productions comme « La légende d’Ulenspiegel », 1867 de Charles De Coster.  Roman inspiré d’une légende germanique, il est souvent considéré, avec ses airs d’épopée de la résistance populaire, comme l’acte de naissance de la littérature belge francophone.  À partir des années 1880, plusieurs grandes revues littéraires sont lancées et deviennent des lieux de discussion et de confrontation sur le sens et la fonction de l’art et même l’existence d’une littérature nationale. En voici quelques unes :   - La Wallonie fondée par Albert Moeckel, qui jouera un rôle </w:t>
      </w:r>
      <w:r w:rsidRPr="005E58D9">
        <w:rPr>
          <w:rFonts w:ascii="Times New Roman" w:hAnsi="Times New Roman"/>
          <w:sz w:val="24"/>
          <w:szCs w:val="24"/>
        </w:rPr>
        <w:lastRenderedPageBreak/>
        <w:t>majeur dans l’histoire du symbolisme, dans la mesure où elle rassemblera poètes belges (Materelinck, Verhaeren, Elskamp...) et français (Paul Valéry, André Gide, Verlaine ou Mallarmé). - L’Art moderne animée par Edmond Picard, qui défend un art social,  ou encore  - La Jeune Belgique qui réunit des poètes du Parnasse et propose comme mot d’ordre «Soyons-nous ! ».</w:t>
      </w:r>
    </w:p>
    <w:p w:rsidR="006A4EED" w:rsidRPr="00071A3C" w:rsidRDefault="006A4EED" w:rsidP="00864D41">
      <w:pPr>
        <w:pStyle w:val="Paragraphedeliste"/>
        <w:numPr>
          <w:ilvl w:val="0"/>
          <w:numId w:val="36"/>
        </w:numPr>
        <w:spacing w:line="360" w:lineRule="auto"/>
        <w:jc w:val="both"/>
        <w:rPr>
          <w:rFonts w:ascii="Times New Roman" w:hAnsi="Times New Roman"/>
          <w:sz w:val="24"/>
          <w:szCs w:val="24"/>
        </w:rPr>
      </w:pPr>
      <w:r w:rsidRPr="00071A3C">
        <w:rPr>
          <w:rFonts w:ascii="Times New Roman" w:hAnsi="Times New Roman"/>
          <w:b/>
          <w:sz w:val="24"/>
          <w:szCs w:val="24"/>
        </w:rPr>
        <w:t>1880-1914 : le symbolisme belge</w:t>
      </w:r>
      <w:r w:rsidRPr="00071A3C">
        <w:rPr>
          <w:rFonts w:ascii="Times New Roman" w:hAnsi="Times New Roman"/>
          <w:sz w:val="24"/>
          <w:szCs w:val="24"/>
        </w:rPr>
        <w:t xml:space="preserve"> : mouvement esthétique né en réaction au mouvement naturaliste et au mouvement parnassien, il consacre le monde comme un mystère à déchiffrer. Les images, métaphores, symboles etc. construisent le fond des œuvres.  Rimbaud, Baudelaire et Verlaine sont les grands précurseurs de ce mouvement. Les symbolistes belges et français s’attachent à expérimenter des procédés stylistiques nouveaux et font la promotion du vers libre. Toutefois, les symbolistes belges se singularisent  par un engagement dans les problématiques sociales de leur temps. Ils sont également plus réceptifs aux influences germaniques. </w:t>
      </w:r>
    </w:p>
    <w:p w:rsidR="006A4EED" w:rsidRPr="00071A3C" w:rsidRDefault="006A4EED" w:rsidP="00864D41">
      <w:pPr>
        <w:pStyle w:val="Paragraphedeliste"/>
        <w:numPr>
          <w:ilvl w:val="0"/>
          <w:numId w:val="36"/>
        </w:numPr>
        <w:spacing w:line="360" w:lineRule="auto"/>
        <w:jc w:val="both"/>
        <w:rPr>
          <w:rFonts w:ascii="Times New Roman" w:hAnsi="Times New Roman"/>
          <w:sz w:val="24"/>
          <w:szCs w:val="24"/>
        </w:rPr>
      </w:pPr>
      <w:r w:rsidRPr="00071A3C">
        <w:rPr>
          <w:rFonts w:ascii="Times New Roman" w:hAnsi="Times New Roman"/>
          <w:b/>
          <w:sz w:val="24"/>
          <w:szCs w:val="24"/>
        </w:rPr>
        <w:t>Le surréalisme (entre-deux-guerres)</w:t>
      </w:r>
      <w:r w:rsidRPr="00071A3C">
        <w:rPr>
          <w:rFonts w:ascii="Times New Roman" w:hAnsi="Times New Roman"/>
          <w:sz w:val="24"/>
          <w:szCs w:val="24"/>
        </w:rPr>
        <w:t xml:space="preserve"> en comparaison européenne, le surréalisme belge se distingue par les distances qu’il prend avec Breton et les surréalistes français. Le groupe de Bruxelles et le groupe de Hainaut émergent et s’imposent en Belgique. Le premier rassemble des artistes aussi divers que René Magritte (peintre), André Souris (musicien) ou Paul Nougé et Camille Goemans (écrivains). Le second, rassemblé autour de Chavée, est un peu plus proche du surréalisme français mais refuse de séparer l’art et le social.</w:t>
      </w:r>
    </w:p>
    <w:p w:rsidR="006A4EED" w:rsidRPr="00071A3C" w:rsidRDefault="006A4EED" w:rsidP="008C57CA">
      <w:pPr>
        <w:pStyle w:val="Paragraphedeliste"/>
        <w:numPr>
          <w:ilvl w:val="0"/>
          <w:numId w:val="36"/>
        </w:numPr>
        <w:spacing w:line="360" w:lineRule="auto"/>
        <w:jc w:val="both"/>
        <w:rPr>
          <w:rFonts w:ascii="Times New Roman" w:hAnsi="Times New Roman"/>
          <w:sz w:val="24"/>
          <w:szCs w:val="24"/>
        </w:rPr>
      </w:pPr>
      <w:r w:rsidRPr="00071A3C">
        <w:rPr>
          <w:rFonts w:ascii="Times New Roman" w:hAnsi="Times New Roman"/>
          <w:b/>
          <w:sz w:val="24"/>
          <w:szCs w:val="24"/>
        </w:rPr>
        <w:t>Le fantastique (</w:t>
      </w:r>
      <w:r w:rsidR="008C57CA">
        <w:rPr>
          <w:rFonts w:ascii="Times New Roman" w:hAnsi="Times New Roman"/>
          <w:b/>
          <w:sz w:val="24"/>
          <w:szCs w:val="24"/>
        </w:rPr>
        <w:t>20</w:t>
      </w:r>
      <w:r w:rsidR="008C57CA">
        <w:rPr>
          <w:rFonts w:ascii="Times New Roman" w:hAnsi="Times New Roman"/>
          <w:b/>
          <w:sz w:val="24"/>
          <w:szCs w:val="24"/>
          <w:vertAlign w:val="superscript"/>
        </w:rPr>
        <w:t>ème</w:t>
      </w:r>
      <w:r w:rsidRPr="00071A3C">
        <w:rPr>
          <w:rFonts w:ascii="Times New Roman" w:hAnsi="Times New Roman"/>
          <w:b/>
          <w:sz w:val="24"/>
          <w:szCs w:val="24"/>
        </w:rPr>
        <w:t xml:space="preserve"> siècle)</w:t>
      </w:r>
      <w:r w:rsidRPr="00071A3C">
        <w:rPr>
          <w:rFonts w:ascii="Times New Roman" w:hAnsi="Times New Roman"/>
          <w:sz w:val="24"/>
          <w:szCs w:val="24"/>
        </w:rPr>
        <w:t xml:space="preserve"> est une combinaison qui allie réalité et imaginaire. Cette dualité apparaît au niveau du cadre spatio-temporel du récit, se base sur l'existence de forces obscures et surnaturelles capables de bouleverser le quotidien. Cela se traduit dans un choix très proche de thèmes et de personnages.  Ce  fantastique est infiltré  par la peur et la mort : des récits fantastiques se déroulent dans un climat d’épouvante et se terminent presque </w:t>
      </w:r>
      <w:r w:rsidRPr="00071A3C">
        <w:rPr>
          <w:rFonts w:ascii="Times New Roman" w:hAnsi="Times New Roman"/>
          <w:sz w:val="24"/>
          <w:szCs w:val="24"/>
        </w:rPr>
        <w:lastRenderedPageBreak/>
        <w:t xml:space="preserve">inévitablement par la mort, la disparition ou la damnation du héros. Pierre-Georges Castex explique à ce propos :  </w:t>
      </w:r>
    </w:p>
    <w:p w:rsidR="006A4EED" w:rsidRPr="00E61F93" w:rsidRDefault="006A4EED" w:rsidP="00447B79">
      <w:pPr>
        <w:pStyle w:val="Citationintense"/>
        <w:spacing w:before="0" w:after="0"/>
        <w:ind w:left="567" w:right="0"/>
      </w:pPr>
      <w:r w:rsidRPr="00E61F93">
        <w:rPr>
          <w:iCs w:val="0"/>
          <w:sz w:val="20"/>
          <w:szCs w:val="20"/>
        </w:rPr>
        <w:t>Le fantastique ne se confond pas avec l'affabulation conventionnelle des récits mythologiques ou des féeries qui implique un dépaysement de l'esprit. Il se caractérise au contraire par une intrusion brutale du mystère dans le cadre de la vie réelle; il est lié généralement aux états morbides de la conscience qui, dans les phénomènes de cauchemar ou de délire, projette devant elle des images de ses angoisses et de ses terreurs</w:t>
      </w:r>
      <w:r w:rsidR="00155C9B">
        <w:rPr>
          <w:iCs w:val="0"/>
          <w:sz w:val="20"/>
          <w:szCs w:val="20"/>
        </w:rPr>
        <w:t>. (</w:t>
      </w:r>
      <w:r w:rsidR="00155C9B" w:rsidRPr="001D2A0A">
        <w:t>P-</w:t>
      </w:r>
      <w:r w:rsidR="00155C9B" w:rsidRPr="00F0465C">
        <w:t>G C</w:t>
      </w:r>
      <w:r w:rsidR="00155C9B">
        <w:t>astex, 1994, p.57).</w:t>
      </w:r>
      <w:r w:rsidRPr="00E61F93">
        <w:t xml:space="preserve"> </w:t>
      </w:r>
    </w:p>
    <w:p w:rsidR="006A4EED" w:rsidRPr="005E58D9" w:rsidRDefault="006A4EED" w:rsidP="00B23DFF">
      <w:pPr>
        <w:spacing w:line="360" w:lineRule="auto"/>
        <w:ind w:left="1416" w:firstLine="708"/>
        <w:jc w:val="both"/>
        <w:rPr>
          <w:rFonts w:ascii="Times New Roman" w:hAnsi="Times New Roman"/>
          <w:sz w:val="24"/>
          <w:szCs w:val="24"/>
        </w:rPr>
      </w:pPr>
      <w:r w:rsidRPr="005E58D9">
        <w:rPr>
          <w:rFonts w:ascii="Times New Roman" w:hAnsi="Times New Roman"/>
          <w:sz w:val="24"/>
          <w:szCs w:val="24"/>
        </w:rPr>
        <w:t>Le genre fantastique a eu une certaine influence en France de 1830 à la fin du XIX</w:t>
      </w:r>
      <w:r w:rsidRPr="000D1A5D">
        <w:rPr>
          <w:rFonts w:ascii="Times New Roman" w:hAnsi="Times New Roman"/>
          <w:sz w:val="24"/>
          <w:szCs w:val="24"/>
          <w:vertAlign w:val="superscript"/>
        </w:rPr>
        <w:t xml:space="preserve">e </w:t>
      </w:r>
      <w:r w:rsidRPr="005E58D9">
        <w:rPr>
          <w:rFonts w:ascii="Times New Roman" w:hAnsi="Times New Roman"/>
          <w:sz w:val="24"/>
          <w:szCs w:val="24"/>
        </w:rPr>
        <w:t>siècle (Huysmans, Maupassant, Gautier, Mérimée ou Villiers de l’Isle-Adam). Cependant, peut-être parce qu’il a été considéré par la suite comme un « sous-genre » en France,  le fantastique a connu, en Belgique, un développement particulièrement. Prépondérant dans l’univers littéraire,  il a  profondément marqué la littérature belge du XX</w:t>
      </w:r>
      <w:r w:rsidRPr="000D1A5D">
        <w:rPr>
          <w:rFonts w:ascii="Times New Roman" w:hAnsi="Times New Roman"/>
          <w:sz w:val="24"/>
          <w:szCs w:val="24"/>
          <w:vertAlign w:val="superscript"/>
        </w:rPr>
        <w:t>e</w:t>
      </w:r>
      <w:r w:rsidRPr="005E58D9">
        <w:rPr>
          <w:rFonts w:ascii="Times New Roman" w:hAnsi="Times New Roman"/>
          <w:sz w:val="24"/>
          <w:szCs w:val="24"/>
        </w:rPr>
        <w:t xml:space="preserve"> siècle. </w:t>
      </w:r>
    </w:p>
    <w:p w:rsidR="006A4EED" w:rsidRPr="000D1A5D" w:rsidRDefault="000D1A5D" w:rsidP="000D1A5D">
      <w:pPr>
        <w:pStyle w:val="Titre3"/>
        <w:spacing w:before="0" w:after="0" w:line="360" w:lineRule="auto"/>
        <w:ind w:left="568" w:hanging="284"/>
        <w:jc w:val="both"/>
        <w:rPr>
          <w:rFonts w:ascii="Times New Roman" w:hAnsi="Times New Roman" w:cs="Times New Roman"/>
          <w:sz w:val="24"/>
          <w:szCs w:val="24"/>
        </w:rPr>
      </w:pPr>
      <w:bookmarkStart w:id="51" w:name="_Toc471484426"/>
      <w:r>
        <w:rPr>
          <w:rFonts w:ascii="Times New Roman" w:hAnsi="Times New Roman" w:cs="Times New Roman"/>
          <w:sz w:val="24"/>
          <w:szCs w:val="24"/>
        </w:rPr>
        <w:t>3.</w:t>
      </w:r>
      <w:r w:rsidRPr="000D1A5D">
        <w:rPr>
          <w:rFonts w:ascii="Times New Roman" w:hAnsi="Times New Roman" w:cs="Times New Roman"/>
          <w:sz w:val="24"/>
          <w:szCs w:val="24"/>
        </w:rPr>
        <w:t xml:space="preserve"> Vie</w:t>
      </w:r>
      <w:r w:rsidR="006A4EED" w:rsidRPr="000D1A5D">
        <w:rPr>
          <w:rFonts w:ascii="Times New Roman" w:hAnsi="Times New Roman" w:cs="Times New Roman"/>
          <w:sz w:val="24"/>
          <w:szCs w:val="24"/>
        </w:rPr>
        <w:t xml:space="preserve"> et œuvre de Michel de Ghelderode</w:t>
      </w:r>
      <w:bookmarkEnd w:id="51"/>
    </w:p>
    <w:p w:rsidR="006A4EED" w:rsidRPr="000D1A5D" w:rsidRDefault="000D1A5D" w:rsidP="00D76F4F">
      <w:pPr>
        <w:pStyle w:val="Titre4"/>
        <w:spacing w:before="0" w:after="0" w:line="360" w:lineRule="auto"/>
        <w:ind w:left="641" w:hanging="357"/>
        <w:jc w:val="both"/>
        <w:rPr>
          <w:rFonts w:ascii="Times New Roman" w:hAnsi="Times New Roman"/>
          <w:i w:val="0"/>
          <w:iCs/>
          <w:szCs w:val="24"/>
          <w:lang w:eastAsia="fr-FR"/>
        </w:rPr>
      </w:pPr>
      <w:bookmarkStart w:id="52" w:name="_Toc471484427"/>
      <w:r>
        <w:rPr>
          <w:rFonts w:ascii="Times New Roman" w:hAnsi="Times New Roman"/>
          <w:i w:val="0"/>
          <w:iCs/>
          <w:szCs w:val="24"/>
          <w:lang w:eastAsia="fr-FR"/>
        </w:rPr>
        <w:t>3.1.</w:t>
      </w:r>
      <w:r w:rsidRPr="000D1A5D">
        <w:rPr>
          <w:rFonts w:ascii="Times New Roman" w:hAnsi="Times New Roman"/>
          <w:i w:val="0"/>
          <w:iCs/>
          <w:szCs w:val="24"/>
          <w:lang w:eastAsia="fr-FR"/>
        </w:rPr>
        <w:t xml:space="preserve"> </w:t>
      </w:r>
      <w:r w:rsidR="00D76F4F">
        <w:rPr>
          <w:rFonts w:ascii="Times New Roman" w:hAnsi="Times New Roman"/>
          <w:i w:val="0"/>
          <w:iCs/>
          <w:szCs w:val="24"/>
          <w:lang w:eastAsia="fr-FR"/>
        </w:rPr>
        <w:t>Biographie</w:t>
      </w:r>
      <w:r w:rsidR="006A4EED" w:rsidRPr="000D1A5D">
        <w:rPr>
          <w:rFonts w:ascii="Times New Roman" w:hAnsi="Times New Roman"/>
          <w:i w:val="0"/>
          <w:iCs/>
          <w:szCs w:val="24"/>
          <w:lang w:eastAsia="fr-FR"/>
        </w:rPr>
        <w:t xml:space="preserve"> de Michel de Ghelderode</w:t>
      </w:r>
      <w:bookmarkEnd w:id="52"/>
    </w:p>
    <w:p w:rsidR="006A4EED" w:rsidRPr="000D1A5D" w:rsidRDefault="006A4EED" w:rsidP="000D1A5D">
      <w:pPr>
        <w:spacing w:after="0" w:line="360" w:lineRule="auto"/>
        <w:ind w:firstLine="284"/>
        <w:jc w:val="both"/>
        <w:rPr>
          <w:rFonts w:asciiTheme="majorBidi" w:hAnsiTheme="majorBidi" w:cstheme="majorBidi"/>
          <w:sz w:val="24"/>
          <w:szCs w:val="24"/>
        </w:rPr>
      </w:pPr>
      <w:r w:rsidRPr="000D1A5D">
        <w:rPr>
          <w:rFonts w:asciiTheme="majorBidi" w:hAnsiTheme="majorBidi" w:cstheme="majorBidi"/>
          <w:sz w:val="24"/>
          <w:szCs w:val="24"/>
        </w:rPr>
        <w:t xml:space="preserve">Né à </w:t>
      </w:r>
      <w:hyperlink r:id="rId26" w:tooltip="Ixelles" w:history="1">
        <w:r w:rsidRPr="000D1A5D">
          <w:rPr>
            <w:rFonts w:asciiTheme="majorBidi" w:hAnsiTheme="majorBidi" w:cstheme="majorBidi"/>
            <w:sz w:val="24"/>
            <w:szCs w:val="24"/>
          </w:rPr>
          <w:t>Ixelles</w:t>
        </w:r>
      </w:hyperlink>
      <w:r w:rsidRPr="000D1A5D">
        <w:rPr>
          <w:rFonts w:asciiTheme="majorBidi" w:hAnsiTheme="majorBidi" w:cstheme="majorBidi"/>
          <w:sz w:val="24"/>
          <w:szCs w:val="24"/>
        </w:rPr>
        <w:t xml:space="preserve"> le </w:t>
      </w:r>
      <w:hyperlink r:id="rId27" w:tooltip="3 avril" w:history="1">
        <w:r w:rsidRPr="000D1A5D">
          <w:rPr>
            <w:rFonts w:asciiTheme="majorBidi" w:hAnsiTheme="majorBidi" w:cstheme="majorBidi"/>
            <w:sz w:val="24"/>
            <w:szCs w:val="24"/>
          </w:rPr>
          <w:t>3</w:t>
        </w:r>
      </w:hyperlink>
      <w:r w:rsidRPr="000D1A5D">
        <w:rPr>
          <w:rFonts w:asciiTheme="majorBidi" w:hAnsiTheme="majorBidi" w:cstheme="majorBidi"/>
          <w:sz w:val="24"/>
          <w:szCs w:val="24"/>
        </w:rPr>
        <w:t xml:space="preserve"> </w:t>
      </w:r>
      <w:hyperlink r:id="rId28" w:tooltip="Avril 1898" w:history="1">
        <w:r w:rsidRPr="000D1A5D">
          <w:rPr>
            <w:rFonts w:asciiTheme="majorBidi" w:hAnsiTheme="majorBidi" w:cstheme="majorBidi"/>
            <w:sz w:val="24"/>
            <w:szCs w:val="24"/>
          </w:rPr>
          <w:t>avril</w:t>
        </w:r>
      </w:hyperlink>
      <w:r w:rsidRPr="000D1A5D">
        <w:rPr>
          <w:rFonts w:asciiTheme="majorBidi" w:hAnsiTheme="majorBidi" w:cstheme="majorBidi"/>
          <w:sz w:val="24"/>
          <w:szCs w:val="24"/>
        </w:rPr>
        <w:t xml:space="preserve"> </w:t>
      </w:r>
      <w:hyperlink r:id="rId29" w:tooltip="1898 en littérature" w:history="1">
        <w:r w:rsidRPr="000D1A5D">
          <w:rPr>
            <w:rFonts w:asciiTheme="majorBidi" w:hAnsiTheme="majorBidi" w:cstheme="majorBidi"/>
            <w:sz w:val="24"/>
            <w:szCs w:val="24"/>
          </w:rPr>
          <w:t>1898</w:t>
        </w:r>
      </w:hyperlink>
      <w:r w:rsidRPr="000D1A5D">
        <w:rPr>
          <w:rFonts w:asciiTheme="majorBidi" w:hAnsiTheme="majorBidi" w:cstheme="majorBidi"/>
          <w:sz w:val="24"/>
          <w:szCs w:val="24"/>
        </w:rPr>
        <w:t xml:space="preserve"> et mort à </w:t>
      </w:r>
      <w:hyperlink r:id="rId30" w:tooltip="Schaerbeek" w:history="1">
        <w:r w:rsidRPr="000D1A5D">
          <w:rPr>
            <w:rFonts w:asciiTheme="majorBidi" w:hAnsiTheme="majorBidi" w:cstheme="majorBidi"/>
            <w:sz w:val="24"/>
            <w:szCs w:val="24"/>
          </w:rPr>
          <w:t>Schaerbeek</w:t>
        </w:r>
      </w:hyperlink>
      <w:r w:rsidRPr="000D1A5D">
        <w:rPr>
          <w:rFonts w:asciiTheme="majorBidi" w:hAnsiTheme="majorBidi" w:cstheme="majorBidi"/>
          <w:sz w:val="24"/>
          <w:szCs w:val="24"/>
        </w:rPr>
        <w:t xml:space="preserve"> le </w:t>
      </w:r>
      <w:hyperlink r:id="rId31" w:tooltip="1er avril" w:history="1">
        <w:r w:rsidRPr="000D1A5D">
          <w:rPr>
            <w:rFonts w:asciiTheme="majorBidi" w:hAnsiTheme="majorBidi" w:cstheme="majorBidi"/>
            <w:sz w:val="24"/>
            <w:szCs w:val="24"/>
          </w:rPr>
          <w:t>1er</w:t>
        </w:r>
      </w:hyperlink>
      <w:r w:rsidRPr="000D1A5D">
        <w:rPr>
          <w:rFonts w:asciiTheme="majorBidi" w:hAnsiTheme="majorBidi" w:cstheme="majorBidi"/>
          <w:sz w:val="24"/>
          <w:szCs w:val="24"/>
        </w:rPr>
        <w:t xml:space="preserve"> </w:t>
      </w:r>
      <w:hyperlink r:id="rId32" w:tooltip="Avril 1962" w:history="1">
        <w:r w:rsidRPr="000D1A5D">
          <w:rPr>
            <w:rFonts w:asciiTheme="majorBidi" w:hAnsiTheme="majorBidi" w:cstheme="majorBidi"/>
            <w:sz w:val="24"/>
            <w:szCs w:val="24"/>
          </w:rPr>
          <w:t>avril</w:t>
        </w:r>
      </w:hyperlink>
      <w:r w:rsidRPr="000D1A5D">
        <w:rPr>
          <w:rFonts w:asciiTheme="majorBidi" w:hAnsiTheme="majorBidi" w:cstheme="majorBidi"/>
          <w:sz w:val="24"/>
          <w:szCs w:val="24"/>
        </w:rPr>
        <w:t xml:space="preserve"> </w:t>
      </w:r>
      <w:hyperlink r:id="rId33" w:tooltip="1962 en littérature" w:history="1">
        <w:r w:rsidRPr="000D1A5D">
          <w:rPr>
            <w:rFonts w:asciiTheme="majorBidi" w:hAnsiTheme="majorBidi" w:cstheme="majorBidi"/>
            <w:sz w:val="24"/>
            <w:szCs w:val="24"/>
          </w:rPr>
          <w:t>1962</w:t>
        </w:r>
      </w:hyperlink>
      <w:r w:rsidRPr="000D1A5D">
        <w:rPr>
          <w:rFonts w:asciiTheme="majorBidi" w:hAnsiTheme="majorBidi" w:cstheme="majorBidi"/>
          <w:sz w:val="24"/>
          <w:szCs w:val="24"/>
        </w:rPr>
        <w:t xml:space="preserve">, Michel de Ghelderode, né d'Adémar Adolphe Louis Martens, présente de multiples casquettes : c’est un </w:t>
      </w:r>
      <w:hyperlink r:id="rId34" w:tooltip="Auteur dramatique" w:history="1">
        <w:r w:rsidRPr="000D1A5D">
          <w:rPr>
            <w:rFonts w:asciiTheme="majorBidi" w:hAnsiTheme="majorBidi" w:cstheme="majorBidi"/>
            <w:sz w:val="24"/>
            <w:szCs w:val="24"/>
          </w:rPr>
          <w:t>auteur dramatique</w:t>
        </w:r>
      </w:hyperlink>
      <w:r w:rsidRPr="000D1A5D">
        <w:rPr>
          <w:rFonts w:asciiTheme="majorBidi" w:hAnsiTheme="majorBidi" w:cstheme="majorBidi"/>
          <w:sz w:val="24"/>
          <w:szCs w:val="24"/>
        </w:rPr>
        <w:t xml:space="preserve">, un </w:t>
      </w:r>
      <w:hyperlink r:id="rId35" w:tooltip="Article de presse" w:history="1">
        <w:r w:rsidRPr="000D1A5D">
          <w:rPr>
            <w:rFonts w:asciiTheme="majorBidi" w:hAnsiTheme="majorBidi" w:cstheme="majorBidi"/>
            <w:sz w:val="24"/>
            <w:szCs w:val="24"/>
          </w:rPr>
          <w:t>chroniqueur</w:t>
        </w:r>
      </w:hyperlink>
      <w:r w:rsidRPr="000D1A5D">
        <w:rPr>
          <w:rFonts w:asciiTheme="majorBidi" w:hAnsiTheme="majorBidi" w:cstheme="majorBidi"/>
          <w:sz w:val="24"/>
          <w:szCs w:val="24"/>
        </w:rPr>
        <w:t xml:space="preserve"> et </w:t>
      </w:r>
      <w:hyperlink r:id="rId36" w:tooltip="Épistolier (littérature)" w:history="1">
        <w:r w:rsidRPr="000D1A5D">
          <w:rPr>
            <w:rFonts w:asciiTheme="majorBidi" w:hAnsiTheme="majorBidi" w:cstheme="majorBidi"/>
            <w:sz w:val="24"/>
            <w:szCs w:val="24"/>
          </w:rPr>
          <w:t>épistolier</w:t>
        </w:r>
      </w:hyperlink>
      <w:r w:rsidRPr="000D1A5D">
        <w:rPr>
          <w:rFonts w:asciiTheme="majorBidi" w:hAnsiTheme="majorBidi" w:cstheme="majorBidi"/>
          <w:sz w:val="24"/>
          <w:szCs w:val="24"/>
        </w:rPr>
        <w:t xml:space="preserve"> </w:t>
      </w:r>
      <w:hyperlink r:id="rId37" w:tooltip="Belgique" w:history="1">
        <w:r w:rsidRPr="000D1A5D">
          <w:rPr>
            <w:rFonts w:asciiTheme="majorBidi" w:hAnsiTheme="majorBidi" w:cstheme="majorBidi"/>
            <w:sz w:val="24"/>
            <w:szCs w:val="24"/>
          </w:rPr>
          <w:t>belge</w:t>
        </w:r>
      </w:hyperlink>
      <w:r w:rsidRPr="000D1A5D">
        <w:rPr>
          <w:rFonts w:asciiTheme="majorBidi" w:hAnsiTheme="majorBidi" w:cstheme="majorBidi"/>
          <w:sz w:val="24"/>
          <w:szCs w:val="24"/>
        </w:rPr>
        <w:t xml:space="preserve">. Il est faut-il le rappeler, d'origine </w:t>
      </w:r>
      <w:hyperlink r:id="rId38" w:tooltip="Flandre (Belgique)" w:history="1">
        <w:r w:rsidRPr="000D1A5D">
          <w:rPr>
            <w:rFonts w:asciiTheme="majorBidi" w:hAnsiTheme="majorBidi" w:cstheme="majorBidi"/>
            <w:sz w:val="24"/>
            <w:szCs w:val="24"/>
          </w:rPr>
          <w:t>flamande</w:t>
        </w:r>
      </w:hyperlink>
      <w:r w:rsidRPr="000D1A5D">
        <w:rPr>
          <w:rFonts w:asciiTheme="majorBidi" w:hAnsiTheme="majorBidi" w:cstheme="majorBidi"/>
          <w:sz w:val="24"/>
          <w:szCs w:val="24"/>
        </w:rPr>
        <w:t xml:space="preserve"> mais d'expression française. </w:t>
      </w:r>
    </w:p>
    <w:p w:rsidR="006A4EED" w:rsidRPr="000D1A5D" w:rsidRDefault="006A4EED" w:rsidP="00D71FD3">
      <w:pPr>
        <w:spacing w:after="0" w:line="360" w:lineRule="auto"/>
        <w:ind w:firstLine="284"/>
        <w:jc w:val="both"/>
        <w:rPr>
          <w:rFonts w:asciiTheme="majorBidi" w:hAnsiTheme="majorBidi" w:cstheme="majorBidi"/>
          <w:sz w:val="24"/>
          <w:szCs w:val="24"/>
        </w:rPr>
      </w:pPr>
      <w:r w:rsidRPr="000D1A5D">
        <w:rPr>
          <w:rFonts w:asciiTheme="majorBidi" w:hAnsiTheme="majorBidi" w:cstheme="majorBidi"/>
          <w:sz w:val="24"/>
          <w:szCs w:val="24"/>
        </w:rPr>
        <w:t xml:space="preserve">Ghelderode est le quatrième d’une famille dont le père est employé aux Archives Générales du Royaume. Pour des raisons de promotion sociale et bien que de parents flamands, il est éduqué en français. Il évoque lors d’entretiens avoir été profondément meurtri par l'attitude d'un père autoritaire et aussi marqué par les récits terrifiants d'une mère superstitieuse et craintive. Du travail de son père, il hérite un attachement pour l'histoire pour les époques du Moyen Âge, de la Renaissance et de l'Inquisition. Il dira à ce propos lors d’entretiens-mémoires : </w:t>
      </w:r>
      <w:r w:rsidR="000D1A5D" w:rsidRPr="000D1A5D">
        <w:rPr>
          <w:rFonts w:asciiTheme="majorBidi" w:hAnsiTheme="majorBidi" w:cstheme="majorBidi"/>
          <w:sz w:val="24"/>
          <w:szCs w:val="24"/>
        </w:rPr>
        <w:t>« </w:t>
      </w:r>
      <w:r w:rsidRPr="000D1A5D">
        <w:rPr>
          <w:rFonts w:asciiTheme="majorBidi" w:hAnsiTheme="majorBidi" w:cstheme="majorBidi"/>
          <w:sz w:val="24"/>
          <w:szCs w:val="24"/>
        </w:rPr>
        <w:t>Je me sens vraiment le contemporain de ces gens du Moyen Âge ou de la pré-Renaissance. Je sais d’eux comment ils vivent et connais chacune de leurs occupations. Je suis familier de leur cerveau et de leur cœur comme de leur logis et de leur boutique</w:t>
      </w:r>
      <w:r w:rsidR="000D1A5D" w:rsidRPr="000D1A5D">
        <w:rPr>
          <w:rFonts w:asciiTheme="majorBidi" w:hAnsiTheme="majorBidi" w:cstheme="majorBidi"/>
          <w:sz w:val="24"/>
          <w:szCs w:val="24"/>
        </w:rPr>
        <w:t> ».</w:t>
      </w:r>
      <w:r w:rsidR="00442189">
        <w:rPr>
          <w:rFonts w:asciiTheme="majorBidi" w:hAnsiTheme="majorBidi" w:cstheme="majorBidi"/>
          <w:sz w:val="24"/>
          <w:szCs w:val="24"/>
        </w:rPr>
        <w:t xml:space="preserve"> (M. Ghelderode, 1956, p.133).</w:t>
      </w:r>
    </w:p>
    <w:p w:rsidR="00E61F93" w:rsidRPr="00ED46B6" w:rsidRDefault="006A4EED" w:rsidP="00ED46B6">
      <w:pPr>
        <w:spacing w:after="0" w:line="360" w:lineRule="auto"/>
        <w:ind w:firstLine="284"/>
        <w:jc w:val="both"/>
      </w:pPr>
      <w:r w:rsidRPr="005E58D9">
        <w:rPr>
          <w:rFonts w:ascii="Times New Roman" w:hAnsi="Times New Roman"/>
          <w:sz w:val="24"/>
          <w:szCs w:val="24"/>
        </w:rPr>
        <w:t xml:space="preserve">Élevé dans une ambiance religieuse, aussi bien à la maison que dans un collège catholique de Bruxelles, qu’il fréquente, il vit dans une ambiance religieuse qu’il </w:t>
      </w:r>
      <w:r w:rsidRPr="005E58D9">
        <w:rPr>
          <w:rFonts w:ascii="Times New Roman" w:hAnsi="Times New Roman"/>
          <w:sz w:val="24"/>
          <w:szCs w:val="24"/>
        </w:rPr>
        <w:lastRenderedPageBreak/>
        <w:t xml:space="preserve">juge terrifiante (sa mère croyante, dira t-il, était persuadée d’avoir vu le Diable). Il en gardera lui aussi la </w:t>
      </w:r>
      <w:r w:rsidRPr="00ED46B6">
        <w:rPr>
          <w:rFonts w:asciiTheme="majorBidi" w:hAnsiTheme="majorBidi" w:cstheme="majorBidi"/>
          <w:sz w:val="24"/>
          <w:szCs w:val="24"/>
        </w:rPr>
        <w:t>certitude : « L'existence du diable est certaine, il suffit de regarder autour de soi. Dieu se manifeste rarement»</w:t>
      </w:r>
      <w:r w:rsidR="00ED46B6">
        <w:rPr>
          <w:rFonts w:asciiTheme="majorBidi" w:hAnsiTheme="majorBidi" w:cstheme="majorBidi"/>
          <w:sz w:val="24"/>
          <w:szCs w:val="24"/>
        </w:rPr>
        <w:t>. (</w:t>
      </w:r>
      <w:r w:rsidR="00ED46B6">
        <w:rPr>
          <w:rFonts w:asciiTheme="majorBidi" w:hAnsiTheme="majorBidi" w:cstheme="majorBidi"/>
          <w:i/>
          <w:iCs/>
          <w:sz w:val="24"/>
          <w:szCs w:val="24"/>
        </w:rPr>
        <w:t>Ibid</w:t>
      </w:r>
      <w:r w:rsidR="00ED46B6">
        <w:rPr>
          <w:rFonts w:asciiTheme="majorBidi" w:hAnsiTheme="majorBidi" w:cstheme="majorBidi"/>
          <w:sz w:val="24"/>
          <w:szCs w:val="24"/>
        </w:rPr>
        <w:t>).</w:t>
      </w:r>
    </w:p>
    <w:p w:rsidR="006A4EED" w:rsidRPr="00E62FCB" w:rsidRDefault="006A4EED" w:rsidP="00ED46B6">
      <w:pPr>
        <w:spacing w:after="0" w:line="360" w:lineRule="auto"/>
        <w:ind w:firstLine="284"/>
        <w:jc w:val="both"/>
        <w:rPr>
          <w:i/>
        </w:rPr>
      </w:pPr>
      <w:r w:rsidRPr="005E58D9">
        <w:rPr>
          <w:rFonts w:ascii="Times New Roman" w:hAnsi="Times New Roman"/>
          <w:sz w:val="24"/>
          <w:szCs w:val="24"/>
        </w:rPr>
        <w:br/>
        <w:t>Et lorsque Ghelderode perd la foi à l'adolescence, il continuera à croire aux puissances du mal.</w:t>
      </w:r>
    </w:p>
    <w:p w:rsidR="006A4EED" w:rsidRPr="00346DBD" w:rsidRDefault="006A4EED" w:rsidP="006046A8">
      <w:pPr>
        <w:pStyle w:val="Citationintense"/>
        <w:spacing w:before="0" w:after="0"/>
        <w:ind w:left="567" w:right="0"/>
        <w:rPr>
          <w:iCs w:val="0"/>
          <w:sz w:val="20"/>
          <w:szCs w:val="20"/>
        </w:rPr>
      </w:pPr>
      <w:r w:rsidRPr="00ED46B6">
        <w:rPr>
          <w:iCs w:val="0"/>
          <w:sz w:val="20"/>
          <w:szCs w:val="20"/>
        </w:rPr>
        <w:t>On m'a trop menacé naguère, mes parents et les prêtres, et ma vie s'est édifiée sur la peur […] Le prêtre clamait dans l'oratoire où l'on nous rassemblait le soir, pareils à des coupables. Et nous baissions le front. Un vent glacial nous frôlait la nuque et nous redoutions que la porte s'ouvrît et que quelqu'un d'invisible vînt appréhender l'un de nous</w:t>
      </w:r>
      <w:r w:rsidR="00ED46B6">
        <w:rPr>
          <w:iCs w:val="0"/>
          <w:sz w:val="20"/>
          <w:szCs w:val="20"/>
        </w:rPr>
        <w:t>.</w:t>
      </w:r>
      <w:r w:rsidR="00346DBD">
        <w:rPr>
          <w:iCs w:val="0"/>
          <w:sz w:val="20"/>
          <w:szCs w:val="20"/>
        </w:rPr>
        <w:t xml:space="preserve"> (</w:t>
      </w:r>
      <w:r w:rsidR="00346DBD">
        <w:rPr>
          <w:i/>
          <w:sz w:val="20"/>
          <w:szCs w:val="20"/>
        </w:rPr>
        <w:t>Ibid</w:t>
      </w:r>
      <w:r w:rsidR="00346DBD">
        <w:rPr>
          <w:iCs w:val="0"/>
          <w:sz w:val="20"/>
          <w:szCs w:val="20"/>
        </w:rPr>
        <w:t>, p.134)</w:t>
      </w:r>
    </w:p>
    <w:p w:rsidR="00484F7A" w:rsidRDefault="00484F7A" w:rsidP="009F1380">
      <w:pPr>
        <w:spacing w:after="0" w:line="360" w:lineRule="auto"/>
        <w:ind w:firstLine="284"/>
        <w:jc w:val="both"/>
        <w:rPr>
          <w:rFonts w:ascii="Times New Roman" w:hAnsi="Times New Roman"/>
          <w:sz w:val="24"/>
          <w:szCs w:val="24"/>
        </w:rPr>
      </w:pPr>
    </w:p>
    <w:p w:rsidR="006A4EED" w:rsidRPr="00E61F93" w:rsidRDefault="006A4EED" w:rsidP="009F1380">
      <w:pPr>
        <w:spacing w:after="0" w:line="360" w:lineRule="auto"/>
        <w:ind w:firstLine="284"/>
        <w:jc w:val="both"/>
        <w:rPr>
          <w:rFonts w:ascii="Times New Roman" w:hAnsi="Times New Roman"/>
          <w:sz w:val="24"/>
          <w:szCs w:val="24"/>
        </w:rPr>
      </w:pPr>
      <w:r w:rsidRPr="00E61F93">
        <w:rPr>
          <w:rFonts w:ascii="Times New Roman" w:hAnsi="Times New Roman"/>
          <w:sz w:val="24"/>
          <w:szCs w:val="24"/>
        </w:rPr>
        <w:t xml:space="preserve">Mais, de son éducation religieuse, il ne retire pas que des traumatismes. </w:t>
      </w:r>
      <w:r w:rsidR="00111056" w:rsidRPr="00E61F93">
        <w:rPr>
          <w:rFonts w:ascii="Times New Roman" w:hAnsi="Times New Roman"/>
          <w:sz w:val="24"/>
          <w:szCs w:val="24"/>
        </w:rPr>
        <w:t>II</w:t>
      </w:r>
      <w:r w:rsidRPr="00E61F93">
        <w:rPr>
          <w:rFonts w:ascii="Times New Roman" w:hAnsi="Times New Roman"/>
          <w:sz w:val="24"/>
          <w:szCs w:val="24"/>
        </w:rPr>
        <w:t xml:space="preserve"> conserve aussi tout le folklore : les aspects rituels et magiques, tout ce tableau théâtral, qui va, pendant longtemps, nourrir son œuvre et le fasciner</w:t>
      </w:r>
      <w:r w:rsidR="008C404D" w:rsidRPr="00E61F93">
        <w:rPr>
          <w:rFonts w:ascii="Times New Roman" w:hAnsi="Times New Roman"/>
          <w:sz w:val="24"/>
          <w:szCs w:val="24"/>
        </w:rPr>
        <w:t xml:space="preserve"> et qui se distingue par les toiles de fond suivantes</w:t>
      </w:r>
      <w:r w:rsidRPr="00E61F93">
        <w:rPr>
          <w:rFonts w:ascii="Times New Roman" w:hAnsi="Times New Roman"/>
          <w:sz w:val="24"/>
          <w:szCs w:val="24"/>
        </w:rPr>
        <w:t xml:space="preserve"> :</w:t>
      </w:r>
    </w:p>
    <w:p w:rsidR="006A4EED" w:rsidRPr="00484F7A" w:rsidRDefault="006A4EED" w:rsidP="00484F7A">
      <w:pPr>
        <w:pStyle w:val="Citationintense"/>
        <w:spacing w:before="0" w:after="0"/>
        <w:ind w:left="567" w:right="0"/>
        <w:rPr>
          <w:sz w:val="20"/>
          <w:szCs w:val="20"/>
        </w:rPr>
      </w:pPr>
      <w:r w:rsidRPr="00484F7A">
        <w:rPr>
          <w:iCs w:val="0"/>
          <w:sz w:val="20"/>
          <w:szCs w:val="20"/>
        </w:rPr>
        <w:t>Le « Merveilleux » de la Bible : les épées fulgurantes de la gloire divine dans l'Ancien Testament - et l'élégie tragique de Jésus dans le Nouveau Testament ! La « Magie » de la messe : l'encens, la musique, la prière, l'enveloppement des chants et des orgues ; les fêtes : Noël, Pâques…, les processions. Le Mystère de la Transsubstantiation, les splendeurs du martyrologe</w:t>
      </w:r>
      <w:r w:rsidRPr="00484F7A">
        <w:rPr>
          <w:rStyle w:val="Appelnotedebasdep"/>
          <w:sz w:val="20"/>
          <w:szCs w:val="20"/>
        </w:rPr>
        <w:t xml:space="preserve"> </w:t>
      </w:r>
      <w:r w:rsidR="00484F7A">
        <w:rPr>
          <w:sz w:val="20"/>
          <w:szCs w:val="20"/>
        </w:rPr>
        <w:t>. (</w:t>
      </w:r>
      <w:r w:rsidR="00484F7A">
        <w:rPr>
          <w:i/>
          <w:iCs w:val="0"/>
          <w:sz w:val="20"/>
          <w:szCs w:val="20"/>
        </w:rPr>
        <w:t>Ibid</w:t>
      </w:r>
      <w:r w:rsidR="00484F7A">
        <w:rPr>
          <w:sz w:val="20"/>
          <w:szCs w:val="20"/>
        </w:rPr>
        <w:t>, p.136).</w:t>
      </w:r>
    </w:p>
    <w:p w:rsidR="00DF770B" w:rsidRDefault="00DF770B" w:rsidP="00DF770B">
      <w:pPr>
        <w:spacing w:after="0" w:line="360" w:lineRule="auto"/>
        <w:ind w:firstLine="284"/>
        <w:jc w:val="both"/>
        <w:rPr>
          <w:rFonts w:ascii="Times New Roman" w:hAnsi="Times New Roman"/>
          <w:sz w:val="24"/>
          <w:szCs w:val="24"/>
        </w:rPr>
      </w:pP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Son père l'emmène il passe du temps aussi à parcourir la foire du Midi. Les fastes de l'opéra, le caractère populaire des marionnettes et de la foire seront, avec l'Histoire, des sources d'inspiration.</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Ghelderode se familiarise aussi avec à l'opéra, au théâtre de marionnettes, qui seront dans son esprit des référents. C'est un adolescent timide et solitaire, à la santé fragile. A 16 ans, une atteinte aiguë de typhus lui fait frôler la mort. Cette expérience tragique, qui laissera des traces dans tout son œuvre, l'oblige à arrêter ses études. Ghelderode s'inscrit alors au Conservatoire de Bruxelles pour y suivre des cours d'alto qu'il abandonne bien vite. Il tient, dès 1917, une chronique artistique dans un hebdomadaire de la capitale, Mercredi-Bourse. </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Dès 1918, le jeune auteur commence à signer ses œuvres Michel de Ghelderode nom qui ne deviendra cependant son patronyme officiel qu'à partir de 1931. </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Trois de ses contes sont alors publiés et l'on crée sa première pièce : </w:t>
      </w:r>
      <w:r w:rsidRPr="005E58D9">
        <w:rPr>
          <w:rFonts w:ascii="Times New Roman" w:hAnsi="Times New Roman"/>
          <w:i/>
          <w:sz w:val="24"/>
          <w:szCs w:val="24"/>
        </w:rPr>
        <w:t>La Mort regarde à la fenêtre</w:t>
      </w:r>
      <w:r w:rsidRPr="005E58D9">
        <w:rPr>
          <w:rFonts w:ascii="Times New Roman" w:hAnsi="Times New Roman"/>
          <w:sz w:val="24"/>
          <w:szCs w:val="24"/>
        </w:rPr>
        <w:t xml:space="preserve">, destinée à illustrer une conférence qu'il donne sur Edgar Poe. Par la suite, l'année suivante, </w:t>
      </w:r>
      <w:r w:rsidR="008C404D" w:rsidRPr="005E58D9">
        <w:rPr>
          <w:rFonts w:ascii="Times New Roman" w:hAnsi="Times New Roman"/>
          <w:sz w:val="24"/>
          <w:szCs w:val="24"/>
        </w:rPr>
        <w:t>Ghelderode</w:t>
      </w:r>
      <w:r w:rsidRPr="005E58D9">
        <w:rPr>
          <w:rFonts w:ascii="Times New Roman" w:hAnsi="Times New Roman"/>
          <w:sz w:val="24"/>
          <w:szCs w:val="24"/>
        </w:rPr>
        <w:t xml:space="preserve"> rencontre l'antiquaire Julien Deladoès, </w:t>
      </w:r>
      <w:r w:rsidRPr="005E58D9">
        <w:rPr>
          <w:rFonts w:ascii="Times New Roman" w:hAnsi="Times New Roman"/>
          <w:sz w:val="24"/>
          <w:szCs w:val="24"/>
        </w:rPr>
        <w:lastRenderedPageBreak/>
        <w:t>"l'éducateur de sa pensée", un écrivain gouailleur. Il engage dans la foulée un autre roman burlesque, Heiligen Antonius, qui restera inédit. Le  titre flamand mais l'œuvre est écrite en français,  contient l</w:t>
      </w:r>
      <w:r w:rsidR="008C404D">
        <w:rPr>
          <w:rFonts w:ascii="Times New Roman" w:hAnsi="Times New Roman"/>
          <w:sz w:val="24"/>
          <w:szCs w:val="24"/>
        </w:rPr>
        <w:t>e</w:t>
      </w:r>
      <w:r w:rsidRPr="005E58D9">
        <w:rPr>
          <w:rFonts w:ascii="Times New Roman" w:hAnsi="Times New Roman"/>
          <w:sz w:val="24"/>
          <w:szCs w:val="24"/>
        </w:rPr>
        <w:t>s ingrédients déjà, de  tout l'univers ghelderodien : une Flandre imaginaire, située dans un temps mythique - le XVI</w:t>
      </w:r>
      <w:r w:rsidRPr="00DF770B">
        <w:rPr>
          <w:rFonts w:ascii="Times New Roman" w:hAnsi="Times New Roman"/>
          <w:sz w:val="24"/>
          <w:szCs w:val="24"/>
          <w:vertAlign w:val="superscript"/>
        </w:rPr>
        <w:t>e</w:t>
      </w:r>
      <w:r w:rsidRPr="005E58D9">
        <w:rPr>
          <w:rFonts w:ascii="Times New Roman" w:hAnsi="Times New Roman"/>
          <w:sz w:val="24"/>
          <w:szCs w:val="24"/>
        </w:rPr>
        <w:t xml:space="preserve"> siècle d'Ulenspiegel, le héros de Charles De Coster - et dans un espace fabuleux - celui des tableaux de Bruegel et Bosch- peuplé de personnages allégoriques. </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Ghelderode effectue son service militaire dès 1919. De retour à Bruxelles en 1921, il publie dans le Bulletin libertaire le conte </w:t>
      </w:r>
      <w:r w:rsidRPr="005E58D9">
        <w:rPr>
          <w:rFonts w:ascii="Times New Roman" w:hAnsi="Times New Roman"/>
          <w:i/>
          <w:sz w:val="24"/>
          <w:szCs w:val="24"/>
        </w:rPr>
        <w:t>Au pays de Laermans.</w:t>
      </w:r>
      <w:r w:rsidRPr="005E58D9">
        <w:rPr>
          <w:rFonts w:ascii="Times New Roman" w:hAnsi="Times New Roman"/>
          <w:sz w:val="24"/>
          <w:szCs w:val="24"/>
        </w:rPr>
        <w:t xml:space="preserve"> </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Mais son apprentissage de la vie continue. En 1922, vendeur à la librairie Lebègue,  il va faire la connaissance de Jeanne-Françoise Gérard à qui il offre son premier livre imprimé: </w:t>
      </w:r>
      <w:r w:rsidRPr="005E58D9">
        <w:rPr>
          <w:rFonts w:ascii="Times New Roman" w:hAnsi="Times New Roman"/>
          <w:i/>
          <w:sz w:val="24"/>
          <w:szCs w:val="24"/>
        </w:rPr>
        <w:t>L'Histoire comique de Keizer Karel</w:t>
      </w:r>
      <w:r w:rsidRPr="005E58D9">
        <w:rPr>
          <w:rFonts w:ascii="Times New Roman" w:hAnsi="Times New Roman"/>
          <w:sz w:val="24"/>
          <w:szCs w:val="24"/>
        </w:rPr>
        <w:t xml:space="preserve">. Elle deviendra son épouse le 2 février 1924. </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En juillet 1923, Ghelderode reçoit le prix de la Renaissance d'Occident pour sa pièce Oude Piet. A cette occasion, il fait la connaissance de deux hommes de lettres qui auront une importance déterminante dans sa vie : le poète Marcel Wyseur et le critique dramatique Camille Poupeye. Le premier devient son meilleur ami et le second l'oriente vers le théâtre.</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Maurice Gauchez, directeur de La Renaissance d'Occident offre à Ghelderode l'occasion de contribuer à sa revue jusqu'en 1930. Il y publiera plusieurs pièces pour marionnettes - genre qu'il affectionne particulièrement. Le goût de la mystification chez Ghelderode est né et s'illustre d’ailleurs par un autre canular : les poèmes du croque-mort Philostène Costenoble. Sous ce pseudonyme, il publie en fait des poèmes teintés d'ironie. </w:t>
      </w:r>
    </w:p>
    <w:p w:rsidR="006A4EED" w:rsidRPr="005E58D9"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Mais voilà, du spectacle de marionnettes au théâtre, il n'y a qu'un pas. Jef Vervaeke, jeune écrivain flamand, permet à Ghelderode de franchir ce pas en traduisant La Farce de la Mort qui faillit trépasser, et en la faisant jouer, dès 1925, par les comédiens du Vlaamsche Volkstooneel (VVT), théâtre populaire sous l'impulsion du brillant metteur en scène hollandais Johan de Meester. C’est parce qu’il redoutait de n'être joué que par les théâtres bruxellois de l'époque, que Ghelderode saisit la chance qui se présente à lui de produire des pièces pour le VVT. La plupart remporteront un vif succès : Images de la vie de saint François d'Assise (1927), Barabbas (1929), Pantagleize (1930). Ces succès constituent un encouragement important pour leur auteur. Cet épisode VTT s'achève en 1932 : la </w:t>
      </w:r>
      <w:r w:rsidRPr="005E58D9">
        <w:rPr>
          <w:rFonts w:ascii="Times New Roman" w:hAnsi="Times New Roman"/>
          <w:sz w:val="24"/>
          <w:szCs w:val="24"/>
        </w:rPr>
        <w:lastRenderedPageBreak/>
        <w:t xml:space="preserve">troupe s’étant disloquée quelques jours après la première du Sterrendief, (Le Voleur d'étoiles), </w:t>
      </w:r>
    </w:p>
    <w:p w:rsidR="006A4EED" w:rsidRDefault="006A4EED" w:rsidP="00DF770B">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C'est à Paris que sont créées </w:t>
      </w:r>
      <w:r w:rsidRPr="005E58D9">
        <w:rPr>
          <w:rFonts w:ascii="Times New Roman" w:hAnsi="Times New Roman"/>
          <w:i/>
          <w:sz w:val="24"/>
          <w:szCs w:val="24"/>
        </w:rPr>
        <w:t>La Mort du docteur Faust</w:t>
      </w:r>
      <w:r w:rsidRPr="005E58D9">
        <w:rPr>
          <w:rFonts w:ascii="Times New Roman" w:hAnsi="Times New Roman"/>
          <w:sz w:val="24"/>
          <w:szCs w:val="24"/>
        </w:rPr>
        <w:t xml:space="preserve">, en 1928, et </w:t>
      </w:r>
      <w:r w:rsidRPr="005E58D9">
        <w:rPr>
          <w:rFonts w:ascii="Times New Roman" w:hAnsi="Times New Roman"/>
          <w:i/>
          <w:sz w:val="24"/>
          <w:szCs w:val="24"/>
        </w:rPr>
        <w:t>Christophe Colomb</w:t>
      </w:r>
      <w:r w:rsidRPr="005E58D9">
        <w:rPr>
          <w:rFonts w:ascii="Times New Roman" w:hAnsi="Times New Roman"/>
          <w:sz w:val="24"/>
          <w:szCs w:val="24"/>
        </w:rPr>
        <w:t>, en 1929, dans des mises en scène de Louise Autant-Lara. En fait, le public belge francophone, peu ouvert aux tendances nouvelles qui se manifestent dans le théâtre de l'Entre-deux-guerres, ne connaît pas encore les pièces de Ghelderode.</w:t>
      </w:r>
      <w:r w:rsidR="00E86201">
        <w:rPr>
          <w:rFonts w:ascii="Times New Roman" w:hAnsi="Times New Roman"/>
          <w:sz w:val="24"/>
          <w:szCs w:val="24"/>
        </w:rPr>
        <w:t xml:space="preserve"> L’auteur, en se définissant comme écrivain belge usant de la langue française, il souligne :</w:t>
      </w:r>
    </w:p>
    <w:p w:rsidR="0016076C" w:rsidRPr="00DF770B" w:rsidRDefault="00DF770B" w:rsidP="008F3C8C">
      <w:pPr>
        <w:autoSpaceDE w:val="0"/>
        <w:autoSpaceDN w:val="0"/>
        <w:adjustRightInd w:val="0"/>
        <w:spacing w:after="0" w:line="240" w:lineRule="auto"/>
        <w:ind w:left="567"/>
        <w:jc w:val="both"/>
        <w:rPr>
          <w:rFonts w:ascii="Times New Roman" w:hAnsi="Times New Roman"/>
          <w:iCs/>
          <w:sz w:val="20"/>
          <w:szCs w:val="20"/>
        </w:rPr>
      </w:pPr>
      <w:r w:rsidRPr="00DF770B">
        <w:rPr>
          <w:rFonts w:ascii="Times New Roman" w:hAnsi="Times New Roman"/>
          <w:iCs/>
          <w:sz w:val="20"/>
          <w:szCs w:val="20"/>
        </w:rPr>
        <w:t>[</w:t>
      </w:r>
      <w:r w:rsidR="00E86201" w:rsidRPr="00DF770B">
        <w:rPr>
          <w:rFonts w:ascii="Times New Roman" w:hAnsi="Times New Roman"/>
          <w:iCs/>
          <w:sz w:val="20"/>
          <w:szCs w:val="20"/>
        </w:rPr>
        <w:t>...</w:t>
      </w:r>
      <w:r w:rsidRPr="00DF770B">
        <w:rPr>
          <w:rFonts w:ascii="Times New Roman" w:hAnsi="Times New Roman"/>
          <w:iCs/>
          <w:sz w:val="20"/>
          <w:szCs w:val="20"/>
        </w:rPr>
        <w:t xml:space="preserve">] </w:t>
      </w:r>
      <w:r w:rsidR="00E86201" w:rsidRPr="00DF770B">
        <w:rPr>
          <w:rFonts w:ascii="Times New Roman" w:hAnsi="Times New Roman"/>
          <w:iCs/>
          <w:sz w:val="20"/>
          <w:szCs w:val="20"/>
        </w:rPr>
        <w:t>C’est la grande consolation de ma vie d’écrivain désaxé, bizarrement isolé entre les Flamands dont il n’écrit pas la langue et entre les Français dont il écrit (à sa manière) la langue mais qui ne le supportent pas et ne le peuvent comprendre. […] Ma position d’écrivain “d’expression française” en un pays belge où il n’existe pas de langue belge est celle du papegay sur sa perche. Je ne suis pas un écrivain belge. Ni un écrivain de Belgique, ni un écrivain en Belgique. Je suis un homme qui écrit dans une chambre</w:t>
      </w:r>
      <w:r w:rsidR="00E86201" w:rsidRPr="00DF770B">
        <w:rPr>
          <w:rStyle w:val="Appelnotedebasdep"/>
          <w:rFonts w:ascii="Times New Roman" w:hAnsi="Times New Roman"/>
          <w:iCs/>
          <w:sz w:val="20"/>
          <w:szCs w:val="20"/>
        </w:rPr>
        <w:footnoteReference w:id="94"/>
      </w:r>
      <w:r w:rsidR="008F3C8C">
        <w:rPr>
          <w:rFonts w:ascii="Times New Roman" w:hAnsi="Times New Roman"/>
          <w:iCs/>
          <w:sz w:val="20"/>
          <w:szCs w:val="20"/>
        </w:rPr>
        <w:t>.</w:t>
      </w:r>
    </w:p>
    <w:p w:rsidR="008F3C8C" w:rsidRDefault="008F3C8C" w:rsidP="00E62FCB">
      <w:pPr>
        <w:spacing w:after="0" w:line="360" w:lineRule="auto"/>
        <w:ind w:firstLine="709"/>
        <w:jc w:val="both"/>
        <w:rPr>
          <w:rFonts w:ascii="Times New Roman" w:hAnsi="Times New Roman"/>
          <w:sz w:val="24"/>
          <w:szCs w:val="24"/>
        </w:rPr>
      </w:pPr>
    </w:p>
    <w:p w:rsidR="006A4EED" w:rsidRPr="005E58D9" w:rsidRDefault="006A4EED" w:rsidP="008F3C8C">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Escurial apparait pour la première fois, en janvier 1929, à Bruxelles, au KVS, avant d'être créé l'année suivante en français, à Liège.  Un an plus tard, les Bruxellois découvrent, au théâtre du Parc, Piet Bouteille et Trois Acteurs, un drame. Enfin, en 1934, Barabbas, Magie Rouge et Pantagleize sont joués dans la capitale belge.  En définitive, la grande période de fécondité de l'auteur se situe entre 1930 et 1945. L'année 1934 est particulièrement faste avec l'écriture de Masques ostendais, de Sortie de l'acteur, de Sire Halewyn, de La Balade du Grand Macabre et de Mademoiselle Jaïre. </w:t>
      </w:r>
    </w:p>
    <w:p w:rsidR="006A4EED" w:rsidRPr="005E58D9" w:rsidRDefault="006A4EED" w:rsidP="008F3C8C">
      <w:pPr>
        <w:spacing w:after="0" w:line="360" w:lineRule="auto"/>
        <w:ind w:firstLine="284"/>
        <w:jc w:val="both"/>
        <w:rPr>
          <w:rFonts w:ascii="Times New Roman" w:hAnsi="Times New Roman"/>
          <w:sz w:val="24"/>
          <w:szCs w:val="24"/>
        </w:rPr>
      </w:pPr>
      <w:r w:rsidRPr="005E58D9">
        <w:rPr>
          <w:rFonts w:ascii="Times New Roman" w:hAnsi="Times New Roman"/>
          <w:sz w:val="24"/>
          <w:szCs w:val="24"/>
        </w:rPr>
        <w:t>Toutefois, les talents de Ghelderode ne se limitent pas à ceux de dramaturge. L'auteur se présente en effet comme un excellent conteur, un remarquable chroniqueur et un épistolier prolixe autant qu'exubérant.</w:t>
      </w:r>
    </w:p>
    <w:p w:rsidR="006A4EED" w:rsidRPr="005E58D9" w:rsidRDefault="008F3C8C" w:rsidP="008F3C8C">
      <w:pPr>
        <w:spacing w:after="0" w:line="360" w:lineRule="auto"/>
        <w:ind w:firstLine="284"/>
        <w:jc w:val="both"/>
        <w:rPr>
          <w:rFonts w:ascii="Times New Roman" w:hAnsi="Times New Roman"/>
          <w:sz w:val="24"/>
          <w:szCs w:val="24"/>
        </w:rPr>
      </w:pPr>
      <w:r>
        <w:rPr>
          <w:rFonts w:ascii="Times New Roman" w:hAnsi="Times New Roman"/>
          <w:sz w:val="24"/>
          <w:szCs w:val="24"/>
        </w:rPr>
        <w:t>À</w:t>
      </w:r>
      <w:r w:rsidR="006A4EED" w:rsidRPr="005E58D9">
        <w:rPr>
          <w:rFonts w:ascii="Times New Roman" w:hAnsi="Times New Roman"/>
          <w:sz w:val="24"/>
          <w:szCs w:val="24"/>
        </w:rPr>
        <w:t xml:space="preserve"> plusieurs reprises, la maladie et le sentiment, à tort ou à raison, d'être incompris ou mal aimé freinent le flux de créativité de Ghelderode. Sa santé se détériore sérieusement à partir de 1936. </w:t>
      </w:r>
    </w:p>
    <w:p w:rsidR="006A4EED" w:rsidRPr="005E58D9" w:rsidRDefault="006A4EED" w:rsidP="00AD4E4C">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Le 1er février 1939, très affaibli et sans doute déçu par un défaut de reconnaissance, il fait savoir qu'il cesse d'écrire pour le théâtre. Il achèvera cependant encore trois pièces: L'Ecole des bouffons (1942) qui lui vaut d'être considéré comme un disciple, voire un précurseur d'Antonin Artaud ; Le Soleil se </w:t>
      </w:r>
      <w:r w:rsidRPr="005E58D9">
        <w:rPr>
          <w:rFonts w:ascii="Times New Roman" w:hAnsi="Times New Roman"/>
          <w:sz w:val="24"/>
          <w:szCs w:val="24"/>
        </w:rPr>
        <w:lastRenderedPageBreak/>
        <w:t xml:space="preserve">couche (1943), relatant la fin de Charles Quint, l'empereur admiré comme un père ; Marie la Misérable (1952), œuvre de commande du Syndicat d'Initiative de Woluwe-Saint-Lambert pour célébrer le 650e anniversaire du martyre de la sainte locale. </w:t>
      </w:r>
    </w:p>
    <w:p w:rsidR="006D1D4E" w:rsidRDefault="006A4EED" w:rsidP="00AD4E4C">
      <w:pPr>
        <w:spacing w:after="0" w:line="360" w:lineRule="auto"/>
        <w:ind w:firstLine="284"/>
        <w:jc w:val="both"/>
        <w:rPr>
          <w:rFonts w:ascii="Times New Roman" w:hAnsi="Times New Roman"/>
          <w:sz w:val="24"/>
          <w:szCs w:val="24"/>
        </w:rPr>
      </w:pPr>
      <w:r w:rsidRPr="005E58D9">
        <w:rPr>
          <w:rFonts w:ascii="Times New Roman" w:hAnsi="Times New Roman"/>
          <w:sz w:val="24"/>
          <w:szCs w:val="24"/>
        </w:rPr>
        <w:t>Après les doutes vient le succès. Les œuvres de Ghelderode sont l'objet d'un engouement soudain. Paris conna</w:t>
      </w:r>
      <w:r w:rsidRPr="005E58D9">
        <w:rPr>
          <w:rFonts w:ascii="Times New Roman" w:hAnsi="Times New Roman" w:cs="Calibri"/>
          <w:sz w:val="24"/>
          <w:szCs w:val="24"/>
        </w:rPr>
        <w:t>î</w:t>
      </w:r>
      <w:r w:rsidRPr="005E58D9">
        <w:rPr>
          <w:rFonts w:ascii="Times New Roman" w:hAnsi="Times New Roman"/>
          <w:sz w:val="24"/>
          <w:szCs w:val="24"/>
        </w:rPr>
        <w:t xml:space="preserve">t en effet, de 1949 </w:t>
      </w:r>
      <w:r w:rsidRPr="005E58D9">
        <w:rPr>
          <w:rFonts w:ascii="Times New Roman" w:hAnsi="Times New Roman" w:cs="Calibri"/>
          <w:sz w:val="24"/>
          <w:szCs w:val="24"/>
        </w:rPr>
        <w:t>à</w:t>
      </w:r>
      <w:r w:rsidRPr="005E58D9">
        <w:rPr>
          <w:rFonts w:ascii="Times New Roman" w:hAnsi="Times New Roman"/>
          <w:sz w:val="24"/>
          <w:szCs w:val="24"/>
        </w:rPr>
        <w:t xml:space="preserve"> 1954, une  "ghelderodite aigu</w:t>
      </w:r>
      <w:r w:rsidRPr="005E58D9">
        <w:rPr>
          <w:rFonts w:ascii="Times New Roman" w:hAnsi="Times New Roman" w:cs="Calibri"/>
          <w:sz w:val="24"/>
          <w:szCs w:val="24"/>
        </w:rPr>
        <w:t>ë</w:t>
      </w:r>
      <w:r w:rsidRPr="005E58D9">
        <w:rPr>
          <w:rFonts w:ascii="Times New Roman" w:hAnsi="Times New Roman"/>
          <w:sz w:val="24"/>
          <w:szCs w:val="24"/>
        </w:rPr>
        <w:t>" apr</w:t>
      </w:r>
      <w:r w:rsidRPr="005E58D9">
        <w:rPr>
          <w:rFonts w:ascii="Times New Roman" w:hAnsi="Times New Roman" w:cs="Calibri"/>
          <w:sz w:val="24"/>
          <w:szCs w:val="24"/>
        </w:rPr>
        <w:t>è</w:t>
      </w:r>
      <w:r w:rsidRPr="005E58D9">
        <w:rPr>
          <w:rFonts w:ascii="Times New Roman" w:hAnsi="Times New Roman"/>
          <w:sz w:val="24"/>
          <w:szCs w:val="24"/>
        </w:rPr>
        <w:t>s la d</w:t>
      </w:r>
      <w:r w:rsidRPr="005E58D9">
        <w:rPr>
          <w:rFonts w:ascii="Times New Roman" w:hAnsi="Times New Roman" w:cs="Calibri"/>
          <w:sz w:val="24"/>
          <w:szCs w:val="24"/>
        </w:rPr>
        <w:t>é</w:t>
      </w:r>
      <w:r w:rsidRPr="005E58D9">
        <w:rPr>
          <w:rFonts w:ascii="Times New Roman" w:hAnsi="Times New Roman"/>
          <w:sz w:val="24"/>
          <w:szCs w:val="24"/>
        </w:rPr>
        <w:t>couverte par Catherine Toth et Andr</w:t>
      </w:r>
      <w:r w:rsidRPr="005E58D9">
        <w:rPr>
          <w:rFonts w:ascii="Times New Roman" w:hAnsi="Times New Roman" w:cs="Calibri"/>
          <w:sz w:val="24"/>
          <w:szCs w:val="24"/>
        </w:rPr>
        <w:t>é</w:t>
      </w:r>
      <w:r w:rsidRPr="005E58D9">
        <w:rPr>
          <w:rFonts w:ascii="Times New Roman" w:hAnsi="Times New Roman"/>
          <w:sz w:val="24"/>
          <w:szCs w:val="24"/>
        </w:rPr>
        <w:t xml:space="preserve"> Reybaz des textes flamboyants de l'auteur. </w:t>
      </w:r>
      <w:r w:rsidR="006D1D4E">
        <w:rPr>
          <w:rFonts w:ascii="Times New Roman" w:hAnsi="Times New Roman"/>
          <w:sz w:val="24"/>
          <w:szCs w:val="24"/>
        </w:rPr>
        <w:t>Un succès qu’il déclara avec fierté, dans une interview radiophonique, à ses compatriotes flamands :</w:t>
      </w:r>
    </w:p>
    <w:p w:rsidR="00BD1059" w:rsidRPr="00E61F93" w:rsidRDefault="006D1D4E" w:rsidP="00280C87">
      <w:pPr>
        <w:autoSpaceDE w:val="0"/>
        <w:autoSpaceDN w:val="0"/>
        <w:adjustRightInd w:val="0"/>
        <w:spacing w:after="0" w:line="240" w:lineRule="auto"/>
        <w:ind w:left="567"/>
        <w:jc w:val="both"/>
        <w:rPr>
          <w:rFonts w:ascii="Times New Roman" w:hAnsi="Times New Roman"/>
          <w:iCs/>
          <w:sz w:val="24"/>
          <w:szCs w:val="24"/>
        </w:rPr>
      </w:pPr>
      <w:r w:rsidRPr="00E61F93">
        <w:rPr>
          <w:rFonts w:ascii="Times New Roman" w:hAnsi="Times New Roman"/>
          <w:iCs/>
          <w:sz w:val="20"/>
          <w:szCs w:val="20"/>
        </w:rPr>
        <w:t>Je suis heureux, après une longue carrière, de voir mes œuvres acceptées à Paris. Paris, porte de l’univers...Mais ce qui fait ma joie profonde, secrète, c’est que mes œuvres sont acceptées intégralement, telles que je les ai conçues ; c’est que les foules de France aiment aujourd’hui ce que les foules de Flandre aimaient voici vingt ans : des œuvres violentes, colorées, passionnées, excessives qu’on déclara longtemps injouables, et que désormais on découvre, on crée l’une après l’autre</w:t>
      </w:r>
      <w:r w:rsidRPr="00E61F93">
        <w:rPr>
          <w:rStyle w:val="Appelnotedebasdep"/>
          <w:rFonts w:ascii="Times New Roman" w:hAnsi="Times New Roman"/>
          <w:iCs/>
          <w:sz w:val="20"/>
          <w:szCs w:val="20"/>
        </w:rPr>
        <w:footnoteReference w:id="95"/>
      </w:r>
      <w:r w:rsidR="00280C87">
        <w:rPr>
          <w:rFonts w:ascii="Times New Roman" w:hAnsi="Times New Roman"/>
          <w:iCs/>
          <w:sz w:val="20"/>
          <w:szCs w:val="20"/>
        </w:rPr>
        <w:t>.</w:t>
      </w:r>
    </w:p>
    <w:p w:rsidR="00B740C0" w:rsidRDefault="00B740C0" w:rsidP="00280C87">
      <w:pPr>
        <w:spacing w:after="0" w:line="360" w:lineRule="auto"/>
        <w:ind w:firstLine="284"/>
        <w:jc w:val="both"/>
        <w:rPr>
          <w:rFonts w:ascii="Times New Roman" w:hAnsi="Times New Roman"/>
          <w:sz w:val="24"/>
          <w:szCs w:val="24"/>
        </w:rPr>
      </w:pPr>
    </w:p>
    <w:p w:rsidR="006A4EED" w:rsidRPr="005E58D9" w:rsidRDefault="006A4EED" w:rsidP="00280C87">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Son théâtre complet est ainsi publié chez Gallimard, ses pièces commencent à être jouées un peu partout dans le monde. Ghelderode devient un auteur connu, sujet de thèses, d'ouvrages, d'interviews, d'émissions télévisées. En 1956 sont publiés </w:t>
      </w:r>
      <w:r w:rsidRPr="005E58D9">
        <w:rPr>
          <w:rFonts w:ascii="Times New Roman" w:hAnsi="Times New Roman"/>
          <w:i/>
          <w:sz w:val="24"/>
          <w:szCs w:val="24"/>
        </w:rPr>
        <w:t>Les Entretiens d'Ostende</w:t>
      </w:r>
      <w:r w:rsidRPr="005E58D9">
        <w:rPr>
          <w:rFonts w:ascii="Times New Roman" w:hAnsi="Times New Roman"/>
          <w:sz w:val="24"/>
          <w:szCs w:val="24"/>
        </w:rPr>
        <w:t xml:space="preserve">, version imprimée, revue et corrigée par Ghelderode, des huit émissions que lui a </w:t>
      </w:r>
      <w:r w:rsidR="003D256C" w:rsidRPr="005E58D9">
        <w:rPr>
          <w:rFonts w:ascii="Times New Roman" w:hAnsi="Times New Roman"/>
          <w:sz w:val="24"/>
          <w:szCs w:val="24"/>
        </w:rPr>
        <w:t>consacrées</w:t>
      </w:r>
      <w:r w:rsidRPr="005E58D9">
        <w:rPr>
          <w:rFonts w:ascii="Times New Roman" w:hAnsi="Times New Roman"/>
          <w:sz w:val="24"/>
          <w:szCs w:val="24"/>
        </w:rPr>
        <w:t xml:space="preserve"> la Radiodiffusion Télévision Françaises en 1951.  Puis d’ailleurs en 1960, la ville d'Ostende, tant appréciée par Ghelderode qui y a fait de fréquents séjours, lui rend un vibrant hommage. Ces "vigiles de l'Amitié" n'effacent pas l'amertume et la rancœur d'avoir </w:t>
      </w:r>
      <w:r w:rsidRPr="005E58D9">
        <w:rPr>
          <w:rFonts w:ascii="Times New Roman" w:hAnsi="Times New Roman" w:cs="Calibri"/>
          <w:sz w:val="24"/>
          <w:szCs w:val="24"/>
        </w:rPr>
        <w:t>é</w:t>
      </w:r>
      <w:r w:rsidRPr="005E58D9">
        <w:rPr>
          <w:rFonts w:ascii="Times New Roman" w:hAnsi="Times New Roman"/>
          <w:sz w:val="24"/>
          <w:szCs w:val="24"/>
        </w:rPr>
        <w:t>t</w:t>
      </w:r>
      <w:r w:rsidRPr="005E58D9">
        <w:rPr>
          <w:rFonts w:ascii="Times New Roman" w:hAnsi="Times New Roman" w:cs="Calibri"/>
          <w:sz w:val="24"/>
          <w:szCs w:val="24"/>
        </w:rPr>
        <w:t>é</w:t>
      </w:r>
      <w:r w:rsidRPr="005E58D9">
        <w:rPr>
          <w:rFonts w:ascii="Times New Roman" w:hAnsi="Times New Roman"/>
          <w:sz w:val="24"/>
          <w:szCs w:val="24"/>
        </w:rPr>
        <w:t xml:space="preserve"> priv</w:t>
      </w:r>
      <w:r w:rsidRPr="005E58D9">
        <w:rPr>
          <w:rFonts w:ascii="Times New Roman" w:hAnsi="Times New Roman" w:cs="Calibri"/>
          <w:sz w:val="24"/>
          <w:szCs w:val="24"/>
        </w:rPr>
        <w:t>é</w:t>
      </w:r>
      <w:r w:rsidRPr="005E58D9">
        <w:rPr>
          <w:rFonts w:ascii="Times New Roman" w:hAnsi="Times New Roman"/>
          <w:sz w:val="24"/>
          <w:szCs w:val="24"/>
        </w:rPr>
        <w:t xml:space="preserve"> d'honneurs, comme celui d'entrer </w:t>
      </w:r>
      <w:r w:rsidRPr="005E58D9">
        <w:rPr>
          <w:rFonts w:ascii="Times New Roman" w:hAnsi="Times New Roman" w:cs="Calibri"/>
          <w:sz w:val="24"/>
          <w:szCs w:val="24"/>
        </w:rPr>
        <w:t>à</w:t>
      </w:r>
      <w:r w:rsidRPr="005E58D9">
        <w:rPr>
          <w:rFonts w:ascii="Times New Roman" w:hAnsi="Times New Roman"/>
          <w:sz w:val="24"/>
          <w:szCs w:val="24"/>
        </w:rPr>
        <w:t xml:space="preserve"> l'Acad</w:t>
      </w:r>
      <w:r w:rsidRPr="005E58D9">
        <w:rPr>
          <w:rFonts w:ascii="Times New Roman" w:hAnsi="Times New Roman" w:cs="Calibri"/>
          <w:sz w:val="24"/>
          <w:szCs w:val="24"/>
        </w:rPr>
        <w:t>é</w:t>
      </w:r>
      <w:r w:rsidRPr="005E58D9">
        <w:rPr>
          <w:rFonts w:ascii="Times New Roman" w:hAnsi="Times New Roman"/>
          <w:sz w:val="24"/>
          <w:szCs w:val="24"/>
        </w:rPr>
        <w:t>mie royale de langue et de litt</w:t>
      </w:r>
      <w:r w:rsidRPr="005E58D9">
        <w:rPr>
          <w:rFonts w:ascii="Times New Roman" w:hAnsi="Times New Roman" w:cs="Calibri"/>
          <w:sz w:val="24"/>
          <w:szCs w:val="24"/>
        </w:rPr>
        <w:t>é</w:t>
      </w:r>
      <w:r w:rsidRPr="005E58D9">
        <w:rPr>
          <w:rFonts w:ascii="Times New Roman" w:hAnsi="Times New Roman"/>
          <w:sz w:val="24"/>
          <w:szCs w:val="24"/>
        </w:rPr>
        <w:t>rature fran</w:t>
      </w:r>
      <w:r w:rsidRPr="005E58D9">
        <w:rPr>
          <w:rFonts w:ascii="Times New Roman" w:hAnsi="Times New Roman" w:cs="Calibri"/>
          <w:sz w:val="24"/>
          <w:szCs w:val="24"/>
        </w:rPr>
        <w:t>ç</w:t>
      </w:r>
      <w:r w:rsidRPr="005E58D9">
        <w:rPr>
          <w:rFonts w:ascii="Times New Roman" w:hAnsi="Times New Roman"/>
          <w:sz w:val="24"/>
          <w:szCs w:val="24"/>
        </w:rPr>
        <w:t xml:space="preserve">aises. </w:t>
      </w:r>
    </w:p>
    <w:p w:rsidR="006A4EED" w:rsidRPr="005E58D9" w:rsidRDefault="006A4EED" w:rsidP="00280C87">
      <w:pPr>
        <w:spacing w:after="0" w:line="360" w:lineRule="auto"/>
        <w:ind w:firstLine="284"/>
        <w:jc w:val="both"/>
        <w:rPr>
          <w:rFonts w:ascii="Times New Roman" w:hAnsi="Times New Roman"/>
          <w:sz w:val="24"/>
          <w:szCs w:val="24"/>
        </w:rPr>
      </w:pPr>
      <w:r w:rsidRPr="005E58D9">
        <w:rPr>
          <w:rFonts w:ascii="Times New Roman" w:hAnsi="Times New Roman"/>
          <w:sz w:val="24"/>
          <w:szCs w:val="24"/>
        </w:rPr>
        <w:t>Ghelderode passe les derniers moments de sa vie dans une grande solitude, tempérée cependant par les lettres de quelques amis fidèles et adoucie par la présence de son épouse. Ghelderode disparait le 1er avril 1962, sans jamais se douter que sa désignation pour le Prix Nobel était alors à l'étude.</w:t>
      </w:r>
    </w:p>
    <w:p w:rsidR="00784D77" w:rsidRDefault="00784D77" w:rsidP="00B740C0">
      <w:pPr>
        <w:pStyle w:val="Titre4"/>
        <w:spacing w:before="0" w:after="0" w:line="360" w:lineRule="auto"/>
        <w:ind w:left="0" w:firstLine="284"/>
        <w:jc w:val="both"/>
        <w:rPr>
          <w:rFonts w:ascii="Times New Roman" w:hAnsi="Times New Roman"/>
          <w:i w:val="0"/>
          <w:iCs/>
          <w:lang w:eastAsia="fr-FR"/>
        </w:rPr>
      </w:pPr>
    </w:p>
    <w:p w:rsidR="006A4EED" w:rsidRPr="008948DC" w:rsidRDefault="00B740C0" w:rsidP="00B740C0">
      <w:pPr>
        <w:pStyle w:val="Titre4"/>
        <w:spacing w:before="0" w:after="0" w:line="360" w:lineRule="auto"/>
        <w:ind w:left="0" w:firstLine="284"/>
        <w:jc w:val="both"/>
        <w:rPr>
          <w:rFonts w:ascii="Times New Roman" w:hAnsi="Times New Roman"/>
          <w:i w:val="0"/>
          <w:iCs/>
          <w:lang w:eastAsia="fr-FR"/>
        </w:rPr>
      </w:pPr>
      <w:bookmarkStart w:id="53" w:name="_Toc471484428"/>
      <w:r>
        <w:rPr>
          <w:rFonts w:ascii="Times New Roman" w:hAnsi="Times New Roman"/>
          <w:i w:val="0"/>
          <w:iCs/>
          <w:lang w:eastAsia="fr-FR"/>
        </w:rPr>
        <w:t>3.2.</w:t>
      </w:r>
      <w:r w:rsidR="006A4EED" w:rsidRPr="008948DC">
        <w:rPr>
          <w:rFonts w:ascii="Times New Roman" w:hAnsi="Times New Roman"/>
          <w:i w:val="0"/>
          <w:iCs/>
          <w:lang w:eastAsia="fr-FR"/>
        </w:rPr>
        <w:t xml:space="preserve">Œuvres </w:t>
      </w:r>
      <w:r w:rsidR="00E61F93">
        <w:rPr>
          <w:rFonts w:ascii="Times New Roman" w:hAnsi="Times New Roman"/>
          <w:i w:val="0"/>
          <w:iCs/>
          <w:lang w:eastAsia="fr-FR"/>
        </w:rPr>
        <w:t xml:space="preserve">dramatiques </w:t>
      </w:r>
      <w:r w:rsidR="006A4EED" w:rsidRPr="008948DC">
        <w:rPr>
          <w:rFonts w:ascii="Times New Roman" w:hAnsi="Times New Roman"/>
          <w:i w:val="0"/>
          <w:iCs/>
          <w:lang w:eastAsia="fr-FR"/>
        </w:rPr>
        <w:t>de Michel de Ghelderode</w:t>
      </w:r>
      <w:bookmarkEnd w:id="53"/>
    </w:p>
    <w:p w:rsidR="006A4EED" w:rsidRPr="005E58D9" w:rsidRDefault="006A4EED" w:rsidP="00B740C0">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L’œuvre prolifique de Michel de Ghelderode peut être subdivisée en cinq thématiques : les pièces de théâtre, les pièces pour marionnettes, les contes, les œuvres lyriques et les divers. </w:t>
      </w:r>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39" w:tooltip="Modifier la section : Pièces de théâtre" w:history="1">
        <w:r w:rsidR="006A4EED" w:rsidRPr="005E58D9">
          <w:rPr>
            <w:rFonts w:ascii="Times New Roman" w:eastAsia="Times New Roman" w:hAnsi="Times New Roman"/>
            <w:i/>
            <w:iCs/>
            <w:sz w:val="24"/>
            <w:szCs w:val="24"/>
            <w:lang w:eastAsia="fr-FR"/>
          </w:rPr>
          <w:t>La Mort regarde à la fenêtre</w:t>
        </w:r>
        <w:r w:rsidR="006A4EED" w:rsidRPr="005E58D9">
          <w:rPr>
            <w:rFonts w:ascii="Times New Roman" w:eastAsia="Times New Roman" w:hAnsi="Times New Roman"/>
            <w:sz w:val="24"/>
            <w:szCs w:val="24"/>
            <w:lang w:eastAsia="fr-FR"/>
          </w:rPr>
          <w:t>, 1918 (inédit)</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0" w:tooltip="Modifier la section : Pièces de théâtre" w:history="1">
        <w:r w:rsidR="006A4EED" w:rsidRPr="005E58D9">
          <w:rPr>
            <w:rFonts w:ascii="Times New Roman" w:eastAsia="Times New Roman" w:hAnsi="Times New Roman"/>
            <w:i/>
            <w:iCs/>
            <w:sz w:val="24"/>
            <w:szCs w:val="24"/>
            <w:lang w:eastAsia="fr-FR"/>
          </w:rPr>
          <w:t>Piet Bouteille</w:t>
        </w:r>
        <w:r w:rsidR="006A4EED" w:rsidRPr="005E58D9">
          <w:rPr>
            <w:rFonts w:ascii="Times New Roman" w:eastAsia="Times New Roman" w:hAnsi="Times New Roman"/>
            <w:sz w:val="24"/>
            <w:szCs w:val="24"/>
            <w:lang w:eastAsia="fr-FR"/>
          </w:rPr>
          <w:t xml:space="preserve"> (ou </w:t>
        </w:r>
        <w:r w:rsidR="006A4EED" w:rsidRPr="005E58D9">
          <w:rPr>
            <w:rFonts w:ascii="Times New Roman" w:eastAsia="Times New Roman" w:hAnsi="Times New Roman"/>
            <w:i/>
            <w:iCs/>
            <w:sz w:val="24"/>
            <w:szCs w:val="24"/>
            <w:lang w:val="nl-NL" w:eastAsia="fr-FR"/>
          </w:rPr>
          <w:t>Oude Piet</w:t>
        </w:r>
        <w:r w:rsidR="006A4EED" w:rsidRPr="005E58D9">
          <w:rPr>
            <w:rFonts w:ascii="Times New Roman" w:eastAsia="Times New Roman" w:hAnsi="Times New Roman"/>
            <w:sz w:val="24"/>
            <w:szCs w:val="24"/>
            <w:lang w:eastAsia="fr-FR"/>
          </w:rPr>
          <w:t>), 1920</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1" w:tooltip="Modifier la section : Pièces de théâtre" w:history="1">
        <w:r w:rsidR="006A4EED" w:rsidRPr="005E58D9">
          <w:rPr>
            <w:rFonts w:ascii="Times New Roman" w:eastAsia="Times New Roman" w:hAnsi="Times New Roman"/>
            <w:i/>
            <w:iCs/>
            <w:sz w:val="24"/>
            <w:szCs w:val="24"/>
            <w:lang w:eastAsia="fr-FR"/>
          </w:rPr>
          <w:t>Le Cavalier bizarre</w:t>
        </w:r>
        <w:r w:rsidR="006A4EED" w:rsidRPr="005E58D9">
          <w:rPr>
            <w:rFonts w:ascii="Times New Roman" w:eastAsia="Times New Roman" w:hAnsi="Times New Roman"/>
            <w:sz w:val="24"/>
            <w:szCs w:val="24"/>
            <w:lang w:eastAsia="fr-FR"/>
          </w:rPr>
          <w:t>, 1920 ou 1924</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2" w:tooltip="Modifier la section : Pièces de théâtre" w:history="1">
        <w:r w:rsidR="006A4EED" w:rsidRPr="005E58D9">
          <w:rPr>
            <w:rFonts w:ascii="Times New Roman" w:eastAsia="Times New Roman" w:hAnsi="Times New Roman"/>
            <w:i/>
            <w:iCs/>
            <w:sz w:val="24"/>
            <w:szCs w:val="24"/>
            <w:lang w:eastAsia="fr-FR"/>
          </w:rPr>
          <w:t>Les Vieillards</w:t>
        </w:r>
        <w:r w:rsidR="006A4EED" w:rsidRPr="005E58D9">
          <w:rPr>
            <w:rFonts w:ascii="Times New Roman" w:eastAsia="Times New Roman" w:hAnsi="Times New Roman"/>
            <w:sz w:val="24"/>
            <w:szCs w:val="24"/>
            <w:lang w:eastAsia="fr-FR"/>
          </w:rPr>
          <w:t xml:space="preserve"> (ou </w:t>
        </w:r>
        <w:r w:rsidR="006A4EED" w:rsidRPr="005E58D9">
          <w:rPr>
            <w:rFonts w:ascii="Times New Roman" w:eastAsia="Times New Roman" w:hAnsi="Times New Roman"/>
            <w:i/>
            <w:iCs/>
            <w:sz w:val="24"/>
            <w:szCs w:val="24"/>
            <w:lang w:eastAsia="fr-FR"/>
          </w:rPr>
          <w:t>Jeudi Saint</w:t>
        </w:r>
        <w:r w:rsidR="006A4EED" w:rsidRPr="005E58D9">
          <w:rPr>
            <w:rFonts w:ascii="Times New Roman" w:eastAsia="Times New Roman" w:hAnsi="Times New Roman"/>
            <w:sz w:val="24"/>
            <w:szCs w:val="24"/>
            <w:lang w:eastAsia="fr-FR"/>
          </w:rPr>
          <w:t>), 1923</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3" w:tooltip="Modifier la section : Pièces de théâtre" w:history="1">
        <w:r w:rsidR="006A4EED" w:rsidRPr="005E58D9">
          <w:rPr>
            <w:rFonts w:ascii="Times New Roman" w:eastAsia="Times New Roman" w:hAnsi="Times New Roman"/>
            <w:i/>
            <w:iCs/>
            <w:sz w:val="24"/>
            <w:szCs w:val="24"/>
            <w:lang w:eastAsia="fr-FR"/>
          </w:rPr>
          <w:t>Le Cavalier bizarre</w:t>
        </w:r>
        <w:r w:rsidR="006A4EED" w:rsidRPr="005E58D9">
          <w:rPr>
            <w:rFonts w:ascii="Times New Roman" w:eastAsia="Times New Roman" w:hAnsi="Times New Roman"/>
            <w:sz w:val="24"/>
            <w:szCs w:val="24"/>
            <w:lang w:eastAsia="fr-FR"/>
          </w:rPr>
          <w:t>, 1920 ou 1924</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4" w:tooltip="Modifier la section : Pièces de théâtre" w:history="1">
        <w:r w:rsidR="006A4EED" w:rsidRPr="005E58D9">
          <w:rPr>
            <w:rFonts w:ascii="Times New Roman" w:eastAsia="Times New Roman" w:hAnsi="Times New Roman"/>
            <w:i/>
            <w:iCs/>
            <w:sz w:val="24"/>
            <w:szCs w:val="24"/>
            <w:lang w:eastAsia="fr-FR"/>
          </w:rPr>
          <w:t>Le Miracle dans le faubourg</w:t>
        </w:r>
        <w:r w:rsidR="006A4EED" w:rsidRPr="005E58D9">
          <w:rPr>
            <w:rFonts w:ascii="Times New Roman" w:eastAsia="Times New Roman" w:hAnsi="Times New Roman"/>
            <w:sz w:val="24"/>
            <w:szCs w:val="24"/>
            <w:lang w:eastAsia="fr-FR"/>
          </w:rPr>
          <w:t>, 1924 (inédit)</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5" w:tooltip="Modifier la section : Pièces de théâtre" w:history="1">
        <w:r w:rsidR="006A4EED" w:rsidRPr="005E58D9">
          <w:rPr>
            <w:rFonts w:ascii="Times New Roman" w:eastAsia="Times New Roman" w:hAnsi="Times New Roman"/>
            <w:i/>
            <w:iCs/>
            <w:sz w:val="24"/>
            <w:szCs w:val="24"/>
            <w:lang w:eastAsia="fr-FR"/>
          </w:rPr>
          <w:t>Têtes de bois</w:t>
        </w:r>
        <w:r w:rsidR="006A4EED" w:rsidRPr="005E58D9">
          <w:rPr>
            <w:rFonts w:ascii="Times New Roman" w:eastAsia="Times New Roman" w:hAnsi="Times New Roman"/>
            <w:sz w:val="24"/>
            <w:szCs w:val="24"/>
            <w:lang w:eastAsia="fr-FR"/>
          </w:rPr>
          <w:t>, 1924</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6" w:tooltip="Modifier la section : Pièces de théâtre" w:history="1">
        <w:r w:rsidR="006A4EED" w:rsidRPr="005E58D9">
          <w:rPr>
            <w:rFonts w:ascii="Times New Roman" w:eastAsia="Times New Roman" w:hAnsi="Times New Roman"/>
            <w:i/>
            <w:iCs/>
            <w:sz w:val="24"/>
            <w:szCs w:val="24"/>
            <w:lang w:eastAsia="fr-FR"/>
          </w:rPr>
          <w:t>La Mort du docteur Faust</w:t>
        </w:r>
        <w:r w:rsidR="006A4EED" w:rsidRPr="005E58D9">
          <w:rPr>
            <w:rFonts w:ascii="Times New Roman" w:eastAsia="Times New Roman" w:hAnsi="Times New Roman"/>
            <w:sz w:val="24"/>
            <w:szCs w:val="24"/>
            <w:lang w:eastAsia="fr-FR"/>
          </w:rPr>
          <w:t>, 1925</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7" w:tooltip="Modifier la section : Pièces de théâtre" w:history="1">
        <w:r w:rsidR="006A4EED" w:rsidRPr="005E58D9">
          <w:rPr>
            <w:rFonts w:ascii="Times New Roman" w:eastAsia="Times New Roman" w:hAnsi="Times New Roman"/>
            <w:i/>
            <w:iCs/>
            <w:sz w:val="24"/>
            <w:szCs w:val="24"/>
            <w:lang w:eastAsia="fr-FR"/>
          </w:rPr>
          <w:t>Don Juan ou les Amants chimériques</w:t>
        </w:r>
        <w:r w:rsidR="006A4EED" w:rsidRPr="005E58D9">
          <w:rPr>
            <w:rFonts w:ascii="Times New Roman" w:eastAsia="Times New Roman" w:hAnsi="Times New Roman"/>
            <w:sz w:val="24"/>
            <w:szCs w:val="24"/>
            <w:lang w:eastAsia="fr-FR"/>
          </w:rPr>
          <w:t>, 1928</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48" w:tooltip="Modifier la section : Pièces de théâtre" w:history="1">
        <w:r w:rsidR="006A4EED" w:rsidRPr="005E58D9">
          <w:rPr>
            <w:rFonts w:ascii="Times New Roman" w:eastAsia="Times New Roman" w:hAnsi="Times New Roman"/>
            <w:i/>
            <w:iCs/>
            <w:sz w:val="24"/>
            <w:szCs w:val="24"/>
            <w:lang w:eastAsia="fr-FR"/>
          </w:rPr>
          <w:t>Images de la vie de saint François d'Assise</w:t>
        </w:r>
        <w:r w:rsidR="006A4EED" w:rsidRPr="005E58D9">
          <w:rPr>
            <w:rFonts w:ascii="Times New Roman" w:eastAsia="Times New Roman" w:hAnsi="Times New Roman"/>
            <w:sz w:val="24"/>
            <w:szCs w:val="24"/>
            <w:lang w:eastAsia="fr-FR"/>
          </w:rPr>
          <w:t>, 1926</w:t>
        </w:r>
      </w:hyperlink>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 xml:space="preserve">Christophe Colomb, </w:t>
      </w:r>
      <w:r w:rsidRPr="005E58D9">
        <w:rPr>
          <w:rFonts w:ascii="Times New Roman" w:eastAsia="Times New Roman" w:hAnsi="Times New Roman"/>
          <w:iCs/>
          <w:sz w:val="24"/>
          <w:szCs w:val="24"/>
          <w:lang w:eastAsia="fr-FR"/>
        </w:rPr>
        <w:t>1927</w:t>
      </w:r>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Escurial</w:t>
      </w:r>
      <w:hyperlink r:id="rId49" w:tooltip="Christophe Colomb (Ghelderode) (page inexistante)" w:history="1">
        <w:r w:rsidRPr="005E58D9">
          <w:rPr>
            <w:rFonts w:ascii="Times New Roman" w:eastAsia="Times New Roman" w:hAnsi="Times New Roman"/>
            <w:sz w:val="24"/>
            <w:szCs w:val="24"/>
            <w:lang w:eastAsia="fr-FR"/>
          </w:rPr>
          <w:t>, 1927, prix triennal, 1938</w:t>
        </w:r>
      </w:hyperlink>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 xml:space="preserve">Vénus, </w:t>
      </w:r>
      <w:hyperlink r:id="rId50" w:tooltip="Prix triennal du théâtre de la Communauté française de Belgique" w:history="1">
        <w:r w:rsidRPr="005E58D9">
          <w:rPr>
            <w:rFonts w:ascii="Times New Roman" w:eastAsia="Times New Roman" w:hAnsi="Times New Roman"/>
            <w:sz w:val="24"/>
            <w:szCs w:val="24"/>
            <w:lang w:eastAsia="fr-FR"/>
          </w:rPr>
          <w:t xml:space="preserve"> 1927</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51" w:tooltip="Vénus (Ghelderode) (page inexistante)" w:history="1">
        <w:r w:rsidR="006A4EED" w:rsidRPr="005E58D9">
          <w:rPr>
            <w:rFonts w:ascii="Times New Roman" w:eastAsia="Times New Roman" w:hAnsi="Times New Roman"/>
            <w:i/>
            <w:iCs/>
            <w:sz w:val="24"/>
            <w:szCs w:val="24"/>
            <w:lang w:eastAsia="fr-FR"/>
          </w:rPr>
          <w:t>La Transfiguration dans le Cirque</w:t>
        </w:r>
        <w:r w:rsidR="006A4EED" w:rsidRPr="005E58D9">
          <w:rPr>
            <w:rFonts w:ascii="Times New Roman" w:eastAsia="Times New Roman" w:hAnsi="Times New Roman"/>
            <w:sz w:val="24"/>
            <w:szCs w:val="24"/>
            <w:lang w:eastAsia="fr-FR"/>
          </w:rPr>
          <w:t>, 1927</w:t>
        </w:r>
      </w:hyperlink>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Barabbas</w:t>
      </w:r>
      <w:hyperlink r:id="rId52" w:anchor="cite_note-2" w:history="1">
        <w:r w:rsidRPr="005E58D9">
          <w:rPr>
            <w:rFonts w:ascii="Times New Roman" w:eastAsia="Times New Roman" w:hAnsi="Times New Roman"/>
            <w:sz w:val="24"/>
            <w:szCs w:val="24"/>
            <w:lang w:eastAsia="fr-FR"/>
          </w:rPr>
          <w:t>, 1928</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53" w:anchor="cite_note-a-1" w:history="1">
        <w:r w:rsidR="006A4EED" w:rsidRPr="005E58D9">
          <w:rPr>
            <w:rFonts w:ascii="Times New Roman" w:eastAsia="Times New Roman" w:hAnsi="Times New Roman"/>
            <w:i/>
            <w:iCs/>
            <w:sz w:val="24"/>
            <w:szCs w:val="24"/>
            <w:lang w:eastAsia="fr-FR"/>
          </w:rPr>
          <w:t>Noyade des songes</w:t>
        </w:r>
        <w:r w:rsidR="006A4EED" w:rsidRPr="005E58D9">
          <w:rPr>
            <w:rFonts w:ascii="Times New Roman" w:eastAsia="Times New Roman" w:hAnsi="Times New Roman"/>
            <w:sz w:val="24"/>
            <w:szCs w:val="24"/>
            <w:lang w:eastAsia="fr-FR"/>
          </w:rPr>
          <w:t>, 1928</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54" w:anchor="cite_note-a-1" w:history="1">
        <w:r w:rsidR="006A4EED" w:rsidRPr="005E58D9">
          <w:rPr>
            <w:rFonts w:ascii="Times New Roman" w:eastAsia="Times New Roman" w:hAnsi="Times New Roman"/>
            <w:i/>
            <w:iCs/>
            <w:sz w:val="24"/>
            <w:szCs w:val="24"/>
            <w:lang w:eastAsia="fr-FR"/>
          </w:rPr>
          <w:t>Un soir de pitié</w:t>
        </w:r>
        <w:r w:rsidR="006A4EED" w:rsidRPr="005E58D9">
          <w:rPr>
            <w:rFonts w:ascii="Times New Roman" w:eastAsia="Times New Roman" w:hAnsi="Times New Roman"/>
            <w:sz w:val="24"/>
            <w:szCs w:val="24"/>
            <w:lang w:eastAsia="fr-FR"/>
          </w:rPr>
          <w:t>, 1928</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55" w:anchor="cite_note-a-1" w:history="1">
        <w:r w:rsidR="006A4EED" w:rsidRPr="005E58D9">
          <w:rPr>
            <w:rFonts w:ascii="Times New Roman" w:eastAsia="Times New Roman" w:hAnsi="Times New Roman"/>
            <w:i/>
            <w:iCs/>
            <w:sz w:val="24"/>
            <w:szCs w:val="24"/>
            <w:lang w:eastAsia="fr-FR"/>
          </w:rPr>
          <w:t>Trois acteurs, un drame…</w:t>
        </w:r>
        <w:r w:rsidR="006A4EED" w:rsidRPr="005E58D9">
          <w:rPr>
            <w:rFonts w:ascii="Times New Roman" w:eastAsia="Times New Roman" w:hAnsi="Times New Roman"/>
            <w:sz w:val="24"/>
            <w:szCs w:val="24"/>
            <w:lang w:eastAsia="fr-FR"/>
          </w:rPr>
          <w:t>, 1928</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56" w:anchor="cite_note-a-1" w:history="1">
        <w:r w:rsidR="006A4EED" w:rsidRPr="005E58D9">
          <w:rPr>
            <w:rFonts w:ascii="Times New Roman" w:eastAsia="Times New Roman" w:hAnsi="Times New Roman"/>
            <w:i/>
            <w:iCs/>
            <w:sz w:val="24"/>
            <w:szCs w:val="24"/>
            <w:lang w:eastAsia="fr-FR"/>
          </w:rPr>
          <w:t>Pantagleize</w:t>
        </w:r>
        <w:r w:rsidR="006A4EED" w:rsidRPr="005E58D9">
          <w:rPr>
            <w:rFonts w:ascii="Times New Roman" w:eastAsia="Times New Roman" w:hAnsi="Times New Roman"/>
            <w:sz w:val="24"/>
            <w:szCs w:val="24"/>
            <w:lang w:eastAsia="fr-FR"/>
          </w:rPr>
          <w:t>, 1929</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57" w:anchor="cite_note-a-1" w:history="1">
        <w:r w:rsidR="006A4EED" w:rsidRPr="005E58D9">
          <w:rPr>
            <w:rFonts w:ascii="Times New Roman" w:eastAsia="Times New Roman" w:hAnsi="Times New Roman"/>
            <w:i/>
            <w:iCs/>
            <w:sz w:val="24"/>
            <w:szCs w:val="24"/>
            <w:lang w:eastAsia="fr-FR"/>
          </w:rPr>
          <w:t>La Nuit tombe</w:t>
        </w:r>
        <w:r w:rsidR="006A4EED" w:rsidRPr="005E58D9">
          <w:rPr>
            <w:rFonts w:ascii="Times New Roman" w:eastAsia="Times New Roman" w:hAnsi="Times New Roman"/>
            <w:sz w:val="24"/>
            <w:szCs w:val="24"/>
            <w:lang w:eastAsia="fr-FR"/>
          </w:rPr>
          <w:t>, 1929 (inachevé)</w:t>
        </w:r>
      </w:hyperlink>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 xml:space="preserve">Atlantique, </w:t>
      </w:r>
      <w:r w:rsidRPr="005E58D9">
        <w:rPr>
          <w:rFonts w:ascii="Times New Roman" w:eastAsia="Times New Roman" w:hAnsi="Times New Roman"/>
          <w:iCs/>
          <w:sz w:val="24"/>
          <w:szCs w:val="24"/>
          <w:lang w:eastAsia="fr-FR"/>
        </w:rPr>
        <w:t>1930</w:t>
      </w:r>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58" w:tooltip="Atlantique (Ghelderode)" w:history="1">
        <w:r w:rsidR="006A4EED" w:rsidRPr="005E58D9">
          <w:rPr>
            <w:rFonts w:ascii="Times New Roman" w:eastAsia="Times New Roman" w:hAnsi="Times New Roman"/>
            <w:i/>
            <w:iCs/>
            <w:sz w:val="24"/>
            <w:szCs w:val="24"/>
            <w:lang w:eastAsia="fr-FR"/>
          </w:rPr>
          <w:t>Celui qui vendait de la corde de pendu</w:t>
        </w:r>
        <w:r w:rsidR="006A4EED" w:rsidRPr="005E58D9">
          <w:rPr>
            <w:rFonts w:ascii="Times New Roman" w:eastAsia="Times New Roman" w:hAnsi="Times New Roman"/>
            <w:sz w:val="24"/>
            <w:szCs w:val="24"/>
            <w:lang w:eastAsia="fr-FR"/>
          </w:rPr>
          <w:t>, 1930</w:t>
        </w:r>
      </w:hyperlink>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Godelieve</w:t>
      </w:r>
      <w:hyperlink r:id="rId59" w:tooltip="Atlantique (Ghelderode)" w:history="1">
        <w:r w:rsidRPr="005E58D9">
          <w:rPr>
            <w:rFonts w:ascii="Times New Roman" w:eastAsia="Times New Roman" w:hAnsi="Times New Roman"/>
            <w:sz w:val="24"/>
            <w:szCs w:val="24"/>
            <w:lang w:eastAsia="fr-FR"/>
          </w:rPr>
          <w:t>, 1930 (inédit)</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0" w:tooltip="Godelieve (Ghelderode) (page inexistante)" w:history="1">
        <w:r w:rsidR="006A4EED" w:rsidRPr="005E58D9">
          <w:rPr>
            <w:rFonts w:ascii="Times New Roman" w:eastAsia="Times New Roman" w:hAnsi="Times New Roman"/>
            <w:i/>
            <w:iCs/>
            <w:sz w:val="24"/>
            <w:szCs w:val="24"/>
            <w:lang w:eastAsia="fr-FR"/>
          </w:rPr>
          <w:t>Le Ménage de Caroline</w:t>
        </w:r>
        <w:r w:rsidR="006A4EED" w:rsidRPr="005E58D9">
          <w:rPr>
            <w:rFonts w:ascii="Times New Roman" w:eastAsia="Times New Roman" w:hAnsi="Times New Roman"/>
            <w:sz w:val="24"/>
            <w:szCs w:val="24"/>
            <w:lang w:eastAsia="fr-FR"/>
          </w:rPr>
          <w:t>, 1930</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1" w:tooltip="Godelieve (Ghelderode) (page inexistante)" w:history="1">
        <w:r w:rsidR="006A4EED" w:rsidRPr="005E58D9">
          <w:rPr>
            <w:rFonts w:ascii="Times New Roman" w:eastAsia="Times New Roman" w:hAnsi="Times New Roman"/>
            <w:i/>
            <w:iCs/>
            <w:sz w:val="24"/>
            <w:szCs w:val="24"/>
            <w:lang w:eastAsia="fr-FR"/>
          </w:rPr>
          <w:t>Le Sommeil de la raison</w:t>
        </w:r>
        <w:r w:rsidR="006A4EED" w:rsidRPr="005E58D9">
          <w:rPr>
            <w:rFonts w:ascii="Times New Roman" w:eastAsia="Times New Roman" w:hAnsi="Times New Roman"/>
            <w:sz w:val="24"/>
            <w:szCs w:val="24"/>
            <w:lang w:eastAsia="fr-FR"/>
          </w:rPr>
          <w:t>, 1930</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2" w:tooltip="Godelieve (Ghelderode) (page inexistante)" w:history="1">
        <w:r w:rsidR="006A4EED" w:rsidRPr="005E58D9">
          <w:rPr>
            <w:rFonts w:ascii="Times New Roman" w:eastAsia="Times New Roman" w:hAnsi="Times New Roman"/>
            <w:i/>
            <w:iCs/>
            <w:sz w:val="24"/>
            <w:szCs w:val="24"/>
            <w:lang w:eastAsia="fr-FR"/>
          </w:rPr>
          <w:t>Le Club des menteurs</w:t>
        </w:r>
        <w:r w:rsidR="006A4EED" w:rsidRPr="005E58D9">
          <w:rPr>
            <w:rFonts w:ascii="Times New Roman" w:eastAsia="Times New Roman" w:hAnsi="Times New Roman"/>
            <w:sz w:val="24"/>
            <w:szCs w:val="24"/>
            <w:lang w:eastAsia="fr-FR"/>
          </w:rPr>
          <w:t>, 1931</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3" w:anchor="cite_note-3" w:history="1">
        <w:r w:rsidR="006A4EED" w:rsidRPr="005E58D9">
          <w:rPr>
            <w:rFonts w:ascii="Times New Roman" w:eastAsia="Times New Roman" w:hAnsi="Times New Roman"/>
            <w:i/>
            <w:iCs/>
            <w:sz w:val="24"/>
            <w:szCs w:val="24"/>
            <w:lang w:eastAsia="fr-FR"/>
          </w:rPr>
          <w:t>La Couronne de fer-blanc</w:t>
        </w:r>
        <w:r w:rsidR="006A4EED" w:rsidRPr="005E58D9">
          <w:rPr>
            <w:rFonts w:ascii="Times New Roman" w:eastAsia="Times New Roman" w:hAnsi="Times New Roman"/>
            <w:sz w:val="24"/>
            <w:szCs w:val="24"/>
            <w:lang w:eastAsia="fr-FR"/>
          </w:rPr>
          <w:t>, 1931</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4" w:anchor="cite_note-3" w:history="1">
        <w:r w:rsidR="006A4EED" w:rsidRPr="005E58D9">
          <w:rPr>
            <w:rFonts w:ascii="Times New Roman" w:eastAsia="Times New Roman" w:hAnsi="Times New Roman"/>
            <w:i/>
            <w:iCs/>
            <w:sz w:val="24"/>
            <w:szCs w:val="24"/>
            <w:lang w:eastAsia="fr-FR"/>
          </w:rPr>
          <w:t>Magie Rouge</w:t>
        </w:r>
        <w:r w:rsidR="006A4EED" w:rsidRPr="005E58D9">
          <w:rPr>
            <w:rFonts w:ascii="Times New Roman" w:eastAsia="Times New Roman" w:hAnsi="Times New Roman"/>
            <w:sz w:val="24"/>
            <w:szCs w:val="24"/>
            <w:lang w:eastAsia="fr-FR"/>
          </w:rPr>
          <w:t>, 1931</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5" w:anchor="cite_note-3" w:history="1">
        <w:r w:rsidR="006A4EED" w:rsidRPr="005E58D9">
          <w:rPr>
            <w:rFonts w:ascii="Times New Roman" w:eastAsia="Times New Roman" w:hAnsi="Times New Roman"/>
            <w:i/>
            <w:iCs/>
            <w:sz w:val="24"/>
            <w:szCs w:val="24"/>
            <w:lang w:eastAsia="fr-FR"/>
          </w:rPr>
          <w:t>Le Voleur d'étoiles</w:t>
        </w:r>
        <w:r w:rsidR="006A4EED" w:rsidRPr="005E58D9">
          <w:rPr>
            <w:rFonts w:ascii="Times New Roman" w:eastAsia="Times New Roman" w:hAnsi="Times New Roman"/>
            <w:sz w:val="24"/>
            <w:szCs w:val="24"/>
            <w:lang w:eastAsia="fr-FR"/>
          </w:rPr>
          <w:t>, 1931</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6" w:anchor="cite_note-3" w:history="1">
        <w:r w:rsidR="006A4EED" w:rsidRPr="005E58D9">
          <w:rPr>
            <w:rFonts w:ascii="Times New Roman" w:eastAsia="Times New Roman" w:hAnsi="Times New Roman"/>
            <w:i/>
            <w:iCs/>
            <w:sz w:val="24"/>
            <w:szCs w:val="24"/>
            <w:lang w:eastAsia="fr-FR"/>
          </w:rPr>
          <w:t>Le Chagrin d'Hamlet</w:t>
        </w:r>
        <w:r w:rsidR="006A4EED" w:rsidRPr="005E58D9">
          <w:rPr>
            <w:rFonts w:ascii="Times New Roman" w:eastAsia="Times New Roman" w:hAnsi="Times New Roman"/>
            <w:sz w:val="24"/>
            <w:szCs w:val="24"/>
            <w:lang w:eastAsia="fr-FR"/>
          </w:rPr>
          <w:t>, 1932</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7" w:anchor="cite_note-3" w:history="1">
        <w:r w:rsidR="006A4EED" w:rsidRPr="005E58D9">
          <w:rPr>
            <w:rFonts w:ascii="Times New Roman" w:eastAsia="Times New Roman" w:hAnsi="Times New Roman"/>
            <w:i/>
            <w:iCs/>
            <w:sz w:val="24"/>
            <w:szCs w:val="24"/>
            <w:lang w:eastAsia="fr-FR"/>
          </w:rPr>
          <w:t>Vie publique de Pantagleize</w:t>
        </w:r>
        <w:r w:rsidR="006A4EED" w:rsidRPr="005E58D9">
          <w:rPr>
            <w:rFonts w:ascii="Times New Roman" w:eastAsia="Times New Roman" w:hAnsi="Times New Roman"/>
            <w:sz w:val="24"/>
            <w:szCs w:val="24"/>
            <w:lang w:eastAsia="fr-FR"/>
          </w:rPr>
          <w:t xml:space="preserve">, 1932 </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8" w:anchor="cite_note-3" w:history="1">
        <w:r w:rsidR="006A4EED" w:rsidRPr="005E58D9">
          <w:rPr>
            <w:rFonts w:ascii="Times New Roman" w:eastAsia="Times New Roman" w:hAnsi="Times New Roman"/>
            <w:i/>
            <w:iCs/>
            <w:sz w:val="24"/>
            <w:szCs w:val="24"/>
            <w:lang w:eastAsia="fr-FR"/>
          </w:rPr>
          <w:t>Les Aveugles</w:t>
        </w:r>
        <w:r w:rsidR="006A4EED" w:rsidRPr="005E58D9">
          <w:rPr>
            <w:rFonts w:ascii="Times New Roman" w:eastAsia="Times New Roman" w:hAnsi="Times New Roman"/>
            <w:sz w:val="24"/>
            <w:szCs w:val="24"/>
            <w:lang w:eastAsia="fr-FR"/>
          </w:rPr>
          <w:t>, 1933</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69" w:anchor="cite_note-3" w:history="1">
        <w:r w:rsidR="006A4EED" w:rsidRPr="005E58D9">
          <w:rPr>
            <w:rFonts w:ascii="Times New Roman" w:eastAsia="Times New Roman" w:hAnsi="Times New Roman"/>
            <w:i/>
            <w:iCs/>
            <w:sz w:val="24"/>
            <w:szCs w:val="24"/>
            <w:lang w:eastAsia="fr-FR"/>
          </w:rPr>
          <w:t>Adrian et Jusemina</w:t>
        </w:r>
        <w:r w:rsidR="006A4EED" w:rsidRPr="005E58D9">
          <w:rPr>
            <w:rFonts w:ascii="Times New Roman" w:eastAsia="Times New Roman" w:hAnsi="Times New Roman"/>
            <w:sz w:val="24"/>
            <w:szCs w:val="24"/>
            <w:lang w:eastAsia="fr-FR"/>
          </w:rPr>
          <w:t>, 1934</w:t>
        </w:r>
      </w:hyperlink>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 xml:space="preserve">La Balade du Grand Macabre, </w:t>
      </w:r>
      <w:r w:rsidRPr="005E58D9">
        <w:rPr>
          <w:rFonts w:ascii="Times New Roman" w:eastAsia="Times New Roman" w:hAnsi="Times New Roman"/>
          <w:iCs/>
          <w:sz w:val="24"/>
          <w:szCs w:val="24"/>
          <w:lang w:eastAsia="fr-FR"/>
        </w:rPr>
        <w:t>1934</w:t>
      </w:r>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0" w:anchor="cite_note-4" w:history="1">
        <w:r w:rsidR="006A4EED" w:rsidRPr="005E58D9">
          <w:rPr>
            <w:rFonts w:ascii="Times New Roman" w:eastAsia="Times New Roman" w:hAnsi="Times New Roman"/>
            <w:i/>
            <w:iCs/>
            <w:sz w:val="24"/>
            <w:szCs w:val="24"/>
            <w:lang w:eastAsia="fr-FR"/>
          </w:rPr>
          <w:t>Masques ostendais</w:t>
        </w:r>
        <w:r w:rsidR="006A4EED" w:rsidRPr="005E58D9">
          <w:rPr>
            <w:rFonts w:ascii="Times New Roman" w:eastAsia="Times New Roman" w:hAnsi="Times New Roman"/>
            <w:sz w:val="24"/>
            <w:szCs w:val="24"/>
            <w:lang w:eastAsia="fr-FR"/>
          </w:rPr>
          <w:t>, 1934</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1" w:anchor="cite_note-4" w:history="1">
        <w:r w:rsidR="006A4EED" w:rsidRPr="005E58D9">
          <w:rPr>
            <w:rFonts w:ascii="Times New Roman" w:eastAsia="Times New Roman" w:hAnsi="Times New Roman"/>
            <w:i/>
            <w:iCs/>
            <w:sz w:val="24"/>
            <w:szCs w:val="24"/>
            <w:lang w:eastAsia="fr-FR"/>
          </w:rPr>
          <w:t>Petit Drame</w:t>
        </w:r>
        <w:r w:rsidR="006A4EED" w:rsidRPr="005E58D9">
          <w:rPr>
            <w:rFonts w:ascii="Times New Roman" w:eastAsia="Times New Roman" w:hAnsi="Times New Roman"/>
            <w:sz w:val="24"/>
            <w:szCs w:val="24"/>
            <w:lang w:eastAsia="fr-FR"/>
          </w:rPr>
          <w:t>, 1934</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2" w:anchor="cite_note-4" w:history="1">
        <w:r w:rsidR="006A4EED" w:rsidRPr="005E58D9">
          <w:rPr>
            <w:rFonts w:ascii="Times New Roman" w:eastAsia="Times New Roman" w:hAnsi="Times New Roman"/>
            <w:i/>
            <w:iCs/>
            <w:sz w:val="24"/>
            <w:szCs w:val="24"/>
            <w:lang w:eastAsia="fr-FR"/>
          </w:rPr>
          <w:t>Sire Halewyn</w:t>
        </w:r>
        <w:r w:rsidR="006A4EED" w:rsidRPr="005E58D9">
          <w:rPr>
            <w:rFonts w:ascii="Times New Roman" w:eastAsia="Times New Roman" w:hAnsi="Times New Roman"/>
            <w:sz w:val="24"/>
            <w:szCs w:val="24"/>
            <w:lang w:eastAsia="fr-FR"/>
          </w:rPr>
          <w:t>, 1934</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3" w:anchor="cite_note-4" w:history="1">
        <w:r w:rsidR="006A4EED" w:rsidRPr="005E58D9">
          <w:rPr>
            <w:rFonts w:ascii="Times New Roman" w:eastAsia="Times New Roman" w:hAnsi="Times New Roman"/>
            <w:i/>
            <w:iCs/>
            <w:sz w:val="24"/>
            <w:szCs w:val="24"/>
            <w:lang w:eastAsia="fr-FR"/>
          </w:rPr>
          <w:t>Mademoiselle Jaïre</w:t>
        </w:r>
        <w:r w:rsidR="006A4EED" w:rsidRPr="005E58D9">
          <w:rPr>
            <w:rFonts w:ascii="Times New Roman" w:eastAsia="Times New Roman" w:hAnsi="Times New Roman"/>
            <w:sz w:val="24"/>
            <w:szCs w:val="24"/>
            <w:lang w:eastAsia="fr-FR"/>
          </w:rPr>
          <w:t>, 1935</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4" w:anchor="cite_note-4" w:history="1">
        <w:r w:rsidR="006A4EED" w:rsidRPr="005E58D9">
          <w:rPr>
            <w:rFonts w:ascii="Times New Roman" w:eastAsia="Times New Roman" w:hAnsi="Times New Roman"/>
            <w:i/>
            <w:iCs/>
            <w:sz w:val="24"/>
            <w:szCs w:val="24"/>
            <w:lang w:eastAsia="fr-FR"/>
          </w:rPr>
          <w:t>Sortie de l'acteur</w:t>
        </w:r>
        <w:r w:rsidR="006A4EED" w:rsidRPr="005E58D9">
          <w:rPr>
            <w:rFonts w:ascii="Times New Roman" w:eastAsia="Times New Roman" w:hAnsi="Times New Roman"/>
            <w:sz w:val="24"/>
            <w:szCs w:val="24"/>
            <w:lang w:eastAsia="fr-FR"/>
          </w:rPr>
          <w:t>, 1935</w:t>
        </w:r>
      </w:hyperlink>
    </w:p>
    <w:p w:rsidR="006A4EED" w:rsidRPr="005E58D9" w:rsidRDefault="006A4EED"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r w:rsidRPr="005E58D9">
        <w:rPr>
          <w:rFonts w:ascii="Times New Roman" w:eastAsia="Times New Roman" w:hAnsi="Times New Roman"/>
          <w:i/>
          <w:iCs/>
          <w:sz w:val="24"/>
          <w:szCs w:val="24"/>
          <w:lang w:eastAsia="fr-FR"/>
        </w:rPr>
        <w:t>La Farce des Ténébreux</w:t>
      </w:r>
      <w:hyperlink r:id="rId75" w:anchor="cite_note-4" w:history="1">
        <w:r w:rsidRPr="005E58D9">
          <w:rPr>
            <w:rFonts w:ascii="Times New Roman" w:eastAsia="Times New Roman" w:hAnsi="Times New Roman"/>
            <w:iCs/>
            <w:sz w:val="24"/>
            <w:szCs w:val="24"/>
            <w:lang w:eastAsia="fr-FR"/>
          </w:rPr>
          <w:t>,</w:t>
        </w:r>
      </w:hyperlink>
      <w:r w:rsidRPr="005E58D9">
        <w:rPr>
          <w:rFonts w:ascii="Times New Roman" w:eastAsia="Times New Roman" w:hAnsi="Times New Roman"/>
          <w:iCs/>
          <w:sz w:val="24"/>
          <w:szCs w:val="24"/>
          <w:lang w:eastAsia="fr-FR"/>
        </w:rPr>
        <w:t xml:space="preserve"> 1936</w:t>
      </w:r>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6" w:tooltip="La Farce des Ténébreux (page inexistante)" w:history="1">
        <w:r w:rsidR="006A4EED" w:rsidRPr="005E58D9">
          <w:rPr>
            <w:rFonts w:ascii="Times New Roman" w:eastAsia="Times New Roman" w:hAnsi="Times New Roman"/>
            <w:i/>
            <w:iCs/>
            <w:sz w:val="24"/>
            <w:szCs w:val="24"/>
            <w:lang w:eastAsia="fr-FR"/>
          </w:rPr>
          <w:t>Hop Signor !</w:t>
        </w:r>
        <w:r w:rsidR="006A4EED" w:rsidRPr="005E58D9">
          <w:rPr>
            <w:rFonts w:ascii="Times New Roman" w:eastAsia="Times New Roman" w:hAnsi="Times New Roman"/>
            <w:sz w:val="24"/>
            <w:szCs w:val="24"/>
            <w:lang w:eastAsia="fr-FR"/>
          </w:rPr>
          <w:t>, 1936</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7" w:tooltip="La Farce des Ténébreux (page inexistante)" w:history="1">
        <w:r w:rsidR="006A4EED" w:rsidRPr="005E58D9">
          <w:rPr>
            <w:rFonts w:ascii="Times New Roman" w:eastAsia="Times New Roman" w:hAnsi="Times New Roman"/>
            <w:i/>
            <w:iCs/>
            <w:sz w:val="24"/>
            <w:szCs w:val="24"/>
            <w:lang w:eastAsia="fr-FR"/>
          </w:rPr>
          <w:t>Fastes d'Enfer</w:t>
        </w:r>
        <w:r w:rsidR="006A4EED" w:rsidRPr="005E58D9">
          <w:rPr>
            <w:rFonts w:ascii="Times New Roman" w:eastAsia="Times New Roman" w:hAnsi="Times New Roman"/>
            <w:sz w:val="24"/>
            <w:szCs w:val="24"/>
            <w:lang w:eastAsia="fr-FR"/>
          </w:rPr>
          <w:t>, 1937</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8" w:tooltip="La Farce des Ténébreux (page inexistante)" w:history="1">
        <w:r w:rsidR="006A4EED" w:rsidRPr="005E58D9">
          <w:rPr>
            <w:rFonts w:ascii="Times New Roman" w:eastAsia="Times New Roman" w:hAnsi="Times New Roman"/>
            <w:i/>
            <w:iCs/>
            <w:sz w:val="24"/>
            <w:szCs w:val="24"/>
            <w:lang w:eastAsia="fr-FR"/>
          </w:rPr>
          <w:t>La Pie sur le gibet</w:t>
        </w:r>
        <w:r w:rsidR="006A4EED" w:rsidRPr="005E58D9">
          <w:rPr>
            <w:rFonts w:ascii="Times New Roman" w:eastAsia="Times New Roman" w:hAnsi="Times New Roman"/>
            <w:sz w:val="24"/>
            <w:szCs w:val="24"/>
            <w:lang w:eastAsia="fr-FR"/>
          </w:rPr>
          <w:t>, 1937</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79" w:tooltip="La Farce des Ténébreux (page inexistante)" w:history="1">
        <w:r w:rsidR="006A4EED" w:rsidRPr="005E58D9">
          <w:rPr>
            <w:rFonts w:ascii="Times New Roman" w:eastAsia="Times New Roman" w:hAnsi="Times New Roman"/>
            <w:i/>
            <w:iCs/>
            <w:sz w:val="24"/>
            <w:szCs w:val="24"/>
            <w:lang w:eastAsia="fr-FR"/>
          </w:rPr>
          <w:t>Pantagleize est un ange</w:t>
        </w:r>
        <w:r w:rsidR="006A4EED" w:rsidRPr="005E58D9">
          <w:rPr>
            <w:rFonts w:ascii="Times New Roman" w:eastAsia="Times New Roman" w:hAnsi="Times New Roman"/>
            <w:sz w:val="24"/>
            <w:szCs w:val="24"/>
            <w:lang w:eastAsia="fr-FR"/>
          </w:rPr>
          <w:t>, 1938 (projet)</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80" w:tooltip="La Farce des Ténébreux (page inexistante)" w:history="1">
        <w:r w:rsidR="006A4EED" w:rsidRPr="005E58D9">
          <w:rPr>
            <w:rFonts w:ascii="Times New Roman" w:eastAsia="Times New Roman" w:hAnsi="Times New Roman"/>
            <w:i/>
            <w:iCs/>
            <w:sz w:val="24"/>
            <w:szCs w:val="24"/>
            <w:lang w:eastAsia="fr-FR"/>
          </w:rPr>
          <w:t>L'École des bouffons</w:t>
        </w:r>
        <w:r w:rsidR="006A4EED" w:rsidRPr="005E58D9">
          <w:rPr>
            <w:rFonts w:ascii="Times New Roman" w:eastAsia="Times New Roman" w:hAnsi="Times New Roman"/>
            <w:sz w:val="24"/>
            <w:szCs w:val="24"/>
            <w:lang w:eastAsia="fr-FR"/>
          </w:rPr>
          <w:t>, 1942</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81" w:tooltip="La Farce des Ténébreux (page inexistante)" w:history="1">
        <w:r w:rsidR="006A4EED" w:rsidRPr="005E58D9">
          <w:rPr>
            <w:rFonts w:ascii="Times New Roman" w:eastAsia="Times New Roman" w:hAnsi="Times New Roman"/>
            <w:i/>
            <w:iCs/>
            <w:sz w:val="24"/>
            <w:szCs w:val="24"/>
            <w:lang w:eastAsia="fr-FR"/>
          </w:rPr>
          <w:t>La Légende de la sacristine</w:t>
        </w:r>
        <w:r w:rsidR="006A4EED" w:rsidRPr="005E58D9">
          <w:rPr>
            <w:rFonts w:ascii="Times New Roman" w:eastAsia="Times New Roman" w:hAnsi="Times New Roman"/>
            <w:sz w:val="24"/>
            <w:szCs w:val="24"/>
            <w:lang w:eastAsia="fr-FR"/>
          </w:rPr>
          <w:t>, 1942 (projet)</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82" w:tooltip="La Farce des Ténébreux (page inexistante)" w:history="1">
        <w:r w:rsidR="006A4EED" w:rsidRPr="005E58D9">
          <w:rPr>
            <w:rFonts w:ascii="Times New Roman" w:eastAsia="Times New Roman" w:hAnsi="Times New Roman"/>
            <w:i/>
            <w:iCs/>
            <w:sz w:val="24"/>
            <w:szCs w:val="24"/>
            <w:lang w:eastAsia="fr-FR"/>
          </w:rPr>
          <w:t xml:space="preserve">Le </w:t>
        </w:r>
        <w:r w:rsidR="006A4EED" w:rsidRPr="005E58D9">
          <w:rPr>
            <w:rFonts w:ascii="Times New Roman" w:eastAsia="Times New Roman" w:hAnsi="Times New Roman"/>
            <w:i/>
            <w:iCs/>
            <w:sz w:val="24"/>
            <w:szCs w:val="24"/>
            <w:lang w:val="nl-NL" w:eastAsia="fr-FR"/>
          </w:rPr>
          <w:t>Papegay</w:t>
        </w:r>
        <w:r w:rsidR="006A4EED" w:rsidRPr="005E58D9">
          <w:rPr>
            <w:rFonts w:ascii="Times New Roman" w:eastAsia="Times New Roman" w:hAnsi="Times New Roman"/>
            <w:i/>
            <w:iCs/>
            <w:sz w:val="24"/>
            <w:szCs w:val="24"/>
            <w:lang w:eastAsia="fr-FR"/>
          </w:rPr>
          <w:t xml:space="preserve"> triomphant</w:t>
        </w:r>
        <w:r w:rsidR="006A4EED" w:rsidRPr="005E58D9">
          <w:rPr>
            <w:rFonts w:ascii="Times New Roman" w:eastAsia="Times New Roman" w:hAnsi="Times New Roman"/>
            <w:sz w:val="24"/>
            <w:szCs w:val="24"/>
            <w:lang w:eastAsia="fr-FR"/>
          </w:rPr>
          <w:t>, 1943</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83" w:tooltip="La Farce des Ténébreux (page inexistante)" w:history="1">
        <w:r w:rsidR="006A4EED" w:rsidRPr="005E58D9">
          <w:rPr>
            <w:rFonts w:ascii="Times New Roman" w:eastAsia="Times New Roman" w:hAnsi="Times New Roman"/>
            <w:i/>
            <w:iCs/>
            <w:sz w:val="24"/>
            <w:szCs w:val="24"/>
            <w:lang w:eastAsia="fr-FR"/>
          </w:rPr>
          <w:t>Le Soleil se couche…</w:t>
        </w:r>
        <w:r w:rsidR="006A4EED" w:rsidRPr="005E58D9">
          <w:rPr>
            <w:rFonts w:ascii="Times New Roman" w:eastAsia="Times New Roman" w:hAnsi="Times New Roman"/>
            <w:sz w:val="24"/>
            <w:szCs w:val="24"/>
            <w:lang w:eastAsia="fr-FR"/>
          </w:rPr>
          <w:t>, 1943</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84" w:tooltip="La Farce des Ténébreux (page inexistante)" w:history="1">
        <w:r w:rsidR="006A4EED" w:rsidRPr="005E58D9">
          <w:rPr>
            <w:rFonts w:ascii="Times New Roman" w:eastAsia="Times New Roman" w:hAnsi="Times New Roman"/>
            <w:i/>
            <w:iCs/>
            <w:sz w:val="24"/>
            <w:szCs w:val="24"/>
            <w:lang w:eastAsia="fr-FR"/>
          </w:rPr>
          <w:t>Car ils ne savent ce qu'ils font</w:t>
        </w:r>
        <w:r w:rsidR="006A4EED" w:rsidRPr="005E58D9">
          <w:rPr>
            <w:rFonts w:ascii="Times New Roman" w:eastAsia="Times New Roman" w:hAnsi="Times New Roman"/>
            <w:sz w:val="24"/>
            <w:szCs w:val="24"/>
            <w:lang w:eastAsia="fr-FR"/>
          </w:rPr>
          <w:t>, 1950</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85" w:tooltip="La Farce des Ténébreux (page inexistante)" w:history="1">
        <w:r w:rsidR="006A4EED" w:rsidRPr="005E58D9">
          <w:rPr>
            <w:rFonts w:ascii="Times New Roman" w:eastAsia="Times New Roman" w:hAnsi="Times New Roman"/>
            <w:i/>
            <w:iCs/>
            <w:sz w:val="24"/>
            <w:szCs w:val="24"/>
            <w:lang w:eastAsia="fr-FR"/>
          </w:rPr>
          <w:t>Marie la Misérable</w:t>
        </w:r>
        <w:r w:rsidR="006A4EED" w:rsidRPr="005E58D9">
          <w:rPr>
            <w:rFonts w:ascii="Times New Roman" w:eastAsia="Times New Roman" w:hAnsi="Times New Roman"/>
            <w:sz w:val="24"/>
            <w:szCs w:val="24"/>
            <w:lang w:eastAsia="fr-FR"/>
          </w:rPr>
          <w:t>, 1952, prix triennal du théâtre, 1953</w:t>
        </w:r>
      </w:hyperlink>
    </w:p>
    <w:p w:rsidR="006A4EED" w:rsidRPr="005E58D9" w:rsidRDefault="00D27910" w:rsidP="006A4EED">
      <w:pPr>
        <w:numPr>
          <w:ilvl w:val="0"/>
          <w:numId w:val="5"/>
        </w:numPr>
        <w:spacing w:before="100" w:beforeAutospacing="1" w:after="100" w:afterAutospacing="1" w:line="360" w:lineRule="auto"/>
        <w:jc w:val="both"/>
        <w:rPr>
          <w:rFonts w:ascii="Times New Roman" w:eastAsia="Times New Roman" w:hAnsi="Times New Roman"/>
          <w:sz w:val="24"/>
          <w:szCs w:val="24"/>
          <w:lang w:eastAsia="fr-FR"/>
        </w:rPr>
      </w:pPr>
      <w:hyperlink r:id="rId86" w:tooltip="Prix triennal du théâtre de la Communauté française de Belgique" w:history="1">
        <w:r w:rsidR="006A4EED" w:rsidRPr="005E58D9">
          <w:rPr>
            <w:rFonts w:ascii="Times New Roman" w:eastAsia="Times New Roman" w:hAnsi="Times New Roman"/>
            <w:i/>
            <w:iCs/>
            <w:sz w:val="24"/>
            <w:szCs w:val="24"/>
            <w:lang w:eastAsia="fr-FR"/>
          </w:rPr>
          <w:t>La Touchante et très Morale Tribulation céleste…</w:t>
        </w:r>
        <w:r w:rsidR="006A4EED" w:rsidRPr="005E58D9">
          <w:rPr>
            <w:rFonts w:ascii="Times New Roman" w:eastAsia="Times New Roman" w:hAnsi="Times New Roman"/>
            <w:sz w:val="24"/>
            <w:szCs w:val="24"/>
            <w:lang w:eastAsia="fr-FR"/>
          </w:rPr>
          <w:t>, 1960 (inachevé)</w:t>
        </w:r>
      </w:hyperlink>
    </w:p>
    <w:p w:rsidR="006A4EED" w:rsidRPr="00A037BE" w:rsidRDefault="00B740C0" w:rsidP="00B740C0">
      <w:pPr>
        <w:pStyle w:val="Titre4"/>
        <w:spacing w:before="0" w:after="0" w:line="360" w:lineRule="auto"/>
        <w:ind w:left="0" w:firstLine="284"/>
        <w:jc w:val="both"/>
        <w:rPr>
          <w:rFonts w:ascii="Times New Roman" w:hAnsi="Times New Roman"/>
          <w:i w:val="0"/>
          <w:iCs/>
          <w:lang w:eastAsia="fr-FR"/>
        </w:rPr>
      </w:pPr>
      <w:bookmarkStart w:id="54" w:name="_Toc471484429"/>
      <w:r>
        <w:rPr>
          <w:rFonts w:ascii="Times New Roman" w:hAnsi="Times New Roman"/>
          <w:i w:val="0"/>
          <w:iCs/>
          <w:lang w:eastAsia="fr-FR"/>
        </w:rPr>
        <w:t>3.3.</w:t>
      </w:r>
      <w:r w:rsidRPr="00A037BE">
        <w:rPr>
          <w:rFonts w:ascii="Times New Roman" w:hAnsi="Times New Roman"/>
          <w:i w:val="0"/>
          <w:iCs/>
          <w:lang w:eastAsia="fr-FR"/>
        </w:rPr>
        <w:t xml:space="preserve"> Contribution</w:t>
      </w:r>
      <w:r w:rsidR="006A4EED" w:rsidRPr="00A037BE">
        <w:rPr>
          <w:rFonts w:ascii="Times New Roman" w:hAnsi="Times New Roman"/>
          <w:i w:val="0"/>
          <w:iCs/>
          <w:lang w:eastAsia="fr-FR"/>
        </w:rPr>
        <w:t xml:space="preserve"> dramaturgique de Michel de Ghelderode</w:t>
      </w:r>
      <w:bookmarkEnd w:id="54"/>
    </w:p>
    <w:p w:rsidR="006A4EED" w:rsidRPr="005E58D9" w:rsidRDefault="006A4EED" w:rsidP="00B740C0">
      <w:pPr>
        <w:spacing w:after="0" w:line="360" w:lineRule="auto"/>
        <w:ind w:firstLine="284"/>
        <w:jc w:val="both"/>
        <w:rPr>
          <w:rFonts w:ascii="Times New Roman" w:hAnsi="Times New Roman"/>
          <w:sz w:val="24"/>
          <w:szCs w:val="24"/>
        </w:rPr>
      </w:pPr>
      <w:r w:rsidRPr="005E58D9">
        <w:rPr>
          <w:rFonts w:ascii="Times New Roman" w:hAnsi="Times New Roman"/>
          <w:sz w:val="24"/>
          <w:szCs w:val="24"/>
        </w:rPr>
        <w:t xml:space="preserve">Le théâtre possède une double immanence puisqu'il est texte et représentation. Dans l’œuvre de Ghelderode ces deux aspects (textuel et scénique) sont exploités de façon assez admirable et dégagent une originalité certaine qui en fait l’essence du théâtre de cet auteur. </w:t>
      </w:r>
    </w:p>
    <w:p w:rsidR="006A4EED" w:rsidRPr="00F3786C" w:rsidRDefault="006A4EED" w:rsidP="00F3786C">
      <w:pPr>
        <w:spacing w:after="0" w:line="360" w:lineRule="auto"/>
        <w:ind w:firstLine="284"/>
        <w:jc w:val="both"/>
        <w:rPr>
          <w:rFonts w:ascii="Times New Roman" w:hAnsi="Times New Roman"/>
          <w:sz w:val="24"/>
          <w:szCs w:val="24"/>
        </w:rPr>
      </w:pPr>
      <w:r w:rsidRPr="00F3786C">
        <w:rPr>
          <w:rFonts w:ascii="Times New Roman" w:hAnsi="Times New Roman"/>
          <w:sz w:val="24"/>
          <w:szCs w:val="24"/>
        </w:rPr>
        <w:t xml:space="preserve">Ghelderode au fil de son évolution aura abordé deux thématiques : le pathétique et le grotesque. Ces thématiques procèdent par entrelacement dans la structure dramatique de ses pièces. Ces deux modes d'expression se présentent parfois en </w:t>
      </w:r>
      <w:r w:rsidRPr="00F3786C">
        <w:rPr>
          <w:rFonts w:ascii="Times New Roman" w:hAnsi="Times New Roman"/>
          <w:sz w:val="24"/>
          <w:szCs w:val="24"/>
        </w:rPr>
        <w:lastRenderedPageBreak/>
        <w:t>même temps, comme si l'un est en l'autre ou l'un provocant l’autre. Ainsi est Michel de Ghelderode : caustique et inquiétant, ironique et glauque. Ces formes d’expression sont indissociables et constituent son identité dramaturgique</w:t>
      </w:r>
      <w:r w:rsidRPr="00F3786C">
        <w:rPr>
          <w:rStyle w:val="Appelnotedebasdep"/>
          <w:rFonts w:ascii="Times New Roman" w:hAnsi="Times New Roman"/>
          <w:sz w:val="24"/>
          <w:szCs w:val="24"/>
        </w:rPr>
        <w:footnoteReference w:id="96"/>
      </w:r>
      <w:r w:rsidRPr="00F3786C">
        <w:rPr>
          <w:rFonts w:ascii="Times New Roman" w:hAnsi="Times New Roman"/>
          <w:sz w:val="24"/>
          <w:szCs w:val="24"/>
        </w:rPr>
        <w:t xml:space="preserve">. </w:t>
      </w:r>
    </w:p>
    <w:p w:rsidR="000E1826" w:rsidRDefault="000E1826" w:rsidP="008322BD">
      <w:pPr>
        <w:pStyle w:val="Titre5"/>
        <w:spacing w:before="0" w:after="0"/>
        <w:ind w:firstLine="284"/>
        <w:jc w:val="both"/>
        <w:rPr>
          <w:rFonts w:ascii="Times New Roman" w:hAnsi="Times New Roman"/>
          <w:color w:val="auto"/>
        </w:rPr>
      </w:pPr>
    </w:p>
    <w:p w:rsidR="006A4EED" w:rsidRPr="008322BD" w:rsidRDefault="008322BD" w:rsidP="008322BD">
      <w:pPr>
        <w:pStyle w:val="Titre5"/>
        <w:spacing w:before="0" w:after="0"/>
        <w:ind w:firstLine="284"/>
        <w:jc w:val="both"/>
        <w:rPr>
          <w:rFonts w:ascii="Times New Roman" w:hAnsi="Times New Roman"/>
          <w:color w:val="auto"/>
        </w:rPr>
      </w:pPr>
      <w:bookmarkStart w:id="55" w:name="_Toc471484430"/>
      <w:r>
        <w:rPr>
          <w:rFonts w:ascii="Times New Roman" w:hAnsi="Times New Roman"/>
          <w:color w:val="auto"/>
        </w:rPr>
        <w:t>3.3.1.</w:t>
      </w:r>
      <w:r w:rsidRPr="008322BD">
        <w:rPr>
          <w:rFonts w:ascii="Times New Roman" w:hAnsi="Times New Roman"/>
          <w:color w:val="auto"/>
        </w:rPr>
        <w:t xml:space="preserve"> Ghelderode</w:t>
      </w:r>
      <w:r w:rsidR="006A4EED" w:rsidRPr="008322BD">
        <w:rPr>
          <w:rFonts w:ascii="Times New Roman" w:hAnsi="Times New Roman"/>
          <w:color w:val="auto"/>
        </w:rPr>
        <w:t>,  le comique et le carnavalesque</w:t>
      </w:r>
      <w:bookmarkEnd w:id="55"/>
    </w:p>
    <w:p w:rsidR="006A4EED" w:rsidRPr="003B00C8" w:rsidRDefault="006A4EED" w:rsidP="008322BD">
      <w:pPr>
        <w:spacing w:after="0" w:line="360" w:lineRule="auto"/>
        <w:ind w:firstLine="284"/>
        <w:jc w:val="both"/>
        <w:rPr>
          <w:rFonts w:ascii="Times New Roman" w:hAnsi="Times New Roman"/>
          <w:sz w:val="24"/>
          <w:szCs w:val="24"/>
        </w:rPr>
      </w:pPr>
      <w:r w:rsidRPr="003B00C8">
        <w:rPr>
          <w:rFonts w:ascii="Times New Roman" w:hAnsi="Times New Roman"/>
          <w:sz w:val="24"/>
          <w:szCs w:val="24"/>
        </w:rPr>
        <w:t>Une bonne partie de la littérature de Ghelderode est teintée d’une veine carnavalesque, inspirée par le pinceau des Primitifs Flamands ou les truculences rabelaisiennes. J. Blancart-Cassou expose le foisonnement de textes de Ghelderode dont le point commun est de servir d’exutoire aux hantises de l’écrivain (dramaturge et conteur), empreints qu’ils sont de songes, de jouissances et d’un humour véritable</w:t>
      </w:r>
      <w:r w:rsidRPr="003B00C8">
        <w:rPr>
          <w:rStyle w:val="Appelnotedebasdep"/>
          <w:rFonts w:ascii="Times New Roman" w:hAnsi="Times New Roman"/>
          <w:szCs w:val="24"/>
        </w:rPr>
        <w:footnoteReference w:id="97"/>
      </w:r>
      <w:r w:rsidRPr="003B00C8">
        <w:rPr>
          <w:rFonts w:ascii="Times New Roman" w:hAnsi="Times New Roman"/>
          <w:sz w:val="24"/>
          <w:szCs w:val="24"/>
        </w:rPr>
        <w:t xml:space="preserve">. </w:t>
      </w:r>
    </w:p>
    <w:p w:rsidR="00690276" w:rsidRDefault="006A4EED" w:rsidP="006A4EED">
      <w:pPr>
        <w:spacing w:line="360" w:lineRule="auto"/>
        <w:jc w:val="both"/>
        <w:rPr>
          <w:rFonts w:ascii="Times New Roman" w:hAnsi="Times New Roman"/>
          <w:sz w:val="24"/>
          <w:szCs w:val="24"/>
        </w:rPr>
      </w:pPr>
      <w:r w:rsidRPr="003B00C8">
        <w:rPr>
          <w:rFonts w:ascii="Times New Roman" w:hAnsi="Times New Roman"/>
          <w:sz w:val="24"/>
          <w:szCs w:val="24"/>
        </w:rPr>
        <w:t xml:space="preserve">Mais qu’est ce que le carnavalesque ?   </w:t>
      </w:r>
    </w:p>
    <w:p w:rsidR="006633CD" w:rsidRDefault="006A4EED" w:rsidP="008322BD">
      <w:pPr>
        <w:spacing w:after="0" w:line="360" w:lineRule="auto"/>
        <w:ind w:firstLine="284"/>
        <w:jc w:val="both"/>
        <w:rPr>
          <w:rFonts w:ascii="Times New Roman" w:hAnsi="Times New Roman"/>
          <w:sz w:val="24"/>
          <w:szCs w:val="24"/>
        </w:rPr>
      </w:pPr>
      <w:r w:rsidRPr="003B00C8">
        <w:rPr>
          <w:rFonts w:ascii="Times New Roman" w:hAnsi="Times New Roman"/>
          <w:sz w:val="24"/>
          <w:szCs w:val="24"/>
        </w:rPr>
        <w:t>Ce genre dramaturgique s'abreuve de la métaphore du carnaval pour se définir comme une perception du monde, une sensibilité que l'on trouve dans des genres littéraires variés. Le carnavalesque dénote le  mélange du sérieux et du comique, du sublime et du vulgaire des tons et des styles représent</w:t>
      </w:r>
      <w:r w:rsidR="00690276">
        <w:rPr>
          <w:rFonts w:ascii="Times New Roman" w:hAnsi="Times New Roman"/>
          <w:sz w:val="24"/>
          <w:szCs w:val="24"/>
        </w:rPr>
        <w:t>a</w:t>
      </w:r>
      <w:r w:rsidRPr="003B00C8">
        <w:rPr>
          <w:rFonts w:ascii="Times New Roman" w:hAnsi="Times New Roman"/>
          <w:sz w:val="24"/>
          <w:szCs w:val="24"/>
        </w:rPr>
        <w:t xml:space="preserve">nt la caractéristique la plus pertinente qui s'éloigne ainsi de la tradition classique.  </w:t>
      </w:r>
    </w:p>
    <w:p w:rsidR="006A4EED" w:rsidRPr="003B00C8" w:rsidRDefault="006A4EED" w:rsidP="008322BD">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Cependant le carnaval est une fête particulière qui n'est pas une forme artistique de spectacle théâtral, mais plutôt une forme concrète mais provisoire de la vie. Sa propriété est de mettre aussi à l'épreuve par le vécu et le ludique les conflits sociaux. Le carnaval a connu son apogée au Moyen Age et sous </w:t>
      </w:r>
      <w:smartTag w:uri="urn:schemas-microsoft-com:office:smarttags" w:element="PersonName">
        <w:smartTagPr>
          <w:attr w:name="ProductID" w:val="䱘ዘꩀዐ"/>
        </w:smartTagPr>
        <w:r w:rsidRPr="003B00C8">
          <w:rPr>
            <w:rFonts w:ascii="Times New Roman" w:hAnsi="Times New Roman"/>
            <w:sz w:val="24"/>
            <w:szCs w:val="24"/>
          </w:rPr>
          <w:t>la Renaissance. Cette</w:t>
        </w:r>
      </w:smartTag>
      <w:r w:rsidRPr="003B00C8">
        <w:rPr>
          <w:rFonts w:ascii="Times New Roman" w:hAnsi="Times New Roman"/>
          <w:sz w:val="24"/>
          <w:szCs w:val="24"/>
        </w:rPr>
        <w:t xml:space="preserve"> fête s'échelonnait sur plusieurs célébrations qui se déroulaient entre les fêtes religieuses chrétiennes de Noël et de Pâques.  Au temps de </w:t>
      </w:r>
      <w:smartTag w:uri="urn:schemas-microsoft-com:office:smarttags" w:element="PersonName">
        <w:smartTagPr>
          <w:attr w:name="ProductID" w:val="la R￩publique Romaine"/>
        </w:smartTagPr>
        <w:r w:rsidRPr="003B00C8">
          <w:rPr>
            <w:rFonts w:ascii="Times New Roman" w:hAnsi="Times New Roman"/>
            <w:sz w:val="24"/>
            <w:szCs w:val="24"/>
          </w:rPr>
          <w:t>la République Romaine</w:t>
        </w:r>
      </w:smartTag>
      <w:r w:rsidRPr="003B00C8">
        <w:rPr>
          <w:rFonts w:ascii="Times New Roman" w:hAnsi="Times New Roman"/>
          <w:sz w:val="24"/>
          <w:szCs w:val="24"/>
        </w:rPr>
        <w:t>, qui est le contexte historique même de notre pièce, on retrouve les mêmes expressions dans les fêtes agraires des Saturnales.</w:t>
      </w:r>
    </w:p>
    <w:p w:rsidR="006A4EED" w:rsidRPr="003B00C8" w:rsidRDefault="006A4EED" w:rsidP="008322BD">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L’angoisse de Ghelderode devant la dérision humaine annonce la violence de l’interrogation métaphysique au cœur du nouveau théâtre. Ce dernier, le sien, qui s’est inspiré du folklore carnavalesque de son pays natal, les Flandres, en mettant volontiers en scène des sujets historiques ou religieux, s’est caractérisé par </w:t>
      </w:r>
      <w:r w:rsidRPr="003B00C8">
        <w:rPr>
          <w:rFonts w:ascii="Times New Roman" w:hAnsi="Times New Roman"/>
          <w:sz w:val="24"/>
          <w:szCs w:val="24"/>
        </w:rPr>
        <w:lastRenderedPageBreak/>
        <w:t>l’esthétique expressionniste de ses pièces, qui revêtent souvent le caractère de farces macabres.</w:t>
      </w:r>
    </w:p>
    <w:p w:rsidR="006A4EED" w:rsidRPr="003B00C8" w:rsidRDefault="006A4EED" w:rsidP="00801DFE">
      <w:pPr>
        <w:spacing w:after="0" w:line="360" w:lineRule="auto"/>
        <w:ind w:firstLine="284"/>
        <w:jc w:val="both"/>
        <w:rPr>
          <w:rFonts w:ascii="Times New Roman" w:hAnsi="Times New Roman"/>
          <w:sz w:val="24"/>
          <w:szCs w:val="24"/>
        </w:rPr>
      </w:pPr>
      <w:r w:rsidRPr="003B00C8">
        <w:rPr>
          <w:rFonts w:ascii="Times New Roman" w:hAnsi="Times New Roman"/>
          <w:sz w:val="24"/>
          <w:szCs w:val="24"/>
        </w:rPr>
        <w:t>Il faut rappeler aussi que Ghelderode n’est pas seulement un dramaturge. Il est aussi un génial conteur, exercice dans lequel transparait son amour pour le carnavalesque et le comique. J. Blancart-Cassou l’exposait déjà dans un autre ouvrage</w:t>
      </w:r>
      <w:r w:rsidRPr="003B00C8">
        <w:rPr>
          <w:rStyle w:val="Appelnotedebasdep"/>
          <w:rFonts w:ascii="Times New Roman" w:hAnsi="Times New Roman"/>
          <w:szCs w:val="24"/>
        </w:rPr>
        <w:footnoteReference w:id="98"/>
      </w:r>
      <w:r w:rsidRPr="003B00C8">
        <w:rPr>
          <w:rFonts w:ascii="Times New Roman" w:hAnsi="Times New Roman"/>
          <w:sz w:val="24"/>
          <w:szCs w:val="24"/>
        </w:rPr>
        <w:t xml:space="preserve"> à travers lequel elle égrène la gamme infiniment variée de rires qui résonnent dans les textes de Ghelderode.</w:t>
      </w:r>
    </w:p>
    <w:p w:rsidR="000E1826" w:rsidRDefault="000E1826" w:rsidP="00D05882">
      <w:pPr>
        <w:pStyle w:val="Titre5"/>
        <w:spacing w:before="0" w:after="0"/>
        <w:ind w:firstLine="284"/>
        <w:jc w:val="both"/>
        <w:rPr>
          <w:rFonts w:asciiTheme="majorBidi" w:hAnsiTheme="majorBidi" w:cstheme="majorBidi"/>
          <w:color w:val="auto"/>
          <w:szCs w:val="24"/>
        </w:rPr>
      </w:pPr>
    </w:p>
    <w:p w:rsidR="006A4EED" w:rsidRPr="00D05882" w:rsidRDefault="00D05882" w:rsidP="00D05882">
      <w:pPr>
        <w:pStyle w:val="Titre5"/>
        <w:spacing w:before="0" w:after="0"/>
        <w:ind w:firstLine="284"/>
        <w:jc w:val="both"/>
        <w:rPr>
          <w:rFonts w:asciiTheme="majorBidi" w:hAnsiTheme="majorBidi" w:cstheme="majorBidi"/>
          <w:color w:val="auto"/>
          <w:szCs w:val="24"/>
        </w:rPr>
      </w:pPr>
      <w:bookmarkStart w:id="56" w:name="_Toc471484431"/>
      <w:r w:rsidRPr="00D05882">
        <w:rPr>
          <w:rFonts w:asciiTheme="majorBidi" w:hAnsiTheme="majorBidi" w:cstheme="majorBidi"/>
          <w:color w:val="auto"/>
          <w:szCs w:val="24"/>
        </w:rPr>
        <w:t>3.3.2. Ghelderode</w:t>
      </w:r>
      <w:r w:rsidR="006A4EED" w:rsidRPr="00D05882">
        <w:rPr>
          <w:rFonts w:asciiTheme="majorBidi" w:hAnsiTheme="majorBidi" w:cstheme="majorBidi"/>
          <w:color w:val="auto"/>
          <w:szCs w:val="24"/>
        </w:rPr>
        <w:t>, le grotesque et le tragique</w:t>
      </w:r>
      <w:bookmarkEnd w:id="56"/>
    </w:p>
    <w:p w:rsidR="006A4EED" w:rsidRPr="008A40AC" w:rsidRDefault="006A4EED" w:rsidP="00323C9A">
      <w:pPr>
        <w:spacing w:after="0" w:line="360" w:lineRule="auto"/>
        <w:ind w:firstLine="284"/>
        <w:jc w:val="both"/>
        <w:rPr>
          <w:rFonts w:asciiTheme="majorBidi" w:hAnsiTheme="majorBidi" w:cstheme="majorBidi"/>
          <w:sz w:val="24"/>
          <w:szCs w:val="24"/>
        </w:rPr>
      </w:pPr>
      <w:r w:rsidRPr="00D05882">
        <w:rPr>
          <w:rFonts w:asciiTheme="majorBidi" w:hAnsiTheme="majorBidi" w:cstheme="majorBidi"/>
          <w:sz w:val="24"/>
          <w:szCs w:val="24"/>
        </w:rPr>
        <w:t>Reprenant les mots de Jean Cocteau, Gabriela H</w:t>
      </w:r>
      <w:r w:rsidR="00323C9A">
        <w:rPr>
          <w:rFonts w:asciiTheme="majorBidi" w:hAnsiTheme="majorBidi" w:cstheme="majorBidi"/>
          <w:sz w:val="24"/>
          <w:szCs w:val="24"/>
        </w:rPr>
        <w:t>egyesi</w:t>
      </w:r>
      <w:r w:rsidRPr="00D05882">
        <w:rPr>
          <w:rFonts w:asciiTheme="majorBidi" w:hAnsiTheme="majorBidi" w:cstheme="majorBidi"/>
          <w:sz w:val="24"/>
          <w:szCs w:val="24"/>
        </w:rPr>
        <w:t>, décrit et défend les relents tragiques dans le théâtre du dramaturge de Ghelderode</w:t>
      </w:r>
      <w:r w:rsidR="006633CD" w:rsidRPr="00D05882">
        <w:rPr>
          <w:rFonts w:asciiTheme="majorBidi" w:hAnsiTheme="majorBidi" w:cstheme="majorBidi"/>
          <w:sz w:val="24"/>
          <w:szCs w:val="24"/>
        </w:rPr>
        <w:t xml:space="preserve"> : </w:t>
      </w:r>
      <w:r w:rsidR="006633CD" w:rsidRPr="008A40AC">
        <w:rPr>
          <w:rFonts w:asciiTheme="majorBidi" w:hAnsiTheme="majorBidi" w:cstheme="majorBidi"/>
          <w:sz w:val="24"/>
          <w:szCs w:val="24"/>
        </w:rPr>
        <w:t>« </w:t>
      </w:r>
      <w:r w:rsidRPr="008A40AC">
        <w:rPr>
          <w:rFonts w:asciiTheme="majorBidi" w:hAnsiTheme="majorBidi" w:cstheme="majorBidi"/>
          <w:sz w:val="24"/>
          <w:szCs w:val="24"/>
        </w:rPr>
        <w:t>Ghelderode, c’est</w:t>
      </w:r>
      <w:r w:rsidR="008A40AC">
        <w:rPr>
          <w:rFonts w:asciiTheme="majorBidi" w:hAnsiTheme="majorBidi" w:cstheme="majorBidi"/>
          <w:sz w:val="24"/>
          <w:szCs w:val="24"/>
        </w:rPr>
        <w:t xml:space="preserve"> [</w:t>
      </w:r>
      <w:r w:rsidRPr="008A40AC">
        <w:rPr>
          <w:rFonts w:asciiTheme="majorBidi" w:hAnsiTheme="majorBidi" w:cstheme="majorBidi"/>
          <w:sz w:val="24"/>
          <w:szCs w:val="24"/>
        </w:rPr>
        <w:t>…</w:t>
      </w:r>
      <w:r w:rsidR="008A40AC">
        <w:rPr>
          <w:rFonts w:asciiTheme="majorBidi" w:hAnsiTheme="majorBidi" w:cstheme="majorBidi"/>
          <w:sz w:val="24"/>
          <w:szCs w:val="24"/>
        </w:rPr>
        <w:t>]</w:t>
      </w:r>
      <w:r w:rsidRPr="008A40AC">
        <w:rPr>
          <w:rFonts w:asciiTheme="majorBidi" w:hAnsiTheme="majorBidi" w:cstheme="majorBidi"/>
          <w:sz w:val="24"/>
          <w:szCs w:val="24"/>
        </w:rPr>
        <w:t xml:space="preserve"> ce diamant noir qui jette des feux cruels et nobles. Ils ne blessent que les petites âmes. Ils éblouissent les autres.</w:t>
      </w:r>
      <w:r w:rsidR="006633CD" w:rsidRPr="008A40AC">
        <w:rPr>
          <w:rFonts w:asciiTheme="majorBidi" w:hAnsiTheme="majorBidi" w:cstheme="majorBidi"/>
          <w:sz w:val="24"/>
          <w:szCs w:val="24"/>
        </w:rPr>
        <w:t> »</w:t>
      </w:r>
      <w:r w:rsidRPr="008A40AC">
        <w:rPr>
          <w:rStyle w:val="Appelnotedebasdep"/>
          <w:rFonts w:asciiTheme="majorBidi" w:hAnsiTheme="majorBidi" w:cstheme="majorBidi"/>
          <w:sz w:val="24"/>
          <w:szCs w:val="24"/>
        </w:rPr>
        <w:t xml:space="preserve"> </w:t>
      </w:r>
      <w:r w:rsidRPr="008A40AC">
        <w:rPr>
          <w:rStyle w:val="Appelnotedebasdep"/>
          <w:rFonts w:asciiTheme="majorBidi" w:hAnsiTheme="majorBidi" w:cstheme="majorBidi"/>
          <w:sz w:val="24"/>
          <w:szCs w:val="24"/>
        </w:rPr>
        <w:footnoteReference w:id="99"/>
      </w:r>
    </w:p>
    <w:p w:rsidR="00141DDA" w:rsidRDefault="006A4EED" w:rsidP="00220A41">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 grotesque et le tragique font donc pleinement partie du théâtre Ghelderodien. Ils se manifestent chez ce dramaturge de diverses façons. </w:t>
      </w:r>
    </w:p>
    <w:p w:rsidR="006A4EED" w:rsidRPr="00220A41" w:rsidRDefault="00E61F93" w:rsidP="00220A41">
      <w:pPr>
        <w:spacing w:after="0" w:line="360" w:lineRule="auto"/>
        <w:ind w:firstLine="284"/>
        <w:jc w:val="both"/>
        <w:rPr>
          <w:rFonts w:asciiTheme="majorBidi" w:hAnsiTheme="majorBidi" w:cstheme="majorBidi"/>
        </w:rPr>
      </w:pPr>
      <w:r w:rsidRPr="00D41F7B">
        <w:rPr>
          <w:rFonts w:ascii="Times New Roman" w:hAnsi="Times New Roman"/>
          <w:sz w:val="24"/>
          <w:szCs w:val="24"/>
        </w:rPr>
        <w:t xml:space="preserve">Il en est ainsi, par exemple du </w:t>
      </w:r>
      <w:r w:rsidR="006A4EED" w:rsidRPr="00D41F7B">
        <w:rPr>
          <w:rFonts w:ascii="Times New Roman" w:hAnsi="Times New Roman"/>
          <w:sz w:val="24"/>
          <w:szCs w:val="24"/>
        </w:rPr>
        <w:t>rapport à la religion.</w:t>
      </w:r>
      <w:r w:rsidR="006A4EED" w:rsidRPr="003B00C8">
        <w:rPr>
          <w:rFonts w:ascii="Times New Roman" w:hAnsi="Times New Roman"/>
          <w:sz w:val="24"/>
          <w:szCs w:val="24"/>
        </w:rPr>
        <w:t xml:space="preserve"> Les convictions religieuses de Ghelderode ne sont pas aisées à déterminer, en raison du goût avéré de l’auteur pour la mystification. Ghelderode affirme avoir perdu la foi en 1915, lorsqu’il interrompt ses études secondaires à Saint-Louis. Plusieurs recherches dont celles de Beyen tendent à prouver que le dramaturge projette son anticléricalisme d’adulte sur ses souvenirs d’adolescent</w:t>
      </w:r>
      <w:r w:rsidR="006A4EED" w:rsidRPr="00A9365B">
        <w:rPr>
          <w:rFonts w:ascii="Times New Roman" w:hAnsi="Times New Roman"/>
          <w:vertAlign w:val="superscript"/>
        </w:rPr>
        <w:footnoteReference w:id="100"/>
      </w:r>
      <w:r w:rsidR="006A4EED" w:rsidRPr="003B00C8">
        <w:rPr>
          <w:rFonts w:ascii="Times New Roman" w:hAnsi="Times New Roman"/>
          <w:sz w:val="24"/>
          <w:szCs w:val="24"/>
        </w:rPr>
        <w:t xml:space="preserve">. Il éprouve en effet des difficultés à conserver la foi et la pratique religieuse, telle qu’elle lui a été transmise. Plus tard, l’écrivain reprochera à l’Église : </w:t>
      </w:r>
      <w:r w:rsidR="006A4EED" w:rsidRPr="00220A41">
        <w:rPr>
          <w:rFonts w:asciiTheme="majorBidi" w:hAnsiTheme="majorBidi" w:cstheme="majorBidi"/>
          <w:sz w:val="24"/>
          <w:szCs w:val="24"/>
        </w:rPr>
        <w:t>« son intolérance, son hypocrisie, son asservissement au capitalisme et sa morale religieuse étriquée »</w:t>
      </w:r>
      <w:r w:rsidR="006A4EED" w:rsidRPr="00220A41">
        <w:rPr>
          <w:rStyle w:val="Appelnotedebasdep"/>
          <w:rFonts w:asciiTheme="majorBidi" w:hAnsiTheme="majorBidi" w:cstheme="majorBidi"/>
        </w:rPr>
        <w:footnoteReference w:id="101"/>
      </w:r>
      <w:r w:rsidR="006A4EED" w:rsidRPr="00220A41">
        <w:rPr>
          <w:rFonts w:asciiTheme="majorBidi" w:hAnsiTheme="majorBidi" w:cstheme="majorBidi"/>
        </w:rPr>
        <w:t>.</w:t>
      </w:r>
    </w:p>
    <w:p w:rsidR="007E5E74" w:rsidRDefault="006A4EED" w:rsidP="00B95D64">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 Etant donné que Ghelderode voit le clergé comme une force malfaisante, qui étouffe l’individu, il l’assimile à une « bête noire » et entreprend de dépeindre l’Eglise avec un air irrévérence et grotesque. L’auteur se sert aussi de la religion pour exorciser ses peurs, ses doutes, ses frustrations. </w:t>
      </w:r>
    </w:p>
    <w:p w:rsidR="006A4EED" w:rsidRPr="00B95D64" w:rsidRDefault="006A4EED" w:rsidP="00B95D64">
      <w:pPr>
        <w:spacing w:after="0" w:line="360" w:lineRule="auto"/>
        <w:ind w:firstLine="284"/>
        <w:jc w:val="both"/>
        <w:rPr>
          <w:rFonts w:ascii="Times New Roman" w:hAnsi="Times New Roman"/>
          <w:sz w:val="24"/>
          <w:szCs w:val="24"/>
        </w:rPr>
      </w:pPr>
      <w:r w:rsidRPr="00B95D64">
        <w:rPr>
          <w:rFonts w:ascii="Times New Roman" w:hAnsi="Times New Roman"/>
          <w:sz w:val="24"/>
          <w:szCs w:val="24"/>
        </w:rPr>
        <w:lastRenderedPageBreak/>
        <w:t xml:space="preserve">Il en est ainsi, on le verra tout au long de cette thèse, de la pièce </w:t>
      </w:r>
      <w:r w:rsidRPr="00B95D64">
        <w:rPr>
          <w:rFonts w:ascii="Times New Roman" w:hAnsi="Times New Roman"/>
          <w:i/>
          <w:sz w:val="24"/>
          <w:szCs w:val="24"/>
        </w:rPr>
        <w:t>Bara</w:t>
      </w:r>
      <w:r w:rsidR="00A22FDB" w:rsidRPr="00B95D64">
        <w:rPr>
          <w:rFonts w:ascii="Times New Roman" w:hAnsi="Times New Roman"/>
          <w:i/>
          <w:sz w:val="24"/>
          <w:szCs w:val="24"/>
        </w:rPr>
        <w:t>b</w:t>
      </w:r>
      <w:r w:rsidRPr="00B95D64">
        <w:rPr>
          <w:rFonts w:ascii="Times New Roman" w:hAnsi="Times New Roman"/>
          <w:i/>
          <w:sz w:val="24"/>
          <w:szCs w:val="24"/>
        </w:rPr>
        <w:t>bas</w:t>
      </w:r>
      <w:r w:rsidRPr="00B95D64">
        <w:rPr>
          <w:rFonts w:ascii="Times New Roman" w:hAnsi="Times New Roman"/>
          <w:sz w:val="24"/>
          <w:szCs w:val="24"/>
        </w:rPr>
        <w:t>. Ghelderode, hanté depuis longtemps par le sujet, a proposé avec insistance d’écrire une Passion du Christ, à trois reprises : en mars 1927, en février 1928 et en septembre 1928. Le supplice du Messie a peut-être permis à Ghelderode d’extérioriser son obsession de la mort</w:t>
      </w:r>
      <w:r w:rsidRPr="00B95D64">
        <w:rPr>
          <w:rStyle w:val="Appelnotedebasdep"/>
          <w:rFonts w:ascii="Times New Roman" w:hAnsi="Times New Roman"/>
          <w:sz w:val="24"/>
          <w:szCs w:val="24"/>
        </w:rPr>
        <w:footnoteReference w:id="102"/>
      </w:r>
      <w:r w:rsidRPr="00B95D64">
        <w:rPr>
          <w:rFonts w:ascii="Times New Roman" w:hAnsi="Times New Roman"/>
          <w:sz w:val="24"/>
          <w:szCs w:val="24"/>
        </w:rPr>
        <w:t>.</w:t>
      </w:r>
    </w:p>
    <w:p w:rsidR="006A4EED" w:rsidRPr="003B00C8" w:rsidRDefault="006A4EED" w:rsidP="00B95D64">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D’ailleurs, le spectacle est toujours un spectacle de cruauté sous le regard obsédant d'une mort menaçante et souvent imminente. Son œuvre « Barabbas » sera en ce sens l'une des plus controversée, marquant un tournant dans le théâtre de l'auteur, de par sa couleur biblique où </w:t>
      </w:r>
      <w:smartTag w:uri="urn:schemas-microsoft-com:office:smarttags" w:element="PersonName">
        <w:smartTagPr>
          <w:attr w:name="ProductID" w:val="la Passion"/>
        </w:smartTagPr>
        <w:r w:rsidRPr="003B00C8">
          <w:rPr>
            <w:rFonts w:ascii="Times New Roman" w:hAnsi="Times New Roman"/>
            <w:sz w:val="24"/>
            <w:szCs w:val="24"/>
          </w:rPr>
          <w:t>la Passion</w:t>
        </w:r>
      </w:smartTag>
      <w:r w:rsidRPr="003B00C8">
        <w:rPr>
          <w:rFonts w:ascii="Times New Roman" w:hAnsi="Times New Roman"/>
          <w:sz w:val="24"/>
          <w:szCs w:val="24"/>
        </w:rPr>
        <w:t xml:space="preserve"> du Christ est désacralisée.</w:t>
      </w:r>
    </w:p>
    <w:p w:rsidR="006A4EED" w:rsidRDefault="006A4EED" w:rsidP="00637154">
      <w:pPr>
        <w:spacing w:after="0" w:line="360" w:lineRule="auto"/>
        <w:ind w:firstLine="284"/>
        <w:jc w:val="both"/>
        <w:rPr>
          <w:rFonts w:ascii="Times New Roman" w:hAnsi="Times New Roman"/>
          <w:sz w:val="24"/>
          <w:szCs w:val="24"/>
        </w:rPr>
      </w:pPr>
      <w:r w:rsidRPr="003B00C8">
        <w:rPr>
          <w:rFonts w:ascii="Times New Roman" w:hAnsi="Times New Roman"/>
          <w:sz w:val="24"/>
          <w:szCs w:val="24"/>
        </w:rPr>
        <w:t>Après avoir présenté le théâtre et les deux dramaturges Kaki et Ghelderode, procédons à présent à une confrontation de leurs motivations et de leurs thématiques.</w:t>
      </w:r>
    </w:p>
    <w:p w:rsidR="004C13FD" w:rsidRDefault="004C13FD" w:rsidP="004C13FD">
      <w:pPr>
        <w:rPr>
          <w:lang w:eastAsia="fr-FR"/>
        </w:rPr>
      </w:pPr>
    </w:p>
    <w:p w:rsidR="004C13FD" w:rsidRP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Default="004C13FD" w:rsidP="004C13FD">
      <w:pPr>
        <w:rPr>
          <w:lang w:eastAsia="fr-FR"/>
        </w:rPr>
      </w:pPr>
    </w:p>
    <w:p w:rsidR="004C13FD" w:rsidRPr="004C13FD" w:rsidRDefault="004C13FD" w:rsidP="004C13FD">
      <w:pPr>
        <w:rPr>
          <w:lang w:eastAsia="fr-FR"/>
        </w:rPr>
      </w:pPr>
    </w:p>
    <w:p w:rsidR="006A4EED" w:rsidRPr="00637154" w:rsidRDefault="006A4EED" w:rsidP="00637154">
      <w:pPr>
        <w:pStyle w:val="Titre2"/>
        <w:spacing w:before="0" w:after="0"/>
        <w:jc w:val="both"/>
        <w:rPr>
          <w:rFonts w:ascii="Times New Roman" w:hAnsi="Times New Roman" w:cs="Times New Roman"/>
          <w:i w:val="0"/>
          <w:iCs w:val="0"/>
          <w:sz w:val="24"/>
          <w:szCs w:val="24"/>
        </w:rPr>
      </w:pPr>
      <w:bookmarkStart w:id="57" w:name="_Toc471484432"/>
      <w:r w:rsidRPr="00637154">
        <w:rPr>
          <w:rFonts w:ascii="Times New Roman" w:hAnsi="Times New Roman" w:cs="Times New Roman"/>
          <w:i w:val="0"/>
          <w:iCs w:val="0"/>
          <w:sz w:val="24"/>
          <w:szCs w:val="24"/>
        </w:rPr>
        <w:lastRenderedPageBreak/>
        <w:t>Chapitre 3</w:t>
      </w:r>
      <w:r w:rsidR="00637154">
        <w:rPr>
          <w:rFonts w:ascii="Times New Roman" w:hAnsi="Times New Roman" w:cs="Times New Roman"/>
          <w:i w:val="0"/>
          <w:iCs w:val="0"/>
          <w:sz w:val="24"/>
          <w:szCs w:val="24"/>
        </w:rPr>
        <w:t xml:space="preserve"> : </w:t>
      </w:r>
      <w:r w:rsidR="00F516D5" w:rsidRPr="00637154">
        <w:rPr>
          <w:rFonts w:ascii="Times New Roman" w:hAnsi="Times New Roman" w:cs="Times New Roman"/>
          <w:i w:val="0"/>
          <w:iCs w:val="0"/>
          <w:sz w:val="24"/>
          <w:szCs w:val="24"/>
        </w:rPr>
        <w:t>Kaki vs Ghelderode, étude des convergences et des divergences</w:t>
      </w:r>
      <w:bookmarkEnd w:id="57"/>
    </w:p>
    <w:p w:rsidR="00E61F93" w:rsidRDefault="00E61F93" w:rsidP="006A4EED">
      <w:pPr>
        <w:spacing w:line="360" w:lineRule="auto"/>
        <w:ind w:firstLine="709"/>
        <w:jc w:val="both"/>
        <w:rPr>
          <w:rFonts w:ascii="Times New Roman" w:hAnsi="Times New Roman"/>
          <w:sz w:val="24"/>
          <w:szCs w:val="24"/>
        </w:rPr>
      </w:pPr>
    </w:p>
    <w:p w:rsidR="006A4EED" w:rsidRPr="003B00C8" w:rsidRDefault="006A4EED" w:rsidP="00637154">
      <w:pPr>
        <w:spacing w:after="0" w:line="360" w:lineRule="auto"/>
        <w:ind w:firstLine="284"/>
        <w:jc w:val="both"/>
        <w:rPr>
          <w:rFonts w:ascii="Times New Roman" w:hAnsi="Times New Roman"/>
          <w:sz w:val="24"/>
          <w:szCs w:val="24"/>
        </w:rPr>
      </w:pPr>
      <w:r w:rsidRPr="003B00C8">
        <w:rPr>
          <w:rFonts w:ascii="Times New Roman" w:hAnsi="Times New Roman"/>
          <w:sz w:val="24"/>
          <w:szCs w:val="24"/>
        </w:rPr>
        <w:t>Ce chapitre sera la première confrontation des univers des deux auteurs, avant une confrontation plus loin de leur</w:t>
      </w:r>
      <w:r w:rsidR="00E61F93">
        <w:rPr>
          <w:rFonts w:ascii="Times New Roman" w:hAnsi="Times New Roman"/>
          <w:sz w:val="24"/>
          <w:szCs w:val="24"/>
        </w:rPr>
        <w:t>s</w:t>
      </w:r>
      <w:r w:rsidRPr="003B00C8">
        <w:rPr>
          <w:rFonts w:ascii="Times New Roman" w:hAnsi="Times New Roman"/>
          <w:sz w:val="24"/>
          <w:szCs w:val="24"/>
        </w:rPr>
        <w:t xml:space="preserve"> personnages-narrateurs. Le théâtre est un phénomène particulièrement mouvant. Il n’est donc pas statique et il s’effectue selon le lieu social et le moment de l’histoire. Pierre Larthomas nous indique à ce propos que :</w:t>
      </w:r>
    </w:p>
    <w:p w:rsidR="007E5E74" w:rsidRPr="00637154" w:rsidRDefault="006A4EED" w:rsidP="009B3762">
      <w:pPr>
        <w:pStyle w:val="Citationintense"/>
        <w:spacing w:before="0" w:after="0"/>
        <w:ind w:left="567" w:right="0"/>
        <w:rPr>
          <w:sz w:val="20"/>
          <w:szCs w:val="20"/>
        </w:rPr>
      </w:pPr>
      <w:r w:rsidRPr="00637154">
        <w:rPr>
          <w:iCs w:val="0"/>
          <w:sz w:val="20"/>
          <w:szCs w:val="20"/>
        </w:rPr>
        <w:t>Toute représentation suppose un lieu théâtral dont la nature varie et dans le temps et dans l’espace. Dans le temps, il suffit d’opposer les théâtres grecs et romains aux théâtres élisabéthains au théâtre olympique du Palladio à Vicence aux théâtres à l’italienne qui de nos jours, représentent le type le plus fréquent. Dans l’espace, d’un continent à l’autre mais aussi dans le même pays, et souvent dans la même ville, d’un endroit à l’autre</w:t>
      </w:r>
      <w:r w:rsidRPr="00637154">
        <w:rPr>
          <w:sz w:val="20"/>
          <w:szCs w:val="20"/>
        </w:rPr>
        <w:t>.</w:t>
      </w:r>
      <w:r w:rsidR="00D536AD">
        <w:rPr>
          <w:sz w:val="20"/>
          <w:szCs w:val="20"/>
        </w:rPr>
        <w:t xml:space="preserve"> (P. Larthomas, 1985, p.23).</w:t>
      </w:r>
    </w:p>
    <w:p w:rsidR="00637154" w:rsidRDefault="00637154" w:rsidP="007E5E74">
      <w:pPr>
        <w:spacing w:line="360" w:lineRule="auto"/>
        <w:ind w:firstLine="709"/>
        <w:jc w:val="both"/>
        <w:rPr>
          <w:rFonts w:ascii="Times New Roman" w:hAnsi="Times New Roman"/>
          <w:sz w:val="24"/>
          <w:szCs w:val="24"/>
        </w:rPr>
      </w:pPr>
    </w:p>
    <w:p w:rsidR="006A4EED" w:rsidRPr="003B00C8" w:rsidRDefault="006A4EED" w:rsidP="00637154">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Fort de ce constat, on peut se demander comment comparer deux auteurs qui appartiennent à deux sociétés et à deux époques différentes ? Comment concilier deux dramaturges qui n’ont pas les mêmes influences ? Ce pari osé que nous nous sommes </w:t>
      </w:r>
      <w:proofErr w:type="gramStart"/>
      <w:r w:rsidRPr="003B00C8">
        <w:rPr>
          <w:rFonts w:ascii="Times New Roman" w:hAnsi="Times New Roman"/>
          <w:sz w:val="24"/>
          <w:szCs w:val="24"/>
        </w:rPr>
        <w:t>fixé</w:t>
      </w:r>
      <w:proofErr w:type="gramEnd"/>
      <w:r w:rsidRPr="003B00C8">
        <w:rPr>
          <w:rFonts w:ascii="Times New Roman" w:hAnsi="Times New Roman"/>
          <w:sz w:val="24"/>
          <w:szCs w:val="24"/>
        </w:rPr>
        <w:t xml:space="preserve"> résum</w:t>
      </w:r>
      <w:r w:rsidR="007E5E74">
        <w:rPr>
          <w:rFonts w:ascii="Times New Roman" w:hAnsi="Times New Roman"/>
          <w:sz w:val="24"/>
          <w:szCs w:val="24"/>
        </w:rPr>
        <w:t>e</w:t>
      </w:r>
      <w:r w:rsidRPr="003B00C8">
        <w:rPr>
          <w:rFonts w:ascii="Times New Roman" w:hAnsi="Times New Roman"/>
          <w:sz w:val="24"/>
          <w:szCs w:val="24"/>
        </w:rPr>
        <w:t xml:space="preserve"> l’intérêt de cette articulation de notre travail. </w:t>
      </w:r>
    </w:p>
    <w:p w:rsidR="006A4EED" w:rsidRPr="003B00C8" w:rsidRDefault="006A4EED" w:rsidP="00637154">
      <w:pPr>
        <w:spacing w:after="0" w:line="360" w:lineRule="auto"/>
        <w:ind w:firstLine="284"/>
        <w:jc w:val="both"/>
        <w:rPr>
          <w:rFonts w:ascii="Times New Roman" w:hAnsi="Times New Roman"/>
          <w:sz w:val="24"/>
          <w:szCs w:val="24"/>
        </w:rPr>
      </w:pPr>
      <w:r w:rsidRPr="003B00C8">
        <w:rPr>
          <w:rFonts w:ascii="Times New Roman" w:hAnsi="Times New Roman"/>
          <w:sz w:val="24"/>
          <w:szCs w:val="24"/>
        </w:rPr>
        <w:t>Deux temps forts vont rythmer cette partie : d’une part, nous dégagerons les points de similitude entre les deux auteurs. D’autre part, nous concentrerons notre regard sur les points divergents.</w:t>
      </w:r>
    </w:p>
    <w:p w:rsidR="00E04936" w:rsidRDefault="00E04936" w:rsidP="00E04936">
      <w:pPr>
        <w:pStyle w:val="Titre3"/>
        <w:spacing w:before="0" w:after="0" w:line="360" w:lineRule="auto"/>
        <w:ind w:left="641" w:hanging="357"/>
        <w:jc w:val="both"/>
        <w:rPr>
          <w:rFonts w:ascii="Times New Roman" w:hAnsi="Times New Roman" w:cs="Times New Roman"/>
          <w:sz w:val="24"/>
          <w:szCs w:val="24"/>
        </w:rPr>
      </w:pPr>
    </w:p>
    <w:p w:rsidR="006A4EED" w:rsidRPr="00E04936" w:rsidRDefault="00E04936" w:rsidP="00E04936">
      <w:pPr>
        <w:pStyle w:val="Titre3"/>
        <w:spacing w:before="0" w:after="0" w:line="360" w:lineRule="auto"/>
        <w:ind w:firstLine="284"/>
        <w:jc w:val="both"/>
        <w:rPr>
          <w:rFonts w:ascii="Times New Roman" w:hAnsi="Times New Roman" w:cs="Times New Roman"/>
          <w:sz w:val="24"/>
          <w:szCs w:val="24"/>
        </w:rPr>
      </w:pPr>
      <w:bookmarkStart w:id="58" w:name="_Toc471484433"/>
      <w:r>
        <w:rPr>
          <w:rFonts w:ascii="Times New Roman" w:hAnsi="Times New Roman" w:cs="Times New Roman"/>
          <w:sz w:val="24"/>
          <w:szCs w:val="24"/>
        </w:rPr>
        <w:t>1.</w:t>
      </w:r>
      <w:r w:rsidRPr="00E04936">
        <w:rPr>
          <w:rFonts w:ascii="Times New Roman" w:hAnsi="Times New Roman" w:cs="Times New Roman"/>
          <w:sz w:val="24"/>
          <w:szCs w:val="24"/>
        </w:rPr>
        <w:t xml:space="preserve"> Des</w:t>
      </w:r>
      <w:r w:rsidR="006A4EED" w:rsidRPr="00E04936">
        <w:rPr>
          <w:rFonts w:ascii="Times New Roman" w:hAnsi="Times New Roman" w:cs="Times New Roman"/>
          <w:sz w:val="24"/>
          <w:szCs w:val="24"/>
        </w:rPr>
        <w:t xml:space="preserve"> points de similitudes entre les deux auteurs</w:t>
      </w:r>
      <w:bookmarkEnd w:id="58"/>
    </w:p>
    <w:p w:rsidR="006A4EED" w:rsidRPr="003B00C8" w:rsidRDefault="006A4EED" w:rsidP="00E04936">
      <w:pPr>
        <w:spacing w:after="0" w:line="360" w:lineRule="auto"/>
        <w:ind w:firstLine="284"/>
        <w:jc w:val="both"/>
        <w:rPr>
          <w:rFonts w:ascii="Times New Roman" w:hAnsi="Times New Roman"/>
        </w:rPr>
      </w:pPr>
      <w:r w:rsidRPr="003B00C8">
        <w:rPr>
          <w:rFonts w:ascii="Times New Roman" w:hAnsi="Times New Roman"/>
          <w:sz w:val="24"/>
          <w:szCs w:val="24"/>
          <w:lang w:eastAsia="fr-FR"/>
        </w:rPr>
        <w:t>On peut noter deux points de convergence entre nos deux auteurs : d’une part ils écrivent  dans des langues qui font l’objet de combats idéologiques, et d’autre part, le caractère scriptural semble être le même, malgré les inévitables distances spatiale et temporelle.</w:t>
      </w:r>
    </w:p>
    <w:p w:rsidR="00E7281C" w:rsidRDefault="00E7281C" w:rsidP="00E7281C">
      <w:pPr>
        <w:pStyle w:val="Titre4"/>
        <w:spacing w:before="0" w:after="0" w:line="360" w:lineRule="auto"/>
        <w:ind w:left="0" w:firstLine="284"/>
        <w:jc w:val="both"/>
        <w:rPr>
          <w:rFonts w:ascii="Times New Roman" w:hAnsi="Times New Roman"/>
          <w:i w:val="0"/>
          <w:iCs/>
          <w:lang w:eastAsia="fr-FR"/>
        </w:rPr>
      </w:pPr>
    </w:p>
    <w:p w:rsidR="006A4EED" w:rsidRPr="00192942" w:rsidRDefault="00E7281C" w:rsidP="00E7281C">
      <w:pPr>
        <w:pStyle w:val="Titre4"/>
        <w:spacing w:before="0" w:after="0" w:line="360" w:lineRule="auto"/>
        <w:ind w:left="0" w:firstLine="284"/>
        <w:jc w:val="both"/>
        <w:rPr>
          <w:rFonts w:ascii="Times New Roman" w:hAnsi="Times New Roman"/>
          <w:i w:val="0"/>
          <w:iCs/>
          <w:lang w:eastAsia="fr-FR"/>
        </w:rPr>
      </w:pPr>
      <w:bookmarkStart w:id="59" w:name="_Toc471484434"/>
      <w:r>
        <w:rPr>
          <w:rFonts w:ascii="Times New Roman" w:hAnsi="Times New Roman"/>
          <w:i w:val="0"/>
          <w:iCs/>
          <w:lang w:eastAsia="fr-FR"/>
        </w:rPr>
        <w:t>1.1.</w:t>
      </w:r>
      <w:r w:rsidRPr="00192942">
        <w:rPr>
          <w:rFonts w:ascii="Times New Roman" w:hAnsi="Times New Roman"/>
          <w:i w:val="0"/>
          <w:iCs/>
          <w:lang w:eastAsia="fr-FR"/>
        </w:rPr>
        <w:t xml:space="preserve"> Un</w:t>
      </w:r>
      <w:r w:rsidR="006A4EED" w:rsidRPr="00192942">
        <w:rPr>
          <w:rFonts w:ascii="Times New Roman" w:hAnsi="Times New Roman"/>
          <w:i w:val="0"/>
          <w:iCs/>
          <w:lang w:eastAsia="fr-FR"/>
        </w:rPr>
        <w:t xml:space="preserve"> déchirement dans la langue</w:t>
      </w:r>
      <w:bookmarkEnd w:id="59"/>
    </w:p>
    <w:p w:rsidR="006A4EED" w:rsidRPr="003B00C8" w:rsidRDefault="006A4EED" w:rsidP="00E7281C">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Parce qu’ils emploient des langues qui ne sont pas à proprement parler les leurs, Kaki et Ghelderode sont soit partagé</w:t>
      </w:r>
      <w:r w:rsidR="00E61F93">
        <w:rPr>
          <w:rFonts w:ascii="Times New Roman" w:hAnsi="Times New Roman"/>
          <w:sz w:val="24"/>
          <w:szCs w:val="24"/>
          <w:lang w:eastAsia="fr-FR"/>
        </w:rPr>
        <w:t>s</w:t>
      </w:r>
      <w:r w:rsidRPr="003B00C8">
        <w:rPr>
          <w:rFonts w:ascii="Times New Roman" w:hAnsi="Times New Roman"/>
          <w:sz w:val="24"/>
          <w:szCs w:val="24"/>
          <w:lang w:eastAsia="fr-FR"/>
        </w:rPr>
        <w:t xml:space="preserve"> entre deux mondes, soit fils de querelles antédiluviennes. On constate chez les deux auteurs un certain malaise de la langue qui, paradoxalement et de façon inattendue, devient source de créativité et d’authenticité. </w:t>
      </w:r>
    </w:p>
    <w:p w:rsidR="006A4EED" w:rsidRPr="0069318B" w:rsidRDefault="0069318B" w:rsidP="00F24870">
      <w:pPr>
        <w:pStyle w:val="Titre5"/>
        <w:spacing w:before="0" w:after="0"/>
        <w:ind w:firstLine="284"/>
        <w:jc w:val="both"/>
        <w:rPr>
          <w:rFonts w:ascii="Times New Roman" w:hAnsi="Times New Roman"/>
          <w:color w:val="auto"/>
        </w:rPr>
      </w:pPr>
      <w:bookmarkStart w:id="60" w:name="_Toc471484435"/>
      <w:r>
        <w:rPr>
          <w:rFonts w:ascii="Times New Roman" w:hAnsi="Times New Roman"/>
          <w:color w:val="auto"/>
        </w:rPr>
        <w:lastRenderedPageBreak/>
        <w:t>1.1.</w:t>
      </w:r>
      <w:r w:rsidR="00F24870">
        <w:rPr>
          <w:rFonts w:ascii="Times New Roman" w:hAnsi="Times New Roman"/>
          <w:color w:val="auto"/>
        </w:rPr>
        <w:t>1</w:t>
      </w:r>
      <w:r>
        <w:rPr>
          <w:rFonts w:ascii="Times New Roman" w:hAnsi="Times New Roman"/>
          <w:color w:val="auto"/>
        </w:rPr>
        <w:t>.</w:t>
      </w:r>
      <w:r w:rsidRPr="0069318B">
        <w:rPr>
          <w:rFonts w:ascii="Times New Roman" w:hAnsi="Times New Roman"/>
          <w:color w:val="auto"/>
        </w:rPr>
        <w:t xml:space="preserve"> Ghelderode</w:t>
      </w:r>
      <w:r w:rsidR="006A4EED" w:rsidRPr="0069318B">
        <w:rPr>
          <w:rFonts w:ascii="Times New Roman" w:hAnsi="Times New Roman"/>
          <w:color w:val="auto"/>
        </w:rPr>
        <w:t> : un génie partagé entre deux mondes, entre deux langues</w:t>
      </w:r>
      <w:bookmarkEnd w:id="60"/>
    </w:p>
    <w:p w:rsidR="006A4EED" w:rsidRPr="0069318B" w:rsidRDefault="006A4EED" w:rsidP="0069318B">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 xml:space="preserve">Ghelderode se considère lui-même comme l’un des derniers membres de la grande famille des « écrivains flamands de langue française » (c’est l’appellation qu’il revendiquait).  De fait, la question de la langue et du rapport à la langue est restée très importante chez Ghelderode, ce qui d’ailleurs, est un problème commun aux écrivains belges. Comme le dit Paul Willems dans un article paru dans le numéro spécial Ghelderode de la revue Marginales </w:t>
      </w:r>
      <w:r w:rsidRPr="0069318B">
        <w:rPr>
          <w:rFonts w:asciiTheme="majorBidi" w:hAnsiTheme="majorBidi" w:cstheme="majorBidi"/>
          <w:sz w:val="24"/>
          <w:szCs w:val="24"/>
        </w:rPr>
        <w:t xml:space="preserve">: </w:t>
      </w:r>
      <w:r w:rsidR="0069318B" w:rsidRPr="0069318B">
        <w:rPr>
          <w:rFonts w:asciiTheme="majorBidi" w:hAnsiTheme="majorBidi" w:cstheme="majorBidi"/>
          <w:sz w:val="24"/>
          <w:szCs w:val="24"/>
        </w:rPr>
        <w:t>« </w:t>
      </w:r>
      <w:r w:rsidRPr="0069318B">
        <w:rPr>
          <w:rFonts w:asciiTheme="majorBidi" w:hAnsiTheme="majorBidi" w:cstheme="majorBidi"/>
          <w:sz w:val="24"/>
          <w:szCs w:val="24"/>
        </w:rPr>
        <w:t>La Belgique est un pays où le langage est remplacé par une bouillie bilingue. […] Tout écrivain belge pense avec nostalgie aux pays de grandes cultures où la langue vient du peuple même.</w:t>
      </w:r>
      <w:r w:rsidR="0069318B" w:rsidRPr="0069318B">
        <w:rPr>
          <w:rFonts w:asciiTheme="majorBidi" w:hAnsiTheme="majorBidi" w:cstheme="majorBidi"/>
          <w:sz w:val="24"/>
          <w:szCs w:val="24"/>
        </w:rPr>
        <w:t> »</w:t>
      </w:r>
      <w:r w:rsidRPr="0069318B">
        <w:rPr>
          <w:rFonts w:asciiTheme="majorBidi" w:hAnsiTheme="majorBidi" w:cstheme="majorBidi"/>
          <w:sz w:val="24"/>
          <w:szCs w:val="24"/>
          <w:vertAlign w:val="superscript"/>
        </w:rPr>
        <w:footnoteReference w:id="103"/>
      </w:r>
    </w:p>
    <w:p w:rsidR="006A4EED" w:rsidRDefault="006A4EED" w:rsidP="00DF5EE9">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L’ambivalence de la langue chez Ghelderode puise ses sources profondes dans sa plus tendre enfance. Comme ses deux frères et sa sœur, le jeune Adémar (appelé Adolphe), fut élevé en français. Son père en effet, pour des raisons de promotion sociale, interdisait à sa femme de parler sa langue maternelle avec ses enfants. Adolphe ne découvrit qu’à l’âge de 20 ans qu’il était Flamand. Plus tard, il se choisira un pseudonyme à consonance francophone : Michel de Ghelderode. L’auteur de </w:t>
      </w:r>
      <w:r w:rsidRPr="003B00C8">
        <w:rPr>
          <w:rFonts w:ascii="Times New Roman" w:hAnsi="Times New Roman"/>
          <w:i/>
          <w:sz w:val="24"/>
          <w:szCs w:val="24"/>
        </w:rPr>
        <w:t>Bara</w:t>
      </w:r>
      <w:r w:rsidR="00A22FDB">
        <w:rPr>
          <w:rFonts w:ascii="Times New Roman" w:hAnsi="Times New Roman"/>
          <w:i/>
          <w:sz w:val="24"/>
          <w:szCs w:val="24"/>
        </w:rPr>
        <w:t>b</w:t>
      </w:r>
      <w:r w:rsidRPr="003B00C8">
        <w:rPr>
          <w:rFonts w:ascii="Times New Roman" w:hAnsi="Times New Roman"/>
          <w:i/>
          <w:sz w:val="24"/>
          <w:szCs w:val="24"/>
        </w:rPr>
        <w:t xml:space="preserve">bas </w:t>
      </w:r>
      <w:r w:rsidRPr="003B00C8">
        <w:rPr>
          <w:rFonts w:ascii="Times New Roman" w:hAnsi="Times New Roman"/>
          <w:sz w:val="24"/>
          <w:szCs w:val="24"/>
        </w:rPr>
        <w:t>verra toujours dans l’expression française une source d’inspiration inépuisable et le moyen par excellence de se créer une originalité.</w:t>
      </w:r>
      <w:r w:rsidR="0016076C">
        <w:rPr>
          <w:rFonts w:ascii="Times New Roman" w:hAnsi="Times New Roman"/>
          <w:sz w:val="24"/>
          <w:szCs w:val="24"/>
        </w:rPr>
        <w:t xml:space="preserve"> Il le confirme explicitement dans cette déclaration où il souligne que ses œuvres bien qu’elles soient écrites en français demeurent d’inspiration flamande :</w:t>
      </w:r>
    </w:p>
    <w:p w:rsidR="0016076C" w:rsidRPr="00BA3B99" w:rsidRDefault="00DF5EE9" w:rsidP="00BA3B99">
      <w:pPr>
        <w:pStyle w:val="Citationintense"/>
        <w:spacing w:before="0" w:after="0"/>
        <w:ind w:left="567" w:right="0"/>
        <w:rPr>
          <w:sz w:val="20"/>
          <w:szCs w:val="20"/>
        </w:rPr>
      </w:pPr>
      <w:r w:rsidRPr="00BA3B99">
        <w:rPr>
          <w:sz w:val="20"/>
          <w:szCs w:val="20"/>
        </w:rPr>
        <w:t>[</w:t>
      </w:r>
      <w:r w:rsidR="00192942" w:rsidRPr="00BA3B99">
        <w:rPr>
          <w:sz w:val="20"/>
          <w:szCs w:val="20"/>
        </w:rPr>
        <w:t>...</w:t>
      </w:r>
      <w:r w:rsidRPr="00BA3B99">
        <w:rPr>
          <w:sz w:val="20"/>
          <w:szCs w:val="20"/>
        </w:rPr>
        <w:t>]</w:t>
      </w:r>
      <w:r w:rsidR="00192942" w:rsidRPr="00BA3B99">
        <w:rPr>
          <w:sz w:val="20"/>
          <w:szCs w:val="20"/>
        </w:rPr>
        <w:t xml:space="preserve"> oui, mes œuvres d’inspiration flamande, bien que de langue française. J’ai gardé la fierté de mon sang, je suis resté ce que j’étais – l’homme des plaines, l’homme des rêves, l’homme des inquiétudes. Et je mourrai comme je naquis, sans rien abdiquer de ma personnalité, en Flamand de la grande époque, au-dessus des politiques et des querelles, et parlant pour les hommes du monde entier</w:t>
      </w:r>
      <w:r w:rsidR="0016076C" w:rsidRPr="00BA3B99">
        <w:rPr>
          <w:sz w:val="20"/>
          <w:szCs w:val="20"/>
        </w:rPr>
        <w:t>.</w:t>
      </w:r>
      <w:r w:rsidR="0016076C" w:rsidRPr="00BA3B99">
        <w:rPr>
          <w:rStyle w:val="Appelnotedebasdep"/>
          <w:iCs w:val="0"/>
          <w:sz w:val="20"/>
          <w:szCs w:val="20"/>
        </w:rPr>
        <w:footnoteReference w:id="104"/>
      </w:r>
    </w:p>
    <w:p w:rsidR="00BA3B99" w:rsidRDefault="00BA3B99" w:rsidP="00AD477C">
      <w:pPr>
        <w:spacing w:line="360" w:lineRule="auto"/>
        <w:ind w:firstLine="709"/>
        <w:jc w:val="both"/>
        <w:rPr>
          <w:rFonts w:ascii="Times New Roman" w:hAnsi="Times New Roman"/>
          <w:sz w:val="24"/>
          <w:szCs w:val="24"/>
        </w:rPr>
      </w:pPr>
    </w:p>
    <w:p w:rsidR="006A4EED" w:rsidRPr="00BA3B99" w:rsidRDefault="006A4EED" w:rsidP="00BA3B99">
      <w:pPr>
        <w:spacing w:after="0" w:line="360" w:lineRule="auto"/>
        <w:ind w:firstLine="284"/>
        <w:jc w:val="both"/>
        <w:rPr>
          <w:rFonts w:asciiTheme="majorBidi" w:hAnsiTheme="majorBidi" w:cstheme="majorBidi"/>
          <w:sz w:val="24"/>
          <w:szCs w:val="24"/>
        </w:rPr>
      </w:pPr>
      <w:r w:rsidRPr="00BA3B99">
        <w:rPr>
          <w:rFonts w:asciiTheme="majorBidi" w:hAnsiTheme="majorBidi" w:cstheme="majorBidi"/>
          <w:sz w:val="24"/>
          <w:szCs w:val="24"/>
        </w:rPr>
        <w:t xml:space="preserve">Ghelderode n’avait donc du néerlandais qu’une connaissance assez médiocre et plutôt passive, il était incapable d’écrire un texte littéraire en flamand, et devrait recourir à autrui pour traduire ses pièces. Il avoue cette faiblesse : </w:t>
      </w:r>
      <w:r w:rsidR="00AD477C" w:rsidRPr="00BA3B99">
        <w:rPr>
          <w:rFonts w:asciiTheme="majorBidi" w:hAnsiTheme="majorBidi" w:cstheme="majorBidi"/>
          <w:sz w:val="24"/>
          <w:szCs w:val="24"/>
        </w:rPr>
        <w:t>« </w:t>
      </w:r>
      <w:r w:rsidRPr="00BA3B99">
        <w:rPr>
          <w:rFonts w:asciiTheme="majorBidi" w:hAnsiTheme="majorBidi" w:cstheme="majorBidi"/>
          <w:sz w:val="24"/>
          <w:szCs w:val="24"/>
        </w:rPr>
        <w:t xml:space="preserve">Mes pièces </w:t>
      </w:r>
      <w:r w:rsidRPr="00BA3B99">
        <w:rPr>
          <w:rFonts w:asciiTheme="majorBidi" w:hAnsiTheme="majorBidi" w:cstheme="majorBidi"/>
          <w:sz w:val="24"/>
          <w:szCs w:val="24"/>
        </w:rPr>
        <w:lastRenderedPageBreak/>
        <w:t>traduites rendent un son original. Attendu qu’en moi tout est flamand, sauf la langue que j’utilise accidentellement</w:t>
      </w:r>
      <w:r w:rsidR="00BA3B99">
        <w:rPr>
          <w:rFonts w:asciiTheme="majorBidi" w:hAnsiTheme="majorBidi" w:cstheme="majorBidi"/>
          <w:sz w:val="24"/>
          <w:szCs w:val="24"/>
        </w:rPr>
        <w:t>.</w:t>
      </w:r>
      <w:r w:rsidR="00AD477C" w:rsidRPr="00BA3B99">
        <w:rPr>
          <w:rFonts w:asciiTheme="majorBidi" w:hAnsiTheme="majorBidi" w:cstheme="majorBidi"/>
          <w:sz w:val="24"/>
          <w:szCs w:val="24"/>
        </w:rPr>
        <w:t>»</w:t>
      </w:r>
      <w:r w:rsidRPr="00BA3B99">
        <w:rPr>
          <w:rFonts w:asciiTheme="majorBidi" w:hAnsiTheme="majorBidi" w:cstheme="majorBidi"/>
          <w:sz w:val="24"/>
          <w:szCs w:val="24"/>
          <w:vertAlign w:val="superscript"/>
        </w:rPr>
        <w:footnoteReference w:id="105"/>
      </w:r>
      <w:r w:rsidRPr="00BA3B99">
        <w:rPr>
          <w:rFonts w:asciiTheme="majorBidi" w:hAnsiTheme="majorBidi" w:cstheme="majorBidi"/>
          <w:sz w:val="24"/>
          <w:szCs w:val="24"/>
        </w:rPr>
        <w:t xml:space="preserve"> </w:t>
      </w:r>
    </w:p>
    <w:p w:rsidR="006A4EED" w:rsidRPr="003B00C8" w:rsidRDefault="006A4EED" w:rsidP="00D65F7B">
      <w:pPr>
        <w:spacing w:after="0" w:line="360" w:lineRule="auto"/>
        <w:ind w:firstLine="284"/>
        <w:jc w:val="both"/>
        <w:rPr>
          <w:rFonts w:ascii="Times New Roman" w:hAnsi="Times New Roman"/>
          <w:sz w:val="24"/>
          <w:szCs w:val="24"/>
        </w:rPr>
      </w:pPr>
      <w:r w:rsidRPr="003B00C8">
        <w:rPr>
          <w:rFonts w:ascii="Times New Roman" w:hAnsi="Times New Roman"/>
          <w:sz w:val="24"/>
          <w:szCs w:val="24"/>
        </w:rPr>
        <w:t>Cependant, le français proposé par Ghelderode est loin de celui des puristes, il s’écarte à bien des égards du français littéraire, normatif. Sa langue est pleine de belgicismes, de flandricismes et d’archaïsmes. Anne-Marie Beckers, experte de Ghelderode, dira que, d’après ses collègues, le dramaturge aurait été incapable d’écrire sans faute une lettre commerciale</w:t>
      </w:r>
      <w:r w:rsidRPr="003B00C8">
        <w:rPr>
          <w:rFonts w:ascii="Times New Roman" w:hAnsi="Times New Roman"/>
          <w:sz w:val="24"/>
          <w:szCs w:val="24"/>
          <w:vertAlign w:val="superscript"/>
        </w:rPr>
        <w:footnoteReference w:id="106"/>
      </w:r>
      <w:r w:rsidRPr="003B00C8">
        <w:rPr>
          <w:rFonts w:ascii="Times New Roman" w:hAnsi="Times New Roman"/>
          <w:sz w:val="24"/>
          <w:szCs w:val="24"/>
        </w:rPr>
        <w:t xml:space="preserve">. </w:t>
      </w:r>
    </w:p>
    <w:p w:rsidR="006A4EED" w:rsidRPr="003B00C8" w:rsidRDefault="006A4EED" w:rsidP="00D65F7B">
      <w:pPr>
        <w:spacing w:after="0" w:line="360" w:lineRule="auto"/>
        <w:ind w:firstLine="284"/>
        <w:jc w:val="both"/>
        <w:rPr>
          <w:rFonts w:ascii="Times New Roman" w:hAnsi="Times New Roman"/>
          <w:sz w:val="24"/>
          <w:szCs w:val="24"/>
        </w:rPr>
      </w:pPr>
      <w:r w:rsidRPr="003B00C8">
        <w:rPr>
          <w:rFonts w:ascii="Times New Roman" w:hAnsi="Times New Roman"/>
          <w:sz w:val="24"/>
          <w:szCs w:val="24"/>
        </w:rPr>
        <w:t>On constate donc d’une part un « malaise linguistique » certain dont l’auteur souffre</w:t>
      </w:r>
      <w:r w:rsidR="00AB4280">
        <w:rPr>
          <w:rFonts w:ascii="Times New Roman" w:hAnsi="Times New Roman"/>
          <w:sz w:val="24"/>
          <w:szCs w:val="24"/>
        </w:rPr>
        <w:t xml:space="preserve"> et</w:t>
      </w:r>
      <w:r w:rsidRPr="003B00C8">
        <w:rPr>
          <w:rFonts w:ascii="Times New Roman" w:hAnsi="Times New Roman"/>
          <w:sz w:val="24"/>
          <w:szCs w:val="24"/>
        </w:rPr>
        <w:t xml:space="preserve"> d’autre part on découvre que c’est précisément ce malaise qui l’aide à créer un langage ghelderodien authentique : </w:t>
      </w:r>
    </w:p>
    <w:p w:rsidR="006A4EED" w:rsidRPr="00AB4197" w:rsidRDefault="006A4EED" w:rsidP="00AB4197">
      <w:pPr>
        <w:pStyle w:val="Citationintense"/>
        <w:spacing w:before="0" w:after="0"/>
        <w:ind w:left="567" w:right="0"/>
        <w:rPr>
          <w:sz w:val="20"/>
          <w:szCs w:val="20"/>
        </w:rPr>
      </w:pPr>
      <w:r w:rsidRPr="00AB4197">
        <w:rPr>
          <w:iCs w:val="0"/>
          <w:sz w:val="20"/>
          <w:szCs w:val="20"/>
        </w:rPr>
        <w:t>Si j’ai tenté d’écrire en langue flamande ? À diverses reprises. Je lis et comprends tout, je ne parle que du patois. C’est dans l’enfance qu’une langue se forge. Je pourrais arriver par l’étude à écrire une langue de journaliste ou de professeur. Je préfère poursuivre ma destinée dans le malentendu qui ne gêne que les médiocres, à présent que je suis parvenu à me créer un langage que les puristes français méprisent, mais qui constitue pour moi un instrument d’expression suffisant</w:t>
      </w:r>
      <w:r w:rsidRPr="00AB4197">
        <w:rPr>
          <w:sz w:val="20"/>
          <w:szCs w:val="20"/>
          <w:vertAlign w:val="superscript"/>
        </w:rPr>
        <w:footnoteReference w:id="107"/>
      </w:r>
    </w:p>
    <w:p w:rsidR="00AB4197" w:rsidRDefault="00AB4197" w:rsidP="006A4EED">
      <w:pPr>
        <w:spacing w:line="360" w:lineRule="auto"/>
        <w:ind w:firstLine="709"/>
        <w:rPr>
          <w:rFonts w:ascii="Times New Roman" w:hAnsi="Times New Roman"/>
          <w:sz w:val="24"/>
          <w:szCs w:val="24"/>
        </w:rPr>
      </w:pPr>
    </w:p>
    <w:p w:rsidR="006A4EED" w:rsidRPr="003B00C8" w:rsidRDefault="006A4EED" w:rsidP="00AB4197">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Cette révélation entretiendra longtemps l’illusion d’un Ghelderode assis entre deux chaises, </w:t>
      </w:r>
      <w:proofErr w:type="gramStart"/>
      <w:r w:rsidRPr="003B00C8">
        <w:rPr>
          <w:rFonts w:ascii="Times New Roman" w:hAnsi="Times New Roman"/>
          <w:sz w:val="24"/>
          <w:szCs w:val="24"/>
        </w:rPr>
        <w:t>partagé</w:t>
      </w:r>
      <w:proofErr w:type="gramEnd"/>
      <w:r w:rsidRPr="003B00C8">
        <w:rPr>
          <w:rFonts w:ascii="Times New Roman" w:hAnsi="Times New Roman"/>
          <w:sz w:val="24"/>
          <w:szCs w:val="24"/>
        </w:rPr>
        <w:t xml:space="preserve"> entre deux langues. Pour Beyen, par contre, la réalité est moins nuancée : Ghelderode est un écrivain francophone : </w:t>
      </w:r>
    </w:p>
    <w:p w:rsidR="006A4EED" w:rsidRPr="00C76CFA" w:rsidRDefault="006A4EED" w:rsidP="00C76CFA">
      <w:pPr>
        <w:pStyle w:val="Citationintense"/>
        <w:spacing w:before="0" w:after="0"/>
        <w:ind w:left="567" w:right="0"/>
        <w:rPr>
          <w:sz w:val="20"/>
          <w:szCs w:val="20"/>
        </w:rPr>
      </w:pPr>
      <w:r w:rsidRPr="00C76CFA">
        <w:rPr>
          <w:iCs w:val="0"/>
          <w:sz w:val="20"/>
          <w:szCs w:val="20"/>
        </w:rPr>
        <w:t>À ma connaissance, Ghelderode n’a jamais écrit en néerlandais que trois lettres, datées des 21 et 30 août 1927 et du 16 janvier 1928 et adressées à Emiel Hullebroeck, directeur de la NAVEA. Je les ai publiées en annexe au tome I de la Correspondance, pour essayer de mettre fin à la légende tenace qui veut que Ghelderode rédigeait son œuvre alternativement ou simultanément en français et en néerlandais. Pour le reste, ses rapports avec la NAVEA, avec le V.V.T., avec les théâtres et avec ses nombreux amis flamands, se sont toujours déroulés en français, s</w:t>
      </w:r>
      <w:r w:rsidR="00E61F93" w:rsidRPr="00C76CFA">
        <w:rPr>
          <w:iCs w:val="0"/>
          <w:sz w:val="20"/>
          <w:szCs w:val="20"/>
        </w:rPr>
        <w:t xml:space="preserve">ans que </w:t>
      </w:r>
      <w:proofErr w:type="gramStart"/>
      <w:r w:rsidR="00E61F93" w:rsidRPr="00C76CFA">
        <w:rPr>
          <w:iCs w:val="0"/>
          <w:sz w:val="20"/>
          <w:szCs w:val="20"/>
        </w:rPr>
        <w:t xml:space="preserve">cela </w:t>
      </w:r>
      <w:r w:rsidRPr="00C76CFA">
        <w:rPr>
          <w:iCs w:val="0"/>
          <w:sz w:val="20"/>
          <w:szCs w:val="20"/>
        </w:rPr>
        <w:t>ait</w:t>
      </w:r>
      <w:proofErr w:type="gramEnd"/>
      <w:r w:rsidRPr="00C76CFA">
        <w:rPr>
          <w:iCs w:val="0"/>
          <w:sz w:val="20"/>
          <w:szCs w:val="20"/>
        </w:rPr>
        <w:t xml:space="preserve"> jamais causé le moindre problème. La position d’écrivain assis entre deux chaises n’a donc guère gêné Ghelderode au niveau linguistique</w:t>
      </w:r>
      <w:r w:rsidRPr="00C76CFA">
        <w:rPr>
          <w:sz w:val="20"/>
          <w:szCs w:val="20"/>
          <w:vertAlign w:val="superscript"/>
        </w:rPr>
        <w:footnoteReference w:id="108"/>
      </w:r>
    </w:p>
    <w:p w:rsidR="00C76CFA" w:rsidRDefault="00C76CFA" w:rsidP="006A4EED">
      <w:pPr>
        <w:spacing w:line="360" w:lineRule="auto"/>
        <w:ind w:firstLine="709"/>
        <w:rPr>
          <w:rFonts w:ascii="Times New Roman" w:hAnsi="Times New Roman"/>
          <w:sz w:val="24"/>
          <w:szCs w:val="24"/>
        </w:rPr>
      </w:pPr>
      <w:bookmarkStart w:id="61" w:name="_Toc436443891"/>
      <w:bookmarkStart w:id="62" w:name="_Toc436730605"/>
    </w:p>
    <w:p w:rsidR="006A4EED" w:rsidRDefault="006A4EED" w:rsidP="00C76CFA">
      <w:pPr>
        <w:spacing w:after="0" w:line="360" w:lineRule="auto"/>
        <w:ind w:firstLine="284"/>
        <w:jc w:val="both"/>
        <w:rPr>
          <w:rFonts w:ascii="Times New Roman" w:hAnsi="Times New Roman"/>
          <w:sz w:val="24"/>
          <w:szCs w:val="24"/>
        </w:rPr>
      </w:pPr>
      <w:r w:rsidRPr="003B00C8">
        <w:rPr>
          <w:rFonts w:ascii="Times New Roman" w:hAnsi="Times New Roman"/>
          <w:sz w:val="24"/>
          <w:szCs w:val="24"/>
        </w:rPr>
        <w:t>Il reste qu’avec cette double identité linguistique, Ghelderode se fait particulier, il se fait singulier et authentique, une authenticité qui transparaitra dans ses œuvres.</w:t>
      </w:r>
      <w:bookmarkEnd w:id="61"/>
      <w:bookmarkEnd w:id="62"/>
      <w:r w:rsidR="00C76CFA">
        <w:rPr>
          <w:rFonts w:ascii="Times New Roman" w:hAnsi="Times New Roman"/>
          <w:sz w:val="24"/>
          <w:szCs w:val="24"/>
        </w:rPr>
        <w:t xml:space="preserve"> </w:t>
      </w:r>
      <w:bookmarkStart w:id="63" w:name="_Toc436443892"/>
      <w:bookmarkStart w:id="64" w:name="_Toc436730606"/>
      <w:r w:rsidRPr="00D41F7B">
        <w:rPr>
          <w:rFonts w:ascii="Times New Roman" w:hAnsi="Times New Roman"/>
          <w:sz w:val="24"/>
          <w:szCs w:val="24"/>
        </w:rPr>
        <w:t>Kaki</w:t>
      </w:r>
      <w:r w:rsidR="00E61F93" w:rsidRPr="00D41F7B">
        <w:rPr>
          <w:rFonts w:ascii="Times New Roman" w:hAnsi="Times New Roman"/>
          <w:sz w:val="24"/>
          <w:szCs w:val="24"/>
        </w:rPr>
        <w:t xml:space="preserve"> n’est,</w:t>
      </w:r>
      <w:r w:rsidRPr="00D41F7B">
        <w:rPr>
          <w:rFonts w:ascii="Times New Roman" w:hAnsi="Times New Roman"/>
          <w:sz w:val="24"/>
          <w:szCs w:val="24"/>
        </w:rPr>
        <w:t xml:space="preserve"> à cet égard</w:t>
      </w:r>
      <w:r w:rsidR="00E61F93" w:rsidRPr="00D41F7B">
        <w:rPr>
          <w:rFonts w:ascii="Times New Roman" w:hAnsi="Times New Roman"/>
          <w:sz w:val="24"/>
          <w:szCs w:val="24"/>
        </w:rPr>
        <w:t>,</w:t>
      </w:r>
      <w:r w:rsidRPr="00D41F7B">
        <w:rPr>
          <w:rFonts w:ascii="Times New Roman" w:hAnsi="Times New Roman"/>
          <w:sz w:val="24"/>
          <w:szCs w:val="24"/>
        </w:rPr>
        <w:t xml:space="preserve"> pas très différent</w:t>
      </w:r>
      <w:bookmarkEnd w:id="63"/>
      <w:bookmarkEnd w:id="64"/>
    </w:p>
    <w:p w:rsidR="004C13FD" w:rsidRPr="003B00C8" w:rsidRDefault="004C13FD" w:rsidP="00C76CFA">
      <w:pPr>
        <w:spacing w:after="0" w:line="360" w:lineRule="auto"/>
        <w:ind w:firstLine="284"/>
        <w:jc w:val="both"/>
        <w:rPr>
          <w:rFonts w:ascii="Times New Roman" w:hAnsi="Times New Roman"/>
          <w:sz w:val="24"/>
          <w:szCs w:val="24"/>
        </w:rPr>
      </w:pPr>
    </w:p>
    <w:p w:rsidR="006A4EED" w:rsidRPr="00EA0936" w:rsidRDefault="000F7A42" w:rsidP="000F7A42">
      <w:pPr>
        <w:pStyle w:val="Titre5"/>
        <w:spacing w:before="0" w:after="0"/>
        <w:ind w:firstLine="284"/>
        <w:jc w:val="both"/>
        <w:rPr>
          <w:rFonts w:ascii="Times New Roman" w:hAnsi="Times New Roman"/>
          <w:color w:val="auto"/>
        </w:rPr>
      </w:pPr>
      <w:bookmarkStart w:id="65" w:name="_Toc471484436"/>
      <w:r>
        <w:rPr>
          <w:rFonts w:ascii="Times New Roman" w:hAnsi="Times New Roman"/>
          <w:color w:val="auto"/>
        </w:rPr>
        <w:lastRenderedPageBreak/>
        <w:t>1.</w:t>
      </w:r>
      <w:r w:rsidR="00EA0936">
        <w:rPr>
          <w:rFonts w:ascii="Times New Roman" w:hAnsi="Times New Roman"/>
          <w:color w:val="auto"/>
        </w:rPr>
        <w:t>1.2.</w:t>
      </w:r>
      <w:r w:rsidR="00EA0936" w:rsidRPr="00EA0936">
        <w:rPr>
          <w:rFonts w:ascii="Times New Roman" w:hAnsi="Times New Roman"/>
          <w:color w:val="auto"/>
        </w:rPr>
        <w:t xml:space="preserve"> Kaki</w:t>
      </w:r>
      <w:r w:rsidR="006A4EED" w:rsidRPr="00EA0936">
        <w:rPr>
          <w:rFonts w:ascii="Times New Roman" w:hAnsi="Times New Roman"/>
          <w:color w:val="auto"/>
        </w:rPr>
        <w:t>, un enfant né dans une querelle antédiluvienne</w:t>
      </w:r>
      <w:bookmarkEnd w:id="65"/>
    </w:p>
    <w:p w:rsidR="006A4EED" w:rsidRPr="003B00C8" w:rsidRDefault="006A4EED" w:rsidP="00EA0936">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bCs/>
          <w:sz w:val="24"/>
          <w:szCs w:val="24"/>
          <w:lang w:eastAsia="fr-FR"/>
        </w:rPr>
        <w:t>Chez Kaki, comme chez Ghelderode, se pose cette question de la langue. Une ambivalence située cette fois-ci entre l’expression arabe et l’expression française. Il faut dire que dans le pays de Kaki, l’Algérie occupée par des colons, t</w:t>
      </w:r>
      <w:r w:rsidRPr="003B00C8">
        <w:rPr>
          <w:rFonts w:ascii="Times New Roman" w:eastAsia="Times New Roman" w:hAnsi="Times New Roman"/>
          <w:sz w:val="24"/>
          <w:szCs w:val="24"/>
          <w:lang w:eastAsia="fr-FR"/>
        </w:rPr>
        <w:t xml:space="preserve">rès peu de pièces ont été jouées en langue française. Les algériens préféraient s’exprimer dans la langue populaire. De plus, dans un pays où sévissait l’analphabétisme, écrire des pièces en français était presque une entreprise insensée. Car comment toucher le large public, un public populaire en écrivant en français ? </w:t>
      </w:r>
      <w:r w:rsidRPr="003B00C8">
        <w:rPr>
          <w:rFonts w:ascii="Times New Roman" w:hAnsi="Times New Roman"/>
          <w:sz w:val="24"/>
          <w:szCs w:val="24"/>
          <w:vertAlign w:val="superscript"/>
          <w:lang w:eastAsia="fr-FR"/>
        </w:rPr>
        <w:footnoteReference w:id="109"/>
      </w:r>
      <w:r w:rsidRPr="003B00C8">
        <w:rPr>
          <w:rFonts w:ascii="Times New Roman" w:eastAsia="Times New Roman" w:hAnsi="Times New Roman"/>
          <w:sz w:val="24"/>
          <w:szCs w:val="24"/>
          <w:lang w:eastAsia="fr-FR"/>
        </w:rPr>
        <w:t xml:space="preserve">. </w:t>
      </w:r>
    </w:p>
    <w:p w:rsidR="006A4EED" w:rsidRPr="002C5AC1" w:rsidRDefault="009846D0" w:rsidP="00230C65">
      <w:pPr>
        <w:pStyle w:val="Titre6"/>
        <w:numPr>
          <w:ilvl w:val="0"/>
          <w:numId w:val="70"/>
        </w:numPr>
        <w:spacing w:before="0" w:after="0" w:line="360" w:lineRule="auto"/>
        <w:jc w:val="both"/>
        <w:rPr>
          <w:b/>
          <w:bCs w:val="0"/>
          <w:i w:val="0"/>
          <w:iCs/>
          <w:sz w:val="24"/>
          <w:szCs w:val="24"/>
          <w:u w:val="none"/>
        </w:rPr>
      </w:pPr>
      <w:r w:rsidRPr="002C5AC1">
        <w:rPr>
          <w:b/>
          <w:bCs w:val="0"/>
          <w:i w:val="0"/>
          <w:iCs/>
          <w:sz w:val="24"/>
          <w:szCs w:val="24"/>
          <w:u w:val="none"/>
        </w:rPr>
        <w:t>Aspects</w:t>
      </w:r>
      <w:r w:rsidR="006A4EED" w:rsidRPr="002C5AC1">
        <w:rPr>
          <w:b/>
          <w:bCs w:val="0"/>
          <w:i w:val="0"/>
          <w:iCs/>
          <w:sz w:val="24"/>
          <w:szCs w:val="24"/>
          <w:u w:val="none"/>
        </w:rPr>
        <w:t xml:space="preserve"> généraux du conflit de la langue en Algérie</w:t>
      </w:r>
    </w:p>
    <w:p w:rsidR="006A4EED" w:rsidRPr="002C5AC1" w:rsidRDefault="006A4EED" w:rsidP="009846D0">
      <w:pPr>
        <w:spacing w:after="0" w:line="360" w:lineRule="auto"/>
        <w:ind w:firstLine="284"/>
        <w:jc w:val="both"/>
        <w:rPr>
          <w:rFonts w:ascii="Times New Roman" w:eastAsia="Times New Roman" w:hAnsi="Times New Roman"/>
          <w:sz w:val="24"/>
          <w:szCs w:val="24"/>
          <w:lang w:eastAsia="fr-FR"/>
        </w:rPr>
      </w:pPr>
      <w:r w:rsidRPr="002C5AC1">
        <w:rPr>
          <w:rFonts w:ascii="Times New Roman" w:eastAsia="Times New Roman" w:hAnsi="Times New Roman"/>
          <w:sz w:val="24"/>
          <w:szCs w:val="24"/>
          <w:lang w:eastAsia="fr-FR"/>
        </w:rPr>
        <w:t>La situation linguistique en Algérie, on l’a vu, est hétérogène. Quatre langues sont en présence dans le champ socio-culturel :</w:t>
      </w:r>
    </w:p>
    <w:p w:rsidR="006A4EED" w:rsidRPr="002C5AC1" w:rsidRDefault="006A4EED" w:rsidP="00230C65">
      <w:pPr>
        <w:pStyle w:val="Paragraphedeliste"/>
        <w:numPr>
          <w:ilvl w:val="0"/>
          <w:numId w:val="39"/>
        </w:numPr>
        <w:spacing w:after="0" w:line="360" w:lineRule="auto"/>
        <w:ind w:left="0" w:firstLine="284"/>
        <w:contextualSpacing w:val="0"/>
        <w:jc w:val="both"/>
        <w:rPr>
          <w:rFonts w:ascii="Times New Roman" w:eastAsia="Times New Roman" w:hAnsi="Times New Roman"/>
          <w:sz w:val="24"/>
          <w:szCs w:val="24"/>
          <w:lang w:eastAsia="fr-FR"/>
        </w:rPr>
      </w:pPr>
      <w:r w:rsidRPr="002C5AC1">
        <w:rPr>
          <w:rFonts w:ascii="Times New Roman" w:eastAsia="Times New Roman" w:hAnsi="Times New Roman"/>
          <w:sz w:val="24"/>
          <w:szCs w:val="24"/>
          <w:lang w:eastAsia="fr-FR"/>
        </w:rPr>
        <w:t xml:space="preserve">l’arabe « littéraire », </w:t>
      </w:r>
    </w:p>
    <w:p w:rsidR="006A4EED" w:rsidRPr="002C5AC1" w:rsidRDefault="006A4EED" w:rsidP="00230C65">
      <w:pPr>
        <w:pStyle w:val="Paragraphedeliste"/>
        <w:numPr>
          <w:ilvl w:val="0"/>
          <w:numId w:val="39"/>
        </w:numPr>
        <w:spacing w:after="0" w:line="360" w:lineRule="auto"/>
        <w:ind w:left="0" w:firstLine="284"/>
        <w:contextualSpacing w:val="0"/>
        <w:jc w:val="both"/>
        <w:rPr>
          <w:rFonts w:ascii="Times New Roman" w:eastAsia="Times New Roman" w:hAnsi="Times New Roman"/>
          <w:sz w:val="24"/>
          <w:szCs w:val="24"/>
          <w:lang w:eastAsia="fr-FR"/>
        </w:rPr>
      </w:pPr>
      <w:r w:rsidRPr="002C5AC1">
        <w:rPr>
          <w:rFonts w:ascii="Times New Roman" w:eastAsia="Times New Roman" w:hAnsi="Times New Roman"/>
          <w:sz w:val="24"/>
          <w:szCs w:val="24"/>
          <w:lang w:eastAsia="fr-FR"/>
        </w:rPr>
        <w:t xml:space="preserve">le français, </w:t>
      </w:r>
    </w:p>
    <w:p w:rsidR="006A4EED" w:rsidRPr="002C5AC1" w:rsidRDefault="006A4EED" w:rsidP="00230C65">
      <w:pPr>
        <w:pStyle w:val="Paragraphedeliste"/>
        <w:numPr>
          <w:ilvl w:val="0"/>
          <w:numId w:val="39"/>
        </w:numPr>
        <w:spacing w:after="0" w:line="360" w:lineRule="auto"/>
        <w:ind w:left="0" w:firstLine="284"/>
        <w:contextualSpacing w:val="0"/>
        <w:jc w:val="both"/>
        <w:rPr>
          <w:rFonts w:ascii="Times New Roman" w:eastAsia="Times New Roman" w:hAnsi="Times New Roman"/>
          <w:sz w:val="24"/>
          <w:szCs w:val="24"/>
          <w:lang w:eastAsia="fr-FR"/>
        </w:rPr>
      </w:pPr>
      <w:r w:rsidRPr="002C5AC1">
        <w:rPr>
          <w:rFonts w:ascii="Times New Roman" w:eastAsia="Times New Roman" w:hAnsi="Times New Roman"/>
          <w:sz w:val="24"/>
          <w:szCs w:val="24"/>
          <w:lang w:eastAsia="fr-FR"/>
        </w:rPr>
        <w:t xml:space="preserve">l’arabe « algérien » et </w:t>
      </w:r>
    </w:p>
    <w:p w:rsidR="006A4EED" w:rsidRPr="002C5AC1" w:rsidRDefault="006A4EED" w:rsidP="00230C65">
      <w:pPr>
        <w:pStyle w:val="Paragraphedeliste"/>
        <w:numPr>
          <w:ilvl w:val="0"/>
          <w:numId w:val="39"/>
        </w:numPr>
        <w:spacing w:after="0" w:line="360" w:lineRule="auto"/>
        <w:ind w:left="0" w:firstLine="284"/>
        <w:contextualSpacing w:val="0"/>
        <w:jc w:val="both"/>
        <w:rPr>
          <w:rFonts w:ascii="Times New Roman" w:eastAsia="Times New Roman" w:hAnsi="Times New Roman"/>
          <w:sz w:val="24"/>
          <w:szCs w:val="24"/>
          <w:lang w:eastAsia="fr-FR"/>
        </w:rPr>
      </w:pPr>
      <w:r w:rsidRPr="002C5AC1">
        <w:rPr>
          <w:rFonts w:ascii="Times New Roman" w:eastAsia="Times New Roman" w:hAnsi="Times New Roman"/>
          <w:sz w:val="24"/>
          <w:szCs w:val="24"/>
          <w:lang w:eastAsia="fr-FR"/>
        </w:rPr>
        <w:t xml:space="preserve">le tamazight (avec ses variantes) </w:t>
      </w:r>
    </w:p>
    <w:p w:rsidR="006A4EED" w:rsidRPr="003B00C8" w:rsidRDefault="006A4EED" w:rsidP="009846D0">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Ces langues s’affrontent, se heurtent, en vue de prendre en charge le pouvoir symbolique. </w:t>
      </w:r>
      <w:r w:rsidR="00C05533">
        <w:rPr>
          <w:rFonts w:ascii="Times New Roman" w:eastAsia="Times New Roman" w:hAnsi="Times New Roman"/>
          <w:sz w:val="24"/>
          <w:szCs w:val="24"/>
          <w:lang w:eastAsia="fr-FR"/>
        </w:rPr>
        <w:t>C</w:t>
      </w:r>
      <w:r w:rsidRPr="003B00C8">
        <w:rPr>
          <w:rFonts w:ascii="Times New Roman" w:eastAsia="Times New Roman" w:hAnsi="Times New Roman"/>
          <w:sz w:val="24"/>
          <w:szCs w:val="24"/>
          <w:lang w:eastAsia="fr-FR"/>
        </w:rPr>
        <w:t xml:space="preserve">es </w:t>
      </w:r>
      <w:r w:rsidR="00C05533">
        <w:rPr>
          <w:rFonts w:ascii="Times New Roman" w:eastAsia="Times New Roman" w:hAnsi="Times New Roman"/>
          <w:sz w:val="24"/>
          <w:szCs w:val="24"/>
          <w:lang w:eastAsia="fr-FR"/>
        </w:rPr>
        <w:t xml:space="preserve">affrontements, quoiqu’en sourdine, </w:t>
      </w:r>
      <w:r w:rsidRPr="003B00C8">
        <w:rPr>
          <w:rFonts w:ascii="Times New Roman" w:eastAsia="Times New Roman" w:hAnsi="Times New Roman"/>
          <w:sz w:val="24"/>
          <w:szCs w:val="24"/>
          <w:lang w:eastAsia="fr-FR"/>
        </w:rPr>
        <w:t xml:space="preserve">ont </w:t>
      </w:r>
      <w:r w:rsidR="00C05533">
        <w:rPr>
          <w:rFonts w:ascii="Times New Roman" w:eastAsia="Times New Roman" w:hAnsi="Times New Roman"/>
          <w:sz w:val="24"/>
          <w:szCs w:val="24"/>
          <w:lang w:eastAsia="fr-FR"/>
        </w:rPr>
        <w:t xml:space="preserve">toujours </w:t>
      </w:r>
      <w:r w:rsidRPr="003B00C8">
        <w:rPr>
          <w:rFonts w:ascii="Times New Roman" w:eastAsia="Times New Roman" w:hAnsi="Times New Roman"/>
          <w:sz w:val="24"/>
          <w:szCs w:val="24"/>
          <w:lang w:eastAsia="fr-FR"/>
        </w:rPr>
        <w:t xml:space="preserve">porté en exergue la complexité de la question linguistique souvent incomprise dans les discours politiques officiels. Au nom de l’arabisation, les cultures et les langues populaires furent souvent marginalisées, voire </w:t>
      </w:r>
      <w:r w:rsidR="00C05533">
        <w:rPr>
          <w:rFonts w:ascii="Times New Roman" w:eastAsia="Times New Roman" w:hAnsi="Times New Roman"/>
          <w:sz w:val="24"/>
          <w:szCs w:val="24"/>
          <w:lang w:eastAsia="fr-FR"/>
        </w:rPr>
        <w:t xml:space="preserve">quasi </w:t>
      </w:r>
      <w:r w:rsidRPr="003B00C8">
        <w:rPr>
          <w:rFonts w:ascii="Times New Roman" w:eastAsia="Times New Roman" w:hAnsi="Times New Roman"/>
          <w:sz w:val="24"/>
          <w:szCs w:val="24"/>
          <w:lang w:eastAsia="fr-FR"/>
        </w:rPr>
        <w:t>interdites.</w:t>
      </w:r>
    </w:p>
    <w:p w:rsidR="006A4EED" w:rsidRPr="003B00C8" w:rsidRDefault="006A4EED" w:rsidP="00F841D0">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Most</w:t>
      </w:r>
      <w:r w:rsidR="00F841D0">
        <w:rPr>
          <w:rFonts w:ascii="Times New Roman" w:eastAsia="Times New Roman" w:hAnsi="Times New Roman"/>
          <w:sz w:val="24"/>
          <w:szCs w:val="24"/>
          <w:lang w:eastAsia="fr-FR"/>
        </w:rPr>
        <w:t>e</w:t>
      </w:r>
      <w:r w:rsidRPr="003B00C8">
        <w:rPr>
          <w:rFonts w:ascii="Times New Roman" w:eastAsia="Times New Roman" w:hAnsi="Times New Roman"/>
          <w:sz w:val="24"/>
          <w:szCs w:val="24"/>
          <w:lang w:eastAsia="fr-FR"/>
        </w:rPr>
        <w:t>fa L</w:t>
      </w:r>
      <w:r w:rsidR="002F1A65">
        <w:rPr>
          <w:rFonts w:ascii="Times New Roman" w:eastAsia="Times New Roman" w:hAnsi="Times New Roman"/>
          <w:sz w:val="24"/>
          <w:szCs w:val="24"/>
          <w:lang w:eastAsia="fr-FR"/>
        </w:rPr>
        <w:t>acheraf</w:t>
      </w:r>
      <w:r w:rsidRPr="003B00C8">
        <w:rPr>
          <w:rFonts w:ascii="Times New Roman" w:eastAsia="Times New Roman" w:hAnsi="Times New Roman"/>
          <w:sz w:val="24"/>
          <w:szCs w:val="24"/>
          <w:lang w:eastAsia="fr-FR"/>
        </w:rPr>
        <w:t xml:space="preserve"> dans un article publié dans l’hebdomadaire </w:t>
      </w:r>
      <w:r w:rsidRPr="003B00C8">
        <w:rPr>
          <w:rFonts w:ascii="Times New Roman" w:eastAsia="Times New Roman" w:hAnsi="Times New Roman"/>
          <w:bCs/>
          <w:i/>
          <w:sz w:val="24"/>
          <w:szCs w:val="24"/>
          <w:lang w:eastAsia="fr-FR"/>
        </w:rPr>
        <w:t>Algérie-Actualité</w:t>
      </w:r>
      <w:r w:rsidRPr="003B00C8">
        <w:rPr>
          <w:rFonts w:ascii="Times New Roman" w:eastAsia="Times New Roman" w:hAnsi="Times New Roman"/>
          <w:sz w:val="24"/>
          <w:szCs w:val="24"/>
          <w:lang w:eastAsia="fr-FR"/>
        </w:rPr>
        <w:t xml:space="preserve">, renvoyait dos à dos les deux tendances : </w:t>
      </w:r>
    </w:p>
    <w:p w:rsidR="006A4EED" w:rsidRDefault="006A4EED" w:rsidP="002F1A65">
      <w:pPr>
        <w:pStyle w:val="Citationintense"/>
        <w:spacing w:before="0" w:after="0"/>
        <w:ind w:left="567" w:right="0"/>
        <w:rPr>
          <w:iCs w:val="0"/>
          <w:sz w:val="20"/>
          <w:szCs w:val="20"/>
          <w:lang w:eastAsia="fr-FR"/>
        </w:rPr>
      </w:pPr>
      <w:r w:rsidRPr="002F1A65">
        <w:rPr>
          <w:iCs w:val="0"/>
          <w:sz w:val="20"/>
          <w:szCs w:val="20"/>
          <w:lang w:eastAsia="fr-FR"/>
        </w:rPr>
        <w:t xml:space="preserve">Il ne convient pas aux intégristes musulmans ou conservateurs  arabisants de notre temps de se réclamer indûment de générations dont la qualité enrichissante, communicative et éclairée des brassages  ethniques, et la démarche détendue, sans complexe et autonome de la foi et de la culture devaient tout à elles-mêmes et, plus encore, à des  faits socio-économiques constituant l’une des bases majeures, l’un des moteurs déterminants de l’évolution ou du choix des peuples dans le </w:t>
      </w:r>
      <w:r w:rsidR="00323467" w:rsidRPr="002F1A65">
        <w:rPr>
          <w:iCs w:val="0"/>
          <w:sz w:val="20"/>
          <w:szCs w:val="20"/>
          <w:lang w:eastAsia="fr-FR"/>
        </w:rPr>
        <w:t>Moyen-âge</w:t>
      </w:r>
      <w:r w:rsidRPr="002F1A65">
        <w:rPr>
          <w:iCs w:val="0"/>
          <w:sz w:val="20"/>
          <w:szCs w:val="20"/>
          <w:lang w:eastAsia="fr-FR"/>
        </w:rPr>
        <w:t>. De la même façon, un sectarisme opposé serait à bannir s’il s’avisait de remettre en cause l’histoire vécue par les siens en privilégiant uniquement une époque plus ancienne qui est censée être, à l’exclusion de toute autre, un paradis perdu, une source inaltérée de l’authenticité, un titre de noblesse, alors qu’elle est commune à tous au delà des langues adoptées après coup ou conservées depuis les origines</w:t>
      </w:r>
      <w:r w:rsidRPr="002F1A65">
        <w:rPr>
          <w:rStyle w:val="Appelnotedebasdep"/>
          <w:sz w:val="20"/>
          <w:szCs w:val="20"/>
          <w:lang w:eastAsia="fr-FR"/>
        </w:rPr>
        <w:footnoteReference w:id="110"/>
      </w:r>
      <w:r w:rsidR="002F1A65">
        <w:rPr>
          <w:iCs w:val="0"/>
          <w:sz w:val="20"/>
          <w:szCs w:val="20"/>
          <w:lang w:eastAsia="fr-FR"/>
        </w:rPr>
        <w:t>.</w:t>
      </w:r>
    </w:p>
    <w:p w:rsidR="002F1A65" w:rsidRPr="002F1A65" w:rsidRDefault="002F1A65" w:rsidP="002F1A65">
      <w:pPr>
        <w:rPr>
          <w:lang w:eastAsia="fr-FR"/>
        </w:rPr>
      </w:pPr>
    </w:p>
    <w:p w:rsidR="006A4EED" w:rsidRPr="003B00C8" w:rsidRDefault="002739C2" w:rsidP="002F1A65">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lastRenderedPageBreak/>
        <w:t>Par ailleurs, l</w:t>
      </w:r>
      <w:r w:rsidR="006A4EED" w:rsidRPr="003B00C8">
        <w:rPr>
          <w:rFonts w:ascii="Times New Roman" w:eastAsia="Times New Roman" w:hAnsi="Times New Roman"/>
          <w:sz w:val="24"/>
          <w:szCs w:val="24"/>
          <w:lang w:eastAsia="fr-FR"/>
        </w:rPr>
        <w:t xml:space="preserve">e sociolinguiste marocain Ahmed Boukous propose une décomposition des attributs aux langues en présence au Maroc. Nous l’empruntons ici pour décrire la situation sociolinguistique </w:t>
      </w:r>
      <w:r w:rsidR="00323467">
        <w:rPr>
          <w:rFonts w:ascii="Times New Roman" w:eastAsia="Times New Roman" w:hAnsi="Times New Roman"/>
          <w:sz w:val="24"/>
          <w:szCs w:val="24"/>
          <w:lang w:eastAsia="fr-FR"/>
        </w:rPr>
        <w:t xml:space="preserve">qui </w:t>
      </w:r>
      <w:r w:rsidR="006A4EED" w:rsidRPr="003B00C8">
        <w:rPr>
          <w:rFonts w:ascii="Times New Roman" w:eastAsia="Times New Roman" w:hAnsi="Times New Roman"/>
          <w:sz w:val="24"/>
          <w:szCs w:val="24"/>
          <w:lang w:eastAsia="fr-FR"/>
        </w:rPr>
        <w:t>est très similaire en Algérie :</w:t>
      </w:r>
    </w:p>
    <w:p w:rsidR="006A4EED" w:rsidRPr="009433F9" w:rsidRDefault="006A4EED" w:rsidP="00230C65">
      <w:pPr>
        <w:numPr>
          <w:ilvl w:val="0"/>
          <w:numId w:val="7"/>
        </w:numPr>
        <w:spacing w:after="0" w:line="360" w:lineRule="auto"/>
        <w:ind w:firstLine="360"/>
        <w:jc w:val="both"/>
        <w:rPr>
          <w:rFonts w:ascii="Times New Roman" w:eastAsia="Times New Roman" w:hAnsi="Times New Roman"/>
          <w:i/>
          <w:iCs/>
          <w:sz w:val="24"/>
          <w:szCs w:val="24"/>
          <w:lang w:eastAsia="fr-FR"/>
        </w:rPr>
      </w:pPr>
      <w:r w:rsidRPr="003B00C8">
        <w:rPr>
          <w:rFonts w:ascii="Times New Roman" w:eastAsia="Times New Roman" w:hAnsi="Times New Roman"/>
          <w:sz w:val="24"/>
          <w:szCs w:val="24"/>
          <w:lang w:eastAsia="fr-FR"/>
        </w:rPr>
        <w:t>Les langues maternelles : Jusqu’à l’arrivée des arabes, le tamazight était l’unique langue de la population algérienne. Mais son extension se réduisait au fur et à mesure que l’influence de l’arabe avançait au sein de la société.</w:t>
      </w:r>
    </w:p>
    <w:p w:rsidR="006A4EED" w:rsidRPr="009433F9" w:rsidRDefault="006A4EED" w:rsidP="00230C65">
      <w:pPr>
        <w:numPr>
          <w:ilvl w:val="0"/>
          <w:numId w:val="7"/>
        </w:numPr>
        <w:spacing w:after="0" w:line="360" w:lineRule="auto"/>
        <w:ind w:firstLine="36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Les langues populaires, quant à elles, sont souvent orales, non écrites. Elles sont marquées péjorativement afin de limiter leur influence culturelle mais aussi politique. En effet, les autorités coloniales ont tout fait en effet pour marquer négativement ces deux idiomes (tamazight et arabe « algérien »). Opposer arabophones et berbérophones est un souci constant du colon, dans une volonté de division. Aujourd’hui, les langues maternelles demeurent encore non reconnues, non enseignées. Le tamazight (avec toutes ses variantes, le kabyle, le chaoui, le mozabite…) n’est pas standardisé, mais il est doué d’autonomie, d’histoire et de vitalité.</w:t>
      </w:r>
    </w:p>
    <w:p w:rsidR="006A4EED" w:rsidRPr="009433F9" w:rsidRDefault="006A4EED" w:rsidP="00230C65">
      <w:pPr>
        <w:numPr>
          <w:ilvl w:val="0"/>
          <w:numId w:val="6"/>
        </w:numPr>
        <w:spacing w:after="0" w:line="360" w:lineRule="auto"/>
        <w:ind w:firstLine="36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L’arabe « marocain » (ou « algérien », dans notre cas) n’est pas standardisé, il n’est pas non plus autonome car il entretient des rapports d’hétéronymie avec l’arabe « littéraire » : il est cependant vital car il sert de vernaculaire principal.</w:t>
      </w:r>
    </w:p>
    <w:p w:rsidR="006A4EED" w:rsidRPr="003B00C8" w:rsidRDefault="006A4EED" w:rsidP="00066DA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Langue du Coran, introduite en Algérie après l’arrivée des arabes au septième siècle, l’arabe s’imposa graduellement dans la société algérienne. Les historiens admettent l’existence de deux phases dans l’arabisation de l’Algérie. Zohra S</w:t>
      </w:r>
      <w:r w:rsidR="00066DAC">
        <w:rPr>
          <w:rFonts w:ascii="Times New Roman" w:eastAsia="Times New Roman" w:hAnsi="Times New Roman"/>
          <w:sz w:val="24"/>
          <w:szCs w:val="24"/>
          <w:lang w:eastAsia="fr-FR"/>
        </w:rPr>
        <w:t xml:space="preserve">iagh </w:t>
      </w:r>
      <w:r w:rsidRPr="003B00C8">
        <w:rPr>
          <w:rFonts w:ascii="Times New Roman" w:eastAsia="Times New Roman" w:hAnsi="Times New Roman"/>
          <w:sz w:val="24"/>
          <w:szCs w:val="24"/>
          <w:lang w:eastAsia="fr-FR"/>
        </w:rPr>
        <w:t>écrit à ce propos:</w:t>
      </w:r>
    </w:p>
    <w:p w:rsidR="006A4EED" w:rsidRPr="00BC4166" w:rsidRDefault="006A4EED" w:rsidP="00033291">
      <w:pPr>
        <w:pStyle w:val="Citationintense"/>
        <w:spacing w:before="0" w:after="0"/>
        <w:ind w:left="567" w:right="0"/>
        <w:rPr>
          <w:sz w:val="20"/>
          <w:szCs w:val="20"/>
        </w:rPr>
      </w:pPr>
      <w:r w:rsidRPr="00E61F93">
        <w:rPr>
          <w:iCs w:val="0"/>
          <w:sz w:val="20"/>
        </w:rPr>
        <w:t xml:space="preserve"> </w:t>
      </w:r>
      <w:r w:rsidRPr="00BC4166">
        <w:rPr>
          <w:iCs w:val="0"/>
          <w:sz w:val="20"/>
          <w:szCs w:val="20"/>
        </w:rPr>
        <w:t>Au premier siècle hégirien/septième siècle J.C, l’arabisation toucha d’abord les grands centres urbains : Constantine, Béjaia, Alger, Tlemcen, Oran, etc. Puis, ces cités arabisèrent à leur tour l’arrière-pays (généralement montagneux) avec lequel elles entretenaient des relations. (…) Les parlers issus de cette première phase d’arabisation ont été dénommés « parlers préhilaliens » et se subdivisent à leur tour en  « parlers citadins » et « parlers villageois » ou « parlers djeballa ». (…). Au cinquième siècle/onzième siècle J.C, l’arrivée des tribus bédouines (Béni Hillal et Soulaym principalement) par le Sud-Est du pays et remontant vers le Nord, va contribuer de manière plus étendue à l’arabisation de la population autochtone</w:t>
      </w:r>
      <w:r w:rsidRPr="00BC4166">
        <w:rPr>
          <w:rStyle w:val="Appelnotedebasdep"/>
          <w:sz w:val="20"/>
          <w:szCs w:val="20"/>
        </w:rPr>
        <w:footnoteReference w:id="111"/>
      </w:r>
      <w:r w:rsidR="00033291">
        <w:rPr>
          <w:iCs w:val="0"/>
          <w:sz w:val="20"/>
          <w:szCs w:val="20"/>
        </w:rPr>
        <w:t>.</w:t>
      </w:r>
    </w:p>
    <w:p w:rsidR="00033291" w:rsidRDefault="00033291" w:rsidP="009433F9">
      <w:pPr>
        <w:spacing w:after="0" w:line="360" w:lineRule="auto"/>
        <w:ind w:firstLine="708"/>
        <w:jc w:val="both"/>
        <w:rPr>
          <w:rFonts w:ascii="Times New Roman" w:eastAsia="Times New Roman" w:hAnsi="Times New Roman"/>
          <w:sz w:val="24"/>
          <w:szCs w:val="24"/>
          <w:lang w:eastAsia="fr-FR"/>
        </w:rPr>
      </w:pPr>
    </w:p>
    <w:p w:rsidR="006A4EED" w:rsidRPr="003B00C8" w:rsidRDefault="006A4EED" w:rsidP="00033291">
      <w:pPr>
        <w:spacing w:after="0" w:line="360" w:lineRule="auto"/>
        <w:ind w:firstLine="284"/>
        <w:jc w:val="both"/>
        <w:rPr>
          <w:rFonts w:ascii="Times New Roman" w:eastAsia="Times New Roman" w:hAnsi="Times New Roman"/>
          <w:sz w:val="24"/>
          <w:szCs w:val="24"/>
          <w:lang w:eastAsia="fr-FR"/>
        </w:rPr>
      </w:pPr>
      <w:r w:rsidRPr="00B87AAD">
        <w:rPr>
          <w:rFonts w:ascii="Times New Roman" w:eastAsia="Times New Roman" w:hAnsi="Times New Roman"/>
          <w:sz w:val="24"/>
          <w:szCs w:val="24"/>
          <w:lang w:eastAsia="fr-FR"/>
        </w:rPr>
        <w:lastRenderedPageBreak/>
        <w:t>Faut-il le rappeler,  l’arabe « littéraire » s’il est évidemment standardisé, autonome et historique, ne fonctionne pas comme une langue maternelle, et n’est donc pas doué de vitalité. L’arabe parlé dans la vie quotidienne est sensiblement différent de la langue « classique ». En fait, chaque région possède son propre parler.</w:t>
      </w:r>
      <w:r w:rsidRPr="003B00C8">
        <w:rPr>
          <w:rFonts w:ascii="Times New Roman" w:eastAsia="Times New Roman" w:hAnsi="Times New Roman"/>
          <w:sz w:val="24"/>
          <w:szCs w:val="24"/>
          <w:lang w:eastAsia="fr-FR"/>
        </w:rPr>
        <w:t xml:space="preserve"> </w:t>
      </w:r>
    </w:p>
    <w:p w:rsidR="006A4EED" w:rsidRPr="003B00C8" w:rsidRDefault="006A4EED" w:rsidP="005E6E6F">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Avant la colonisation française, l’adoption de l’arabe ne modifia pas entièrement </w:t>
      </w:r>
      <w:r w:rsidRPr="003B00C8">
        <w:rPr>
          <w:rFonts w:ascii="Times New Roman" w:eastAsia="Times New Roman" w:hAnsi="Times New Roman"/>
          <w:i/>
          <w:iCs/>
          <w:sz w:val="24"/>
          <w:szCs w:val="24"/>
          <w:lang w:eastAsia="fr-FR"/>
        </w:rPr>
        <w:t xml:space="preserve"> </w:t>
      </w:r>
      <w:r w:rsidRPr="003B00C8">
        <w:rPr>
          <w:rFonts w:ascii="Times New Roman" w:eastAsia="Times New Roman" w:hAnsi="Times New Roman"/>
          <w:sz w:val="24"/>
          <w:szCs w:val="24"/>
          <w:lang w:eastAsia="fr-FR"/>
        </w:rPr>
        <w:t xml:space="preserve">les structures socioculturelles autochtones. Ni avec les populations « berbérophones » qui ne résisteront pas fortement à la pénétration culturelle arabe. Ni durant l’invasion ottomane qui autorisera les activités religieuses et encouragera l’ouverture d’écoles religieuses et de confréries islamiques. A la veille de la colonisation, plusieurs établissements scolaires dispensant essentiellement un enseignement religieux. </w:t>
      </w:r>
    </w:p>
    <w:p w:rsidR="006A4EED" w:rsidRPr="005E6E6F" w:rsidRDefault="006A4EED" w:rsidP="005E6E6F">
      <w:pPr>
        <w:spacing w:after="0" w:line="360" w:lineRule="auto"/>
        <w:ind w:firstLine="284"/>
        <w:jc w:val="both"/>
        <w:rPr>
          <w:rFonts w:asciiTheme="majorBidi" w:hAnsiTheme="majorBidi" w:cstheme="majorBidi"/>
          <w:sz w:val="24"/>
          <w:szCs w:val="24"/>
        </w:rPr>
      </w:pPr>
      <w:r w:rsidRPr="003B00C8">
        <w:rPr>
          <w:rFonts w:ascii="Times New Roman" w:eastAsia="Times New Roman" w:hAnsi="Times New Roman"/>
          <w:sz w:val="24"/>
          <w:szCs w:val="24"/>
          <w:lang w:eastAsia="fr-FR"/>
        </w:rPr>
        <w:t>La conquête coloniale française ralentit sensiblement cet enseignement. Plusieurs écoles furent fermées. Alexis de Tocqueville écrit dans un rapport en 1847</w:t>
      </w:r>
      <w:r w:rsidR="009433F9">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w:t>
      </w:r>
      <w:r>
        <w:rPr>
          <w:rFonts w:ascii="Times New Roman" w:eastAsia="Times New Roman" w:hAnsi="Times New Roman"/>
          <w:sz w:val="24"/>
          <w:szCs w:val="24"/>
          <w:lang w:eastAsia="fr-FR"/>
        </w:rPr>
        <w:t xml:space="preserve"> </w:t>
      </w:r>
      <w:r w:rsidR="005E6E6F" w:rsidRPr="005E6E6F">
        <w:rPr>
          <w:rFonts w:asciiTheme="majorBidi" w:eastAsia="Times New Roman" w:hAnsiTheme="majorBidi" w:cstheme="majorBidi"/>
          <w:sz w:val="24"/>
          <w:szCs w:val="24"/>
          <w:lang w:eastAsia="fr-FR"/>
        </w:rPr>
        <w:t>« </w:t>
      </w:r>
      <w:r w:rsidRPr="005E6E6F">
        <w:rPr>
          <w:rFonts w:asciiTheme="majorBidi" w:hAnsiTheme="majorBidi" w:cstheme="majorBidi"/>
          <w:sz w:val="24"/>
          <w:szCs w:val="24"/>
        </w:rPr>
        <w:t>Partout, nous avons mis la main sur ces revenus (des habous) en les détournant en partie de leurs anciens usages. Nous avons réduit les établissements charitables, laissé tomber les écoles, dispersé les  séminaires.</w:t>
      </w:r>
      <w:r w:rsidR="005E6E6F">
        <w:rPr>
          <w:rFonts w:asciiTheme="majorBidi" w:hAnsiTheme="majorBidi" w:cstheme="majorBidi"/>
          <w:sz w:val="24"/>
          <w:szCs w:val="24"/>
        </w:rPr>
        <w:t>»</w:t>
      </w:r>
      <w:r w:rsidRPr="005E6E6F">
        <w:rPr>
          <w:rStyle w:val="Appelnotedebasdep"/>
          <w:rFonts w:asciiTheme="majorBidi" w:hAnsiTheme="majorBidi" w:cstheme="majorBidi"/>
          <w:sz w:val="24"/>
          <w:szCs w:val="24"/>
        </w:rPr>
        <w:footnoteReference w:id="112"/>
      </w:r>
    </w:p>
    <w:p w:rsidR="006A4EED" w:rsidRPr="003B00C8" w:rsidRDefault="006A4EED" w:rsidP="001B0A09">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Mais durant la colonisation, et surtout après 1920, les organisations nationalistes mirent en avant la revendication linguistique : de l’Etoile Nord-Africaine (ENA), au Front de Libération National, l’Association des Oulama, le Mouvement pour le Triomphe des Libertés Démocratiques (MTLD). D’ailleurs, les Oulama, sous la direction d’Abdelhamid Ben Badis, ouvrirent des écoles et des centres culturels. L’enseignement de l’arabe y fut exclusivement dispensé. La devise de cette association était la suivante : l’Algérie est notre patrie, l’Islam notre religion et l’arabe notre langue.</w:t>
      </w:r>
    </w:p>
    <w:p w:rsidR="006A4EED" w:rsidRPr="003B00C8" w:rsidRDefault="006A4EED" w:rsidP="001B0A09">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L’indépendance acquise, cette revendication est apparue dans tous les discours officiels. Les congrès de Tripoli et d’Alger, la Charte Nationale et les différentes sessions du comité central de l’ex-parti unique, le FLN, insistent sur « l’arabisation effective » de l’Algérie et « la réappropriation de la langue arabe » considérée comme unique et unificatrice, « conformément au  cours de l’histoire, aux </w:t>
      </w:r>
      <w:r w:rsidRPr="003B00C8">
        <w:rPr>
          <w:rFonts w:ascii="Times New Roman" w:eastAsia="Times New Roman" w:hAnsi="Times New Roman"/>
          <w:sz w:val="24"/>
          <w:szCs w:val="24"/>
          <w:lang w:eastAsia="fr-FR"/>
        </w:rPr>
        <w:lastRenderedPageBreak/>
        <w:t>exigences de notre révolution et à celles de notre époque ». Ce discours de l’unité est explicite dans la charte nationale (1976) :</w:t>
      </w:r>
    </w:p>
    <w:p w:rsidR="006A4EED" w:rsidRPr="00E61F93" w:rsidRDefault="006A4EED" w:rsidP="001B0A09">
      <w:pPr>
        <w:pStyle w:val="Citationintense"/>
        <w:spacing w:before="0" w:after="0"/>
        <w:ind w:left="567" w:right="0"/>
        <w:rPr>
          <w:rFonts w:eastAsia="Times New Roman"/>
          <w:bCs w:val="0"/>
          <w:sz w:val="24"/>
          <w:szCs w:val="24"/>
          <w:lang w:eastAsia="fr-FR"/>
        </w:rPr>
      </w:pPr>
      <w:r w:rsidRPr="00E61F93">
        <w:rPr>
          <w:iCs w:val="0"/>
          <w:sz w:val="20"/>
          <w:szCs w:val="20"/>
          <w:lang w:eastAsia="fr-FR"/>
        </w:rPr>
        <w:t>La langue arabe est un élément essentiel de l’identité culturelle du  peuple algérien. On ne saurait séparer notre personnalité de la langue qui l’exprime. Aussi, l’usage généralisé de la langue arabe et sa maîtrise en tant qu’instrument fonctionnel créateur est une des tâches primordiales de la société algérienne au plan de toutes les manifestations de la culture et à celui de l’idéologie socialiste.</w:t>
      </w:r>
      <w:r w:rsidRPr="00E61F93">
        <w:rPr>
          <w:rStyle w:val="Appelnotedebasdep"/>
          <w:iCs w:val="0"/>
          <w:sz w:val="20"/>
          <w:szCs w:val="20"/>
          <w:lang w:eastAsia="fr-FR"/>
        </w:rPr>
        <w:footnoteReference w:id="113"/>
      </w:r>
      <w:r w:rsidRPr="00E61F93">
        <w:rPr>
          <w:rFonts w:eastAsia="Times New Roman"/>
          <w:bCs w:val="0"/>
          <w:sz w:val="24"/>
          <w:szCs w:val="24"/>
          <w:lang w:eastAsia="fr-FR"/>
        </w:rPr>
        <w:t> </w:t>
      </w:r>
    </w:p>
    <w:p w:rsidR="001B0A09" w:rsidRDefault="001B0A09" w:rsidP="009433F9">
      <w:pPr>
        <w:spacing w:after="0" w:line="360" w:lineRule="auto"/>
        <w:ind w:firstLine="708"/>
        <w:jc w:val="both"/>
        <w:rPr>
          <w:rFonts w:ascii="Times New Roman" w:eastAsia="Times New Roman" w:hAnsi="Times New Roman"/>
          <w:sz w:val="24"/>
          <w:szCs w:val="24"/>
          <w:lang w:eastAsia="fr-FR"/>
        </w:rPr>
      </w:pPr>
    </w:p>
    <w:p w:rsidR="006A4EED" w:rsidRPr="003B00C8" w:rsidRDefault="006A4EED" w:rsidP="009741D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colonisation française </w:t>
      </w:r>
      <w:r w:rsidR="00323467">
        <w:rPr>
          <w:rFonts w:ascii="Times New Roman" w:eastAsia="Times New Roman" w:hAnsi="Times New Roman"/>
          <w:sz w:val="24"/>
          <w:szCs w:val="24"/>
          <w:lang w:eastAsia="fr-FR"/>
        </w:rPr>
        <w:t xml:space="preserve">avait </w:t>
      </w:r>
      <w:r w:rsidRPr="003B00C8">
        <w:rPr>
          <w:rFonts w:ascii="Times New Roman" w:eastAsia="Times New Roman" w:hAnsi="Times New Roman"/>
          <w:sz w:val="24"/>
          <w:szCs w:val="24"/>
          <w:lang w:eastAsia="fr-FR"/>
        </w:rPr>
        <w:t>impos</w:t>
      </w:r>
      <w:r w:rsidR="00323467">
        <w:rPr>
          <w:rFonts w:ascii="Times New Roman" w:eastAsia="Times New Roman" w:hAnsi="Times New Roman"/>
          <w:sz w:val="24"/>
          <w:szCs w:val="24"/>
          <w:lang w:eastAsia="fr-FR"/>
        </w:rPr>
        <w:t>é</w:t>
      </w:r>
      <w:r w:rsidRPr="003B00C8">
        <w:rPr>
          <w:rFonts w:ascii="Times New Roman" w:eastAsia="Times New Roman" w:hAnsi="Times New Roman"/>
          <w:sz w:val="24"/>
          <w:szCs w:val="24"/>
          <w:lang w:eastAsia="fr-FR"/>
        </w:rPr>
        <w:t xml:space="preserve"> la langue française dans tous les secteurs d’activités (enseignement, média, administration…). Les rares algériens, admis à fréquenter l’école française, ne purent avoir droit à un enseignement en arabe. Au début, il y eut une sérieuse résistance. Mais petit à petit, les autochtones prirent conscience de la nécessité d’aller à l’école de l’Autre. Le français fut réellement imposé comme langue unique. En revanche,  cela ne signifie aucunement que les portes de l’enseignement étaient ouvertes à tous les algériens. C’était tout à fait le contraire. En 1962, plus de 85% des algériens étaient analphabètes. Le français, après l’indépendance, voyait ses champs d’intervention connaître un fléchissement à la suite de la mise en œuvre d’une politique d’arabisation. </w:t>
      </w:r>
    </w:p>
    <w:p w:rsidR="006A4EED" w:rsidRPr="003B00C8" w:rsidRDefault="006A4EED" w:rsidP="009741D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Aujourd’hui, plusieurs secteurs sont arabisés : l’enseignement, la justice…mais d’autres domaines restent encore réfractaires à cette opération. En effet, le français est doté d’un statut particulier dans la société algérienne et ses champs d’usage sont encore larges. Le journal </w:t>
      </w:r>
      <w:r w:rsidRPr="003B00C8">
        <w:rPr>
          <w:rFonts w:ascii="Times New Roman" w:eastAsia="Times New Roman" w:hAnsi="Times New Roman"/>
          <w:i/>
          <w:sz w:val="24"/>
          <w:szCs w:val="24"/>
          <w:lang w:eastAsia="fr-FR"/>
        </w:rPr>
        <w:t>El Moudjahid</w:t>
      </w:r>
      <w:r w:rsidRPr="003B00C8">
        <w:rPr>
          <w:rFonts w:ascii="Times New Roman" w:eastAsia="Times New Roman" w:hAnsi="Times New Roman"/>
          <w:sz w:val="24"/>
          <w:szCs w:val="24"/>
          <w:lang w:eastAsia="fr-FR"/>
        </w:rPr>
        <w:t xml:space="preserve"> (en langue française) tirait à lui seul dans les années 80 plus que tous l</w:t>
      </w:r>
      <w:r w:rsidR="009433F9">
        <w:rPr>
          <w:rFonts w:ascii="Times New Roman" w:eastAsia="Times New Roman" w:hAnsi="Times New Roman"/>
          <w:sz w:val="24"/>
          <w:szCs w:val="24"/>
          <w:lang w:eastAsia="fr-FR"/>
        </w:rPr>
        <w:t xml:space="preserve">es titres en arabes confondus. </w:t>
      </w:r>
      <w:r w:rsidRPr="003B00C8">
        <w:rPr>
          <w:rFonts w:ascii="Times New Roman" w:eastAsia="Times New Roman" w:hAnsi="Times New Roman"/>
          <w:sz w:val="24"/>
          <w:szCs w:val="24"/>
          <w:lang w:eastAsia="fr-FR"/>
        </w:rPr>
        <w:t xml:space="preserve">On sait également que le français reste encore la langue de l’enseignement technique et scientifique. Les derniers débats sur l’arabisation montrent bien que le français est très utilisé dans certains secteurs. La correspondance </w:t>
      </w:r>
      <w:proofErr w:type="gramStart"/>
      <w:r w:rsidRPr="003B00C8">
        <w:rPr>
          <w:rFonts w:ascii="Times New Roman" w:eastAsia="Times New Roman" w:hAnsi="Times New Roman"/>
          <w:sz w:val="24"/>
          <w:szCs w:val="24"/>
          <w:lang w:eastAsia="fr-FR"/>
        </w:rPr>
        <w:t>inter-entreprises</w:t>
      </w:r>
      <w:proofErr w:type="gramEnd"/>
      <w:r w:rsidRPr="003B00C8">
        <w:rPr>
          <w:rFonts w:ascii="Times New Roman" w:eastAsia="Times New Roman" w:hAnsi="Times New Roman"/>
          <w:sz w:val="24"/>
          <w:szCs w:val="24"/>
          <w:lang w:eastAsia="fr-FR"/>
        </w:rPr>
        <w:t xml:space="preserve"> se fait souvent en français. Des romans et des poèmes y sont toujours publiés. Leur nombre augmente sensiblement.     </w:t>
      </w:r>
    </w:p>
    <w:p w:rsidR="006A4EED" w:rsidRPr="003B00C8" w:rsidRDefault="006A4EED" w:rsidP="009741D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Ces attributs s’appliquent bien à la situation linguistique algérienne. Le tamazight et l’arabe « algérien », langues maternelles, appartiennent à des catégories culturelles et linguistiques bien précises. Orales, apprises dans le milieu familial et groupal, considérées par le pouvoir officiel comme « basses » par rapport au français et à l’arabe « littéraire », elles servent de moyen d’expression aux contes, aux légendes, à des poèmes et à d’autres formes littéraires et artistiques </w:t>
      </w:r>
      <w:r w:rsidRPr="003B00C8">
        <w:rPr>
          <w:rFonts w:ascii="Times New Roman" w:eastAsia="Times New Roman" w:hAnsi="Times New Roman"/>
          <w:sz w:val="24"/>
          <w:szCs w:val="24"/>
          <w:lang w:eastAsia="fr-FR"/>
        </w:rPr>
        <w:lastRenderedPageBreak/>
        <w:t xml:space="preserve">comme le théâtre et le cinéma. Elles sont utilisées dans la vie quotidienne. Frappées souvent d’interdit ou péjorées, ces deux langues restent encore en dehors d’un certain nombre de pratiques sociales. </w:t>
      </w:r>
    </w:p>
    <w:p w:rsidR="006A4EED" w:rsidRPr="003B00C8" w:rsidRDefault="006A4EED" w:rsidP="009741D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 débat sur la langue à utiliser durant la période coloniale était très animé, souvent houleux. Aujourd’hui, après l’indépendance, la question linguistique est toujours à 1’ordre du jour. Dans tous les débats, les tables rondes et les festivals, la question linguistique est souvent le lieu et l’enjeu de discussions et de polémiques sans fin. </w:t>
      </w:r>
    </w:p>
    <w:p w:rsidR="006A4EED" w:rsidRPr="003B00C8" w:rsidRDefault="006A4EED" w:rsidP="009741D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Qu’en est-il du théâtre et du point de vue de Kaki face à ce conflit de la langue ?</w:t>
      </w:r>
    </w:p>
    <w:p w:rsidR="006A4EED" w:rsidRPr="00562E19" w:rsidRDefault="00F606E9" w:rsidP="00230C65">
      <w:pPr>
        <w:pStyle w:val="Titre6"/>
        <w:numPr>
          <w:ilvl w:val="0"/>
          <w:numId w:val="70"/>
        </w:numPr>
        <w:spacing w:before="0" w:after="0" w:line="360" w:lineRule="auto"/>
        <w:jc w:val="both"/>
        <w:rPr>
          <w:b/>
          <w:bCs w:val="0"/>
          <w:i w:val="0"/>
          <w:iCs/>
          <w:sz w:val="24"/>
          <w:szCs w:val="24"/>
          <w:u w:val="none"/>
        </w:rPr>
      </w:pPr>
      <w:r w:rsidRPr="00562E19">
        <w:rPr>
          <w:b/>
          <w:bCs w:val="0"/>
          <w:i w:val="0"/>
          <w:iCs/>
          <w:sz w:val="24"/>
          <w:szCs w:val="24"/>
          <w:u w:val="none"/>
        </w:rPr>
        <w:t>Le</w:t>
      </w:r>
      <w:r w:rsidR="006A4EED" w:rsidRPr="00562E19">
        <w:rPr>
          <w:b/>
          <w:bCs w:val="0"/>
          <w:i w:val="0"/>
          <w:iCs/>
          <w:sz w:val="24"/>
          <w:szCs w:val="24"/>
          <w:u w:val="none"/>
        </w:rPr>
        <w:t xml:space="preserve"> positionnement de Kaki face au conflit de la langue</w:t>
      </w:r>
    </w:p>
    <w:p w:rsidR="006A4EED" w:rsidRPr="003B00C8" w:rsidRDefault="006A4EED" w:rsidP="00F606E9">
      <w:pPr>
        <w:spacing w:after="0" w:line="360" w:lineRule="auto"/>
        <w:ind w:firstLine="284"/>
        <w:jc w:val="both"/>
        <w:rPr>
          <w:rFonts w:ascii="Times New Roman" w:eastAsia="Times New Roman" w:hAnsi="Times New Roman"/>
          <w:sz w:val="24"/>
          <w:szCs w:val="24"/>
          <w:lang w:eastAsia="fr-FR"/>
        </w:rPr>
      </w:pPr>
      <w:r w:rsidRPr="00562E19">
        <w:rPr>
          <w:rFonts w:ascii="Times New Roman" w:eastAsia="Times New Roman" w:hAnsi="Times New Roman"/>
          <w:sz w:val="24"/>
          <w:szCs w:val="24"/>
          <w:lang w:eastAsia="fr-FR"/>
        </w:rPr>
        <w:t>Depuis les débuts du théâtre en Algérie, la question linguistique a donc toujours</w:t>
      </w:r>
      <w:r w:rsidRPr="003B00C8">
        <w:rPr>
          <w:rFonts w:ascii="Times New Roman" w:eastAsia="Times New Roman" w:hAnsi="Times New Roman"/>
          <w:sz w:val="24"/>
          <w:szCs w:val="24"/>
          <w:lang w:eastAsia="fr-FR"/>
        </w:rPr>
        <w:t xml:space="preserve"> constitué une source interminable de controverse et de débat. Tout dramaturge algérien a connu ou connaît encore ce problème : quelle langue choisir ? L’arabe littéraire, l’arabe parlé, le tamazight ou le français ? Le choix n’est pas aisé et le débat reste d’ailleurs toujours d’actualité. Dans les pays arabes et africains précisément, les auteurs, les journalistes, les chercheurs et les comédiens abordent encore cette question avec un certain malaise : opter pour l’une ou l’autre langue, c’est s’exposer aux foudres de l’autre (et vice versa). </w:t>
      </w:r>
    </w:p>
    <w:p w:rsidR="006A4EED" w:rsidRPr="003B00C8" w:rsidRDefault="006A4EED" w:rsidP="00F606E9">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Car la polémique est parfois sous-tendue par des relents idéologiques. Ainsi en Algérie, les tenants de l’arabisme ne pouvaient/peuvent admettre l’adoption d’une langue autre que</w:t>
      </w:r>
      <w:r w:rsidRPr="003B00C8">
        <w:rPr>
          <w:rFonts w:ascii="Times New Roman" w:eastAsia="Times New Roman" w:hAnsi="Times New Roman"/>
          <w:b/>
          <w:bCs/>
          <w:i/>
          <w:iCs/>
          <w:sz w:val="24"/>
          <w:szCs w:val="24"/>
          <w:lang w:eastAsia="fr-FR"/>
        </w:rPr>
        <w:t xml:space="preserve"> </w:t>
      </w:r>
      <w:r w:rsidRPr="003B00C8">
        <w:rPr>
          <w:rFonts w:ascii="Times New Roman" w:eastAsia="Times New Roman" w:hAnsi="Times New Roman"/>
          <w:sz w:val="24"/>
          <w:szCs w:val="24"/>
          <w:lang w:eastAsia="fr-FR"/>
        </w:rPr>
        <w:t xml:space="preserve">la langue « littéraire ». Pour ces lettrés conservateurs, la langue arabe, sacralisée et figée, pouvait et peut traduire pleinement les pensées et les destinées des grands personnages tragiques. Il s’agit, serait-on tenté de dire, d’un point de vue. Mais le discours de ce courant est marqué le plus souvent de relents xénophobes. Il s’est trouvé, parfois,  imposé sur la scène culturelle algérienne. Fort heureusement, il n’a pas été assez fort ni assez dominant pour investir durablement et définitivement la sphère théâtrale.  </w:t>
      </w:r>
    </w:p>
    <w:p w:rsidR="006A4EED" w:rsidRPr="003B00C8" w:rsidRDefault="006A4EED" w:rsidP="005D23E6">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Les adeptes des idiomes populaires (surtout l’arabe « algérien ») défendent l’idée selon laquelle l’arabe « classique » tend à exclure du théâtre le large public et de ce fait altère considérablement la communication. Cela revient à faire du théâtre pour une élite dont une partie n’a que mépris pour les valeurs populaires véhiculées par l’art dramatique. Mais s’il n’est pas question d’évacuer du champ </w:t>
      </w:r>
      <w:r w:rsidRPr="003B00C8">
        <w:rPr>
          <w:rFonts w:ascii="Times New Roman" w:eastAsia="Times New Roman" w:hAnsi="Times New Roman"/>
          <w:sz w:val="24"/>
          <w:szCs w:val="24"/>
          <w:lang w:eastAsia="fr-FR"/>
        </w:rPr>
        <w:lastRenderedPageBreak/>
        <w:t xml:space="preserve">de la représentation théâtrale les couches populaires qui, dans leur grande majorité, ne maîtrisent pas la langue « classique », il ne faut pas perdre de vue que le théâtre en Algérie est le fait d’hommes issus du « peuple ». </w:t>
      </w:r>
    </w:p>
    <w:p w:rsidR="006A4EED" w:rsidRPr="003B00C8" w:rsidRDefault="006A4EED" w:rsidP="005D23E6">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Il se trouve que les pères fondateurs du théâtre algérien, Rachid Ksentini, Allalou, Touri sont d’origine populaire. Comment pouvaient-ils se permettre d’exclure de leur espace de représentation les gens auxquels ils s’adressaient ? Entre le « peuple » et l’élite cultivée, ils avaient choisi le « peuple ». Kaki aussi a choisi le peuple, comme on a pu le voir dans son approche dramatique. Mais quelle langue parle le peuple ? Là est la question.</w:t>
      </w:r>
    </w:p>
    <w:p w:rsidR="006A4EED" w:rsidRPr="003B00C8" w:rsidRDefault="006A4EED" w:rsidP="000B267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Kaki y </w:t>
      </w:r>
      <w:r w:rsidR="00E61F93">
        <w:rPr>
          <w:rFonts w:ascii="Times New Roman" w:eastAsia="Times New Roman" w:hAnsi="Times New Roman"/>
          <w:sz w:val="24"/>
          <w:szCs w:val="24"/>
          <w:lang w:eastAsia="fr-FR"/>
        </w:rPr>
        <w:t>répond</w:t>
      </w:r>
      <w:r w:rsidRPr="003B00C8">
        <w:rPr>
          <w:rFonts w:ascii="Times New Roman" w:eastAsia="Times New Roman" w:hAnsi="Times New Roman"/>
          <w:sz w:val="24"/>
          <w:szCs w:val="24"/>
          <w:lang w:eastAsia="fr-FR"/>
        </w:rPr>
        <w:t xml:space="preserve"> de façon formelle, à sa manière : c’est le récepteur qui détermine la langue à employer. Ce n’est ni un décret gouvernemental, ni d’obscurs principes qui imposeraient l’accessoire au détriment de l’essentiel, la communication avec les différents publics. Il n’y a pas de langue consacrée. Tout dépend du ressenti et du besoin du public à un moment donné et ce retour n’est d’ailleurs pas figé et peut (doit) évoluer.</w:t>
      </w:r>
    </w:p>
    <w:p w:rsidR="00302490" w:rsidRPr="003B00C8" w:rsidRDefault="006A4EED" w:rsidP="000B267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Les premiers hommes de théâtre comme Allalou, Ksentini ou Bachetarzi ont le mérite d’avoir introduit la langue arabe populaire dans le théâtre. Et c’est sur les cendres encore brulantes de cette polémique que Kaki va prendre fait et cause pour l’arabe populaire. Mais il le fera sans idéologie et de façon tout à fait pragmatique. Ainsi est Kaki. </w:t>
      </w:r>
    </w:p>
    <w:p w:rsidR="006A4EED" w:rsidRPr="003B00C8" w:rsidRDefault="006A4EED" w:rsidP="000B267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Mais même avec Kaki, la méfiance des "élites arabisées" à l'égard de la langue "dialectale" da</w:t>
      </w:r>
      <w:r w:rsidR="000D442A">
        <w:rPr>
          <w:rFonts w:ascii="Times New Roman" w:eastAsia="Times New Roman" w:hAnsi="Times New Roman"/>
          <w:sz w:val="24"/>
          <w:szCs w:val="24"/>
          <w:lang w:eastAsia="fr-FR"/>
        </w:rPr>
        <w:t>n</w:t>
      </w:r>
      <w:r w:rsidRPr="003B00C8">
        <w:rPr>
          <w:rFonts w:ascii="Times New Roman" w:eastAsia="Times New Roman" w:hAnsi="Times New Roman"/>
          <w:sz w:val="24"/>
          <w:szCs w:val="24"/>
          <w:lang w:eastAsia="fr-FR"/>
        </w:rPr>
        <w:t>s le théâtre ne disparut pas. Bien au contraire, elle s'exprimait bruyamment dès qu'une pièce historique était montée à Alger, Oran ou Constantine. Arlette Roth décrit ainsi les polémiques de 1947 à propos du choix linguistique :</w:t>
      </w:r>
    </w:p>
    <w:p w:rsidR="000B2675" w:rsidRDefault="006A4EED" w:rsidP="00215333">
      <w:pPr>
        <w:pStyle w:val="Citationintense"/>
        <w:spacing w:before="0" w:after="0"/>
        <w:ind w:left="567" w:right="0"/>
        <w:rPr>
          <w:iCs w:val="0"/>
          <w:sz w:val="20"/>
          <w:szCs w:val="20"/>
          <w:lang w:eastAsia="fr-FR"/>
        </w:rPr>
      </w:pPr>
      <w:r w:rsidRPr="000B2675">
        <w:rPr>
          <w:iCs w:val="0"/>
          <w:sz w:val="20"/>
          <w:szCs w:val="20"/>
          <w:lang w:eastAsia="fr-FR"/>
        </w:rPr>
        <w:t xml:space="preserve">La question du choix de la langue rebondît dès 1947 à </w:t>
      </w:r>
      <w:r w:rsidR="00D02F5C" w:rsidRPr="000B2675">
        <w:rPr>
          <w:iCs w:val="0"/>
          <w:sz w:val="20"/>
          <w:szCs w:val="20"/>
          <w:lang w:eastAsia="fr-FR"/>
        </w:rPr>
        <w:t>1’occasions</w:t>
      </w:r>
      <w:r w:rsidRPr="000B2675">
        <w:rPr>
          <w:iCs w:val="0"/>
          <w:sz w:val="20"/>
          <w:szCs w:val="20"/>
          <w:lang w:eastAsia="fr-FR"/>
        </w:rPr>
        <w:t xml:space="preserve"> de pièces historiques, et de drames traduits. Les polémiques s’enchaînaient dans la presse. Quelques troupes s'efforcèrent de créer un répertoire en langue classique. Il se jouait environ cinq ou six pièces annuellement à l'Opéra d'Alger.  Ces représentations ne connaissaient pas de succès d’affluence et le public dans sa plus grande partie ne suivait pas. Leurs partisans déclaraient que toute pièce mettant en scène des héros légendaires devait être écrite en arabe littéraire, seul susceptible par sa richesse, d’exprimer de nobles sentiments et de conserver aux personnages leur majesté et leur dignité.  Les partisans de la langue arabe classique n'optaient d’ailleurs pas pour l'arabe littéraire figé, mais pour l’arabe moderne et vivant tel qu’il a cours en Orient</w:t>
      </w:r>
      <w:r w:rsidR="006F20DD">
        <w:rPr>
          <w:iCs w:val="0"/>
          <w:sz w:val="20"/>
          <w:szCs w:val="20"/>
          <w:lang w:eastAsia="fr-FR"/>
        </w:rPr>
        <w:t>.</w:t>
      </w:r>
      <w:r w:rsidR="00215333">
        <w:rPr>
          <w:iCs w:val="0"/>
          <w:sz w:val="20"/>
          <w:szCs w:val="20"/>
          <w:lang w:eastAsia="fr-FR"/>
        </w:rPr>
        <w:t xml:space="preserve"> (A. Roth, 1967, p.47).</w:t>
      </w:r>
    </w:p>
    <w:p w:rsidR="00215333" w:rsidRPr="00215333" w:rsidRDefault="00215333" w:rsidP="00215333">
      <w:pPr>
        <w:rPr>
          <w:lang w:eastAsia="fr-FR"/>
        </w:rPr>
      </w:pPr>
    </w:p>
    <w:p w:rsidR="006A4EED" w:rsidRPr="003B00C8" w:rsidRDefault="006A4EED" w:rsidP="000B267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 xml:space="preserve">Cette querelle d'ordre linguistique évoquait de plus en plus la question de l'esthétique au théâtre. Ni Rachid Ksentini, ni Allalou, encore moins Bachetarzi et Touri ne pouvaient en effet apporter une dimension esthétique à cette langue populaire utilisée par des hommes considérés, à juste raison, comme les pionniers et les promoteurs de l’art scénique en Algérie. Leur champ lexical était souvent très limité. Les auteurs ayant une formation rudimentaire ne pouvaient se permettre d'entreprendre un quelconque travail sur la langue. Cette incapacité à rendre l'arabe populaire plus accessible aux différents publics éventuels de la représentation théâtrale constituait un écueil important altérant la communication. Des auteurs algériens, Kaki aussi, amorceront avec le même pragmatisme, une ouverture vers la traduction française. </w:t>
      </w:r>
    </w:p>
    <w:p w:rsidR="00B709D4" w:rsidRDefault="00B709D4" w:rsidP="003E6EB8">
      <w:pPr>
        <w:pStyle w:val="Titre4"/>
        <w:spacing w:before="0" w:after="0" w:line="360" w:lineRule="auto"/>
        <w:ind w:left="0" w:firstLine="284"/>
        <w:jc w:val="both"/>
        <w:rPr>
          <w:rFonts w:ascii="Times New Roman" w:hAnsi="Times New Roman"/>
          <w:i w:val="0"/>
          <w:iCs/>
          <w:lang w:eastAsia="fr-FR"/>
        </w:rPr>
      </w:pPr>
    </w:p>
    <w:p w:rsidR="006A4EED" w:rsidRPr="00EB37DA" w:rsidRDefault="000D309C" w:rsidP="003E6EB8">
      <w:pPr>
        <w:pStyle w:val="Titre4"/>
        <w:spacing w:before="0" w:after="0" w:line="360" w:lineRule="auto"/>
        <w:ind w:left="0" w:firstLine="284"/>
        <w:jc w:val="both"/>
        <w:rPr>
          <w:rFonts w:ascii="Times New Roman" w:hAnsi="Times New Roman"/>
          <w:i w:val="0"/>
          <w:iCs/>
          <w:lang w:eastAsia="fr-FR"/>
        </w:rPr>
      </w:pPr>
      <w:bookmarkStart w:id="66" w:name="_Toc471484437"/>
      <w:r>
        <w:rPr>
          <w:rFonts w:ascii="Times New Roman" w:hAnsi="Times New Roman"/>
          <w:i w:val="0"/>
          <w:iCs/>
          <w:lang w:eastAsia="fr-FR"/>
        </w:rPr>
        <w:t>1.</w:t>
      </w:r>
      <w:r w:rsidR="003E6EB8">
        <w:rPr>
          <w:rFonts w:ascii="Times New Roman" w:hAnsi="Times New Roman"/>
          <w:i w:val="0"/>
          <w:iCs/>
          <w:lang w:eastAsia="fr-FR"/>
        </w:rPr>
        <w:t>2.</w:t>
      </w:r>
      <w:r w:rsidR="003E6EB8" w:rsidRPr="00EB37DA">
        <w:rPr>
          <w:rFonts w:ascii="Times New Roman" w:hAnsi="Times New Roman"/>
          <w:i w:val="0"/>
          <w:iCs/>
          <w:lang w:eastAsia="fr-FR"/>
        </w:rPr>
        <w:t xml:space="preserve"> Le</w:t>
      </w:r>
      <w:r w:rsidR="006A4EED" w:rsidRPr="00EB37DA">
        <w:rPr>
          <w:rFonts w:ascii="Times New Roman" w:hAnsi="Times New Roman"/>
          <w:i w:val="0"/>
          <w:iCs/>
          <w:lang w:eastAsia="fr-FR"/>
        </w:rPr>
        <w:t xml:space="preserve"> caractère scriptural des pièces de théâtre</w:t>
      </w:r>
      <w:bookmarkEnd w:id="66"/>
    </w:p>
    <w:p w:rsidR="006A4EED" w:rsidRPr="003B00C8" w:rsidRDefault="006A4EED" w:rsidP="003E6EB8">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A l’examen, Kaki et Ghelderode ont en commun une certaine vision du théâtre basée sur le côté carnavalesque, et une tendance à l’insertion du public dans le théâtre. Force est de noter, toutefois, qu’il existe des nuances entre les deux dramaturges, dont la représentation scénique est le principal moteur.</w:t>
      </w:r>
    </w:p>
    <w:p w:rsidR="00B709D4" w:rsidRDefault="00B709D4" w:rsidP="007D7796">
      <w:pPr>
        <w:pStyle w:val="Titre5"/>
        <w:spacing w:before="0" w:after="0"/>
        <w:ind w:firstLine="284"/>
        <w:jc w:val="both"/>
        <w:rPr>
          <w:rFonts w:ascii="Times New Roman" w:hAnsi="Times New Roman"/>
          <w:color w:val="auto"/>
          <w:lang w:eastAsia="fr-FR"/>
        </w:rPr>
      </w:pPr>
    </w:p>
    <w:p w:rsidR="006A4EED" w:rsidRPr="007D7796" w:rsidRDefault="008D5BAA" w:rsidP="007D7796">
      <w:pPr>
        <w:pStyle w:val="Titre5"/>
        <w:spacing w:before="0" w:after="0"/>
        <w:ind w:firstLine="284"/>
        <w:jc w:val="both"/>
        <w:rPr>
          <w:rFonts w:ascii="Times New Roman" w:hAnsi="Times New Roman"/>
          <w:color w:val="auto"/>
          <w:lang w:eastAsia="fr-FR"/>
        </w:rPr>
      </w:pPr>
      <w:bookmarkStart w:id="67" w:name="_Toc471484438"/>
      <w:r>
        <w:rPr>
          <w:rFonts w:ascii="Times New Roman" w:hAnsi="Times New Roman"/>
          <w:color w:val="auto"/>
          <w:lang w:eastAsia="fr-FR"/>
        </w:rPr>
        <w:t>1.2</w:t>
      </w:r>
      <w:r w:rsidR="007D7796">
        <w:rPr>
          <w:rFonts w:ascii="Times New Roman" w:hAnsi="Times New Roman"/>
          <w:color w:val="auto"/>
          <w:lang w:eastAsia="fr-FR"/>
        </w:rPr>
        <w:t>.1.</w:t>
      </w:r>
      <w:r w:rsidR="007D7796" w:rsidRPr="007D7796">
        <w:rPr>
          <w:rFonts w:ascii="Times New Roman" w:hAnsi="Times New Roman"/>
          <w:color w:val="auto"/>
          <w:lang w:eastAsia="fr-FR"/>
        </w:rPr>
        <w:t xml:space="preserve"> L’art</w:t>
      </w:r>
      <w:r w:rsidR="004C13F9" w:rsidRPr="007D7796">
        <w:rPr>
          <w:rFonts w:ascii="Times New Roman" w:hAnsi="Times New Roman"/>
          <w:color w:val="auto"/>
          <w:lang w:eastAsia="fr-FR"/>
        </w:rPr>
        <w:t xml:space="preserve"> théâtral </w:t>
      </w:r>
      <w:r w:rsidR="006A4EED" w:rsidRPr="007D7796">
        <w:rPr>
          <w:rFonts w:ascii="Times New Roman" w:hAnsi="Times New Roman"/>
          <w:color w:val="auto"/>
          <w:lang w:eastAsia="fr-FR"/>
        </w:rPr>
        <w:t>selon Kaki : carnaval et théâtre total</w:t>
      </w:r>
      <w:bookmarkEnd w:id="67"/>
    </w:p>
    <w:p w:rsidR="006A4EED" w:rsidRPr="003B00C8" w:rsidRDefault="006A4EED" w:rsidP="007D7796">
      <w:pPr>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Le théâtre pour Kaki est fondamentalement festif. Le théâtre de Kaki est un spectacle. Un spectacle total où les joyeuses contributions s’entremêlent : hommes, sons, images, couleurs, mouvements etc. Le théâtre de Kaki s’apparente aussi, avant tout, à une fable, une histoire où le merveilleux côtoie la réalité, se mêle à lui de façon « naturelle », y faisant parfois une irruption fracassante, déstabilisant brutalement le spectateur et conférant au propos une dimension inattendue. Kaki c’est de fréquents allers-retours entre fiction et réalité entre imagination et vie concrète.</w:t>
      </w:r>
    </w:p>
    <w:p w:rsidR="00302490" w:rsidRDefault="006A4EED" w:rsidP="00140722">
      <w:pPr>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Mais pourquoi cette relation dans les œuvres de Kaki? </w:t>
      </w:r>
    </w:p>
    <w:p w:rsidR="006A4EED" w:rsidRPr="003B00C8" w:rsidRDefault="006A4EED" w:rsidP="00A17482">
      <w:pPr>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Parce que les pièces de théâtre chez  Kaki sont toujours une histoire (certes imagée, colorée), mais une histoire tout de même, laquelle doit toujours comporter une sorte de « leçon ». Cette leçon ne doit toutefois pas s’épuiser dans l’évidence de son énoncé. Le théâtre, d’alors est en effet dominé par des sketches moralisateurs, l’esprit didactique. Kaki même s’il respecte cette approche à ses </w:t>
      </w:r>
      <w:r w:rsidRPr="003B00C8">
        <w:rPr>
          <w:rFonts w:ascii="Times New Roman" w:eastAsia="Times New Roman" w:hAnsi="Times New Roman"/>
          <w:color w:val="000000"/>
          <w:sz w:val="24"/>
          <w:szCs w:val="24"/>
          <w:lang w:eastAsia="fr-FR"/>
        </w:rPr>
        <w:lastRenderedPageBreak/>
        <w:t>débuts, s’y refuse de plus en plus. Pour lui, la morale, trop abrupte, contribue trop radicalement à stériliser le théâtre, le privant de tout mystère et donc de tout charme. Une pièce de théâtre, doit être dès lors pour Kaki, une analyse subtile et nuancée de la société, de ses contradictions et de ses problèmes.</w:t>
      </w:r>
      <w:r w:rsidR="00A17482">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Une telle analyse suppose certes une critique sans concessions, mais celle-ci est nécessairement menée sur le mode indirect et ne doit être lisible qu’au second degré, entre les lignes. Telle est la conception du dramaturge Kaki.</w:t>
      </w:r>
    </w:p>
    <w:p w:rsidR="006A4EED" w:rsidRDefault="006A4EED" w:rsidP="00140722">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color w:val="000000"/>
          <w:sz w:val="24"/>
          <w:szCs w:val="24"/>
          <w:lang w:eastAsia="fr-FR"/>
        </w:rPr>
        <w:t>Kaki ne sacrifie donc pas à la proclamation, à la profession de foi ou à l’idéologie,  malgré une culture arabo-islamique si profondément imprégnée. Le théâtre de Kaki c’est une mise cohérence de la voix et du corps à travers la prose rimée, la poésie, le chant et les percussions, le tout réglé par le conteur, chef d’orchestre.</w:t>
      </w:r>
      <w:r w:rsidRPr="003B00C8">
        <w:rPr>
          <w:rFonts w:ascii="Times New Roman" w:eastAsia="Times New Roman" w:hAnsi="Times New Roman"/>
          <w:sz w:val="24"/>
          <w:szCs w:val="24"/>
          <w:lang w:eastAsia="fr-FR"/>
        </w:rPr>
        <w:t xml:space="preserve"> </w:t>
      </w:r>
    </w:p>
    <w:p w:rsidR="005411B4" w:rsidRPr="00E61F93" w:rsidRDefault="005411B4" w:rsidP="00D641A5">
      <w:pPr>
        <w:shd w:val="clear" w:color="auto" w:fill="FFFFFF"/>
        <w:spacing w:after="0" w:line="240" w:lineRule="auto"/>
        <w:ind w:left="567"/>
        <w:jc w:val="both"/>
        <w:rPr>
          <w:rFonts w:ascii="Times New Roman" w:eastAsia="Times New Roman" w:hAnsi="Times New Roman"/>
          <w:iCs/>
          <w:color w:val="000000"/>
          <w:sz w:val="20"/>
          <w:szCs w:val="20"/>
          <w:lang w:eastAsia="fr-FR"/>
        </w:rPr>
      </w:pPr>
      <w:r w:rsidRPr="00E61F93">
        <w:rPr>
          <w:rFonts w:ascii="Times New Roman" w:eastAsia="Times New Roman" w:hAnsi="Times New Roman"/>
          <w:iCs/>
          <w:color w:val="000000"/>
          <w:sz w:val="20"/>
          <w:szCs w:val="20"/>
          <w:lang w:eastAsia="fr-FR"/>
        </w:rPr>
        <w:t>Kaki s’est inspiré largement du patrimoine algérien sans</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renier une certaine influence venant du théâtre occidental et</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notamment du théâtre de Brecht amplement présent dans le</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théâtre algérien d’une manière générale. Ce qui revient à dire</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que le théâtre de Kaki s’inscrit dans la logique moderne et</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populaire à la fois. À travers son théâtre, on remarque un</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travail minutieux et fort intéressant sur le texte théâtral, son</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contenu et son contenant. Ainsi, on peut parler, chez Kaki, de</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recherches et d’expériences sur l’esthétique, la langue, le</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décor, etc.</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Le texte théâtral de Kaki est sans conteste ancré dans la</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tradition culturelle algérienne et maghrébine.</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Sa pièce "El-guerrab oua el-salihin" (1966), (Le porteur</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d’eau et les saints) en est le meilleur exemple. Dans cette pièce,</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Kaki ressuscite la "halqa" : le rôle du conteur et s’inspire des</w:t>
      </w:r>
      <w:r w:rsidRPr="00E61F93">
        <w:rPr>
          <w:rFonts w:ascii="Times New Roman" w:eastAsia="Times New Roman" w:hAnsi="Times New Roman" w:hint="cs"/>
          <w:iCs/>
          <w:color w:val="000000"/>
          <w:sz w:val="20"/>
          <w:szCs w:val="20"/>
          <w:rtl/>
          <w:lang w:eastAsia="fr-FR"/>
        </w:rPr>
        <w:t xml:space="preserve"> </w:t>
      </w:r>
      <w:r w:rsidRPr="00E61F93">
        <w:rPr>
          <w:rFonts w:ascii="Times New Roman" w:eastAsia="Times New Roman" w:hAnsi="Times New Roman"/>
          <w:iCs/>
          <w:color w:val="000000"/>
          <w:sz w:val="20"/>
          <w:szCs w:val="20"/>
          <w:lang w:eastAsia="fr-FR"/>
        </w:rPr>
        <w:t>légendes populaires</w:t>
      </w:r>
      <w:r w:rsidRPr="00E61F93">
        <w:rPr>
          <w:rStyle w:val="Appelnotedebasdep"/>
          <w:rFonts w:ascii="Times New Roman" w:eastAsia="Times New Roman" w:hAnsi="Times New Roman"/>
          <w:iCs/>
          <w:color w:val="000000"/>
          <w:sz w:val="20"/>
          <w:szCs w:val="20"/>
          <w:lang w:eastAsia="fr-FR"/>
        </w:rPr>
        <w:footnoteReference w:id="114"/>
      </w:r>
      <w:r w:rsidR="00D641A5">
        <w:rPr>
          <w:rFonts w:ascii="Times New Roman" w:eastAsia="Times New Roman" w:hAnsi="Times New Roman"/>
          <w:iCs/>
          <w:color w:val="000000"/>
          <w:sz w:val="20"/>
          <w:szCs w:val="20"/>
          <w:lang w:eastAsia="fr-FR"/>
        </w:rPr>
        <w:t>.</w:t>
      </w:r>
      <w:r w:rsidRPr="00E61F93">
        <w:rPr>
          <w:rFonts w:ascii="Times New Roman" w:eastAsia="Times New Roman" w:hAnsi="Times New Roman"/>
          <w:iCs/>
          <w:color w:val="000000"/>
          <w:sz w:val="20"/>
          <w:szCs w:val="20"/>
          <w:lang w:eastAsia="fr-FR"/>
        </w:rPr>
        <w:t> </w:t>
      </w:r>
    </w:p>
    <w:p w:rsidR="00AE49CE" w:rsidRDefault="00AE49CE" w:rsidP="00AE49CE">
      <w:pPr>
        <w:spacing w:after="0" w:line="360" w:lineRule="auto"/>
        <w:ind w:firstLine="284"/>
        <w:jc w:val="both"/>
        <w:rPr>
          <w:rFonts w:ascii="Times New Roman" w:eastAsia="Times New Roman" w:hAnsi="Times New Roman"/>
          <w:sz w:val="24"/>
          <w:szCs w:val="24"/>
          <w:lang w:eastAsia="fr-FR"/>
        </w:rPr>
      </w:pPr>
    </w:p>
    <w:p w:rsidR="006A4EED" w:rsidRPr="003B00C8" w:rsidRDefault="005411B4" w:rsidP="00AE49CE">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Ainsi, l</w:t>
      </w:r>
      <w:r w:rsidR="006A4EED" w:rsidRPr="003B00C8">
        <w:rPr>
          <w:rFonts w:ascii="Times New Roman" w:eastAsia="Times New Roman" w:hAnsi="Times New Roman"/>
          <w:sz w:val="24"/>
          <w:szCs w:val="24"/>
          <w:lang w:eastAsia="fr-FR"/>
        </w:rPr>
        <w:t xml:space="preserve">es œuvres de Kaki, qui sont emblématiques de son style et de sa conception du théâtre comme </w:t>
      </w:r>
      <w:r w:rsidR="006A4EED" w:rsidRPr="003B00C8">
        <w:rPr>
          <w:rFonts w:ascii="Times New Roman" w:eastAsia="Times New Roman" w:hAnsi="Times New Roman"/>
          <w:i/>
          <w:sz w:val="24"/>
          <w:szCs w:val="24"/>
          <w:lang w:eastAsia="fr-FR"/>
        </w:rPr>
        <w:t>spectacle total</w:t>
      </w:r>
      <w:r w:rsidR="006A4EED" w:rsidRPr="003B00C8">
        <w:rPr>
          <w:rFonts w:ascii="Times New Roman" w:eastAsia="Times New Roman" w:hAnsi="Times New Roman"/>
          <w:sz w:val="24"/>
          <w:szCs w:val="24"/>
          <w:lang w:eastAsia="fr-FR"/>
        </w:rPr>
        <w:t xml:space="preserve"> sont nombreuses. Citons</w:t>
      </w:r>
      <w:r w:rsidR="00302490">
        <w:rPr>
          <w:rFonts w:ascii="Times New Roman" w:eastAsia="Times New Roman" w:hAnsi="Times New Roman"/>
          <w:sz w:val="24"/>
          <w:szCs w:val="24"/>
          <w:lang w:eastAsia="fr-FR"/>
        </w:rPr>
        <w:t>-</w:t>
      </w:r>
      <w:r w:rsidR="006A4EED" w:rsidRPr="003B00C8">
        <w:rPr>
          <w:rFonts w:ascii="Times New Roman" w:eastAsia="Times New Roman" w:hAnsi="Times New Roman"/>
          <w:sz w:val="24"/>
          <w:szCs w:val="24"/>
          <w:lang w:eastAsia="fr-FR"/>
        </w:rPr>
        <w:t xml:space="preserve">en trois principales : </w:t>
      </w:r>
    </w:p>
    <w:p w:rsidR="006A4EED" w:rsidRPr="003B00C8" w:rsidRDefault="006A4EED" w:rsidP="00230C65">
      <w:pPr>
        <w:pStyle w:val="Paragraphedeliste"/>
        <w:numPr>
          <w:ilvl w:val="0"/>
          <w:numId w:val="6"/>
        </w:numPr>
        <w:spacing w:before="100" w:beforeAutospacing="1" w:after="100" w:afterAutospacing="1"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 Diwan El Garagouz » -1965- (« le Divan du Karagheuz », libre adaptation de « I'Oiseau vert » de Carlo Gozzi), </w:t>
      </w:r>
    </w:p>
    <w:p w:rsidR="006A4EED" w:rsidRPr="003B00C8" w:rsidRDefault="006A4EED" w:rsidP="00230C65">
      <w:pPr>
        <w:pStyle w:val="Paragraphedeliste"/>
        <w:numPr>
          <w:ilvl w:val="0"/>
          <w:numId w:val="6"/>
        </w:numPr>
        <w:spacing w:before="100" w:beforeAutospacing="1" w:after="100" w:afterAutospacing="1"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 El Guerrab oua Es Salihine » -1966- (« Le Porteur d'Eau et les Marabouts », inspiré de « La Bonne Ame du Sé Chouan » de Bertolt Brecht) et </w:t>
      </w:r>
    </w:p>
    <w:p w:rsidR="006A4EED" w:rsidRPr="003B00C8" w:rsidRDefault="006A4EED" w:rsidP="00230C65">
      <w:pPr>
        <w:pStyle w:val="Paragraphedeliste"/>
        <w:numPr>
          <w:ilvl w:val="0"/>
          <w:numId w:val="6"/>
        </w:numPr>
        <w:spacing w:before="100" w:beforeAutospacing="1" w:after="100" w:afterAutospacing="1"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 Koul Ouahed ou Houkmou » -1967- (« À chacun son jugement », inspirée d’une légende locale) </w:t>
      </w:r>
    </w:p>
    <w:p w:rsidR="006A4EED" w:rsidRPr="003B00C8" w:rsidRDefault="006A4EED" w:rsidP="008A737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Ces pièces connaîtront un immense succès populaire et feront de Kaki le créateur de cette forme théâtrale que d'autres, dans tout le Maghreb, adopteront à </w:t>
      </w:r>
      <w:r w:rsidRPr="003B00C8">
        <w:rPr>
          <w:rFonts w:ascii="Times New Roman" w:eastAsia="Times New Roman" w:hAnsi="Times New Roman"/>
          <w:sz w:val="24"/>
          <w:szCs w:val="24"/>
          <w:lang w:eastAsia="fr-FR"/>
        </w:rPr>
        <w:lastRenderedPageBreak/>
        <w:t>sa suite. C’est en effet dans ces trois pièces que l’on découvre le génie dramaturgique de Kaki et que se donne clairement à lire sa conception du théâtre.</w:t>
      </w:r>
    </w:p>
    <w:p w:rsidR="008A737B" w:rsidRDefault="008A737B" w:rsidP="008A737B">
      <w:pPr>
        <w:pStyle w:val="Titre5"/>
        <w:spacing w:before="0" w:after="0"/>
        <w:ind w:left="641" w:hanging="357"/>
        <w:jc w:val="both"/>
        <w:rPr>
          <w:rFonts w:ascii="Times New Roman" w:hAnsi="Times New Roman"/>
          <w:color w:val="auto"/>
          <w:lang w:eastAsia="fr-FR"/>
        </w:rPr>
      </w:pPr>
    </w:p>
    <w:p w:rsidR="006A4EED" w:rsidRPr="008A737B" w:rsidRDefault="00B95931" w:rsidP="00B95931">
      <w:pPr>
        <w:pStyle w:val="Titre5"/>
        <w:spacing w:before="0" w:after="0"/>
        <w:ind w:firstLine="284"/>
        <w:jc w:val="both"/>
        <w:rPr>
          <w:rFonts w:ascii="Times New Roman" w:hAnsi="Times New Roman"/>
          <w:color w:val="auto"/>
          <w:lang w:eastAsia="fr-FR"/>
        </w:rPr>
      </w:pPr>
      <w:bookmarkStart w:id="68" w:name="_Toc471484439"/>
      <w:r>
        <w:rPr>
          <w:rFonts w:ascii="Times New Roman" w:hAnsi="Times New Roman"/>
          <w:color w:val="auto"/>
          <w:lang w:eastAsia="fr-FR"/>
        </w:rPr>
        <w:t>1</w:t>
      </w:r>
      <w:r w:rsidR="008A737B">
        <w:rPr>
          <w:rFonts w:ascii="Times New Roman" w:hAnsi="Times New Roman"/>
          <w:color w:val="auto"/>
          <w:lang w:eastAsia="fr-FR"/>
        </w:rPr>
        <w:t>.</w:t>
      </w:r>
      <w:r>
        <w:rPr>
          <w:rFonts w:ascii="Times New Roman" w:hAnsi="Times New Roman"/>
          <w:color w:val="auto"/>
          <w:lang w:eastAsia="fr-FR"/>
        </w:rPr>
        <w:t>2</w:t>
      </w:r>
      <w:r w:rsidR="008A737B">
        <w:rPr>
          <w:rFonts w:ascii="Times New Roman" w:hAnsi="Times New Roman"/>
          <w:color w:val="auto"/>
          <w:lang w:eastAsia="fr-FR"/>
        </w:rPr>
        <w:t>.</w:t>
      </w:r>
      <w:r>
        <w:rPr>
          <w:rFonts w:ascii="Times New Roman" w:hAnsi="Times New Roman"/>
          <w:color w:val="auto"/>
          <w:lang w:eastAsia="fr-FR"/>
        </w:rPr>
        <w:t>2</w:t>
      </w:r>
      <w:r w:rsidR="008A737B">
        <w:rPr>
          <w:rFonts w:ascii="Times New Roman" w:hAnsi="Times New Roman"/>
          <w:color w:val="auto"/>
          <w:lang w:eastAsia="fr-FR"/>
        </w:rPr>
        <w:t>.</w:t>
      </w:r>
      <w:r w:rsidR="008A737B" w:rsidRPr="008A737B">
        <w:rPr>
          <w:rFonts w:ascii="Times New Roman" w:hAnsi="Times New Roman"/>
          <w:color w:val="auto"/>
          <w:lang w:eastAsia="fr-FR"/>
        </w:rPr>
        <w:t xml:space="preserve"> Ghelderode</w:t>
      </w:r>
      <w:r w:rsidR="006A4EED" w:rsidRPr="008A737B">
        <w:rPr>
          <w:rFonts w:ascii="Times New Roman" w:hAnsi="Times New Roman"/>
          <w:color w:val="auto"/>
          <w:lang w:eastAsia="fr-FR"/>
        </w:rPr>
        <w:t>, du grotesque-comique au grotesque tragique</w:t>
      </w:r>
      <w:bookmarkEnd w:id="68"/>
    </w:p>
    <w:p w:rsidR="006A4EED" w:rsidRPr="003B00C8" w:rsidRDefault="006A4EED" w:rsidP="008A737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Comme premier reflet du théâtre de Ghelderode, on peut garder l’image d’un théâtre comique, un théâtre de la farce qui prend le public à parti, théâtre populaire nourri d’un folklore ancestral, bercé de superstitions et de magie. Il s’agit d’une dramaturgie foisonnante et colorée, qui s’enracinerait dans la culture carnavalesque comme un vaste mouvement de renversement du monde, englobant la foule, le peuple, l’univers tout entier. En cela Ghelderode est indubitablement proche de Kaki dont le théâtre festif et coloré a animé et célébré la culture algérienne. </w:t>
      </w:r>
    </w:p>
    <w:p w:rsidR="006A4EED" w:rsidRPr="003B00C8" w:rsidRDefault="006A4EED" w:rsidP="00DB6BC3">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Toutefois, Ghelderode est particulièrement ambivalent. Il se veut tout à la fois festif et grotesque, voire tragique.  Aussi est-il hanté par l’omniprésence de la souffrance et de la mort au sein de la vie. Ghelderode est un auteur bouleversé par la force de la cruauté humaine, du mal et du péché, et subjugué par la domination hostile de quelque transcendance obscure et malfaisante. Ainsi, le </w:t>
      </w:r>
      <w:r w:rsidR="007501C6" w:rsidRPr="003B00C8">
        <w:rPr>
          <w:rFonts w:ascii="Times New Roman" w:eastAsia="Times New Roman" w:hAnsi="Times New Roman"/>
          <w:sz w:val="24"/>
          <w:szCs w:val="24"/>
          <w:lang w:eastAsia="fr-FR"/>
        </w:rPr>
        <w:t>dramaturge</w:t>
      </w:r>
      <w:r w:rsidRPr="003B00C8">
        <w:rPr>
          <w:rFonts w:ascii="Times New Roman" w:eastAsia="Times New Roman" w:hAnsi="Times New Roman"/>
          <w:sz w:val="24"/>
          <w:szCs w:val="24"/>
          <w:lang w:eastAsia="fr-FR"/>
        </w:rPr>
        <w:t xml:space="preserve"> s’est-il plu à mettre en scène ses terreurs personnelles, de même que sa fascination pour le vide et le néant.</w:t>
      </w:r>
    </w:p>
    <w:p w:rsidR="006A4EED" w:rsidRPr="003B00C8" w:rsidRDefault="006A4EED" w:rsidP="0042366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Comme le constate Isabelle Ost :</w:t>
      </w:r>
    </w:p>
    <w:p w:rsidR="006A4EED" w:rsidRPr="00423661" w:rsidRDefault="006A4EED" w:rsidP="00423661">
      <w:pPr>
        <w:pStyle w:val="Citationintense"/>
        <w:spacing w:before="0" w:after="0"/>
        <w:ind w:left="567" w:right="0"/>
        <w:rPr>
          <w:sz w:val="20"/>
          <w:szCs w:val="20"/>
          <w:lang w:eastAsia="fr-FR"/>
        </w:rPr>
      </w:pPr>
      <w:r w:rsidRPr="00423661">
        <w:rPr>
          <w:iCs w:val="0"/>
          <w:sz w:val="20"/>
          <w:szCs w:val="20"/>
          <w:lang w:eastAsia="fr-FR"/>
        </w:rPr>
        <w:t>C’est que, déroutante et complexe, l’œuvre de Ghelderode ne repose sur rien d’unilatéral : lorsque l’on croit pouvoir expliquer un motif récurrent identifié dans quelque pièce, le voilà qui ressurgit ailleurs, porteur d’une signification différente. L’ambiguïté y règne sans partage ; ou plutôt l’ambivalence, pour utiliser un terme clé, précieux fil d’Ariane pour le lecteur qui voudrait s’orienter dans ce théâtre étrange et labyrinthique</w:t>
      </w:r>
      <w:r w:rsidRPr="00423661">
        <w:rPr>
          <w:sz w:val="20"/>
          <w:szCs w:val="20"/>
          <w:vertAlign w:val="superscript"/>
          <w:lang w:eastAsia="fr-FR"/>
        </w:rPr>
        <w:footnoteReference w:id="115"/>
      </w:r>
      <w:r w:rsidR="00423661">
        <w:rPr>
          <w:iCs w:val="0"/>
          <w:sz w:val="20"/>
          <w:szCs w:val="20"/>
          <w:lang w:eastAsia="fr-FR"/>
        </w:rPr>
        <w:t>.</w:t>
      </w:r>
      <w:r w:rsidRPr="00423661">
        <w:rPr>
          <w:sz w:val="20"/>
          <w:szCs w:val="20"/>
          <w:lang w:eastAsia="fr-FR"/>
        </w:rPr>
        <w:t> </w:t>
      </w:r>
    </w:p>
    <w:p w:rsidR="00D25A2C" w:rsidRDefault="00D25A2C" w:rsidP="00D25A2C">
      <w:pPr>
        <w:spacing w:after="0" w:line="360" w:lineRule="auto"/>
        <w:ind w:firstLine="284"/>
        <w:jc w:val="both"/>
        <w:rPr>
          <w:rFonts w:ascii="Times New Roman" w:eastAsia="Times New Roman" w:hAnsi="Times New Roman"/>
          <w:sz w:val="24"/>
          <w:szCs w:val="24"/>
          <w:lang w:eastAsia="fr-FR"/>
        </w:rPr>
      </w:pPr>
    </w:p>
    <w:p w:rsidR="006A4EED" w:rsidRPr="003B00C8" w:rsidRDefault="006A4EED" w:rsidP="00D25A2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 fait est clair et Isabelle Ost le rappelle opportunément. Ghelderode émeut ! De par cette ambivalence de son théâtre, de par aussi cette fracture profonde entre le bien et le mal qui s’affrontent et cohabitent.  Ce trait de littérature rend complexe l’</w:t>
      </w:r>
      <w:r w:rsidR="007501C6" w:rsidRPr="003B00C8">
        <w:rPr>
          <w:rFonts w:ascii="Times New Roman" w:eastAsia="Times New Roman" w:hAnsi="Times New Roman"/>
          <w:sz w:val="24"/>
          <w:szCs w:val="24"/>
          <w:lang w:eastAsia="fr-FR"/>
        </w:rPr>
        <w:t>œuvre</w:t>
      </w:r>
      <w:r w:rsidRPr="003B00C8">
        <w:rPr>
          <w:rFonts w:ascii="Times New Roman" w:eastAsia="Times New Roman" w:hAnsi="Times New Roman"/>
          <w:sz w:val="24"/>
          <w:szCs w:val="24"/>
          <w:lang w:eastAsia="fr-FR"/>
        </w:rPr>
        <w:t xml:space="preserve"> de Ghelderode et aura longtemps nourri la critique ghelderodienne. En effet l’on peut aborder le dramaturge légitimement sous deux angles complètement opposés : sous les traits carnavalesques de cette dramaturgie et son lien étroit avec l’esthétique du music-hall d’abord. Mais ensuite et souvent, </w:t>
      </w:r>
      <w:r w:rsidRPr="003B00C8">
        <w:rPr>
          <w:rFonts w:ascii="Times New Roman" w:eastAsia="Times New Roman" w:hAnsi="Times New Roman"/>
          <w:sz w:val="24"/>
          <w:szCs w:val="24"/>
          <w:lang w:eastAsia="fr-FR"/>
        </w:rPr>
        <w:lastRenderedPageBreak/>
        <w:t>sous le prisme de  l’inquiétante</w:t>
      </w:r>
      <w:r w:rsidR="007501C6">
        <w:rPr>
          <w:rFonts w:ascii="Times New Roman" w:eastAsia="Times New Roman" w:hAnsi="Times New Roman"/>
          <w:sz w:val="24"/>
          <w:szCs w:val="24"/>
          <w:lang w:eastAsia="fr-FR"/>
        </w:rPr>
        <w:t xml:space="preserve"> et de</w:t>
      </w:r>
      <w:r w:rsidRPr="003B00C8">
        <w:rPr>
          <w:rFonts w:ascii="Times New Roman" w:eastAsia="Times New Roman" w:hAnsi="Times New Roman"/>
          <w:sz w:val="24"/>
          <w:szCs w:val="24"/>
          <w:lang w:eastAsia="fr-FR"/>
        </w:rPr>
        <w:t xml:space="preserve"> l’étrangeté qui trahissent l’angoisse profonde de l’auteur</w:t>
      </w:r>
      <w:r>
        <w:rPr>
          <w:rFonts w:ascii="Times New Roman" w:eastAsia="Times New Roman" w:hAnsi="Times New Roman"/>
          <w:sz w:val="24"/>
          <w:szCs w:val="24"/>
          <w:lang w:eastAsia="fr-FR"/>
        </w:rPr>
        <w:t>.</w:t>
      </w:r>
      <w:r w:rsidRPr="003B00C8">
        <w:rPr>
          <w:rFonts w:ascii="Times New Roman" w:eastAsia="Times New Roman" w:hAnsi="Times New Roman"/>
          <w:sz w:val="24"/>
          <w:szCs w:val="24"/>
          <w:lang w:eastAsia="fr-FR"/>
        </w:rPr>
        <w:t xml:space="preserve"> </w:t>
      </w:r>
    </w:p>
    <w:p w:rsidR="006A4EED" w:rsidRPr="003B00C8" w:rsidRDefault="006A4EED" w:rsidP="00D25A2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L’on approfondira cette ambivalence lors du traitement de la </w:t>
      </w:r>
      <w:r w:rsidR="00BE1E32">
        <w:rPr>
          <w:rFonts w:ascii="Times New Roman" w:eastAsia="Times New Roman" w:hAnsi="Times New Roman"/>
          <w:sz w:val="24"/>
          <w:szCs w:val="24"/>
          <w:lang w:eastAsia="fr-FR"/>
        </w:rPr>
        <w:t>sémiotique</w:t>
      </w:r>
      <w:r w:rsidRPr="003B00C8">
        <w:rPr>
          <w:rFonts w:ascii="Times New Roman" w:eastAsia="Times New Roman" w:hAnsi="Times New Roman"/>
          <w:sz w:val="24"/>
          <w:szCs w:val="24"/>
          <w:lang w:eastAsia="fr-FR"/>
        </w:rPr>
        <w:t xml:space="preserve"> dans le théâtre de Ghelderode (Partie III.). Pour l’heure, abordons et expliquons chacun de ces deux aspects du théâtre de Ghelderode. </w:t>
      </w:r>
    </w:p>
    <w:p w:rsidR="00460C6C" w:rsidRPr="00661922" w:rsidRDefault="006A4EED" w:rsidP="00661922">
      <w:pPr>
        <w:spacing w:after="0" w:line="360" w:lineRule="auto"/>
        <w:ind w:firstLine="284"/>
        <w:jc w:val="both"/>
        <w:rPr>
          <w:rFonts w:asciiTheme="majorBidi" w:hAnsiTheme="majorBidi" w:cstheme="majorBidi"/>
          <w:sz w:val="24"/>
          <w:szCs w:val="24"/>
        </w:rPr>
      </w:pPr>
      <w:r w:rsidRPr="003B00C8">
        <w:rPr>
          <w:rFonts w:ascii="Times New Roman" w:eastAsia="Times New Roman" w:hAnsi="Times New Roman"/>
          <w:sz w:val="24"/>
          <w:szCs w:val="24"/>
          <w:lang w:eastAsia="fr-FR"/>
        </w:rPr>
        <w:t xml:space="preserve">Le premier aspect de sa dramaturgie est donc celui qui relève du versant comique enrichi de  grotesque – ou du </w:t>
      </w:r>
      <w:r w:rsidRPr="003B00C8">
        <w:rPr>
          <w:rFonts w:ascii="Times New Roman" w:eastAsia="Times New Roman" w:hAnsi="Times New Roman"/>
          <w:i/>
          <w:iCs/>
          <w:sz w:val="24"/>
          <w:szCs w:val="24"/>
          <w:lang w:eastAsia="fr-FR"/>
        </w:rPr>
        <w:t>grotesque-comique.</w:t>
      </w:r>
      <w:r w:rsidRPr="003B00C8">
        <w:rPr>
          <w:rFonts w:ascii="Times New Roman" w:eastAsia="Times New Roman" w:hAnsi="Times New Roman"/>
          <w:sz w:val="24"/>
          <w:szCs w:val="24"/>
          <w:lang w:eastAsia="fr-FR"/>
        </w:rPr>
        <w:t xml:space="preserve"> Célébration, ironie, délectation. Bakhtine voit dans la fête du carnaval ou le grotesque joyeux et subversif du rire populaire, une volonté de celui </w:t>
      </w:r>
      <w:r w:rsidR="007501C6">
        <w:rPr>
          <w:rFonts w:ascii="Times New Roman" w:eastAsia="Times New Roman" w:hAnsi="Times New Roman"/>
          <w:sz w:val="24"/>
          <w:szCs w:val="24"/>
          <w:lang w:eastAsia="fr-FR"/>
        </w:rPr>
        <w:t>du</w:t>
      </w:r>
      <w:r w:rsidRPr="003B00C8">
        <w:rPr>
          <w:rFonts w:ascii="Times New Roman" w:eastAsia="Times New Roman" w:hAnsi="Times New Roman"/>
          <w:sz w:val="24"/>
          <w:szCs w:val="24"/>
          <w:lang w:eastAsia="fr-FR"/>
        </w:rPr>
        <w:t xml:space="preserve"> rabaissement systématique des personnages officiels et globalement,  du renversement de toute valeur officielle : on ramène les choses au plus bas, les  allusions sont concrètes, matérielles et triviales</w:t>
      </w:r>
      <w:r w:rsidR="001E7F2D">
        <w:rPr>
          <w:rFonts w:ascii="Times New Roman" w:eastAsia="Times New Roman" w:hAnsi="Times New Roman"/>
          <w:sz w:val="24"/>
          <w:szCs w:val="24"/>
          <w:lang w:eastAsia="fr-FR"/>
        </w:rPr>
        <w:t xml:space="preserve">, </w:t>
      </w:r>
      <w:r w:rsidR="00661922" w:rsidRPr="00661922">
        <w:rPr>
          <w:rFonts w:asciiTheme="majorBidi" w:eastAsia="Times New Roman" w:hAnsiTheme="majorBidi" w:cstheme="majorBidi"/>
          <w:sz w:val="24"/>
          <w:szCs w:val="24"/>
          <w:lang w:eastAsia="fr-FR"/>
        </w:rPr>
        <w:t>« l</w:t>
      </w:r>
      <w:r w:rsidR="001E7F2D" w:rsidRPr="00661922">
        <w:rPr>
          <w:rFonts w:asciiTheme="majorBidi" w:hAnsiTheme="majorBidi" w:cstheme="majorBidi"/>
          <w:sz w:val="24"/>
          <w:szCs w:val="24"/>
        </w:rPr>
        <w:t xml:space="preserve">'orientation vers le bas est propre à toutes les formes carnavalesques. Tel est le mouvement qui marque ces formes (...) tous les attributs royaux sont renversés, intervertis </w:t>
      </w:r>
      <w:r w:rsidR="00661922">
        <w:rPr>
          <w:rFonts w:asciiTheme="majorBidi" w:hAnsiTheme="majorBidi" w:cstheme="majorBidi"/>
          <w:sz w:val="24"/>
          <w:szCs w:val="24"/>
        </w:rPr>
        <w:t>[</w:t>
      </w:r>
      <w:r w:rsidR="001E7F2D" w:rsidRPr="00661922">
        <w:rPr>
          <w:rFonts w:asciiTheme="majorBidi" w:hAnsiTheme="majorBidi" w:cstheme="majorBidi"/>
          <w:sz w:val="24"/>
          <w:szCs w:val="24"/>
        </w:rPr>
        <w:t>...</w:t>
      </w:r>
      <w:r w:rsidR="00661922">
        <w:rPr>
          <w:rFonts w:asciiTheme="majorBidi" w:hAnsiTheme="majorBidi" w:cstheme="majorBidi"/>
          <w:sz w:val="24"/>
          <w:szCs w:val="24"/>
        </w:rPr>
        <w:t>]</w:t>
      </w:r>
      <w:r w:rsidR="001E7F2D" w:rsidRPr="00661922">
        <w:rPr>
          <w:rFonts w:asciiTheme="majorBidi" w:hAnsiTheme="majorBidi" w:cstheme="majorBidi"/>
          <w:sz w:val="24"/>
          <w:szCs w:val="24"/>
        </w:rPr>
        <w:t xml:space="preserve"> l'accent y est mis sur l'ascension que sur la chute</w:t>
      </w:r>
      <w:r w:rsidR="00661922">
        <w:rPr>
          <w:rFonts w:asciiTheme="majorBidi" w:hAnsiTheme="majorBidi" w:cstheme="majorBidi"/>
          <w:sz w:val="24"/>
          <w:szCs w:val="24"/>
        </w:rPr>
        <w:t> »</w:t>
      </w:r>
      <w:r w:rsidR="001E7F2D" w:rsidRPr="00661922">
        <w:rPr>
          <w:rStyle w:val="Appelnotedebasdep"/>
          <w:rFonts w:asciiTheme="majorBidi" w:hAnsiTheme="majorBidi" w:cstheme="majorBidi"/>
          <w:i/>
          <w:sz w:val="24"/>
          <w:szCs w:val="24"/>
        </w:rPr>
        <w:footnoteReference w:id="116"/>
      </w:r>
      <w:r w:rsidR="00661922" w:rsidRPr="00661922">
        <w:rPr>
          <w:rFonts w:asciiTheme="majorBidi" w:hAnsiTheme="majorBidi" w:cstheme="majorBidi"/>
          <w:sz w:val="24"/>
          <w:szCs w:val="24"/>
        </w:rPr>
        <w:t>.</w:t>
      </w:r>
    </w:p>
    <w:p w:rsidR="006A4EED" w:rsidRPr="003B00C8" w:rsidRDefault="001E7F2D" w:rsidP="00173F90">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Ainsi, l</w:t>
      </w:r>
      <w:r w:rsidR="006A4EED" w:rsidRPr="003B00C8">
        <w:rPr>
          <w:rFonts w:ascii="Times New Roman" w:eastAsia="Times New Roman" w:hAnsi="Times New Roman"/>
          <w:sz w:val="24"/>
          <w:szCs w:val="24"/>
          <w:lang w:eastAsia="fr-FR"/>
        </w:rPr>
        <w:t xml:space="preserve">e </w:t>
      </w:r>
      <w:r w:rsidR="006A4EED" w:rsidRPr="003B00C8">
        <w:rPr>
          <w:rFonts w:ascii="Times New Roman" w:eastAsia="Times New Roman" w:hAnsi="Times New Roman"/>
          <w:i/>
          <w:iCs/>
          <w:sz w:val="24"/>
          <w:szCs w:val="24"/>
          <w:lang w:eastAsia="fr-FR"/>
        </w:rPr>
        <w:t>réalisme grotesque</w:t>
      </w:r>
      <w:r w:rsidR="006A4EED" w:rsidRPr="003B00C8">
        <w:rPr>
          <w:rFonts w:ascii="Times New Roman" w:eastAsia="Times New Roman" w:hAnsi="Times New Roman"/>
          <w:sz w:val="24"/>
          <w:szCs w:val="24"/>
          <w:lang w:eastAsia="fr-FR"/>
        </w:rPr>
        <w:t xml:space="preserve"> permet chez Ghelderode une conquête libre et innocente du monde, en même temps il permet au dramaturge s’amuser à travers cette  exubérance, cette audace d’un jeu constant sur toutes les formes.</w:t>
      </w:r>
    </w:p>
    <w:p w:rsidR="006A4EED" w:rsidRPr="003B00C8" w:rsidRDefault="006A4EED" w:rsidP="00173F90">
      <w:pPr>
        <w:spacing w:after="0" w:line="360" w:lineRule="auto"/>
        <w:ind w:firstLine="284"/>
        <w:jc w:val="both"/>
        <w:rPr>
          <w:rFonts w:ascii="Times New Roman" w:eastAsia="Times New Roman" w:hAnsi="Times New Roman"/>
          <w:sz w:val="24"/>
          <w:szCs w:val="24"/>
          <w:lang w:eastAsia="fr-FR"/>
        </w:rPr>
      </w:pPr>
      <w:r w:rsidRPr="00D42CF4">
        <w:rPr>
          <w:rFonts w:ascii="Times New Roman" w:eastAsia="Times New Roman" w:hAnsi="Times New Roman"/>
          <w:sz w:val="24"/>
          <w:szCs w:val="24"/>
          <w:lang w:eastAsia="fr-FR"/>
        </w:rPr>
        <w:t>Ghelderode renoue, il faut le dire, avec une culture populaire ancestrale, un dynamisme carnavalesque issu du Moyen Âge. Déjà, pour lui, le théâtre c’est d’abord le folklore collectif, dont il connaît les ingrédients les plus précieux. Le théâtre chez Ghelderode est anti-intellectuel. Mais o</w:t>
      </w:r>
      <w:r w:rsidR="00D42CF4">
        <w:rPr>
          <w:rFonts w:ascii="Times New Roman" w:eastAsia="Times New Roman" w:hAnsi="Times New Roman"/>
          <w:sz w:val="24"/>
          <w:szCs w:val="24"/>
          <w:lang w:eastAsia="fr-FR"/>
        </w:rPr>
        <w:t>ù</w:t>
      </w:r>
      <w:r w:rsidRPr="00D42CF4">
        <w:rPr>
          <w:rFonts w:ascii="Times New Roman" w:eastAsia="Times New Roman" w:hAnsi="Times New Roman"/>
          <w:sz w:val="24"/>
          <w:szCs w:val="24"/>
          <w:lang w:eastAsia="fr-FR"/>
        </w:rPr>
        <w:t xml:space="preserve"> le dramaturge puise t-il ses références ?  Ses pièces dramatiques dans lesquelles on peut déceler cette  veine comique empruntent, en fait, aux sources, renaissantes ou baroques, de la tradition flamande. Cette authentique religion du carnaval flamand lui servira de levier pour contourner la domination entretenue par la culture officielle et dépasser ses terreurs personnelles.</w:t>
      </w:r>
    </w:p>
    <w:p w:rsidR="006A4EED" w:rsidRPr="003B00C8" w:rsidRDefault="006A4EED" w:rsidP="00173F90">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En réalité Ghelderode s’inspire beaucoup de la tradition médiévale et rabelaisienne: Ghelderode a su exploiter le </w:t>
      </w:r>
      <w:r w:rsidRPr="003B00C8">
        <w:rPr>
          <w:rFonts w:ascii="Times New Roman" w:eastAsia="Times New Roman" w:hAnsi="Times New Roman"/>
          <w:i/>
          <w:sz w:val="24"/>
          <w:szCs w:val="24"/>
          <w:lang w:eastAsia="fr-FR"/>
        </w:rPr>
        <w:t>rabaissement</w:t>
      </w:r>
      <w:r w:rsidRPr="003B00C8">
        <w:rPr>
          <w:rFonts w:ascii="Times New Roman" w:eastAsia="Times New Roman" w:hAnsi="Times New Roman"/>
          <w:sz w:val="24"/>
          <w:szCs w:val="24"/>
          <w:lang w:eastAsia="fr-FR"/>
        </w:rPr>
        <w:t xml:space="preserve">, un procédé central dans le carnavalesque. Le réalisme grotesque du dramaturge a pour objet principal de s’attaquer à deux réalités : tout d’abord le versant officiel de la société, que son </w:t>
      </w:r>
      <w:r w:rsidRPr="003B00C8">
        <w:rPr>
          <w:rFonts w:ascii="Times New Roman" w:eastAsia="Times New Roman" w:hAnsi="Times New Roman"/>
          <w:sz w:val="24"/>
          <w:szCs w:val="24"/>
          <w:lang w:eastAsia="fr-FR"/>
        </w:rPr>
        <w:lastRenderedPageBreak/>
        <w:t xml:space="preserve">penchant anarchiste incitait à mépriser ; d’autre part, ses profondes angoisses personnelles, celles qui hantèrent son enfance, laquelle avait été basée sur la peur. </w:t>
      </w:r>
    </w:p>
    <w:p w:rsidR="006A4EED" w:rsidRPr="00DC46C2" w:rsidRDefault="006A4EED" w:rsidP="00DC46C2">
      <w:pPr>
        <w:spacing w:after="0" w:line="360" w:lineRule="auto"/>
        <w:ind w:firstLine="284"/>
        <w:jc w:val="both"/>
        <w:rPr>
          <w:rFonts w:asciiTheme="majorBidi" w:hAnsiTheme="majorBidi" w:cstheme="majorBidi"/>
          <w:sz w:val="24"/>
          <w:szCs w:val="24"/>
          <w:lang w:eastAsia="fr-FR"/>
        </w:rPr>
      </w:pPr>
      <w:r w:rsidRPr="003B00C8">
        <w:rPr>
          <w:rFonts w:ascii="Times New Roman" w:eastAsia="Times New Roman" w:hAnsi="Times New Roman"/>
          <w:sz w:val="24"/>
          <w:szCs w:val="24"/>
          <w:lang w:eastAsia="fr-FR"/>
        </w:rPr>
        <w:t xml:space="preserve">Pour Ost, </w:t>
      </w:r>
      <w:r w:rsidR="00DC46C2" w:rsidRPr="00DC46C2">
        <w:rPr>
          <w:rFonts w:asciiTheme="majorBidi" w:eastAsia="Times New Roman" w:hAnsiTheme="majorBidi" w:cstheme="majorBidi"/>
          <w:sz w:val="24"/>
          <w:szCs w:val="24"/>
          <w:lang w:eastAsia="fr-FR"/>
        </w:rPr>
        <w:t>« </w:t>
      </w:r>
      <w:r w:rsidR="00DC46C2" w:rsidRPr="00DC46C2">
        <w:rPr>
          <w:rFonts w:asciiTheme="majorBidi" w:hAnsiTheme="majorBidi" w:cstheme="majorBidi"/>
          <w:iCs/>
          <w:sz w:val="24"/>
          <w:szCs w:val="24"/>
          <w:lang w:eastAsia="fr-FR"/>
        </w:rPr>
        <w:t>c</w:t>
      </w:r>
      <w:r w:rsidRPr="00DC46C2">
        <w:rPr>
          <w:rFonts w:asciiTheme="majorBidi" w:hAnsiTheme="majorBidi" w:cstheme="majorBidi"/>
          <w:sz w:val="24"/>
          <w:szCs w:val="24"/>
          <w:lang w:eastAsia="fr-FR"/>
        </w:rPr>
        <w:t>es deux éléments, le monde officiel et la peur, étroitement liés l’un à l’autre</w:t>
      </w:r>
      <w:r w:rsidR="00DC46C2" w:rsidRPr="00DC46C2">
        <w:rPr>
          <w:rFonts w:asciiTheme="majorBidi" w:hAnsiTheme="majorBidi" w:cstheme="majorBidi"/>
          <w:iCs/>
          <w:sz w:val="24"/>
          <w:szCs w:val="24"/>
          <w:lang w:eastAsia="fr-FR"/>
        </w:rPr>
        <w:t>-</w:t>
      </w:r>
      <w:r w:rsidRPr="00DC46C2">
        <w:rPr>
          <w:rFonts w:asciiTheme="majorBidi" w:hAnsiTheme="majorBidi" w:cstheme="majorBidi"/>
          <w:sz w:val="24"/>
          <w:szCs w:val="24"/>
          <w:lang w:eastAsia="fr-FR"/>
        </w:rPr>
        <w:t xml:space="preserve"> puisque les peurs sont le plus souvent générées et entretenues par les figures d’autorité</w:t>
      </w:r>
      <w:r w:rsidR="00DC46C2" w:rsidRPr="00DC46C2">
        <w:rPr>
          <w:rFonts w:asciiTheme="majorBidi" w:hAnsiTheme="majorBidi" w:cstheme="majorBidi"/>
          <w:iCs/>
          <w:sz w:val="24"/>
          <w:szCs w:val="24"/>
          <w:lang w:eastAsia="fr-FR"/>
        </w:rPr>
        <w:t xml:space="preserve"> </w:t>
      </w:r>
      <w:r w:rsidRPr="00DC46C2">
        <w:rPr>
          <w:rFonts w:asciiTheme="majorBidi" w:hAnsiTheme="majorBidi" w:cstheme="majorBidi"/>
          <w:sz w:val="24"/>
          <w:szCs w:val="24"/>
          <w:lang w:eastAsia="fr-FR"/>
        </w:rPr>
        <w:t>– représentent les cibles privilégiées du carnaval, chez Ghelderode comme dans la culture populaire</w:t>
      </w:r>
      <w:r w:rsidR="00DC46C2">
        <w:rPr>
          <w:rFonts w:asciiTheme="majorBidi" w:hAnsiTheme="majorBidi" w:cstheme="majorBidi"/>
          <w:sz w:val="24"/>
          <w:szCs w:val="24"/>
          <w:lang w:eastAsia="fr-FR"/>
        </w:rPr>
        <w:t> »</w:t>
      </w:r>
      <w:r w:rsidRPr="00DC46C2">
        <w:rPr>
          <w:rStyle w:val="Appelnotedebasdep"/>
          <w:rFonts w:asciiTheme="majorBidi" w:hAnsiTheme="majorBidi" w:cstheme="majorBidi"/>
          <w:sz w:val="24"/>
          <w:szCs w:val="24"/>
          <w:lang w:eastAsia="fr-FR"/>
        </w:rPr>
        <w:footnoteReference w:id="117"/>
      </w:r>
      <w:r w:rsidRPr="00DC46C2">
        <w:rPr>
          <w:rFonts w:asciiTheme="majorBidi" w:hAnsiTheme="majorBidi" w:cstheme="majorBidi"/>
          <w:sz w:val="24"/>
          <w:szCs w:val="24"/>
          <w:lang w:eastAsia="fr-FR"/>
        </w:rPr>
        <w:t xml:space="preserve">. </w:t>
      </w:r>
    </w:p>
    <w:p w:rsidR="006A4EED" w:rsidRPr="003B00C8" w:rsidRDefault="006A4EED" w:rsidP="00DC46C2">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Les « personnages-types » ghelderodiens victimes donc de cette caricature de l’ordre social seront : les gendarmes ridicules, les ecclésiastiques répugnants et sans honneur,  les militaires imbéciles dans </w:t>
      </w:r>
      <w:r w:rsidRPr="003B00C8">
        <w:rPr>
          <w:rFonts w:ascii="Times New Roman" w:eastAsia="Times New Roman" w:hAnsi="Times New Roman"/>
          <w:i/>
          <w:iCs/>
          <w:sz w:val="24"/>
          <w:szCs w:val="24"/>
          <w:lang w:eastAsia="fr-FR"/>
        </w:rPr>
        <w:t>Le Siège d’Ostende</w:t>
      </w:r>
      <w:r w:rsidRPr="003B00C8">
        <w:rPr>
          <w:rFonts w:ascii="Times New Roman" w:eastAsia="Times New Roman" w:hAnsi="Times New Roman"/>
          <w:sz w:val="24"/>
          <w:szCs w:val="24"/>
          <w:lang w:eastAsia="fr-FR"/>
        </w:rPr>
        <w:t> ; les médecins charlatans, les ministres corrompus, ou – pire que tout – les artistes rétrogrades ; une liste de personnages peu fréquentables, le « </w:t>
      </w:r>
      <w:r w:rsidRPr="003B00C8">
        <w:rPr>
          <w:rFonts w:ascii="Times New Roman" w:eastAsia="Times New Roman" w:hAnsi="Times New Roman"/>
          <w:i/>
          <w:sz w:val="24"/>
          <w:szCs w:val="24"/>
          <w:lang w:eastAsia="fr-FR"/>
        </w:rPr>
        <w:t>patricléri-camilitobscurantisabelgisme</w:t>
      </w:r>
      <w:r w:rsidRPr="003B00C8">
        <w:rPr>
          <w:rFonts w:ascii="Times New Roman" w:eastAsia="Times New Roman" w:hAnsi="Times New Roman"/>
          <w:sz w:val="24"/>
          <w:szCs w:val="24"/>
          <w:lang w:eastAsia="fr-FR"/>
        </w:rPr>
        <w:t> » de James Ensor</w:t>
      </w:r>
      <w:r w:rsidRPr="003B00C8">
        <w:rPr>
          <w:rFonts w:ascii="Times New Roman" w:hAnsi="Times New Roman"/>
          <w:sz w:val="24"/>
          <w:szCs w:val="24"/>
          <w:vertAlign w:val="superscript"/>
          <w:lang w:eastAsia="fr-FR"/>
        </w:rPr>
        <w:footnoteReference w:id="118"/>
      </w:r>
      <w:r w:rsidRPr="003B00C8">
        <w:rPr>
          <w:rFonts w:ascii="Times New Roman" w:eastAsia="Times New Roman" w:hAnsi="Times New Roman"/>
          <w:sz w:val="24"/>
          <w:szCs w:val="24"/>
          <w:lang w:eastAsia="fr-FR"/>
        </w:rPr>
        <w:t>.</w:t>
      </w:r>
    </w:p>
    <w:p w:rsidR="006A4EED" w:rsidRPr="003B00C8" w:rsidRDefault="006A4EED" w:rsidP="00DC46C2">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D’un autre côté, le rire carnavalesque s’attaque aux peurs profondes du dramaturge, basées sur des superstitions moyenâgeuses. Première et majeure peur : la Mort, qui cristallise toutes les terreurs de Ghelderode, comme dans </w:t>
      </w:r>
      <w:r w:rsidRPr="003B00C8">
        <w:rPr>
          <w:rFonts w:ascii="Times New Roman" w:eastAsia="Times New Roman" w:hAnsi="Times New Roman"/>
          <w:i/>
          <w:iCs/>
          <w:sz w:val="24"/>
          <w:szCs w:val="24"/>
          <w:lang w:eastAsia="fr-FR"/>
        </w:rPr>
        <w:t>La balade du Grand Macabre</w:t>
      </w:r>
      <w:r w:rsidRPr="003B00C8">
        <w:rPr>
          <w:rFonts w:ascii="Times New Roman" w:eastAsia="Times New Roman" w:hAnsi="Times New Roman"/>
          <w:sz w:val="24"/>
          <w:szCs w:val="24"/>
          <w:lang w:eastAsia="fr-FR"/>
        </w:rPr>
        <w:t>. Ensuite, le diable, qui devient la cible privilégiée des farces et quolibets grotesques du dramaturge. Enfin,  la femme,  mieux,  la femelle, incarnation parfaite du péché. Ghelderode exorcise, avec le rire, toutes ces figures, lesquelles chutent renversées par le carnaval et le grotesque-comique.</w:t>
      </w:r>
    </w:p>
    <w:p w:rsidR="006A4EED" w:rsidRPr="003B00C8" w:rsidRDefault="006A4EED" w:rsidP="00D610B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Ghelderode exploite d’autres procédés, au-delà du rabaissement. Il s’agit de formes issues du </w:t>
      </w:r>
      <w:r w:rsidRPr="00D42CF4">
        <w:rPr>
          <w:rFonts w:ascii="Times New Roman" w:eastAsia="Times New Roman" w:hAnsi="Times New Roman"/>
          <w:sz w:val="24"/>
          <w:szCs w:val="24"/>
          <w:lang w:eastAsia="fr-FR"/>
        </w:rPr>
        <w:t>réalisme grotesque</w:t>
      </w:r>
      <w:r w:rsidRPr="003B00C8">
        <w:rPr>
          <w:rFonts w:ascii="Times New Roman" w:eastAsia="Times New Roman" w:hAnsi="Times New Roman"/>
          <w:sz w:val="24"/>
          <w:szCs w:val="24"/>
          <w:lang w:eastAsia="fr-FR"/>
        </w:rPr>
        <w:t xml:space="preserve"> qui ajoutent à la sensation et la réalité d’une grande fête. Ainsi Ghelderode joue t-il sur l’ivresse : ivresse des repas, ivresse du vis, ivresse des mots. Une sorte d’ivresse joyeuse, où tous les excès sont permis.  Dans l’ivresse des mots, Ghelderode plonge volontiers dans une débauche de néologismes et d’accumulations fantaisistes. </w:t>
      </w:r>
    </w:p>
    <w:p w:rsidR="006A4EED" w:rsidRPr="003B00C8" w:rsidRDefault="006A4EED" w:rsidP="00D610B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Ost n’y est pas insensible :</w:t>
      </w:r>
    </w:p>
    <w:p w:rsidR="006A4EED" w:rsidRPr="00D610BB" w:rsidRDefault="006A4EED" w:rsidP="00D610BB">
      <w:pPr>
        <w:pStyle w:val="Citationintense"/>
        <w:spacing w:before="0" w:after="0"/>
        <w:ind w:left="567" w:right="0"/>
        <w:rPr>
          <w:sz w:val="20"/>
          <w:szCs w:val="20"/>
          <w:lang w:eastAsia="fr-FR"/>
        </w:rPr>
      </w:pPr>
      <w:r w:rsidRPr="00D610BB">
        <w:rPr>
          <w:iCs w:val="0"/>
          <w:sz w:val="20"/>
          <w:szCs w:val="20"/>
          <w:lang w:eastAsia="fr-FR"/>
        </w:rPr>
        <w:t xml:space="preserve">C’est dire si Ghelderode s’entend à « carnavaliser le langage », comme il carnavalise les acteurs de ses pièces, et, tout particulièrement, les petites poupées de bois de son enfance : montreur de marionnettes hors-pair, Ghelderode nous fait découvrir un univers où l’homme est un pantin, un univers de jeu où le sérieux est vaincu par avance, où le savoir et le sens ne sont pas des apanages humains. Comment, d’ailleurs, pourrait-il en aller autrement dans un monde où masques et déguisements travestissent constamment la vérité première, mais où le </w:t>
      </w:r>
      <w:r w:rsidRPr="00D610BB">
        <w:rPr>
          <w:iCs w:val="0"/>
          <w:sz w:val="20"/>
          <w:szCs w:val="20"/>
          <w:lang w:eastAsia="fr-FR"/>
        </w:rPr>
        <w:lastRenderedPageBreak/>
        <w:t>paraître, prenant le pas sur l’être, laisse ainsi jaillir une autre vérité, celle de l’absolue liberté du carnaval</w:t>
      </w:r>
      <w:r w:rsidRPr="00D610BB">
        <w:rPr>
          <w:sz w:val="20"/>
          <w:szCs w:val="20"/>
          <w:lang w:eastAsia="fr-FR"/>
        </w:rPr>
        <w:t> </w:t>
      </w:r>
      <w:r w:rsidRPr="00D610BB">
        <w:rPr>
          <w:sz w:val="20"/>
          <w:szCs w:val="20"/>
          <w:vertAlign w:val="superscript"/>
          <w:lang w:eastAsia="fr-FR"/>
        </w:rPr>
        <w:footnoteReference w:id="119"/>
      </w:r>
    </w:p>
    <w:p w:rsidR="00D610BB" w:rsidRDefault="00D610BB" w:rsidP="00D610BB">
      <w:pPr>
        <w:spacing w:after="0" w:line="360" w:lineRule="auto"/>
        <w:ind w:firstLine="284"/>
        <w:jc w:val="both"/>
        <w:rPr>
          <w:rFonts w:ascii="Times New Roman" w:eastAsia="Times New Roman" w:hAnsi="Times New Roman"/>
          <w:sz w:val="24"/>
          <w:szCs w:val="24"/>
          <w:lang w:eastAsia="fr-FR"/>
        </w:rPr>
      </w:pPr>
    </w:p>
    <w:p w:rsidR="006A4EED" w:rsidRPr="003B00C8" w:rsidRDefault="006A4EED" w:rsidP="00D610B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C’est toutes les nuances de rire qui résonnent dans l’œuvre de Ghelderode : le farcesque, le clownesque, le comique. Il produit ainsi,  un théâtre haut en couleurs qui trouve ses origines dans la fête et le carnaval. Il ressuscite la méthode du </w:t>
      </w:r>
      <w:r w:rsidRPr="00D42CF4">
        <w:rPr>
          <w:rFonts w:ascii="Times New Roman" w:eastAsia="Times New Roman" w:hAnsi="Times New Roman"/>
          <w:sz w:val="24"/>
          <w:szCs w:val="24"/>
          <w:lang w:eastAsia="fr-FR"/>
        </w:rPr>
        <w:t>réalisme grotesque</w:t>
      </w:r>
      <w:r w:rsidRPr="003B00C8">
        <w:rPr>
          <w:rFonts w:ascii="Times New Roman" w:eastAsia="Times New Roman" w:hAnsi="Times New Roman"/>
          <w:sz w:val="24"/>
          <w:szCs w:val="24"/>
          <w:lang w:eastAsia="fr-FR"/>
        </w:rPr>
        <w:t xml:space="preserve">,  remet le peuple au centre de la scène et de la vie, à l’heure de la fête. Ghelderode offre finalement un théâtre pour le peuple. En cela, il célèbre la tradition rabelaisienne d’un théâtre où s’entremêlent farce, satire, comédie et jeu. C’est cela, la célébration du carnaval chez Ghelderode. </w:t>
      </w:r>
      <w:r w:rsidR="00D42CF4">
        <w:rPr>
          <w:rFonts w:ascii="Times New Roman" w:eastAsia="Times New Roman" w:hAnsi="Times New Roman"/>
          <w:sz w:val="24"/>
          <w:szCs w:val="24"/>
          <w:lang w:eastAsia="fr-FR"/>
        </w:rPr>
        <w:t>I</w:t>
      </w:r>
      <w:r w:rsidRPr="003B00C8">
        <w:rPr>
          <w:rFonts w:ascii="Times New Roman" w:eastAsia="Times New Roman" w:hAnsi="Times New Roman"/>
          <w:sz w:val="24"/>
          <w:szCs w:val="24"/>
          <w:lang w:eastAsia="fr-FR"/>
        </w:rPr>
        <w:t>l restera</w:t>
      </w:r>
      <w:r w:rsidR="00D42CF4">
        <w:rPr>
          <w:rFonts w:ascii="Times New Roman" w:eastAsia="Times New Roman" w:hAnsi="Times New Roman"/>
          <w:sz w:val="24"/>
          <w:szCs w:val="24"/>
          <w:lang w:eastAsia="fr-FR"/>
        </w:rPr>
        <w:t>, ainsi,</w:t>
      </w:r>
      <w:r w:rsidRPr="003B00C8">
        <w:rPr>
          <w:rFonts w:ascii="Times New Roman" w:eastAsia="Times New Roman" w:hAnsi="Times New Roman"/>
          <w:sz w:val="24"/>
          <w:szCs w:val="24"/>
          <w:lang w:eastAsia="fr-FR"/>
        </w:rPr>
        <w:t xml:space="preserve"> un des grands maîtres dans l’art du grotesque-comique</w:t>
      </w:r>
      <w:r w:rsidR="00D610BB">
        <w:rPr>
          <w:rFonts w:ascii="Times New Roman" w:eastAsia="Times New Roman" w:hAnsi="Times New Roman"/>
          <w:sz w:val="24"/>
          <w:szCs w:val="24"/>
          <w:lang w:eastAsia="fr-FR"/>
        </w:rPr>
        <w:t>.</w:t>
      </w:r>
    </w:p>
    <w:p w:rsidR="006A4EED" w:rsidRPr="003B00C8" w:rsidRDefault="006A4EED" w:rsidP="00D610B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L’autre aspect du théâtre de Ghelderode, est beaucoup plus sombre et qualifié par Isabelle Ost de « grotesque-tragique ». Pour Ghelderode qui  a connu une enfance solitaire et victime d’angoisses traumatisantes, la résurgence de cet aspect n’est que normal. En une scène, une allusion ou un effet, le rire chez Ghelderode peut se trouver complètement neutralisé par l’étrange, l’inquiétude, la destruction, le néant. On </w:t>
      </w:r>
      <w:r w:rsidR="00D42CF4">
        <w:rPr>
          <w:rFonts w:ascii="Times New Roman" w:eastAsia="Times New Roman" w:hAnsi="Times New Roman"/>
          <w:sz w:val="24"/>
          <w:szCs w:val="24"/>
          <w:lang w:eastAsia="fr-FR"/>
        </w:rPr>
        <w:t>donc</w:t>
      </w:r>
      <w:r w:rsidRPr="003B00C8">
        <w:rPr>
          <w:rFonts w:ascii="Times New Roman" w:eastAsia="Times New Roman" w:hAnsi="Times New Roman"/>
          <w:sz w:val="24"/>
          <w:szCs w:val="24"/>
          <w:lang w:eastAsia="fr-FR"/>
        </w:rPr>
        <w:t xml:space="preserve"> en présence du grotesque </w:t>
      </w:r>
      <w:r w:rsidR="00D42CF4">
        <w:rPr>
          <w:rFonts w:ascii="Times New Roman" w:eastAsia="Times New Roman" w:hAnsi="Times New Roman"/>
          <w:sz w:val="24"/>
          <w:szCs w:val="24"/>
          <w:lang w:eastAsia="fr-FR"/>
        </w:rPr>
        <w:t>ghelderodien</w:t>
      </w:r>
      <w:r w:rsidRPr="003B00C8">
        <w:rPr>
          <w:rFonts w:ascii="Times New Roman" w:eastAsia="Times New Roman" w:hAnsi="Times New Roman"/>
          <w:sz w:val="24"/>
          <w:szCs w:val="24"/>
          <w:lang w:eastAsia="fr-FR"/>
        </w:rPr>
        <w:t xml:space="preserve">. </w:t>
      </w:r>
    </w:p>
    <w:p w:rsidR="006A4EED" w:rsidRPr="003B00C8" w:rsidRDefault="006A4EED" w:rsidP="00D610B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Ghelderode exploite une large gamme de méthodes et de procédés pour faire exister ce grotesque tragique</w:t>
      </w:r>
      <w:r w:rsidR="001C23FD">
        <w:rPr>
          <w:rFonts w:ascii="Times New Roman" w:eastAsia="Times New Roman" w:hAnsi="Times New Roman"/>
          <w:sz w:val="24"/>
          <w:szCs w:val="24"/>
          <w:lang w:eastAsia="fr-FR"/>
        </w:rPr>
        <w:t xml:space="preserve"> comme nous le constaterons dans notre corpus, sa pièce </w:t>
      </w:r>
      <w:r w:rsidR="001C23FD" w:rsidRPr="001C23FD">
        <w:rPr>
          <w:rFonts w:ascii="Times New Roman" w:eastAsia="Times New Roman" w:hAnsi="Times New Roman"/>
          <w:i/>
          <w:iCs/>
          <w:sz w:val="24"/>
          <w:szCs w:val="24"/>
          <w:lang w:eastAsia="fr-FR"/>
        </w:rPr>
        <w:t>Bara</w:t>
      </w:r>
      <w:r w:rsidR="00A22FDB">
        <w:rPr>
          <w:rFonts w:ascii="Times New Roman" w:eastAsia="Times New Roman" w:hAnsi="Times New Roman"/>
          <w:i/>
          <w:iCs/>
          <w:sz w:val="24"/>
          <w:szCs w:val="24"/>
          <w:lang w:eastAsia="fr-FR"/>
        </w:rPr>
        <w:t>b</w:t>
      </w:r>
      <w:r w:rsidR="001C23FD" w:rsidRPr="001C23FD">
        <w:rPr>
          <w:rFonts w:ascii="Times New Roman" w:eastAsia="Times New Roman" w:hAnsi="Times New Roman"/>
          <w:i/>
          <w:iCs/>
          <w:sz w:val="24"/>
          <w:szCs w:val="24"/>
          <w:lang w:eastAsia="fr-FR"/>
        </w:rPr>
        <w:t>bas</w:t>
      </w:r>
      <w:r w:rsidRPr="003B00C8">
        <w:rPr>
          <w:rFonts w:ascii="Times New Roman" w:eastAsia="Times New Roman" w:hAnsi="Times New Roman"/>
          <w:sz w:val="24"/>
          <w:szCs w:val="24"/>
          <w:lang w:eastAsia="fr-FR"/>
        </w:rPr>
        <w:t xml:space="preserve">. </w:t>
      </w:r>
    </w:p>
    <w:p w:rsidR="006A4EED" w:rsidRPr="003B00C8" w:rsidRDefault="006A4EED" w:rsidP="00D610B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 fantastique tout d’abord, une sorte de magie noire, une inquiétante étrangeté qui plonge la scène tout autant que l’homme dans un clair-obscur angoissant, un univers de chaos et d’instabilité. Ghelderode efface les frontières rationnelles entre des choses  à priori distinctes : jour et nuit, humain et animal, animé et inanimé, vivant et non-vivant. On est en plein cauchemar. </w:t>
      </w:r>
    </w:p>
    <w:p w:rsidR="006A4EED" w:rsidRPr="003B00C8" w:rsidRDefault="006A4EED" w:rsidP="00D610B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L’horreur ensuite : souvent chez Ghelderode, le fantastique dégénère et l’inquiétude laisse complètement  place à l’horreur. Au beau milieu du carnaval, Ghelderode n’hésite pas à faire surgir des images dégoûtantes, écœurantes, horribles ou terrifiantes. Avec de telles scènes, il devient bien souvent impossible de dire si c’est le grotesque qui confine à l’horreur ou si c’est l’horreur qui confine au comique.</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 xml:space="preserve">Le mal est la matrice de tout.  Le fantastique et l’horreur chez Ghelderode s’enracinent presque toujours dans le mal et la cruauté humaine : mal commis volontairement, excès de méchanceté chez certains. La laideur et la difformité viennent compléter le tableau de la déchéance physique et morale : description morbide de corps en putréfaction, sueurs froides d’une seconde mort d’un être semi-vivant,  créatures difformes, nains abjects, beautés devenues symboles de la laideur, êtres bestiaux etc. Litanie d’insanités et cortège hideux qui parade, offert en spectacle,  choquant, provocant. Avec cette sorte de promotion de l’horrible, de la monstruosité et de l’atroce, Ghelderode donne à voir une fois encore une fête des formes, mais qui la fête cette fois bascule côté du grotesque-tragique, avec pour résultat : la déshumanisation et l’aliénation, au point où la vile déchéance prend désormais la place centrale. </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Il y a aussi la pression et la cruauté de l’Autre. A tout moment, l’homme se voit menacé, terrifié, envahi dans son esprit comme dans sa chair par la figure de l’Autre ; Cet Autre tout-puissant avec qui toute tentative de dialogue, d’arrangement s’avère impossible. Le « je » </w:t>
      </w:r>
      <w:proofErr w:type="gramStart"/>
      <w:r w:rsidRPr="003B00C8">
        <w:rPr>
          <w:rFonts w:ascii="Times New Roman" w:eastAsia="Times New Roman" w:hAnsi="Times New Roman"/>
          <w:sz w:val="24"/>
          <w:szCs w:val="24"/>
          <w:lang w:eastAsia="fr-FR"/>
        </w:rPr>
        <w:t>est</w:t>
      </w:r>
      <w:proofErr w:type="gramEnd"/>
      <w:r w:rsidRPr="003B00C8">
        <w:rPr>
          <w:rFonts w:ascii="Times New Roman" w:eastAsia="Times New Roman" w:hAnsi="Times New Roman"/>
          <w:sz w:val="24"/>
          <w:szCs w:val="24"/>
          <w:lang w:eastAsia="fr-FR"/>
        </w:rPr>
        <w:t xml:space="preserve"> écrasé et l’homme détruit. Là aussi apparait une dimension forte du grotesque-tragique.</w:t>
      </w:r>
    </w:p>
    <w:p w:rsidR="0095128C"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Mais la mort triomphe-t-elle ? </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Pas toujours. Chez Ghelderode, le sens n’est jamais univoque. Même le Macabre est parfois raillé et ridiculisé. Jamais il n’est permis, dans le théâtre ghelderodien, de s’étourdir dans l’oubli de la mort. </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Avec cette dimension du grotesque tragique, l’image que l’on peut retenir du personnage ghelderodien est celle résumée par Ost </w:t>
      </w:r>
      <w:r w:rsidR="0095128C" w:rsidRPr="003B00C8">
        <w:rPr>
          <w:rFonts w:ascii="Times New Roman" w:eastAsia="Times New Roman" w:hAnsi="Times New Roman"/>
          <w:sz w:val="24"/>
          <w:szCs w:val="24"/>
          <w:lang w:eastAsia="fr-FR"/>
        </w:rPr>
        <w:t>: un</w:t>
      </w:r>
      <w:r w:rsidRPr="003B00C8">
        <w:rPr>
          <w:rFonts w:ascii="Times New Roman" w:eastAsia="Times New Roman" w:hAnsi="Times New Roman"/>
          <w:sz w:val="24"/>
          <w:szCs w:val="24"/>
          <w:lang w:eastAsia="fr-FR"/>
        </w:rPr>
        <w:t xml:space="preserve"> être impuissant, désorienté, égaré dans un tourbillon de forces hostiles liguées pour le confondre, l’opprimer et le broyer.</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Que dire finalement de cette opposition, cette ambivalence ghelderodienne entre le comique et le tragique, tous les deux auréolés de grotesque ?</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Pour Ost :</w:t>
      </w:r>
    </w:p>
    <w:p w:rsidR="006A4EED" w:rsidRPr="003825FC" w:rsidRDefault="006A4EED" w:rsidP="003825FC">
      <w:pPr>
        <w:pStyle w:val="Citationintense"/>
        <w:spacing w:before="0" w:after="0"/>
        <w:ind w:left="567" w:right="0"/>
        <w:rPr>
          <w:sz w:val="20"/>
          <w:szCs w:val="20"/>
        </w:rPr>
      </w:pPr>
      <w:r w:rsidRPr="003825FC">
        <w:rPr>
          <w:sz w:val="20"/>
          <w:szCs w:val="20"/>
        </w:rPr>
        <w:t>La force esthétique et subversive des pièces de Ghelderode vient du fait qu’il est, avec un grand talent, parvenu à créer une tension perpétuelle, une polarité qui oppose et rassemble le comique et le tragique, la prolifération et la réduction, l’exubérance et la désagrégation des formes. Jamais il ne se contente de mettre en présence des motifs opposés, mais il parvient toujours, au contraire, à les faire fusionner, cultivant non pas l’alternance mais bien l’ambivalence grotesque</w:t>
      </w:r>
      <w:r w:rsidRPr="003825FC">
        <w:rPr>
          <w:sz w:val="20"/>
          <w:szCs w:val="20"/>
          <w:vertAlign w:val="superscript"/>
        </w:rPr>
        <w:footnoteReference w:id="120"/>
      </w:r>
      <w:r w:rsidRPr="003825FC">
        <w:rPr>
          <w:sz w:val="20"/>
          <w:szCs w:val="20"/>
          <w:vertAlign w:val="superscript"/>
        </w:rPr>
        <w:t xml:space="preserve">. </w:t>
      </w:r>
    </w:p>
    <w:p w:rsidR="003825FC" w:rsidRDefault="003825FC" w:rsidP="003825FC">
      <w:pPr>
        <w:spacing w:after="0" w:line="360" w:lineRule="auto"/>
        <w:ind w:firstLine="284"/>
        <w:jc w:val="both"/>
        <w:rPr>
          <w:rFonts w:ascii="Times New Roman" w:eastAsia="Times New Roman" w:hAnsi="Times New Roman"/>
          <w:sz w:val="24"/>
          <w:szCs w:val="24"/>
          <w:lang w:eastAsia="fr-FR"/>
        </w:rPr>
      </w:pP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C’est dire que cette ambivalence est richesse. Le tableau est large et pluriel. En fait rire et ironie viennent, régulièrement, « désamorcer » le tragique : voilà le personnage, le héros, prêt à sombrer dans l’abîme, la grandeur s’effrite, le protagoniste devient un triste  bouffon dont on se moque. Humilié, défait et tourné en dérision, le héros n’est plus qu’un fantoche, comme dans la version ghelderodienne du mythe. Mais précisément,  le génie de Ghelderode consiste à bouleverser totalement nos catégories de pensée, en nous offrant un mythe classique, souvent tragique mais subverti par le carnaval. Avec une nuance profonde de cruauté et de douleur. Pour Gheldedore, l’épopée, même tragique, reste une épopée. </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D’où ce mélange systématique des genres et cette confusion du bien et du mal : le grotesque de Ghelderode, se nourrit tout à la fois de bien et de mal, il puise dans cette hybridation la force de récuser automatiquement la pureté d’un genre. Il s’agit donc de jouer avec les frontières, plus floues que jamais, de contaminer mutuellement des éléments afin qu’il soit impossible de créer une dynamique et une unilatéralité tragique.</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iCs/>
          <w:sz w:val="24"/>
          <w:szCs w:val="24"/>
          <w:lang w:eastAsia="fr-FR"/>
        </w:rPr>
        <w:t>Avec sa distinction</w:t>
      </w:r>
      <w:r w:rsidRPr="003B00C8">
        <w:rPr>
          <w:rFonts w:ascii="Times New Roman" w:eastAsia="Times New Roman" w:hAnsi="Times New Roman"/>
          <w:i/>
          <w:iCs/>
          <w:sz w:val="24"/>
          <w:szCs w:val="24"/>
          <w:lang w:eastAsia="fr-FR"/>
        </w:rPr>
        <w:t xml:space="preserve"> </w:t>
      </w:r>
      <w:r w:rsidRPr="0095128C">
        <w:rPr>
          <w:rFonts w:ascii="Times New Roman" w:eastAsia="Times New Roman" w:hAnsi="Times New Roman"/>
          <w:sz w:val="24"/>
          <w:szCs w:val="24"/>
          <w:lang w:eastAsia="fr-FR"/>
        </w:rPr>
        <w:t>grotesque-comique et grotesque</w:t>
      </w:r>
      <w:r w:rsidRPr="003B00C8">
        <w:rPr>
          <w:rFonts w:ascii="Times New Roman" w:eastAsia="Times New Roman" w:hAnsi="Times New Roman"/>
          <w:sz w:val="24"/>
          <w:szCs w:val="24"/>
          <w:lang w:eastAsia="fr-FR"/>
        </w:rPr>
        <w:t xml:space="preserve">-tragique, Ghelderode rompt avec les catégories logiques héritées de la tradition aristotélicienne et crée quelque chose de nouveau, d’insolite : </w:t>
      </w:r>
      <w:r w:rsidRPr="0095128C">
        <w:rPr>
          <w:rFonts w:ascii="Times New Roman" w:eastAsia="Times New Roman" w:hAnsi="Times New Roman"/>
          <w:sz w:val="24"/>
          <w:szCs w:val="24"/>
          <w:lang w:eastAsia="fr-FR"/>
        </w:rPr>
        <w:t xml:space="preserve">le </w:t>
      </w:r>
      <w:r w:rsidRPr="003B00C8">
        <w:rPr>
          <w:rFonts w:ascii="Times New Roman" w:eastAsia="Times New Roman" w:hAnsi="Times New Roman"/>
          <w:sz w:val="24"/>
          <w:szCs w:val="24"/>
          <w:lang w:eastAsia="fr-FR"/>
        </w:rPr>
        <w:t>grotesque (ni finalement comique, ni finalement tragique). Car, plus grotesque que tous les motifs analysés, le sommet de l’art est atteint avec  le mélange parfait de tous ces éléments dans une même œuvre, dans une même pièce, dans une même scène.</w:t>
      </w:r>
    </w:p>
    <w:p w:rsidR="006A4EED" w:rsidRPr="003B00C8" w:rsidRDefault="006A4EED" w:rsidP="003825F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Finalement cette loi de l’ambivalence rend compte de l’audace du dramaturge et de son talent quant au formidable mélange des genres : le tragique défiguré par le comique, et un comique qui ne tarde pas à être perverti par le tragique ; Ghelderode offre un labyrinthe de chemins qui se croisent et se séparent à l’infini.</w:t>
      </w:r>
    </w:p>
    <w:p w:rsidR="006D0A49" w:rsidRDefault="006D0A49" w:rsidP="006D0A49">
      <w:pPr>
        <w:pStyle w:val="Titre3"/>
        <w:spacing w:before="0" w:after="0" w:line="360" w:lineRule="auto"/>
        <w:ind w:firstLine="284"/>
        <w:jc w:val="both"/>
        <w:rPr>
          <w:rFonts w:ascii="Times New Roman" w:hAnsi="Times New Roman" w:cs="Times New Roman"/>
          <w:sz w:val="24"/>
          <w:szCs w:val="24"/>
        </w:rPr>
      </w:pPr>
    </w:p>
    <w:p w:rsidR="006A4EED" w:rsidRPr="006D0A49" w:rsidRDefault="00126E00" w:rsidP="002C4E1E">
      <w:pPr>
        <w:pStyle w:val="Titre3"/>
        <w:spacing w:before="0" w:after="0" w:line="360" w:lineRule="auto"/>
        <w:ind w:firstLine="284"/>
        <w:jc w:val="both"/>
        <w:rPr>
          <w:rFonts w:ascii="Times New Roman" w:hAnsi="Times New Roman" w:cs="Times New Roman"/>
          <w:sz w:val="24"/>
          <w:szCs w:val="24"/>
        </w:rPr>
      </w:pPr>
      <w:bookmarkStart w:id="69" w:name="_Toc471484440"/>
      <w:r w:rsidRPr="006D0A49">
        <w:rPr>
          <w:rFonts w:ascii="Times New Roman" w:hAnsi="Times New Roman" w:cs="Times New Roman"/>
          <w:sz w:val="24"/>
          <w:szCs w:val="24"/>
        </w:rPr>
        <w:t>2. Des</w:t>
      </w:r>
      <w:r w:rsidR="006A4EED" w:rsidRPr="006D0A49">
        <w:rPr>
          <w:rFonts w:ascii="Times New Roman" w:hAnsi="Times New Roman" w:cs="Times New Roman"/>
          <w:sz w:val="24"/>
          <w:szCs w:val="24"/>
        </w:rPr>
        <w:t xml:space="preserve"> divergences existant entre les deux auteurs</w:t>
      </w:r>
      <w:bookmarkEnd w:id="69"/>
    </w:p>
    <w:p w:rsidR="006A4EED" w:rsidRPr="003B00C8" w:rsidRDefault="006A4EED" w:rsidP="006D0A49">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Les divergences entre les deux auteurs tiennent beaucoup au rapport spatio-temporel et à la nature des thématiques abordées que nous avons pu obtenir portent sur les influences contraires et les différences de thématiques.</w:t>
      </w:r>
    </w:p>
    <w:p w:rsidR="002C4E1E" w:rsidRDefault="002C4E1E" w:rsidP="002C4E1E">
      <w:pPr>
        <w:pStyle w:val="Titre4"/>
        <w:spacing w:before="0" w:after="0" w:line="360" w:lineRule="auto"/>
        <w:ind w:left="641" w:hanging="357"/>
        <w:jc w:val="both"/>
        <w:rPr>
          <w:rFonts w:ascii="Times New Roman" w:hAnsi="Times New Roman"/>
          <w:i w:val="0"/>
          <w:iCs/>
          <w:lang w:eastAsia="fr-FR"/>
        </w:rPr>
      </w:pPr>
    </w:p>
    <w:p w:rsidR="006A4EED" w:rsidRPr="002C4E1E" w:rsidRDefault="002C4E1E" w:rsidP="002C4E1E">
      <w:pPr>
        <w:pStyle w:val="Titre4"/>
        <w:spacing w:before="0" w:after="0" w:line="360" w:lineRule="auto"/>
        <w:ind w:left="641" w:hanging="357"/>
        <w:jc w:val="both"/>
        <w:rPr>
          <w:rFonts w:ascii="Times New Roman" w:hAnsi="Times New Roman"/>
          <w:i w:val="0"/>
          <w:iCs/>
          <w:lang w:eastAsia="fr-FR"/>
        </w:rPr>
      </w:pPr>
      <w:bookmarkStart w:id="70" w:name="_Toc471484441"/>
      <w:r w:rsidRPr="002C4E1E">
        <w:rPr>
          <w:rFonts w:ascii="Times New Roman" w:hAnsi="Times New Roman"/>
          <w:i w:val="0"/>
          <w:iCs/>
          <w:lang w:eastAsia="fr-FR"/>
        </w:rPr>
        <w:t>2.1. Des</w:t>
      </w:r>
      <w:r w:rsidR="006A4EED" w:rsidRPr="002C4E1E">
        <w:rPr>
          <w:rFonts w:ascii="Times New Roman" w:hAnsi="Times New Roman"/>
          <w:i w:val="0"/>
          <w:iCs/>
          <w:lang w:eastAsia="fr-FR"/>
        </w:rPr>
        <w:t xml:space="preserve"> influences contraires</w:t>
      </w:r>
      <w:bookmarkEnd w:id="70"/>
    </w:p>
    <w:p w:rsidR="006A4EED" w:rsidRPr="003B00C8" w:rsidRDefault="006A4EED" w:rsidP="002C4E1E">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De part sa manière d’écrire, Kaki est au carrefour des influences africaines et occidentales, tandis que Ghelderode est intimement lié à Victor Hugo.</w:t>
      </w:r>
    </w:p>
    <w:p w:rsidR="002C4E1E" w:rsidRDefault="002C4E1E" w:rsidP="002C4E1E">
      <w:pPr>
        <w:pStyle w:val="Titre5"/>
        <w:spacing w:before="0" w:after="0"/>
        <w:ind w:left="641" w:hanging="357"/>
        <w:jc w:val="both"/>
        <w:rPr>
          <w:rFonts w:ascii="Times New Roman" w:hAnsi="Times New Roman"/>
          <w:color w:val="auto"/>
          <w:lang w:eastAsia="fr-FR"/>
        </w:rPr>
      </w:pPr>
    </w:p>
    <w:p w:rsidR="006A4EED" w:rsidRPr="002C4E1E" w:rsidRDefault="002C4E1E" w:rsidP="002C4E1E">
      <w:pPr>
        <w:pStyle w:val="Titre5"/>
        <w:spacing w:before="0" w:after="0"/>
        <w:ind w:left="641" w:hanging="357"/>
        <w:jc w:val="both"/>
        <w:rPr>
          <w:rFonts w:ascii="Times New Roman" w:hAnsi="Times New Roman"/>
          <w:color w:val="auto"/>
          <w:lang w:eastAsia="fr-FR"/>
        </w:rPr>
      </w:pPr>
      <w:bookmarkStart w:id="71" w:name="_Toc471484442"/>
      <w:r w:rsidRPr="002C4E1E">
        <w:rPr>
          <w:rFonts w:ascii="Times New Roman" w:hAnsi="Times New Roman"/>
          <w:color w:val="auto"/>
          <w:lang w:eastAsia="fr-FR"/>
        </w:rPr>
        <w:t>2.1.1. Kaki</w:t>
      </w:r>
      <w:r w:rsidR="006A4EED" w:rsidRPr="002C4E1E">
        <w:rPr>
          <w:rFonts w:ascii="Times New Roman" w:hAnsi="Times New Roman"/>
          <w:color w:val="auto"/>
          <w:lang w:eastAsia="fr-FR"/>
        </w:rPr>
        <w:t>, au carrefour des influences  occidentales et africaines</w:t>
      </w:r>
      <w:bookmarkEnd w:id="71"/>
      <w:r w:rsidR="006A4EED" w:rsidRPr="002C4E1E">
        <w:rPr>
          <w:rFonts w:ascii="Times New Roman" w:hAnsi="Times New Roman"/>
          <w:color w:val="auto"/>
          <w:lang w:eastAsia="fr-FR"/>
        </w:rPr>
        <w:t xml:space="preserve"> </w:t>
      </w:r>
    </w:p>
    <w:p w:rsidR="006A4EED" w:rsidRPr="002C4E1E" w:rsidRDefault="006A4EED" w:rsidP="002C4E1E">
      <w:pPr>
        <w:spacing w:after="0" w:line="360" w:lineRule="auto"/>
        <w:ind w:firstLine="284"/>
        <w:jc w:val="both"/>
        <w:rPr>
          <w:rFonts w:ascii="Times New Roman" w:hAnsi="Times New Roman"/>
          <w:sz w:val="24"/>
          <w:szCs w:val="24"/>
          <w:lang w:eastAsia="fr-FR"/>
        </w:rPr>
      </w:pPr>
      <w:r w:rsidRPr="002C4E1E">
        <w:rPr>
          <w:rFonts w:ascii="Times New Roman" w:hAnsi="Times New Roman"/>
          <w:sz w:val="24"/>
          <w:szCs w:val="24"/>
          <w:lang w:eastAsia="fr-FR"/>
        </w:rPr>
        <w:t>Cheniki brosse un portrait intéressant du dramaturge Kaki, à la fois algérien, africain  et citoyen du monde</w:t>
      </w:r>
      <w:r w:rsidRPr="002C4E1E">
        <w:rPr>
          <w:rStyle w:val="Appelnotedebasdep"/>
          <w:rFonts w:ascii="Times New Roman" w:hAnsi="Times New Roman"/>
          <w:sz w:val="24"/>
          <w:szCs w:val="24"/>
          <w:lang w:eastAsia="fr-FR"/>
        </w:rPr>
        <w:footnoteReference w:id="121"/>
      </w:r>
      <w:r w:rsidRPr="002C4E1E">
        <w:rPr>
          <w:rFonts w:ascii="Times New Roman" w:hAnsi="Times New Roman"/>
          <w:sz w:val="24"/>
          <w:szCs w:val="24"/>
          <w:lang w:eastAsia="fr-FR"/>
        </w:rPr>
        <w:t>. Cette description mérite toute notre attention.</w:t>
      </w:r>
    </w:p>
    <w:p w:rsidR="006A4EED" w:rsidRPr="002C4E1E" w:rsidRDefault="006A4EED" w:rsidP="002C4E1E">
      <w:pPr>
        <w:spacing w:after="0" w:line="360" w:lineRule="auto"/>
        <w:ind w:firstLine="284"/>
        <w:jc w:val="both"/>
        <w:rPr>
          <w:rFonts w:ascii="Times New Roman" w:hAnsi="Times New Roman"/>
          <w:sz w:val="24"/>
          <w:szCs w:val="24"/>
          <w:lang w:eastAsia="fr-FR"/>
        </w:rPr>
      </w:pPr>
      <w:r w:rsidRPr="002C4E1E">
        <w:rPr>
          <w:rFonts w:ascii="Times New Roman" w:hAnsi="Times New Roman"/>
          <w:sz w:val="24"/>
          <w:szCs w:val="24"/>
          <w:lang w:eastAsia="fr-FR"/>
        </w:rPr>
        <w:t>D’après Cheniki, le théâtre de Kaki fonctionne régulièrement  par tableaux constituant des sortes d’allégories historiques. Kaki, du reste, s'intéressait énormément à l'Histoire et à la littérature orale. L’histoire de son pays, l’histoire des cultures, l’histoire du monde.</w:t>
      </w:r>
    </w:p>
    <w:p w:rsidR="006A4EED" w:rsidRPr="003B00C8" w:rsidRDefault="006A4EED" w:rsidP="002C4E1E">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Ainsi, avec  «132 ans» et «Afrique avant un», Kaki investie le théâtre-document. </w:t>
      </w:r>
    </w:p>
    <w:p w:rsidR="006A4EED" w:rsidRPr="003B00C8" w:rsidRDefault="006A4EED" w:rsidP="002C4E1E">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Cette ouverture historique fera de Kaki un auteur pluriel, riche de plusieurs influences. Se situant précisément entre d’une part un courant occidental, hellène, moderne et, d’autre part, un courant typiquement africain et singulièrement algérien.</w:t>
      </w:r>
    </w:p>
    <w:p w:rsidR="006A4EED" w:rsidRPr="003B00C8" w:rsidRDefault="006A4EED" w:rsidP="002C4E1E">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L'Histoire participe dès lors chez Kaki à  l'affirmation de soi et la reconnaissance d’une identité propre. Ainsi, Kaki exploite t-il les nombreux documents tirés de l'Histoire de la colonisation en Algérie et en Afrique. Mais ce n’est pas tout ! Le théâtre-document de Kaki va plus loin que la description des événements et des faits historiques, mais s’enrichi d’une analyse critique sous forme d’allusions historiques. C’est ce sens critique qui d’ailleurs </w:t>
      </w:r>
      <w:r w:rsidR="0095128C" w:rsidRPr="003B00C8">
        <w:rPr>
          <w:rFonts w:ascii="Times New Roman" w:hAnsi="Times New Roman"/>
          <w:sz w:val="24"/>
          <w:szCs w:val="24"/>
          <w:lang w:eastAsia="fr-FR"/>
        </w:rPr>
        <w:t>prend</w:t>
      </w:r>
      <w:r w:rsidRPr="003B00C8">
        <w:rPr>
          <w:rFonts w:ascii="Times New Roman" w:hAnsi="Times New Roman"/>
          <w:sz w:val="24"/>
          <w:szCs w:val="24"/>
          <w:lang w:eastAsia="fr-FR"/>
        </w:rPr>
        <w:t xml:space="preserve"> le pas sur le reportage. </w:t>
      </w:r>
    </w:p>
    <w:p w:rsidR="006A4EED" w:rsidRPr="00463CC4" w:rsidRDefault="006A4EED" w:rsidP="00E33622">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Par ailleurs, Kaki est un éclectique. Cheniki le note bien :</w:t>
      </w:r>
      <w:r w:rsidR="00463CC4">
        <w:rPr>
          <w:rFonts w:ascii="Times New Roman" w:hAnsi="Times New Roman"/>
          <w:sz w:val="24"/>
          <w:szCs w:val="24"/>
          <w:lang w:eastAsia="fr-FR"/>
        </w:rPr>
        <w:t> </w:t>
      </w:r>
      <w:r w:rsidR="00463CC4" w:rsidRPr="00463CC4">
        <w:rPr>
          <w:rFonts w:asciiTheme="majorBidi" w:hAnsiTheme="majorBidi" w:cstheme="majorBidi"/>
          <w:sz w:val="24"/>
          <w:szCs w:val="24"/>
          <w:lang w:eastAsia="fr-FR"/>
        </w:rPr>
        <w:t>« </w:t>
      </w:r>
      <w:r w:rsidRPr="00463CC4">
        <w:rPr>
          <w:rFonts w:asciiTheme="majorBidi" w:hAnsiTheme="majorBidi" w:cstheme="majorBidi"/>
          <w:sz w:val="24"/>
          <w:szCs w:val="24"/>
        </w:rPr>
        <w:t>Kaki n'était pas un homme de théâtre enfermé dans un moule unique mais ouvert à plusieurs expériences. Il a touché à tout. Il s'est frotté au théâtre de l'absurde avec La Cantatrice chauve d'Eugène Ionesco et au théâtre de la cruauté (Antonin Artaud), Avant-théâtre</w:t>
      </w:r>
      <w:r w:rsidR="00463CC4" w:rsidRPr="00463CC4">
        <w:rPr>
          <w:rFonts w:asciiTheme="majorBidi" w:hAnsiTheme="majorBidi" w:cstheme="majorBidi"/>
          <w:sz w:val="24"/>
          <w:szCs w:val="24"/>
        </w:rPr>
        <w:t> »</w:t>
      </w:r>
      <w:r w:rsidRPr="00463CC4">
        <w:rPr>
          <w:rStyle w:val="Appelnotedebasdep"/>
          <w:rFonts w:asciiTheme="majorBidi" w:hAnsiTheme="majorBidi" w:cstheme="majorBidi"/>
          <w:sz w:val="24"/>
          <w:szCs w:val="24"/>
        </w:rPr>
        <w:footnoteReference w:id="122"/>
      </w:r>
      <w:r w:rsidR="00463CC4" w:rsidRPr="00463CC4">
        <w:rPr>
          <w:rFonts w:asciiTheme="majorBidi" w:hAnsiTheme="majorBidi" w:cstheme="majorBidi"/>
          <w:sz w:val="24"/>
          <w:szCs w:val="24"/>
        </w:rPr>
        <w:t>.</w:t>
      </w:r>
      <w:r w:rsidRPr="00463CC4">
        <w:rPr>
          <w:rFonts w:ascii="Times New Roman" w:hAnsi="Times New Roman"/>
          <w:sz w:val="24"/>
          <w:szCs w:val="24"/>
          <w:lang w:eastAsia="fr-FR"/>
        </w:rPr>
        <w:t xml:space="preserve"> </w:t>
      </w:r>
    </w:p>
    <w:p w:rsidR="006A4EED" w:rsidRPr="003B00C8" w:rsidRDefault="006A4EED" w:rsidP="00463CC4">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lastRenderedPageBreak/>
        <w:t xml:space="preserve">C’est donc un auteur particulièrement ouvert sur des influences diverses dont il est ici question. Et comme toujours, certaines influences pèsent plus que d’autres. Chez Kaki ce sera Brecht.  Et Cheniki de poursuivre : </w:t>
      </w:r>
    </w:p>
    <w:p w:rsidR="006A4EED" w:rsidRPr="000C232B" w:rsidRDefault="006A4EED" w:rsidP="000C232B">
      <w:pPr>
        <w:pStyle w:val="Citationintense"/>
        <w:spacing w:before="0" w:after="0"/>
        <w:ind w:left="567" w:right="0"/>
        <w:rPr>
          <w:sz w:val="20"/>
          <w:szCs w:val="20"/>
        </w:rPr>
      </w:pPr>
      <w:r w:rsidRPr="000C232B">
        <w:rPr>
          <w:sz w:val="20"/>
          <w:szCs w:val="20"/>
        </w:rPr>
        <w:t>Sa découverte de Brecht et du Berliner Ensemble l'a intensément marqué. Il a dû lire tout Brecht. C'est à partir de cette rencontre qu'il décide de mettre en forme sa version presque définitive de son théâtre à partir d'El Guerrab wa Essalhine qui a été très bien reçue par le public. L'influence de l'auteur allemand est évidente dans des textes où il reprend des éléments de la culture orale qu'il associe à la structure théâtrale : «El Guerrab wa Essalhine»</w:t>
      </w:r>
      <w:r w:rsidR="0095128C" w:rsidRPr="000C232B">
        <w:rPr>
          <w:sz w:val="20"/>
          <w:szCs w:val="20"/>
        </w:rPr>
        <w:t>, «</w:t>
      </w:r>
      <w:r w:rsidRPr="000C232B">
        <w:rPr>
          <w:sz w:val="20"/>
          <w:szCs w:val="20"/>
        </w:rPr>
        <w:t>Béni Kelboune», «Koul wahed wa houkmou». Kaki réfute l'idée d'adaptation.</w:t>
      </w:r>
      <w:r w:rsidRPr="000C232B">
        <w:rPr>
          <w:rStyle w:val="Appelnotedebasdep"/>
          <w:sz w:val="20"/>
          <w:szCs w:val="20"/>
        </w:rPr>
        <w:footnoteReference w:id="123"/>
      </w:r>
    </w:p>
    <w:p w:rsidR="000C232B" w:rsidRDefault="000C232B" w:rsidP="000C232B">
      <w:pPr>
        <w:spacing w:after="0" w:line="360" w:lineRule="auto"/>
        <w:ind w:firstLine="284"/>
        <w:jc w:val="both"/>
        <w:rPr>
          <w:rFonts w:ascii="Times New Roman" w:hAnsi="Times New Roman"/>
          <w:sz w:val="24"/>
          <w:szCs w:val="24"/>
          <w:lang w:eastAsia="fr-FR"/>
        </w:rPr>
      </w:pPr>
    </w:p>
    <w:p w:rsidR="006A4EED" w:rsidRPr="003B00C8" w:rsidRDefault="006A4EED" w:rsidP="000C232B">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Cependant, Kaki revendique son authenticité. Ses œuvres ne sont pas, de son  point de vue, adaptées d'œuvres extérieures, quand bien même on sait, d’expérience qu’une majorité d’œuvres dramatiques ne sont finalement que le produit d'autres textes antérieurs (ce qui n’enlève rien à leur mérite). Kaki parle plus volontiers d'emprunt et de recréation. Il s’explique ainsi dans un texte de présentation de sa pièce, Mesrah el Garagouz : </w:t>
      </w:r>
    </w:p>
    <w:p w:rsidR="006A4EED" w:rsidRPr="000C232B" w:rsidRDefault="006A4EED" w:rsidP="000C232B">
      <w:pPr>
        <w:pStyle w:val="Citationintense"/>
        <w:spacing w:before="0" w:after="0"/>
        <w:ind w:left="567" w:right="0"/>
        <w:rPr>
          <w:sz w:val="20"/>
          <w:szCs w:val="20"/>
        </w:rPr>
      </w:pPr>
      <w:r w:rsidRPr="000C232B">
        <w:rPr>
          <w:sz w:val="20"/>
          <w:szCs w:val="20"/>
        </w:rPr>
        <w:t>C'est alors qu'éprouvant le besoin d'être nous-mêmes, nous nous sommes mis en quête d'un mode d'expression qui fût nôtre. C'est un voyage bien fantaisiste que nous entreprenons aujourd'hui. Nous sommes allés à Venise chercher une pièce d'un dramaturge qui a écrit pour la commedia dell'arte, Il signor Carlo Gozzi, et cette pièce s'intitule, L'Oiseau vert. Il signor Gozzi a vécu au siècle de la piraterie et l'histoire de L'Oiseau vert n'est autre qu'un conte des Mille et Une Nuits. Le passé comme le 18ème siècle avait permis au vénitien de régionaliser (pour les besoins d'une certaine dramaturgie) ce conte arabe que nous lui reprenons (pour les besoins d'une dramaturgie algérienne). Il est certes vrai que ce n'est pas seulement le conte que nous lui reprenons mais c'est aussi la trame dramatique. Le voleur est volé. Justice est faite. Nous avons créé Diwan el garagouz, c'est à dire que cette pièce n'est ni une traduction ni une adaptation</w:t>
      </w:r>
      <w:r w:rsidRPr="000C232B">
        <w:rPr>
          <w:rStyle w:val="Appelnotedebasdep"/>
          <w:sz w:val="20"/>
          <w:szCs w:val="20"/>
        </w:rPr>
        <w:footnoteReference w:id="124"/>
      </w:r>
      <w:r w:rsidR="003024E9" w:rsidRPr="000C232B">
        <w:rPr>
          <w:sz w:val="20"/>
          <w:szCs w:val="20"/>
        </w:rPr>
        <w:t>.</w:t>
      </w:r>
    </w:p>
    <w:p w:rsidR="004A3DE6" w:rsidRDefault="004A3DE6" w:rsidP="000E1121">
      <w:pPr>
        <w:spacing w:after="0" w:line="360" w:lineRule="auto"/>
        <w:ind w:firstLine="284"/>
        <w:jc w:val="both"/>
        <w:rPr>
          <w:rFonts w:ascii="Times New Roman" w:hAnsi="Times New Roman"/>
          <w:sz w:val="24"/>
          <w:szCs w:val="24"/>
          <w:lang w:eastAsia="fr-FR"/>
        </w:rPr>
      </w:pPr>
    </w:p>
    <w:p w:rsidR="006A4EED" w:rsidRPr="003B00C8" w:rsidRDefault="006A4EED" w:rsidP="000E1121">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Une recréation, une nouvelle production donc. Kaki s’amuse avec le texte-source,  et le remodèle à sa guise, revoit souvent tout le texte initial, modifie la démarche dramaturgique, ajoute ou supprime des scènes pour refaire le récit. </w:t>
      </w:r>
    </w:p>
    <w:p w:rsidR="006A4EED" w:rsidRPr="003B00C8" w:rsidRDefault="006A4EED" w:rsidP="000E1121">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Kaki a aussi un mérite, celui de faire cohabiter plusieurs univers en empruntant indifféremment à plusieurs scènes, auteurs, lieux, époques. Ses pièces sont finalement traversées par des traces implicites d'autres textes et d'autres réalités culturelles. </w:t>
      </w:r>
    </w:p>
    <w:p w:rsidR="006A4EED" w:rsidRPr="003B00C8" w:rsidRDefault="006A4EED" w:rsidP="00C30274">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Ainsi à titre d’illustration majeure, Kaki a réussi à relier la logique brechtienne et celle de l’oralité algérienne, donnant à son théâtre un caractère original vire inédit. </w:t>
      </w:r>
    </w:p>
    <w:p w:rsidR="006A4EED" w:rsidRPr="003B00C8" w:rsidRDefault="006A4EED" w:rsidP="003A5782">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 xml:space="preserve">Brecht maîtrisait bien les techniques théâtrales, mais aussi la culture populaire, à laquelle Kaki vient finalement donner un prolongement inattendu, celui de la culture populaire </w:t>
      </w:r>
      <w:r w:rsidR="004E5C9E" w:rsidRPr="003B00C8">
        <w:rPr>
          <w:rFonts w:ascii="Times New Roman" w:hAnsi="Times New Roman"/>
          <w:sz w:val="24"/>
          <w:szCs w:val="24"/>
        </w:rPr>
        <w:t>algérienne</w:t>
      </w:r>
      <w:r w:rsidRPr="003B00C8">
        <w:rPr>
          <w:rFonts w:ascii="Times New Roman" w:hAnsi="Times New Roman"/>
          <w:sz w:val="24"/>
          <w:szCs w:val="24"/>
        </w:rPr>
        <w:t xml:space="preserve">. Cette association de deux univers différents sera un mélange savamment orchestré, une réussite autant culturelle que dramaturgique. Elle se traduit par exemple par  l’adaptation de </w:t>
      </w:r>
      <w:r w:rsidRPr="003B00C8">
        <w:rPr>
          <w:rFonts w:ascii="Times New Roman" w:hAnsi="Times New Roman"/>
          <w:i/>
          <w:iCs/>
          <w:sz w:val="24"/>
          <w:szCs w:val="24"/>
        </w:rPr>
        <w:t>La Bonne âme de sé-tchouan</w:t>
      </w:r>
      <w:r w:rsidRPr="003B00C8">
        <w:rPr>
          <w:rFonts w:ascii="Times New Roman" w:hAnsi="Times New Roman"/>
          <w:sz w:val="24"/>
          <w:szCs w:val="24"/>
        </w:rPr>
        <w:t xml:space="preserve">, </w:t>
      </w:r>
    </w:p>
    <w:p w:rsidR="006A4EED" w:rsidRPr="003B00C8" w:rsidRDefault="006A4EED" w:rsidP="00CB1E8C">
      <w:pPr>
        <w:spacing w:after="0" w:line="360" w:lineRule="auto"/>
        <w:ind w:firstLine="284"/>
        <w:jc w:val="both"/>
        <w:rPr>
          <w:rFonts w:ascii="Times New Roman" w:hAnsi="Times New Roman"/>
          <w:sz w:val="24"/>
          <w:szCs w:val="24"/>
        </w:rPr>
      </w:pPr>
      <w:r w:rsidRPr="003B00C8">
        <w:rPr>
          <w:rFonts w:ascii="Times New Roman" w:hAnsi="Times New Roman"/>
          <w:sz w:val="24"/>
          <w:szCs w:val="24"/>
        </w:rPr>
        <w:t>Ahmed Cheniki écrit :</w:t>
      </w:r>
    </w:p>
    <w:p w:rsidR="006A4EED" w:rsidRPr="009A46EE" w:rsidRDefault="006A4EED" w:rsidP="009A46EE">
      <w:pPr>
        <w:pStyle w:val="Citationintense"/>
        <w:spacing w:before="0" w:after="0"/>
        <w:ind w:left="567" w:right="0"/>
        <w:rPr>
          <w:sz w:val="20"/>
          <w:szCs w:val="20"/>
        </w:rPr>
      </w:pPr>
      <w:r w:rsidRPr="009A46EE">
        <w:rPr>
          <w:sz w:val="20"/>
          <w:szCs w:val="20"/>
        </w:rPr>
        <w:t>Il reproduisit carrément l’architecture structurale du texte de Brecht tout en donnant un cachet local à la pièce en recourant à une légende populaire intitulée Les trois marabouts et la femme aveugle. Ce jeu avec le texte originel était marqué par une transformation des noms, des lieux et des personnages. </w:t>
      </w:r>
      <w:r w:rsidRPr="009A46EE">
        <w:rPr>
          <w:sz w:val="20"/>
          <w:szCs w:val="20"/>
          <w:vertAlign w:val="superscript"/>
        </w:rPr>
        <w:footnoteReference w:id="125"/>
      </w:r>
    </w:p>
    <w:p w:rsidR="009A46EE" w:rsidRDefault="009A46EE" w:rsidP="008D30CB">
      <w:pPr>
        <w:spacing w:after="0" w:line="360" w:lineRule="auto"/>
        <w:ind w:firstLine="284"/>
        <w:jc w:val="both"/>
        <w:rPr>
          <w:rFonts w:ascii="Times New Roman" w:hAnsi="Times New Roman"/>
          <w:sz w:val="24"/>
          <w:szCs w:val="24"/>
          <w:lang w:eastAsia="fr-FR"/>
        </w:rPr>
      </w:pPr>
    </w:p>
    <w:p w:rsidR="004E5C9E" w:rsidRDefault="006A4EED" w:rsidP="008D30CB">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Un cachet local donc. Et que dire du Meddah ? </w:t>
      </w:r>
    </w:p>
    <w:p w:rsidR="006A4EED" w:rsidRPr="00AD3F87" w:rsidRDefault="006A4EED" w:rsidP="000A4C86">
      <w:pPr>
        <w:spacing w:after="0" w:line="360" w:lineRule="auto"/>
        <w:ind w:firstLine="284"/>
        <w:jc w:val="both"/>
        <w:rPr>
          <w:rFonts w:asciiTheme="majorBidi" w:hAnsiTheme="majorBidi" w:cstheme="majorBidi"/>
          <w:sz w:val="24"/>
          <w:szCs w:val="24"/>
          <w:lang w:eastAsia="fr-FR"/>
        </w:rPr>
      </w:pPr>
      <w:r w:rsidRPr="003B00C8">
        <w:rPr>
          <w:rFonts w:ascii="Times New Roman" w:hAnsi="Times New Roman"/>
          <w:sz w:val="24"/>
          <w:szCs w:val="24"/>
          <w:lang w:eastAsia="fr-FR"/>
        </w:rPr>
        <w:t>Chœur et chant dans de nombreuses pièces de Kaki. Le meddah est un outil intéressant puisqu’il relance, décélère et accélère les actions et raconte les événements en jouant aussi sur la disposition spatiale. La distance créée avec le spectateur interpelle et pousse à la participation. Le chœur quant à lui cristallise le récit. Cette association d'éléments provenant de divers univers dramatiques donne paradoxalement au texte une certaine unité et produit un texte original. Chez Kaki, certes, la structure théâtrale (européenne) reste dominante, mais il parvient à inclure des éléments qui enrichissent la scène et lui donnent un ton original</w:t>
      </w:r>
      <w:r w:rsidR="004E5C9E">
        <w:rPr>
          <w:rFonts w:ascii="Times New Roman" w:hAnsi="Times New Roman"/>
          <w:sz w:val="24"/>
          <w:szCs w:val="24"/>
          <w:lang w:eastAsia="fr-FR"/>
        </w:rPr>
        <w:t>, principalement la « Halqa», il le dit d’ailleurs explicitement dans cette déclaration : </w:t>
      </w:r>
      <w:r w:rsidR="00AD3F87" w:rsidRPr="00AD3F87">
        <w:rPr>
          <w:rFonts w:asciiTheme="majorBidi" w:hAnsiTheme="majorBidi" w:cstheme="majorBidi"/>
          <w:sz w:val="24"/>
          <w:szCs w:val="24"/>
          <w:lang w:eastAsia="fr-FR"/>
        </w:rPr>
        <w:t>« </w:t>
      </w:r>
      <w:r w:rsidR="004E5C9E" w:rsidRPr="00AD3F87">
        <w:rPr>
          <w:rFonts w:asciiTheme="majorBidi" w:hAnsiTheme="majorBidi" w:cstheme="majorBidi"/>
          <w:sz w:val="24"/>
          <w:szCs w:val="24"/>
        </w:rPr>
        <w:t>Le théâtre ne peut être vu qu'après les trois coups sur scène. Et j'irai même plus loin. On peut effacer les trois coups, y compris la scène. Passer à la "Halqa" »</w:t>
      </w:r>
      <w:r w:rsidR="004E5C9E" w:rsidRPr="00AD3F87">
        <w:rPr>
          <w:rStyle w:val="Appelnotedebasdep"/>
          <w:rFonts w:asciiTheme="majorBidi" w:hAnsiTheme="majorBidi" w:cstheme="majorBidi"/>
          <w:iCs/>
          <w:sz w:val="24"/>
          <w:szCs w:val="24"/>
        </w:rPr>
        <w:footnoteReference w:id="126"/>
      </w:r>
      <w:r w:rsidR="00AD3F87">
        <w:rPr>
          <w:rFonts w:asciiTheme="majorBidi" w:hAnsiTheme="majorBidi" w:cstheme="majorBidi"/>
          <w:sz w:val="24"/>
          <w:szCs w:val="24"/>
        </w:rPr>
        <w:t>.</w:t>
      </w:r>
      <w:r w:rsidR="004E5C9E" w:rsidRPr="00AD3F87">
        <w:rPr>
          <w:rFonts w:asciiTheme="majorBidi" w:hAnsiTheme="majorBidi" w:cstheme="majorBidi"/>
          <w:sz w:val="24"/>
          <w:szCs w:val="24"/>
          <w:lang w:eastAsia="fr-FR"/>
        </w:rPr>
        <w:t> </w:t>
      </w:r>
    </w:p>
    <w:p w:rsidR="006A4EED" w:rsidRPr="003B00C8" w:rsidRDefault="006A4EED" w:rsidP="00AD3F87">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La littérature orale est importante chez Kaki qui la perçoit comme un véhicule de culture. Mais lorsque les résidus de la littérature orale s'intègrent à la structure théâtrale européenne, cette oralité perd immanquablement de son identité en obéissant au cadre de l'appareil théâtral occidental. Le meddah comme d’autres ne sont pas à l’abri de ce risque inévitable. Mais l’approche de Kaki, bien que difficile est la bonne, car son objectif est de déployer un travail original qui associerait les traces de plusieurs cultures. Dans cette tentative Kaki choisi de ne jamais quitter les lieux conventionnels du théâtre, mais plutôt de les infiltrer puis les transformer de l’intérieur. Son travail sera payant.</w:t>
      </w:r>
    </w:p>
    <w:p w:rsidR="00D10117" w:rsidRDefault="006A4EED" w:rsidP="00AD3F87">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lastRenderedPageBreak/>
        <w:t xml:space="preserve">Payant en effet, puisque Kaki parviendra à toucher le public. Un large public. Car, faut-il le rappeler, toutes ces recherches sur l'intégration dans l'écriture théâtrale des formes littéraires et spectaculaires populaires vise d’abord à atteindre le grand public, souvent réfractaire au théâtre. </w:t>
      </w:r>
    </w:p>
    <w:p w:rsidR="00D10117" w:rsidRDefault="006A4EED" w:rsidP="00AD3F87">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Alors, comment arriver à séduire les spectateurs ? </w:t>
      </w:r>
    </w:p>
    <w:p w:rsidR="006A4EED" w:rsidRPr="003B00C8" w:rsidRDefault="006A4EED" w:rsidP="00AD3F87">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En utilisant les signes de la culture populaire et en les intégrant dans le théâtre, pour en</w:t>
      </w:r>
      <w:r>
        <w:rPr>
          <w:rFonts w:ascii="Times New Roman" w:hAnsi="Times New Roman"/>
          <w:sz w:val="24"/>
          <w:szCs w:val="24"/>
          <w:lang w:eastAsia="fr-FR"/>
        </w:rPr>
        <w:t xml:space="preserve"> </w:t>
      </w:r>
      <w:r w:rsidRPr="003B00C8">
        <w:rPr>
          <w:rFonts w:ascii="Times New Roman" w:hAnsi="Times New Roman"/>
          <w:sz w:val="24"/>
          <w:szCs w:val="24"/>
          <w:lang w:eastAsia="fr-FR"/>
        </w:rPr>
        <w:t>faire une fête ponctuée de réalismes. En réemployant par exemple, comme on l’a vu,  le meddah, le chant et la poésie populaire, Kaki parvient à provoquer une forme de reconnaissance dans le public, un déclic qui les pousse à découvrir le théâtre à travers les signes de leur propre culture.</w:t>
      </w:r>
    </w:p>
    <w:p w:rsidR="006A4EED" w:rsidRPr="003B00C8" w:rsidRDefault="006A4EED" w:rsidP="009B0FB8">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Cette géniale approche, Kaki l’a développé</w:t>
      </w:r>
      <w:r w:rsidR="004C260C">
        <w:rPr>
          <w:rFonts w:ascii="Times New Roman" w:hAnsi="Times New Roman"/>
          <w:sz w:val="24"/>
          <w:szCs w:val="24"/>
          <w:lang w:eastAsia="fr-FR"/>
        </w:rPr>
        <w:t>e</w:t>
      </w:r>
      <w:r w:rsidRPr="003B00C8">
        <w:rPr>
          <w:rFonts w:ascii="Times New Roman" w:hAnsi="Times New Roman"/>
          <w:sz w:val="24"/>
          <w:szCs w:val="24"/>
          <w:lang w:eastAsia="fr-FR"/>
        </w:rPr>
        <w:t xml:space="preserve"> grâce à son positionnement idéal au carrefour des influences occidentales et africaines. Ould Abderrahmane Kaki lisait beaucoup. Il a en quelque sorte touché à tous les genres et à tous les registres. C'est d'ailleurs pour cette raison qu'on retrouve dans son théâtre des résidus de toutes ses expériences passées. Il parvient à «concilier» trois structures dramatiques, apparemment éloignées l'une de l'autre : </w:t>
      </w:r>
    </w:p>
    <w:p w:rsidR="006A4EED" w:rsidRPr="00E3335D" w:rsidRDefault="006A4EED" w:rsidP="00230C65">
      <w:pPr>
        <w:pStyle w:val="Paragraphedeliste"/>
        <w:numPr>
          <w:ilvl w:val="0"/>
          <w:numId w:val="72"/>
        </w:numPr>
        <w:spacing w:line="360" w:lineRule="auto"/>
        <w:jc w:val="both"/>
        <w:rPr>
          <w:rFonts w:ascii="Times New Roman" w:hAnsi="Times New Roman"/>
          <w:sz w:val="24"/>
          <w:szCs w:val="24"/>
          <w:lang w:eastAsia="fr-FR"/>
        </w:rPr>
      </w:pPr>
      <w:r w:rsidRPr="00E3335D">
        <w:rPr>
          <w:rFonts w:ascii="Times New Roman" w:hAnsi="Times New Roman"/>
          <w:sz w:val="24"/>
          <w:szCs w:val="24"/>
          <w:lang w:eastAsia="fr-FR"/>
        </w:rPr>
        <w:t xml:space="preserve">formes populaires, </w:t>
      </w:r>
    </w:p>
    <w:p w:rsidR="006A4EED" w:rsidRPr="00E3335D" w:rsidRDefault="006A4EED" w:rsidP="00230C65">
      <w:pPr>
        <w:pStyle w:val="Paragraphedeliste"/>
        <w:numPr>
          <w:ilvl w:val="0"/>
          <w:numId w:val="72"/>
        </w:numPr>
        <w:spacing w:line="360" w:lineRule="auto"/>
        <w:jc w:val="both"/>
        <w:rPr>
          <w:rFonts w:ascii="Times New Roman" w:hAnsi="Times New Roman"/>
          <w:sz w:val="24"/>
          <w:szCs w:val="24"/>
          <w:lang w:eastAsia="fr-FR"/>
        </w:rPr>
      </w:pPr>
      <w:r w:rsidRPr="00E3335D">
        <w:rPr>
          <w:rFonts w:ascii="Times New Roman" w:hAnsi="Times New Roman"/>
          <w:sz w:val="24"/>
          <w:szCs w:val="24"/>
          <w:lang w:eastAsia="fr-FR"/>
        </w:rPr>
        <w:t xml:space="preserve">Eschyle et </w:t>
      </w:r>
    </w:p>
    <w:p w:rsidR="006A4EED" w:rsidRPr="00E3335D" w:rsidRDefault="006A4EED" w:rsidP="00230C65">
      <w:pPr>
        <w:pStyle w:val="Paragraphedeliste"/>
        <w:numPr>
          <w:ilvl w:val="0"/>
          <w:numId w:val="72"/>
        </w:numPr>
        <w:spacing w:line="360" w:lineRule="auto"/>
        <w:jc w:val="both"/>
        <w:rPr>
          <w:rFonts w:ascii="Times New Roman" w:hAnsi="Times New Roman"/>
          <w:sz w:val="24"/>
          <w:szCs w:val="24"/>
          <w:lang w:eastAsia="fr-FR"/>
        </w:rPr>
      </w:pPr>
      <w:r w:rsidRPr="00E3335D">
        <w:rPr>
          <w:rFonts w:ascii="Times New Roman" w:hAnsi="Times New Roman"/>
          <w:sz w:val="24"/>
          <w:szCs w:val="24"/>
          <w:lang w:eastAsia="fr-FR"/>
        </w:rPr>
        <w:t xml:space="preserve">Brecht. </w:t>
      </w:r>
    </w:p>
    <w:p w:rsidR="006A4EED" w:rsidRPr="008C6FC7" w:rsidRDefault="006A4EED" w:rsidP="008C6FC7">
      <w:pPr>
        <w:spacing w:after="0" w:line="360" w:lineRule="auto"/>
        <w:ind w:firstLine="284"/>
        <w:jc w:val="both"/>
        <w:rPr>
          <w:rFonts w:ascii="Times New Roman" w:hAnsi="Times New Roman"/>
          <w:sz w:val="24"/>
          <w:szCs w:val="24"/>
          <w:lang w:eastAsia="fr-FR"/>
        </w:rPr>
      </w:pPr>
      <w:r w:rsidRPr="008C6FC7">
        <w:rPr>
          <w:rFonts w:ascii="Times New Roman" w:hAnsi="Times New Roman"/>
          <w:sz w:val="24"/>
          <w:szCs w:val="24"/>
          <w:lang w:eastAsia="fr-FR"/>
        </w:rPr>
        <w:t>Tout chez Kaki est mélange. On l’a vu, la littérature orale constituée essentiellement de contes et de poèmes populaires fournit à Kaki un matériau dramatique de première importance. Grace à cet enrichissement, la structure des pièces de Kaki obéit à une double logique narrative : la forme circulaire du conte (littérature orale africaine) et la structure théâtrale (influence occidentale). C’est ce mix qui fait Kaki.  Un récit qui s'inspire souvent de la légende populaire et y puise ses images et ses métaphores poétiques</w:t>
      </w:r>
      <w:r w:rsidRPr="008C6FC7">
        <w:rPr>
          <w:rStyle w:val="Appelnotedebasdep"/>
          <w:rFonts w:ascii="Times New Roman" w:hAnsi="Times New Roman"/>
          <w:sz w:val="24"/>
          <w:szCs w:val="24"/>
          <w:lang w:eastAsia="fr-FR"/>
        </w:rPr>
        <w:footnoteReference w:id="127"/>
      </w:r>
      <w:r w:rsidRPr="008C6FC7">
        <w:rPr>
          <w:rFonts w:ascii="Times New Roman" w:hAnsi="Times New Roman"/>
          <w:sz w:val="24"/>
          <w:szCs w:val="24"/>
          <w:lang w:eastAsia="fr-FR"/>
        </w:rPr>
        <w:t xml:space="preserve">. </w:t>
      </w:r>
    </w:p>
    <w:p w:rsidR="006A4EED" w:rsidRPr="003B00C8" w:rsidRDefault="006A4EED" w:rsidP="008C6FC7">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D’un autre côté et pour le versant « occidental », Kaki recourt à des techniques empruntées à différents types de théâtre : tragédie grecque, la comédie de Plaute, Molière, drame élisabéthain, Artaud, Absurde et Brecht. Plusieurs procédés </w:t>
      </w:r>
      <w:r w:rsidRPr="003B00C8">
        <w:rPr>
          <w:rFonts w:ascii="Times New Roman" w:hAnsi="Times New Roman"/>
          <w:sz w:val="24"/>
          <w:szCs w:val="24"/>
          <w:lang w:eastAsia="fr-FR"/>
        </w:rPr>
        <w:lastRenderedPageBreak/>
        <w:t>dramatiques sont agencés, conférant à son discours une dimension plurielle. C’est Kaki, ce véritable maître, précurseur d’un théâtre différent, qui impressionnera le Che lors d’une représentation sa pièce «132 ans» dans la salle Atlas en 1962</w:t>
      </w:r>
      <w:r w:rsidR="008C6FC7">
        <w:rPr>
          <w:rFonts w:ascii="Times New Roman" w:hAnsi="Times New Roman"/>
          <w:sz w:val="24"/>
          <w:szCs w:val="24"/>
          <w:lang w:eastAsia="fr-FR"/>
        </w:rPr>
        <w:t>.</w:t>
      </w:r>
    </w:p>
    <w:p w:rsidR="008C6FC7" w:rsidRDefault="008C6FC7" w:rsidP="000A5C6C">
      <w:pPr>
        <w:pStyle w:val="Titre5"/>
        <w:spacing w:before="0" w:after="0"/>
        <w:ind w:firstLine="284"/>
        <w:jc w:val="both"/>
        <w:rPr>
          <w:rFonts w:ascii="Times New Roman" w:hAnsi="Times New Roman"/>
          <w:color w:val="auto"/>
          <w:lang w:eastAsia="fr-FR"/>
        </w:rPr>
      </w:pPr>
    </w:p>
    <w:p w:rsidR="006A4EED" w:rsidRPr="000A5C6C" w:rsidRDefault="000A5C6C" w:rsidP="000A5C6C">
      <w:pPr>
        <w:pStyle w:val="Titre5"/>
        <w:spacing w:before="0" w:after="0"/>
        <w:ind w:firstLine="284"/>
        <w:jc w:val="both"/>
        <w:rPr>
          <w:rFonts w:ascii="Times New Roman" w:hAnsi="Times New Roman"/>
          <w:color w:val="auto"/>
          <w:lang w:eastAsia="fr-FR"/>
        </w:rPr>
      </w:pPr>
      <w:bookmarkStart w:id="72" w:name="_Toc471484443"/>
      <w:r>
        <w:rPr>
          <w:rFonts w:ascii="Times New Roman" w:hAnsi="Times New Roman"/>
          <w:color w:val="auto"/>
          <w:lang w:eastAsia="fr-FR"/>
        </w:rPr>
        <w:t>2.1.2.</w:t>
      </w:r>
      <w:r w:rsidRPr="000A5C6C">
        <w:rPr>
          <w:rFonts w:ascii="Times New Roman" w:hAnsi="Times New Roman"/>
          <w:color w:val="auto"/>
          <w:lang w:eastAsia="fr-FR"/>
        </w:rPr>
        <w:t xml:space="preserve"> Ghelderode</w:t>
      </w:r>
      <w:r w:rsidR="006A4EED" w:rsidRPr="000A5C6C">
        <w:rPr>
          <w:rFonts w:ascii="Times New Roman" w:hAnsi="Times New Roman"/>
          <w:color w:val="auto"/>
          <w:lang w:eastAsia="fr-FR"/>
        </w:rPr>
        <w:t>, fils de Victor Hugo</w:t>
      </w:r>
      <w:bookmarkEnd w:id="72"/>
    </w:p>
    <w:p w:rsidR="006A4EED" w:rsidRPr="003B00C8" w:rsidRDefault="006A4EED" w:rsidP="000A5C6C">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 xml:space="preserve">Dans les </w:t>
      </w:r>
      <w:r w:rsidRPr="003B00C8">
        <w:rPr>
          <w:rFonts w:ascii="Times New Roman" w:hAnsi="Times New Roman"/>
          <w:i/>
          <w:sz w:val="24"/>
          <w:szCs w:val="24"/>
          <w:lang w:eastAsia="fr-FR"/>
        </w:rPr>
        <w:t>Entretiens d’Ostende</w:t>
      </w:r>
      <w:r w:rsidRPr="003B00C8">
        <w:rPr>
          <w:rFonts w:ascii="Times New Roman" w:hAnsi="Times New Roman"/>
          <w:sz w:val="24"/>
          <w:szCs w:val="24"/>
          <w:lang w:eastAsia="fr-FR"/>
        </w:rPr>
        <w:t xml:space="preserve"> on découvre une évocation, par Ghelderode, des œuvres théâtrales qui auraient contribué à développer lentement le dramaturge en lui :</w:t>
      </w:r>
    </w:p>
    <w:p w:rsidR="006A4EED" w:rsidRPr="00DF3EE6" w:rsidRDefault="006A4EED" w:rsidP="00DF3EE6">
      <w:pPr>
        <w:pStyle w:val="Citationintense"/>
        <w:spacing w:before="0" w:after="0"/>
        <w:ind w:left="567" w:right="0"/>
        <w:rPr>
          <w:i/>
          <w:sz w:val="20"/>
          <w:szCs w:val="20"/>
          <w:lang w:eastAsia="fr-FR"/>
        </w:rPr>
      </w:pPr>
      <w:r w:rsidRPr="00BB7E43">
        <w:t> </w:t>
      </w:r>
      <w:r w:rsidRPr="00DF3EE6">
        <w:rPr>
          <w:sz w:val="20"/>
          <w:szCs w:val="20"/>
        </w:rPr>
        <w:t>J’assistais à des mélodrames sanglants, comme La Tour de Nesle. Ainsi, peu à peu, s’est fortifiée en moi cette vocation du Théâtre. Et je devais être bien mordu quand, vers dix-sept ou dix-huit ans, je me suis mis à lire toute une littérature dramatique dont j’ai gardé la trace — notamment le théâtre de Schiller et celui de Victor Hugo. Malgré sa redondance et tout ce qui, maintenant, fait rire, Victor Hugo à son heure m’a beaucoup impressionné. Ruy Blas à juste titre, et même des œuvres moins défendables mais qui contenaient de bons moments, des scènes toutes cuites que j’acceptais sans discussion parce que, dans le même temps, je découvrais le théâtre souterrain, le monde des marionnettes populaires où le grandiloque est de rigueur. Comme le panache et la dague, le poison et la lettre cachetée!</w:t>
      </w:r>
      <w:r w:rsidRPr="00DF3EE6">
        <w:rPr>
          <w:sz w:val="20"/>
          <w:szCs w:val="20"/>
          <w:vertAlign w:val="superscript"/>
          <w:lang w:eastAsia="fr-FR"/>
        </w:rPr>
        <w:footnoteReference w:id="128"/>
      </w:r>
    </w:p>
    <w:p w:rsidR="00DF3EE6" w:rsidRDefault="00DF3EE6" w:rsidP="006A4EED">
      <w:pPr>
        <w:spacing w:line="360" w:lineRule="auto"/>
        <w:ind w:firstLine="709"/>
        <w:jc w:val="both"/>
        <w:rPr>
          <w:rFonts w:ascii="Times New Roman" w:hAnsi="Times New Roman"/>
          <w:sz w:val="24"/>
          <w:szCs w:val="24"/>
          <w:lang w:eastAsia="fr-FR"/>
        </w:rPr>
      </w:pPr>
    </w:p>
    <w:p w:rsidR="006A4EED" w:rsidRPr="00DF3EE6" w:rsidRDefault="006A4EED" w:rsidP="00FA0248">
      <w:pPr>
        <w:spacing w:after="0" w:line="360" w:lineRule="auto"/>
        <w:ind w:firstLine="284"/>
        <w:jc w:val="both"/>
        <w:rPr>
          <w:rFonts w:ascii="Times New Roman" w:hAnsi="Times New Roman"/>
          <w:sz w:val="24"/>
          <w:szCs w:val="24"/>
          <w:lang w:eastAsia="fr-FR"/>
        </w:rPr>
      </w:pPr>
      <w:r w:rsidRPr="00DF3EE6">
        <w:rPr>
          <w:rFonts w:ascii="Times New Roman" w:hAnsi="Times New Roman"/>
          <w:sz w:val="24"/>
          <w:szCs w:val="24"/>
          <w:lang w:eastAsia="fr-FR"/>
        </w:rPr>
        <w:t xml:space="preserve">D’après André Vandegans, Hugo le romancier français pourrait avoir également agi sur le dramaturge qui, dans </w:t>
      </w:r>
      <w:r w:rsidRPr="00DF3EE6">
        <w:rPr>
          <w:rFonts w:ascii="Times New Roman" w:hAnsi="Times New Roman"/>
          <w:i/>
          <w:sz w:val="24"/>
          <w:szCs w:val="24"/>
          <w:lang w:eastAsia="fr-FR"/>
        </w:rPr>
        <w:t>Les Entretiens d’Ostende</w:t>
      </w:r>
      <w:r w:rsidRPr="00DF3EE6">
        <w:rPr>
          <w:rFonts w:ascii="Times New Roman" w:hAnsi="Times New Roman"/>
          <w:sz w:val="24"/>
          <w:szCs w:val="24"/>
          <w:lang w:eastAsia="fr-FR"/>
        </w:rPr>
        <w:t>, parlant de l’amour du « mystère», du « drame » et même de la « peur » qu’il éprouvait durant son « enfance solitaire ». Ce faisant, il cite les nombreux auteurs proches de cette passion, et fait une place, spéciale,  à Hugo</w:t>
      </w:r>
      <w:r w:rsidR="007D0192" w:rsidRPr="00DF3EE6">
        <w:rPr>
          <w:rFonts w:ascii="Times New Roman" w:hAnsi="Times New Roman"/>
          <w:sz w:val="24"/>
          <w:szCs w:val="24"/>
          <w:lang w:eastAsia="fr-FR"/>
        </w:rPr>
        <w:t>.</w:t>
      </w:r>
      <w:r w:rsidRPr="00DF3EE6">
        <w:rPr>
          <w:rFonts w:ascii="Times New Roman" w:hAnsi="Times New Roman"/>
          <w:sz w:val="24"/>
          <w:szCs w:val="24"/>
          <w:lang w:eastAsia="fr-FR"/>
        </w:rPr>
        <w:t xml:space="preserve"> Il se souvient, dit-il, de </w:t>
      </w:r>
      <w:r w:rsidRPr="00DF3EE6">
        <w:rPr>
          <w:rFonts w:ascii="Times New Roman" w:hAnsi="Times New Roman"/>
          <w:i/>
          <w:sz w:val="24"/>
          <w:szCs w:val="24"/>
          <w:lang w:eastAsia="fr-FR"/>
        </w:rPr>
        <w:t>Notre-Dame de Paris</w:t>
      </w:r>
      <w:r w:rsidRPr="00DF3EE6">
        <w:rPr>
          <w:rFonts w:ascii="Times New Roman" w:hAnsi="Times New Roman"/>
          <w:sz w:val="24"/>
          <w:szCs w:val="24"/>
          <w:lang w:eastAsia="fr-FR"/>
        </w:rPr>
        <w:t xml:space="preserve"> et de </w:t>
      </w:r>
      <w:r w:rsidRPr="00DF3EE6">
        <w:rPr>
          <w:rFonts w:ascii="Times New Roman" w:hAnsi="Times New Roman"/>
          <w:i/>
          <w:sz w:val="24"/>
          <w:szCs w:val="24"/>
          <w:lang w:eastAsia="fr-FR"/>
        </w:rPr>
        <w:t>L’Homme qui rit</w:t>
      </w:r>
      <w:r w:rsidRPr="00DF3EE6">
        <w:rPr>
          <w:rFonts w:ascii="Times New Roman" w:hAnsi="Times New Roman"/>
          <w:sz w:val="24"/>
          <w:szCs w:val="24"/>
          <w:lang w:eastAsia="fr-FR"/>
        </w:rPr>
        <w:t>, avouant qu’il a « grande envie de les relire ». Ghelderode pourrait s’être inspiré de ces deux romans. D’ailleurs pour Vandegans, il est possible, dans ces influences, de remonter jusqu’à Han d’Islande qui pourrait avoir aussi frappé l’écrivain</w:t>
      </w:r>
      <w:r w:rsidRPr="00DF3EE6">
        <w:rPr>
          <w:rStyle w:val="Appelnotedebasdep"/>
          <w:rFonts w:ascii="Times New Roman" w:hAnsi="Times New Roman"/>
          <w:sz w:val="24"/>
          <w:szCs w:val="24"/>
          <w:lang w:eastAsia="fr-FR"/>
        </w:rPr>
        <w:footnoteReference w:id="129"/>
      </w:r>
    </w:p>
    <w:p w:rsidR="00DF3EE6" w:rsidRDefault="00DF3EE6" w:rsidP="00496195">
      <w:pPr>
        <w:pStyle w:val="Titre4"/>
        <w:spacing w:before="0" w:after="0" w:line="360" w:lineRule="auto"/>
        <w:ind w:left="0" w:firstLine="284"/>
        <w:jc w:val="both"/>
        <w:rPr>
          <w:rFonts w:ascii="Times New Roman" w:hAnsi="Times New Roman"/>
          <w:i w:val="0"/>
          <w:iCs/>
          <w:lang w:eastAsia="fr-FR"/>
        </w:rPr>
      </w:pPr>
    </w:p>
    <w:p w:rsidR="006A4EED" w:rsidRPr="003246F3" w:rsidRDefault="00496195" w:rsidP="00496195">
      <w:pPr>
        <w:pStyle w:val="Titre4"/>
        <w:spacing w:before="0" w:after="0" w:line="360" w:lineRule="auto"/>
        <w:ind w:left="0" w:firstLine="284"/>
        <w:jc w:val="both"/>
        <w:rPr>
          <w:rFonts w:ascii="Times New Roman" w:hAnsi="Times New Roman"/>
          <w:i w:val="0"/>
          <w:iCs/>
          <w:lang w:eastAsia="fr-FR"/>
        </w:rPr>
      </w:pPr>
      <w:bookmarkStart w:id="73" w:name="_Toc471484444"/>
      <w:r>
        <w:rPr>
          <w:rFonts w:ascii="Times New Roman" w:hAnsi="Times New Roman"/>
          <w:i w:val="0"/>
          <w:iCs/>
          <w:lang w:eastAsia="fr-FR"/>
        </w:rPr>
        <w:t>2.2.</w:t>
      </w:r>
      <w:r w:rsidRPr="003246F3">
        <w:rPr>
          <w:rFonts w:ascii="Times New Roman" w:hAnsi="Times New Roman"/>
          <w:i w:val="0"/>
          <w:iCs/>
          <w:lang w:eastAsia="fr-FR"/>
        </w:rPr>
        <w:t xml:space="preserve"> Des</w:t>
      </w:r>
      <w:r w:rsidR="006A4EED" w:rsidRPr="003246F3">
        <w:rPr>
          <w:rFonts w:ascii="Times New Roman" w:hAnsi="Times New Roman"/>
          <w:i w:val="0"/>
          <w:iCs/>
          <w:lang w:eastAsia="fr-FR"/>
        </w:rPr>
        <w:t xml:space="preserve"> thématiques divergentes</w:t>
      </w:r>
      <w:bookmarkEnd w:id="73"/>
    </w:p>
    <w:p w:rsidR="006A4EED" w:rsidRPr="003B00C8" w:rsidRDefault="006A4EED" w:rsidP="00496195">
      <w:pPr>
        <w:spacing w:after="0" w:line="360" w:lineRule="auto"/>
        <w:ind w:firstLine="284"/>
        <w:jc w:val="both"/>
        <w:rPr>
          <w:rFonts w:ascii="Times New Roman" w:hAnsi="Times New Roman"/>
          <w:sz w:val="24"/>
          <w:szCs w:val="24"/>
          <w:lang w:eastAsia="fr-FR"/>
        </w:rPr>
      </w:pPr>
      <w:r w:rsidRPr="003B00C8">
        <w:rPr>
          <w:rFonts w:ascii="Times New Roman" w:hAnsi="Times New Roman"/>
          <w:sz w:val="24"/>
          <w:szCs w:val="24"/>
          <w:lang w:eastAsia="fr-FR"/>
        </w:rPr>
        <w:t>Plusieurs thématiques sont abordées par les deux auteurs. Mais d’une façon générale, Ghelderode s’intéresse beaucoup au rapport au religieux, tandis que Kaki porte un regard appuyé sur la société algérienne post-indépendante.</w:t>
      </w:r>
    </w:p>
    <w:p w:rsidR="00E54894" w:rsidRDefault="00E54894" w:rsidP="00496195">
      <w:pPr>
        <w:pStyle w:val="Titre5"/>
        <w:spacing w:before="0" w:after="0"/>
        <w:ind w:firstLine="284"/>
        <w:jc w:val="both"/>
        <w:rPr>
          <w:rFonts w:ascii="Times New Roman" w:hAnsi="Times New Roman"/>
          <w:color w:val="auto"/>
        </w:rPr>
      </w:pPr>
    </w:p>
    <w:p w:rsidR="006A4EED" w:rsidRPr="00496195" w:rsidRDefault="00496195" w:rsidP="00496195">
      <w:pPr>
        <w:pStyle w:val="Titre5"/>
        <w:spacing w:before="0" w:after="0"/>
        <w:ind w:firstLine="284"/>
        <w:jc w:val="both"/>
        <w:rPr>
          <w:rFonts w:ascii="Times New Roman" w:hAnsi="Times New Roman"/>
          <w:color w:val="auto"/>
        </w:rPr>
      </w:pPr>
      <w:bookmarkStart w:id="74" w:name="_Toc471484445"/>
      <w:r>
        <w:rPr>
          <w:rFonts w:ascii="Times New Roman" w:hAnsi="Times New Roman"/>
          <w:color w:val="auto"/>
        </w:rPr>
        <w:t>2.2.1.</w:t>
      </w:r>
      <w:r w:rsidRPr="00496195">
        <w:rPr>
          <w:rFonts w:ascii="Times New Roman" w:hAnsi="Times New Roman"/>
          <w:color w:val="auto"/>
        </w:rPr>
        <w:t xml:space="preserve"> Ghelderode</w:t>
      </w:r>
      <w:r w:rsidR="006A4EED" w:rsidRPr="00496195">
        <w:rPr>
          <w:rFonts w:ascii="Times New Roman" w:hAnsi="Times New Roman"/>
          <w:color w:val="auto"/>
        </w:rPr>
        <w:t>, un sens poussé de l’athéisme</w:t>
      </w:r>
      <w:bookmarkEnd w:id="74"/>
    </w:p>
    <w:p w:rsidR="006A4EED" w:rsidRPr="00D260DB" w:rsidRDefault="0032363D" w:rsidP="0032363D">
      <w:pPr>
        <w:spacing w:after="0" w:line="360" w:lineRule="auto"/>
        <w:ind w:firstLine="284"/>
        <w:jc w:val="both"/>
        <w:rPr>
          <w:rFonts w:ascii="Times New Roman" w:hAnsi="Times New Roman"/>
          <w:sz w:val="24"/>
          <w:szCs w:val="24"/>
        </w:rPr>
      </w:pPr>
      <w:r>
        <w:rPr>
          <w:rFonts w:ascii="Times New Roman" w:hAnsi="Times New Roman"/>
          <w:sz w:val="24"/>
          <w:szCs w:val="24"/>
        </w:rPr>
        <w:t>À</w:t>
      </w:r>
      <w:r w:rsidR="006A4EED" w:rsidRPr="003B00C8">
        <w:rPr>
          <w:rFonts w:ascii="Times New Roman" w:hAnsi="Times New Roman"/>
          <w:sz w:val="24"/>
          <w:szCs w:val="24"/>
        </w:rPr>
        <w:t xml:space="preserve"> la fin de la Première Guerre mondiale le théâtre européen comme la société est en lambeaux. Mais tandis que le théâtre tend à revenir aux fondements de ses grands classiques, le belge Michel de Ghelderode, ambitieux, se tourne lui vers le temps de la Passion. S’il est vrai </w:t>
      </w:r>
      <w:r w:rsidR="00A96DC1">
        <w:rPr>
          <w:rFonts w:ascii="Times New Roman" w:hAnsi="Times New Roman"/>
          <w:sz w:val="24"/>
          <w:szCs w:val="24"/>
        </w:rPr>
        <w:t xml:space="preserve">que </w:t>
      </w:r>
      <w:r w:rsidR="006A4EED" w:rsidRPr="003B00C8">
        <w:rPr>
          <w:rFonts w:ascii="Times New Roman" w:hAnsi="Times New Roman"/>
          <w:sz w:val="24"/>
          <w:szCs w:val="24"/>
        </w:rPr>
        <w:t xml:space="preserve">les artistes de l’entre-deux-guerres posent les mêmes questions que les grands mythes classiques, Ghelderode interroge lui les grands sujets bibliques, c’est son traitement singulier de l’héritage classique. Il est certes le fils d’une mère fortement religieuse qui </w:t>
      </w:r>
      <w:r w:rsidR="006A4EED" w:rsidRPr="00D260DB">
        <w:rPr>
          <w:rFonts w:ascii="Times New Roman" w:hAnsi="Times New Roman"/>
          <w:sz w:val="24"/>
          <w:szCs w:val="24"/>
        </w:rPr>
        <w:t>« connaissait le chant liturgique, parlait un latin de sacristie et croyait au diable qu'elle disait avoir vu maintes fois</w:t>
      </w:r>
      <w:r w:rsidR="001F26B0" w:rsidRPr="00D260DB">
        <w:rPr>
          <w:rFonts w:ascii="Times New Roman" w:hAnsi="Times New Roman"/>
          <w:sz w:val="24"/>
          <w:szCs w:val="24"/>
        </w:rPr>
        <w:t>»</w:t>
      </w:r>
      <w:r w:rsidR="006A4EED" w:rsidRPr="00D260DB">
        <w:rPr>
          <w:rFonts w:ascii="Times New Roman" w:hAnsi="Times New Roman"/>
          <w:sz w:val="24"/>
          <w:szCs w:val="24"/>
          <w:vertAlign w:val="superscript"/>
        </w:rPr>
        <w:footnoteReference w:id="130"/>
      </w:r>
      <w:r w:rsidR="006A4EED" w:rsidRPr="00D260DB">
        <w:rPr>
          <w:rFonts w:ascii="Times New Roman" w:hAnsi="Times New Roman"/>
          <w:sz w:val="24"/>
          <w:szCs w:val="24"/>
        </w:rPr>
        <w:t>,  Ghelderode se fera connaître pour son anticléricalisme</w:t>
      </w:r>
      <w:r w:rsidR="00D260DB">
        <w:rPr>
          <w:rFonts w:ascii="Times New Roman" w:hAnsi="Times New Roman"/>
          <w:sz w:val="24"/>
          <w:szCs w:val="24"/>
        </w:rPr>
        <w:t> »</w:t>
      </w:r>
      <w:r w:rsidR="006A4EED" w:rsidRPr="00D260DB">
        <w:rPr>
          <w:rFonts w:ascii="Times New Roman" w:hAnsi="Times New Roman"/>
          <w:sz w:val="24"/>
          <w:szCs w:val="24"/>
          <w:vertAlign w:val="superscript"/>
        </w:rPr>
        <w:footnoteReference w:id="131"/>
      </w:r>
      <w:r w:rsidR="006A4EED" w:rsidRPr="00D260DB">
        <w:rPr>
          <w:rFonts w:ascii="Times New Roman" w:hAnsi="Times New Roman"/>
          <w:sz w:val="24"/>
          <w:szCs w:val="24"/>
        </w:rPr>
        <w:t xml:space="preserve">. </w:t>
      </w:r>
    </w:p>
    <w:p w:rsidR="006A4EED" w:rsidRPr="003B00C8" w:rsidRDefault="006A4EED" w:rsidP="00FB2C22">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Il doit cette réputation anticléricale surtout à sa pièce </w:t>
      </w:r>
      <w:r w:rsidRPr="003B00C8">
        <w:rPr>
          <w:rFonts w:ascii="Times New Roman" w:hAnsi="Times New Roman"/>
          <w:i/>
          <w:sz w:val="24"/>
          <w:szCs w:val="24"/>
        </w:rPr>
        <w:t>Fastes d’Enfer</w:t>
      </w:r>
      <w:r w:rsidRPr="003B00C8">
        <w:rPr>
          <w:rFonts w:ascii="Times New Roman" w:hAnsi="Times New Roman"/>
          <w:sz w:val="24"/>
          <w:szCs w:val="24"/>
          <w:vertAlign w:val="superscript"/>
        </w:rPr>
        <w:footnoteReference w:id="132"/>
      </w:r>
      <w:r w:rsidRPr="003B00C8">
        <w:rPr>
          <w:rFonts w:ascii="Times New Roman" w:hAnsi="Times New Roman"/>
          <w:sz w:val="24"/>
          <w:szCs w:val="24"/>
        </w:rPr>
        <w:t xml:space="preserve"> qui horrifie le public bourgeois parisien en 1949. La pièce dépeint  la vie corrompue et pourrie d’un diocèse. L’intrique est carrément à charge : l’évêque de Lapideopolis se meurt. Ses prêtres, corrompus et sans honneur, symbolisent les sept péchés capitaux. Ils souhaitent se débarrasser de ce supérieur qui ne cesse de dénoncer leur hypocrisie. Alors ils l’empoisonnent et attendent la fin de son agonie. Cependant l’évêque revient de la mort, il reconnaît ses assassins terrifiés mais finalement leur pardonne et meurt.  Les prêtres fêtent cette mort, dans un soupir de soulagement et de célébration de leur victoire. </w:t>
      </w:r>
    </w:p>
    <w:p w:rsidR="006A4EED" w:rsidRPr="003B00C8" w:rsidRDefault="006A4EED" w:rsidP="00FB2C22">
      <w:pPr>
        <w:spacing w:after="0" w:line="360" w:lineRule="auto"/>
        <w:ind w:firstLine="284"/>
        <w:jc w:val="both"/>
        <w:rPr>
          <w:rFonts w:ascii="Times New Roman" w:hAnsi="Times New Roman"/>
          <w:sz w:val="24"/>
          <w:szCs w:val="24"/>
        </w:rPr>
      </w:pPr>
      <w:r w:rsidRPr="003B00C8">
        <w:rPr>
          <w:rFonts w:ascii="Times New Roman" w:hAnsi="Times New Roman"/>
          <w:sz w:val="24"/>
          <w:szCs w:val="24"/>
        </w:rPr>
        <w:t>Bien que la critique de l’Église soit claire, Ghelderode proteste contre cette interprétation : selon lui il s’agit d’un « malentendu », les Fastes d’Enfer étant « l’œuvre d’un moraliste » et non pas « d’un anticlérical »</w:t>
      </w:r>
      <w:r w:rsidRPr="003B00C8">
        <w:rPr>
          <w:rFonts w:ascii="Times New Roman" w:hAnsi="Times New Roman"/>
          <w:sz w:val="24"/>
          <w:szCs w:val="24"/>
          <w:vertAlign w:val="superscript"/>
        </w:rPr>
        <w:footnoteReference w:id="133"/>
      </w:r>
      <w:r w:rsidRPr="003B00C8">
        <w:rPr>
          <w:rFonts w:ascii="Times New Roman" w:hAnsi="Times New Roman"/>
          <w:sz w:val="24"/>
          <w:szCs w:val="24"/>
        </w:rPr>
        <w:t>. Cependant, l’héritage biblique, plus exactement l’histoire de la Passion sert à Ghelderode de point de départ pour deux grands drames : pour Barabbas et Mademoiselle Jaïre où il utilise deux aspects différents. Ghelderode a aussi deux autres pièces pour marionnettes, inspirées de la Passion : Le Mystère de la Passion de notre Seigneur Jésus-Christ et Le Massacre des Innocents qui évoquent l’un la naissance de Jésus, l’autre le massacre des nouveau-nés de Bethléem ordonné par Hérode.</w:t>
      </w:r>
    </w:p>
    <w:p w:rsidR="006A4EED" w:rsidRPr="003B00C8" w:rsidRDefault="006A4EED" w:rsidP="00FB2C22">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La réinterprétation moderne de la Passion dans</w:t>
      </w:r>
      <w:r w:rsidRPr="003B00C8">
        <w:rPr>
          <w:rFonts w:ascii="Times New Roman" w:hAnsi="Times New Roman"/>
          <w:i/>
          <w:sz w:val="24"/>
          <w:szCs w:val="24"/>
        </w:rPr>
        <w:t xml:space="preserve"> Barabbas</w:t>
      </w:r>
      <w:r w:rsidRPr="003B00C8">
        <w:rPr>
          <w:rFonts w:ascii="Times New Roman" w:hAnsi="Times New Roman"/>
          <w:sz w:val="24"/>
          <w:szCs w:val="24"/>
        </w:rPr>
        <w:t xml:space="preserve"> devient une critique sévère de la société de l’entre-deux-guerres. Ghelderode, comme beaucoup d’auteurs de l’époque, remonte aux sources, à </w:t>
      </w:r>
      <w:r w:rsidR="006D55DC">
        <w:rPr>
          <w:rFonts w:ascii="Times New Roman" w:hAnsi="Times New Roman"/>
          <w:sz w:val="24"/>
          <w:szCs w:val="24"/>
        </w:rPr>
        <w:t>l’</w:t>
      </w:r>
      <w:r w:rsidRPr="003B00C8">
        <w:rPr>
          <w:rFonts w:ascii="Times New Roman" w:hAnsi="Times New Roman"/>
          <w:sz w:val="24"/>
          <w:szCs w:val="24"/>
        </w:rPr>
        <w:t>héritage classique pour y trouver les réponses aux questions des années vingt, trente. Ghelderode répond avec Barabbas que cela n’a pas de sens. Les pièces de Ghelderode inspirées par la Bible reflètent sa vision noire du monde.</w:t>
      </w:r>
    </w:p>
    <w:p w:rsidR="00FB2C22" w:rsidRDefault="00FB2C22" w:rsidP="0035536F">
      <w:pPr>
        <w:pStyle w:val="Titre5"/>
        <w:spacing w:before="0" w:after="0"/>
        <w:ind w:firstLine="284"/>
        <w:jc w:val="both"/>
        <w:rPr>
          <w:rFonts w:ascii="Times New Roman" w:hAnsi="Times New Roman"/>
          <w:color w:val="auto"/>
        </w:rPr>
      </w:pPr>
    </w:p>
    <w:p w:rsidR="006A4EED" w:rsidRPr="00FF40D9" w:rsidRDefault="00FF40D9" w:rsidP="0035536F">
      <w:pPr>
        <w:pStyle w:val="Titre5"/>
        <w:spacing w:before="0" w:after="0"/>
        <w:ind w:firstLine="284"/>
        <w:jc w:val="both"/>
        <w:rPr>
          <w:rFonts w:ascii="Times New Roman" w:hAnsi="Times New Roman"/>
          <w:color w:val="auto"/>
        </w:rPr>
      </w:pPr>
      <w:bookmarkStart w:id="75" w:name="_Toc471484446"/>
      <w:r>
        <w:rPr>
          <w:rFonts w:ascii="Times New Roman" w:hAnsi="Times New Roman"/>
          <w:color w:val="auto"/>
        </w:rPr>
        <w:t>2.2.2</w:t>
      </w:r>
      <w:r w:rsidR="0035536F">
        <w:rPr>
          <w:rFonts w:ascii="Times New Roman" w:hAnsi="Times New Roman"/>
          <w:color w:val="auto"/>
        </w:rPr>
        <w:t>.</w:t>
      </w:r>
      <w:r w:rsidR="0035536F" w:rsidRPr="00FF40D9">
        <w:rPr>
          <w:rFonts w:ascii="Times New Roman" w:hAnsi="Times New Roman"/>
          <w:color w:val="auto"/>
        </w:rPr>
        <w:t xml:space="preserve"> Kaki</w:t>
      </w:r>
      <w:r w:rsidR="006A4EED" w:rsidRPr="00FF40D9">
        <w:rPr>
          <w:rFonts w:ascii="Times New Roman" w:hAnsi="Times New Roman"/>
          <w:color w:val="auto"/>
        </w:rPr>
        <w:t>, miroir de la société algérienne post-indépendance</w:t>
      </w:r>
      <w:bookmarkEnd w:id="75"/>
    </w:p>
    <w:p w:rsidR="006A4EED" w:rsidRPr="003B00C8" w:rsidRDefault="006A4EED" w:rsidP="0035536F">
      <w:pPr>
        <w:spacing w:after="0" w:line="360" w:lineRule="auto"/>
        <w:ind w:firstLine="284"/>
        <w:jc w:val="both"/>
        <w:rPr>
          <w:rFonts w:ascii="Times New Roman" w:hAnsi="Times New Roman"/>
          <w:sz w:val="24"/>
          <w:szCs w:val="24"/>
        </w:rPr>
      </w:pPr>
      <w:r w:rsidRPr="003B00C8">
        <w:rPr>
          <w:rFonts w:ascii="Times New Roman" w:hAnsi="Times New Roman"/>
          <w:sz w:val="24"/>
          <w:szCs w:val="24"/>
        </w:rPr>
        <w:t>Ould Abderahmane KAKI, s’intéresse très tôt à l’histoire de l’Algérie. Ahmed C</w:t>
      </w:r>
      <w:r w:rsidR="0035536F">
        <w:rPr>
          <w:rFonts w:ascii="Times New Roman" w:hAnsi="Times New Roman"/>
          <w:sz w:val="24"/>
          <w:szCs w:val="24"/>
        </w:rPr>
        <w:t>heniki</w:t>
      </w:r>
      <w:r w:rsidRPr="003B00C8">
        <w:rPr>
          <w:rFonts w:ascii="Times New Roman" w:hAnsi="Times New Roman"/>
          <w:sz w:val="24"/>
          <w:szCs w:val="24"/>
        </w:rPr>
        <w:t xml:space="preserve"> souligne d’ailleurs que c’était la tendance de l’époque : </w:t>
      </w:r>
    </w:p>
    <w:p w:rsidR="006A4EED" w:rsidRPr="00E63DDE" w:rsidRDefault="006A4EED" w:rsidP="00E63DDE">
      <w:pPr>
        <w:pStyle w:val="Citationintense"/>
        <w:spacing w:before="0" w:after="0"/>
        <w:ind w:left="567" w:right="0"/>
        <w:rPr>
          <w:sz w:val="20"/>
          <w:szCs w:val="20"/>
        </w:rPr>
      </w:pPr>
      <w:r w:rsidRPr="00BB7E43">
        <w:t xml:space="preserve"> </w:t>
      </w:r>
      <w:r w:rsidRPr="00E63DDE">
        <w:rPr>
          <w:sz w:val="20"/>
          <w:szCs w:val="20"/>
        </w:rPr>
        <w:t>Les réalités historiques de l’Algérie incitaient certains hommes de théâtre à adopter le discours brechtien et à mettre en scène certaines de ses pièces. Le propos de Brecht correspondait au discours politique de l’Algérie indépendante. Il était donc presque naturel pour certains auteurs algériens, très marqués par le discours politique et social de l’époque, de recourir à l’adaptation de textes traitant de problèmes liés à l’édification d’une société socialiste</w:t>
      </w:r>
      <w:r w:rsidRPr="00E63DDE">
        <w:rPr>
          <w:sz w:val="20"/>
          <w:szCs w:val="20"/>
          <w:vertAlign w:val="superscript"/>
        </w:rPr>
        <w:footnoteReference w:id="134"/>
      </w:r>
      <w:r w:rsidR="00E63DDE">
        <w:rPr>
          <w:sz w:val="20"/>
          <w:szCs w:val="20"/>
        </w:rPr>
        <w:t>.</w:t>
      </w:r>
      <w:r w:rsidRPr="00E63DDE">
        <w:rPr>
          <w:sz w:val="20"/>
          <w:szCs w:val="20"/>
          <w:vertAlign w:val="superscript"/>
        </w:rPr>
        <w:t xml:space="preserve"> </w:t>
      </w:r>
      <w:r w:rsidRPr="00E63DDE">
        <w:rPr>
          <w:sz w:val="20"/>
          <w:szCs w:val="20"/>
        </w:rPr>
        <w:t xml:space="preserve"> </w:t>
      </w:r>
    </w:p>
    <w:p w:rsidR="00E63DDE" w:rsidRDefault="006A4EED" w:rsidP="006A4EED">
      <w:pPr>
        <w:spacing w:line="360" w:lineRule="auto"/>
        <w:jc w:val="both"/>
        <w:rPr>
          <w:rFonts w:ascii="Times New Roman" w:hAnsi="Times New Roman"/>
          <w:sz w:val="24"/>
          <w:szCs w:val="24"/>
        </w:rPr>
      </w:pPr>
      <w:r w:rsidRPr="003B00C8">
        <w:rPr>
          <w:rFonts w:ascii="Times New Roman" w:hAnsi="Times New Roman"/>
          <w:sz w:val="24"/>
          <w:szCs w:val="24"/>
        </w:rPr>
        <w:t xml:space="preserve">         </w:t>
      </w:r>
    </w:p>
    <w:p w:rsidR="006A4EED" w:rsidRPr="003B00C8" w:rsidRDefault="006A4EED" w:rsidP="007A35CC">
      <w:pPr>
        <w:spacing w:after="0" w:line="360" w:lineRule="auto"/>
        <w:ind w:firstLine="284"/>
        <w:jc w:val="both"/>
        <w:rPr>
          <w:rFonts w:ascii="Times New Roman" w:hAnsi="Times New Roman"/>
          <w:sz w:val="24"/>
          <w:szCs w:val="24"/>
        </w:rPr>
      </w:pPr>
      <w:r w:rsidRPr="003B00C8">
        <w:rPr>
          <w:rFonts w:ascii="Times New Roman" w:hAnsi="Times New Roman"/>
          <w:sz w:val="24"/>
          <w:szCs w:val="24"/>
        </w:rPr>
        <w:t>L’histoire est au centre du théâtre algérien, précisément la lutte de libération. En réalité, l’histoire est présentée dans toutes les formes qui ont marqué le théâtre en Algérie. Ce sont des adaptateurs ou des « actualisateurs », qui exploitent souvent la traduction pour écrire une pièce de théâtre. Ahmed C</w:t>
      </w:r>
      <w:r w:rsidR="007A35CC">
        <w:rPr>
          <w:rFonts w:ascii="Times New Roman" w:hAnsi="Times New Roman"/>
          <w:sz w:val="24"/>
          <w:szCs w:val="24"/>
        </w:rPr>
        <w:t xml:space="preserve">heniki </w:t>
      </w:r>
      <w:r w:rsidRPr="003B00C8">
        <w:rPr>
          <w:rFonts w:ascii="Times New Roman" w:hAnsi="Times New Roman"/>
          <w:sz w:val="24"/>
          <w:szCs w:val="24"/>
        </w:rPr>
        <w:t>explique ainsi cette technique :</w:t>
      </w:r>
    </w:p>
    <w:p w:rsidR="000719C0" w:rsidRDefault="006A4EED" w:rsidP="000719C0">
      <w:pPr>
        <w:pStyle w:val="Citationintense"/>
        <w:spacing w:before="0" w:after="0"/>
        <w:ind w:left="567" w:right="0"/>
        <w:rPr>
          <w:sz w:val="20"/>
          <w:szCs w:val="20"/>
        </w:rPr>
      </w:pPr>
      <w:r w:rsidRPr="000719C0">
        <w:rPr>
          <w:sz w:val="20"/>
          <w:szCs w:val="20"/>
        </w:rPr>
        <w:t>Traduire n’est pas une entreprise facile. La traduction suppose une maîtrise parfaite des deux systèmes linguistiques en présence. Ce qui dans ce cas de figure, ne semble pas le cas. D’ailleurs, c’est pour cette raison que l’auteur recourt à l’actualisation-adaptation qui lui permet de passer outre les contraintes linguistiques</w:t>
      </w:r>
      <w:r w:rsidRPr="000719C0">
        <w:rPr>
          <w:sz w:val="20"/>
          <w:szCs w:val="20"/>
          <w:vertAlign w:val="superscript"/>
        </w:rPr>
        <w:footnoteReference w:id="135"/>
      </w:r>
      <w:r w:rsidR="000719C0">
        <w:rPr>
          <w:sz w:val="20"/>
          <w:szCs w:val="20"/>
        </w:rPr>
        <w:t>.</w:t>
      </w:r>
    </w:p>
    <w:p w:rsidR="006A4EED" w:rsidRPr="000719C0" w:rsidRDefault="006A4EED" w:rsidP="000719C0">
      <w:pPr>
        <w:pStyle w:val="Citationintense"/>
        <w:spacing w:before="0" w:after="0"/>
        <w:ind w:left="567" w:right="0"/>
        <w:rPr>
          <w:sz w:val="20"/>
          <w:szCs w:val="20"/>
        </w:rPr>
      </w:pPr>
      <w:r w:rsidRPr="000719C0">
        <w:rPr>
          <w:sz w:val="20"/>
          <w:szCs w:val="20"/>
        </w:rPr>
        <w:t xml:space="preserve">                                                    </w:t>
      </w:r>
    </w:p>
    <w:p w:rsidR="006A4EED" w:rsidRPr="003B00C8" w:rsidRDefault="006A4EED" w:rsidP="000719C0">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Une autre thématique, consécutive à celle de l’histoire, prend naturellement le relais : celle de la lutte des mouvements de libération nationale. Sur le plan politique, l’Algérie soutenait ces mouvements. Ce théâtre correspondait dès lors au discours officiel. Deux dramaturges algériens traitèrent particulièrement ces thèmes : Ould Abderrahmane K</w:t>
      </w:r>
      <w:r w:rsidR="000719C0">
        <w:rPr>
          <w:rFonts w:ascii="Times New Roman" w:eastAsia="Times New Roman" w:hAnsi="Times New Roman"/>
          <w:sz w:val="24"/>
          <w:szCs w:val="24"/>
          <w:lang w:eastAsia="fr-FR"/>
        </w:rPr>
        <w:t>aki</w:t>
      </w:r>
      <w:r w:rsidRPr="003B00C8">
        <w:rPr>
          <w:rFonts w:ascii="Times New Roman" w:eastAsia="Times New Roman" w:hAnsi="Times New Roman"/>
          <w:sz w:val="24"/>
          <w:szCs w:val="24"/>
          <w:lang w:eastAsia="fr-FR"/>
        </w:rPr>
        <w:t xml:space="preserve"> et Kateb Y</w:t>
      </w:r>
      <w:r w:rsidR="000719C0">
        <w:rPr>
          <w:rFonts w:ascii="Times New Roman" w:eastAsia="Times New Roman" w:hAnsi="Times New Roman"/>
          <w:sz w:val="24"/>
          <w:szCs w:val="24"/>
          <w:lang w:eastAsia="fr-FR"/>
        </w:rPr>
        <w:t>acine</w:t>
      </w:r>
      <w:r w:rsidRPr="003B00C8">
        <w:rPr>
          <w:rFonts w:ascii="Times New Roman" w:eastAsia="Times New Roman" w:hAnsi="Times New Roman"/>
          <w:sz w:val="24"/>
          <w:szCs w:val="24"/>
          <w:lang w:eastAsia="fr-FR"/>
        </w:rPr>
        <w:t xml:space="preserve">. Même si la conception dramaturgique est différente, ils essayèrent surtout de mettre en exergue les liens qui existent entre les révolutions. Ainsi, dans le théâtre de Kateb, les faits historiques servent à relater les destins qui unissent les peuples en lutte. L’histoire </w:t>
      </w:r>
      <w:r w:rsidRPr="003B00C8">
        <w:rPr>
          <w:rFonts w:ascii="Times New Roman" w:eastAsia="Times New Roman" w:hAnsi="Times New Roman"/>
          <w:sz w:val="24"/>
          <w:szCs w:val="24"/>
          <w:lang w:eastAsia="fr-FR"/>
        </w:rPr>
        <w:lastRenderedPageBreak/>
        <w:t>de l’Algérie devient étroitement liée à celle des autres peuples. Dans sa thèse sur Kateb Yacine, Jacqueline Arnaud l’explique ainsi :</w:t>
      </w:r>
    </w:p>
    <w:p w:rsidR="006A4EED" w:rsidRPr="00801E44" w:rsidRDefault="006A4EED" w:rsidP="00801E44">
      <w:pPr>
        <w:pStyle w:val="Citationintense"/>
        <w:spacing w:before="0" w:after="0"/>
        <w:ind w:left="567" w:right="0"/>
        <w:rPr>
          <w:sz w:val="20"/>
          <w:szCs w:val="20"/>
        </w:rPr>
      </w:pPr>
      <w:r w:rsidRPr="00BB7E43">
        <w:t xml:space="preserve">  </w:t>
      </w:r>
      <w:r w:rsidRPr="00801E44">
        <w:rPr>
          <w:sz w:val="20"/>
          <w:szCs w:val="20"/>
        </w:rPr>
        <w:t>Les pièces seront donc de vastes fresques embrassant l’histoire mondiale, et auxquelles l’écrivain se prépare par un énorme travail de documentation, puis de schématisation et de dramatisation (Kateb a mis trois ans pour écrire sa pièce sur le Vietnam et plus encore celle sur la Palestine). Il se donne pour tâche de « détribaliser » ses compatriotes en leur ouvrant la perspective internationaliste, en leur proposant des exemples de réalisations socialistes et démystifiant des idéologies réactionnaires</w:t>
      </w:r>
      <w:r w:rsidRPr="00801E44">
        <w:rPr>
          <w:sz w:val="20"/>
          <w:szCs w:val="20"/>
          <w:vertAlign w:val="superscript"/>
        </w:rPr>
        <w:footnoteReference w:id="136"/>
      </w:r>
      <w:r w:rsidR="00801E44">
        <w:rPr>
          <w:sz w:val="20"/>
          <w:szCs w:val="20"/>
        </w:rPr>
        <w:t>.</w:t>
      </w:r>
    </w:p>
    <w:p w:rsidR="00976265" w:rsidRDefault="00976265" w:rsidP="00976265">
      <w:pPr>
        <w:spacing w:after="0" w:line="360" w:lineRule="auto"/>
        <w:ind w:firstLine="284"/>
        <w:jc w:val="both"/>
        <w:rPr>
          <w:rFonts w:ascii="Times New Roman" w:eastAsia="Times New Roman" w:hAnsi="Times New Roman"/>
          <w:sz w:val="24"/>
          <w:szCs w:val="24"/>
          <w:lang w:eastAsia="fr-FR"/>
        </w:rPr>
      </w:pPr>
    </w:p>
    <w:p w:rsidR="00973382" w:rsidRDefault="006A4EED" w:rsidP="0097626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Après avoir situé les deux auteurs dans leurs influences respectives,</w:t>
      </w:r>
      <w:r w:rsidR="00BB7E43">
        <w:rPr>
          <w:rFonts w:ascii="Times New Roman" w:eastAsia="Times New Roman" w:hAnsi="Times New Roman"/>
          <w:sz w:val="24"/>
          <w:szCs w:val="24"/>
          <w:lang w:eastAsia="fr-FR"/>
        </w:rPr>
        <w:t xml:space="preserve"> </w:t>
      </w:r>
      <w:r w:rsidR="00BB7E43" w:rsidRPr="00D41F7B">
        <w:rPr>
          <w:rFonts w:ascii="Times New Roman" w:eastAsia="Times New Roman" w:hAnsi="Times New Roman"/>
          <w:sz w:val="24"/>
          <w:szCs w:val="24"/>
          <w:lang w:eastAsia="fr-FR"/>
        </w:rPr>
        <w:t>nous allons procéder</w:t>
      </w:r>
      <w:r w:rsidRPr="00D41F7B">
        <w:rPr>
          <w:rFonts w:ascii="Times New Roman" w:eastAsia="Times New Roman" w:hAnsi="Times New Roman"/>
          <w:sz w:val="24"/>
          <w:szCs w:val="24"/>
          <w:lang w:eastAsia="fr-FR"/>
        </w:rPr>
        <w:t xml:space="preserve"> à</w:t>
      </w:r>
      <w:r w:rsidRPr="003B00C8">
        <w:rPr>
          <w:rFonts w:ascii="Times New Roman" w:eastAsia="Times New Roman" w:hAnsi="Times New Roman"/>
          <w:sz w:val="24"/>
          <w:szCs w:val="24"/>
          <w:lang w:eastAsia="fr-FR"/>
        </w:rPr>
        <w:t xml:space="preserve"> présent à l’analyse narratologique des deux pièces</w:t>
      </w:r>
      <w:r w:rsidR="00BB7E43">
        <w:rPr>
          <w:rFonts w:ascii="Times New Roman" w:eastAsia="Times New Roman" w:hAnsi="Times New Roman"/>
          <w:sz w:val="24"/>
          <w:szCs w:val="24"/>
          <w:lang w:eastAsia="fr-FR"/>
        </w:rPr>
        <w:t>.</w:t>
      </w:r>
    </w:p>
    <w:p w:rsidR="00BB7E43" w:rsidRPr="00973382" w:rsidRDefault="00BB7E43" w:rsidP="00973382">
      <w:pPr>
        <w:spacing w:after="0" w:line="360" w:lineRule="auto"/>
        <w:rPr>
          <w:rFonts w:ascii="Times New Roman" w:eastAsia="Times New Roman" w:hAnsi="Times New Roman"/>
          <w:sz w:val="24"/>
          <w:szCs w:val="24"/>
          <w:lang w:eastAsia="fr-FR"/>
        </w:rPr>
      </w:pPr>
      <w:r>
        <w:rPr>
          <w:rFonts w:ascii="Times New Roman" w:eastAsia="Times New Roman" w:hAnsi="Times New Roman"/>
          <w:sz w:val="24"/>
          <w:szCs w:val="24"/>
          <w:lang w:eastAsia="fr-FR"/>
        </w:rPr>
        <w:br w:type="page"/>
      </w:r>
    </w:p>
    <w:p w:rsidR="006A4EED" w:rsidRPr="00C2137D" w:rsidRDefault="006A4EED" w:rsidP="004C13FD">
      <w:pPr>
        <w:pStyle w:val="Titre1"/>
        <w:pBdr>
          <w:bottom w:val="single" w:sz="6" w:space="1" w:color="auto"/>
        </w:pBdr>
        <w:bidi w:val="0"/>
        <w:spacing w:before="0"/>
        <w:jc w:val="left"/>
        <w:rPr>
          <w:rFonts w:ascii="Times New Roman" w:hAnsi="Times New Roman"/>
          <w:color w:val="auto"/>
          <w:sz w:val="24"/>
          <w:szCs w:val="24"/>
          <w:lang w:val="fr-FR" w:eastAsia="fr-FR"/>
        </w:rPr>
      </w:pPr>
      <w:bookmarkStart w:id="76" w:name="_Toc471484447"/>
      <w:r w:rsidRPr="00C2137D">
        <w:rPr>
          <w:rFonts w:ascii="Times New Roman" w:hAnsi="Times New Roman"/>
          <w:b/>
          <w:color w:val="auto"/>
          <w:sz w:val="24"/>
          <w:szCs w:val="24"/>
          <w:lang w:val="fr-FR" w:eastAsia="fr-FR"/>
        </w:rPr>
        <w:lastRenderedPageBreak/>
        <w:t>PARTIE II</w:t>
      </w:r>
      <w:r w:rsidR="007F71CA" w:rsidRPr="00C2137D">
        <w:rPr>
          <w:rFonts w:ascii="Times New Roman" w:hAnsi="Times New Roman"/>
          <w:b/>
          <w:color w:val="auto"/>
          <w:sz w:val="24"/>
          <w:szCs w:val="24"/>
          <w:lang w:val="fr-FR" w:eastAsia="fr-FR"/>
        </w:rPr>
        <w:t> :</w:t>
      </w:r>
      <w:r w:rsidRPr="00C2137D">
        <w:rPr>
          <w:rFonts w:ascii="Times New Roman" w:hAnsi="Times New Roman"/>
          <w:b/>
          <w:color w:val="auto"/>
          <w:sz w:val="24"/>
          <w:szCs w:val="24"/>
          <w:lang w:val="fr-FR" w:eastAsia="fr-FR"/>
        </w:rPr>
        <w:t xml:space="preserve"> É</w:t>
      </w:r>
      <w:r w:rsidR="00505B28" w:rsidRPr="00C2137D">
        <w:rPr>
          <w:rFonts w:ascii="Times New Roman" w:hAnsi="Times New Roman"/>
          <w:b/>
          <w:color w:val="auto"/>
          <w:sz w:val="24"/>
          <w:szCs w:val="24"/>
          <w:lang w:val="fr-FR" w:eastAsia="fr-FR"/>
        </w:rPr>
        <w:t>tude narratologique des deux pièces</w:t>
      </w:r>
      <w:bookmarkEnd w:id="76"/>
    </w:p>
    <w:p w:rsidR="006A4EED" w:rsidRPr="003B00C8" w:rsidRDefault="006A4EED" w:rsidP="004C13F9">
      <w:pPr>
        <w:spacing w:after="0" w:line="360" w:lineRule="auto"/>
        <w:jc w:val="both"/>
        <w:rPr>
          <w:rFonts w:ascii="Times New Roman" w:eastAsia="Times New Roman" w:hAnsi="Times New Roman"/>
          <w:sz w:val="24"/>
          <w:szCs w:val="24"/>
          <w:lang w:eastAsia="fr-FR"/>
        </w:rPr>
      </w:pPr>
    </w:p>
    <w:p w:rsidR="004C13FD" w:rsidRDefault="004C13FD" w:rsidP="0063676A">
      <w:pPr>
        <w:spacing w:after="0" w:line="360" w:lineRule="auto"/>
        <w:ind w:firstLine="284"/>
        <w:jc w:val="both"/>
        <w:rPr>
          <w:rFonts w:ascii="Times New Roman" w:eastAsia="Times New Roman" w:hAnsi="Times New Roman"/>
          <w:sz w:val="24"/>
          <w:szCs w:val="24"/>
          <w:lang w:eastAsia="fr-FR"/>
        </w:rPr>
      </w:pPr>
    </w:p>
    <w:p w:rsidR="00BF2EEB" w:rsidRDefault="006A4EED" w:rsidP="0063676A">
      <w:pPr>
        <w:spacing w:after="0" w:line="360" w:lineRule="auto"/>
        <w:ind w:firstLine="284"/>
        <w:jc w:val="both"/>
        <w:rPr>
          <w:rFonts w:ascii="Times New Roman" w:eastAsia="Times New Roman" w:hAnsi="Times New Roman"/>
          <w:sz w:val="24"/>
          <w:szCs w:val="24"/>
          <w:lang w:eastAsia="fr-FR"/>
        </w:rPr>
      </w:pPr>
      <w:r w:rsidRPr="0063676A">
        <w:rPr>
          <w:rFonts w:ascii="Times New Roman" w:eastAsia="Times New Roman" w:hAnsi="Times New Roman"/>
          <w:sz w:val="24"/>
          <w:szCs w:val="24"/>
          <w:lang w:eastAsia="fr-FR"/>
        </w:rPr>
        <w:t>La narratologie</w:t>
      </w:r>
      <w:r w:rsidRPr="00126E00">
        <w:rPr>
          <w:rFonts w:ascii="Times New Roman" w:eastAsia="Times New Roman" w:hAnsi="Times New Roman"/>
          <w:b/>
          <w:bCs/>
          <w:color w:val="FF0000"/>
          <w:sz w:val="24"/>
          <w:szCs w:val="24"/>
          <w:lang w:eastAsia="fr-FR"/>
        </w:rPr>
        <w:t xml:space="preserve"> </w:t>
      </w:r>
      <w:r w:rsidRPr="003B00C8">
        <w:rPr>
          <w:rFonts w:ascii="Times New Roman" w:eastAsia="Times New Roman" w:hAnsi="Times New Roman"/>
          <w:sz w:val="24"/>
          <w:szCs w:val="24"/>
          <w:lang w:eastAsia="fr-FR"/>
        </w:rPr>
        <w:t xml:space="preserve">étudie les mécanismes internes d’un récit, lui-même constitué d’une histoire narrée. Comprendre la narratologie, c’est saisir la distinction entre trois entités fondamentales : l’histoire, le récit et la narration. Globalement, l’histoire correspond à une suite d’événements et d’actions, racontée par quelqu’un, c’est-à-dire le narrateur, et dont la représentation finale engendre un récit. L’étude du récit vise à dégager les principes communs de composition des textes, principes qui tendent à l’universalité. On tente ainsi de voir les relations possibles entre les éléments de la triade récit/histoire/narration. Ces relations prennent forme, notamment, au sein de quatre catégories analytiques : le mode, l’instance narrative, le niveau et le temps. </w:t>
      </w:r>
    </w:p>
    <w:p w:rsidR="00BF2EEB" w:rsidRDefault="006A4EED" w:rsidP="00F1558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 narration est définie comme une fonction ou comme un ensemble de techniques de présentation (mêlant le récit proprement dit, le dialogue et le monologue, le style indirect libre, etc.), qui produit la fiction. Elle se distingue fondamentalement de l’énonciation, à laquelle appartiennent au contraire le récit historique et la narration «naturelle»</w:t>
      </w:r>
      <w:r w:rsidR="00F15581">
        <w:rPr>
          <w:rFonts w:ascii="Times New Roman" w:eastAsia="Times New Roman" w:hAnsi="Times New Roman"/>
          <w:sz w:val="24"/>
          <w:szCs w:val="24"/>
          <w:lang w:eastAsia="fr-FR"/>
        </w:rPr>
        <w:t xml:space="preserve"> </w:t>
      </w:r>
      <w:r w:rsidR="00A978E9">
        <w:rPr>
          <w:rFonts w:ascii="Times New Roman" w:eastAsia="Times New Roman" w:hAnsi="Times New Roman"/>
          <w:sz w:val="24"/>
          <w:szCs w:val="24"/>
          <w:lang w:eastAsia="fr-FR"/>
        </w:rPr>
        <w:t>(M. Hamburger, 1986, p.78-80)</w:t>
      </w:r>
      <w:r w:rsidR="0063676A">
        <w:rPr>
          <w:rFonts w:ascii="Times New Roman" w:eastAsia="Times New Roman" w:hAnsi="Times New Roman"/>
          <w:sz w:val="24"/>
          <w:szCs w:val="24"/>
          <w:lang w:eastAsia="fr-FR"/>
        </w:rPr>
        <w:t>.</w:t>
      </w:r>
    </w:p>
    <w:p w:rsidR="006A4EED" w:rsidRPr="003B00C8" w:rsidRDefault="006A4EED" w:rsidP="00F1558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Les travaux de Gérard Genette (1972 et 1983) sur qui nous prendrons appui pour mener à bien l’étude narratologique des deux pièces de théâtre, s’inscrivent dans la continuité des recherches allemandes et anglo-saxonnes, et se veulent à la fois un aboutissement et un renouvellement de ces critiques narratologiques. Rappelons que l’analyse interne, à l’instar de toute analyse sémiotique, présente deux caractéristiques. D’une part, elle s’intéresse aux récits en tant qu’objets linguistiques indépendants, détachés de leur contexte de production ou de réception. D’autre part, elle souhaite démontrer une structure de base, identifiable dans divers récits.</w:t>
      </w:r>
    </w:p>
    <w:p w:rsidR="006A4EED" w:rsidRPr="003B00C8" w:rsidRDefault="006A4EED" w:rsidP="00F1558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À l’aide d’une typologie rigoureuse, Genette établit une poétique narratologique, susceptible de recouvrir l’ensemble des procédés narratifs utilisés :</w:t>
      </w:r>
    </w:p>
    <w:p w:rsidR="006A4EED" w:rsidRPr="00F15581" w:rsidRDefault="006A4EED" w:rsidP="00F15581">
      <w:pPr>
        <w:pStyle w:val="Citationintense"/>
        <w:spacing w:before="0" w:after="0"/>
        <w:ind w:left="567" w:right="0"/>
        <w:rPr>
          <w:sz w:val="20"/>
          <w:szCs w:val="20"/>
        </w:rPr>
      </w:pPr>
      <w:r w:rsidRPr="00F15581">
        <w:rPr>
          <w:sz w:val="20"/>
          <w:szCs w:val="20"/>
        </w:rPr>
        <w:t xml:space="preserve"> Si les mots ont un sens (et même s’ils en ont plusieurs), la narratologie – aussi bien sur son versant rhématique, comme étude du discours narratif, que sur son versant thématique, </w:t>
      </w:r>
      <w:r w:rsidRPr="00F15581">
        <w:rPr>
          <w:sz w:val="20"/>
          <w:szCs w:val="20"/>
        </w:rPr>
        <w:lastRenderedPageBreak/>
        <w:t xml:space="preserve">comme analyse des suites d’événements et d’actions relatées par ce discours – devrait s’occuper de toutes les sortes de récits, fictionnels ou non. </w:t>
      </w:r>
      <w:r w:rsidRPr="00F15581">
        <w:rPr>
          <w:sz w:val="20"/>
          <w:szCs w:val="20"/>
          <w:vertAlign w:val="superscript"/>
        </w:rPr>
        <w:footnoteReference w:id="137"/>
      </w:r>
    </w:p>
    <w:p w:rsidR="00F15581" w:rsidRDefault="006A4EED" w:rsidP="004C13F9">
      <w:pPr>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ab/>
      </w:r>
    </w:p>
    <w:p w:rsidR="00BF2EEB" w:rsidRDefault="006A4EED" w:rsidP="00F1558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Selon lui, tout texte laisse transparaître des traces de la narration, dont l’examen permettra d’établir de façon précise l’organisation du récit. L’approche préconisée se situe, évidemment, en deçà du seuil de l’interprétation et s’avère plutôt une assise solide, complémentaire des autres recherches en sciences humaines, telles que la sociologie, l’histoire littéraire, l’ethnologie et la psychanalyse.</w:t>
      </w:r>
    </w:p>
    <w:p w:rsidR="00BF2EEB" w:rsidRPr="004C13F9" w:rsidRDefault="006A4EED" w:rsidP="00337F75">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sz w:val="24"/>
          <w:szCs w:val="24"/>
          <w:lang w:eastAsia="fr-FR"/>
        </w:rPr>
        <w:t xml:space="preserve">Prenant la forme d'une typologie du récit, nous tenterons de démontrer dans </w:t>
      </w:r>
      <w:r w:rsidRPr="003B00C8">
        <w:rPr>
          <w:rFonts w:ascii="Times New Roman" w:eastAsia="Times New Roman" w:hAnsi="Times New Roman"/>
          <w:i/>
          <w:sz w:val="24"/>
          <w:szCs w:val="24"/>
          <w:lang w:eastAsia="fr-FR"/>
        </w:rPr>
        <w:t>Bara</w:t>
      </w:r>
      <w:r w:rsidR="00A22FDB">
        <w:rPr>
          <w:rFonts w:ascii="Times New Roman" w:eastAsia="Times New Roman" w:hAnsi="Times New Roman"/>
          <w:i/>
          <w:sz w:val="24"/>
          <w:szCs w:val="24"/>
          <w:lang w:eastAsia="fr-FR"/>
        </w:rPr>
        <w:t>b</w:t>
      </w:r>
      <w:r w:rsidRPr="003B00C8">
        <w:rPr>
          <w:rFonts w:ascii="Times New Roman" w:eastAsia="Times New Roman" w:hAnsi="Times New Roman"/>
          <w:i/>
          <w:sz w:val="24"/>
          <w:szCs w:val="24"/>
          <w:lang w:eastAsia="fr-FR"/>
        </w:rPr>
        <w:t>bas</w:t>
      </w:r>
      <w:r w:rsidRPr="003B00C8">
        <w:rPr>
          <w:rFonts w:ascii="Times New Roman" w:eastAsia="Times New Roman" w:hAnsi="Times New Roman"/>
          <w:sz w:val="24"/>
          <w:szCs w:val="24"/>
          <w:lang w:eastAsia="fr-FR"/>
        </w:rPr>
        <w:t xml:space="preserve"> de </w:t>
      </w:r>
      <w:r w:rsidRPr="003B00C8">
        <w:rPr>
          <w:rFonts w:ascii="Times New Roman" w:eastAsia="Times New Roman" w:hAnsi="Times New Roman"/>
          <w:iCs/>
          <w:sz w:val="24"/>
          <w:szCs w:val="24"/>
          <w:lang w:eastAsia="fr-FR"/>
        </w:rPr>
        <w:t xml:space="preserve">Michel de Ghelderode ainsi que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 xml:space="preserve">e porteur d'eau et les marabouts </w:t>
      </w:r>
      <w:proofErr w:type="gramStart"/>
      <w:r w:rsidRPr="003B00C8">
        <w:rPr>
          <w:rFonts w:ascii="Times New Roman" w:eastAsia="Times New Roman" w:hAnsi="Times New Roman"/>
          <w:sz w:val="24"/>
          <w:szCs w:val="24"/>
          <w:lang w:eastAsia="fr-FR"/>
        </w:rPr>
        <w:t>de Ould</w:t>
      </w:r>
      <w:proofErr w:type="gramEnd"/>
      <w:r w:rsidRPr="003B00C8">
        <w:rPr>
          <w:rFonts w:ascii="Times New Roman" w:eastAsia="Times New Roman" w:hAnsi="Times New Roman"/>
          <w:sz w:val="24"/>
          <w:szCs w:val="24"/>
          <w:lang w:eastAsia="fr-FR"/>
        </w:rPr>
        <w:t xml:space="preserve"> Abderrahmane</w:t>
      </w:r>
      <w:r w:rsidRPr="003B00C8">
        <w:rPr>
          <w:rFonts w:ascii="Times New Roman" w:eastAsia="Times New Roman" w:hAnsi="Times New Roman"/>
          <w:bCs/>
          <w:iCs/>
          <w:sz w:val="24"/>
          <w:szCs w:val="24"/>
          <w:lang w:eastAsia="fr-FR"/>
        </w:rPr>
        <w:t xml:space="preserve"> </w:t>
      </w:r>
      <w:r w:rsidRPr="003B00C8">
        <w:rPr>
          <w:rFonts w:ascii="Times New Roman" w:eastAsia="Times New Roman" w:hAnsi="Times New Roman"/>
          <w:sz w:val="24"/>
          <w:szCs w:val="24"/>
          <w:lang w:eastAsia="fr-FR"/>
        </w:rPr>
        <w:t>K</w:t>
      </w:r>
      <w:r w:rsidR="00337F75">
        <w:rPr>
          <w:rFonts w:ascii="Times New Roman" w:eastAsia="Times New Roman" w:hAnsi="Times New Roman"/>
          <w:sz w:val="24"/>
          <w:szCs w:val="24"/>
          <w:lang w:eastAsia="fr-FR"/>
        </w:rPr>
        <w:t xml:space="preserve">aki </w:t>
      </w:r>
      <w:r w:rsidRPr="003B00C8">
        <w:rPr>
          <w:rFonts w:ascii="Times New Roman" w:eastAsia="Times New Roman" w:hAnsi="Times New Roman"/>
          <w:sz w:val="24"/>
          <w:szCs w:val="24"/>
          <w:lang w:eastAsia="fr-FR"/>
        </w:rPr>
        <w:t>que la narratologie élaborée par Gérard Genette est un appareil de lecture marquant une étape importante dans le développement de la théorie littéraire et de l'analyse du discours. En faisant de la voix narrative une notion autour de laquelle s'articulent toutes les autres catégories, les dramaturges font du contexte de production de leurs récits une donnée fondamentale.</w:t>
      </w:r>
    </w:p>
    <w:p w:rsidR="006A4EED" w:rsidRPr="003B00C8" w:rsidRDefault="006A4EED" w:rsidP="00F1558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L’écriture d’un texte implique des choix techniques qui engendreront un résultat particulier quant à la représentation verbale de l’histoire. C’est ainsi que le récit met en œuvre, entre autres, des effets de distance afin de créer un mode narratif précis, qui gère la </w:t>
      </w:r>
      <w:r w:rsidRPr="00460C6C">
        <w:rPr>
          <w:rFonts w:ascii="Times New Roman" w:eastAsia="Times New Roman" w:hAnsi="Times New Roman"/>
          <w:sz w:val="24"/>
          <w:szCs w:val="24"/>
          <w:lang w:eastAsia="fr-FR"/>
        </w:rPr>
        <w:t>« régulation de l’information narrative »</w:t>
      </w:r>
      <w:r w:rsidRPr="003B00C8">
        <w:rPr>
          <w:rFonts w:ascii="Times New Roman" w:eastAsia="Times New Roman" w:hAnsi="Times New Roman"/>
          <w:sz w:val="24"/>
          <w:szCs w:val="24"/>
          <w:lang w:eastAsia="fr-FR"/>
        </w:rPr>
        <w:t xml:space="preserve"> fournie au lecteur. Selon le théoricien, tout récit est obligatoirement </w:t>
      </w:r>
      <w:r w:rsidRPr="003B00C8">
        <w:rPr>
          <w:rFonts w:ascii="Times New Roman" w:eastAsia="Times New Roman" w:hAnsi="Times New Roman"/>
          <w:i/>
          <w:iCs/>
          <w:sz w:val="24"/>
          <w:szCs w:val="24"/>
          <w:lang w:eastAsia="fr-FR"/>
        </w:rPr>
        <w:t>diégésis</w:t>
      </w:r>
      <w:r w:rsidRPr="003B00C8">
        <w:rPr>
          <w:rFonts w:ascii="Times New Roman" w:eastAsia="Times New Roman" w:hAnsi="Times New Roman"/>
          <w:sz w:val="24"/>
          <w:szCs w:val="24"/>
          <w:lang w:eastAsia="fr-FR"/>
        </w:rPr>
        <w:t xml:space="preserve"> (raconter), dans la mesure où il ne peut atteindre qu’une illusion de </w:t>
      </w:r>
      <w:r w:rsidRPr="003B00C8">
        <w:rPr>
          <w:rFonts w:ascii="Times New Roman" w:eastAsia="Times New Roman" w:hAnsi="Times New Roman"/>
          <w:i/>
          <w:iCs/>
          <w:sz w:val="24"/>
          <w:szCs w:val="24"/>
          <w:lang w:eastAsia="fr-FR"/>
        </w:rPr>
        <w:t>mimésis</w:t>
      </w:r>
      <w:r w:rsidRPr="003B00C8">
        <w:rPr>
          <w:rFonts w:ascii="Times New Roman" w:eastAsia="Times New Roman" w:hAnsi="Times New Roman"/>
          <w:sz w:val="24"/>
          <w:szCs w:val="24"/>
          <w:lang w:eastAsia="fr-FR"/>
        </w:rPr>
        <w:t xml:space="preserve"> (imiter) en rendant l’histoire réelle et vivante. A cet égard, tout récit suppose un narrateur.</w:t>
      </w:r>
    </w:p>
    <w:p w:rsidR="006A4EED" w:rsidRPr="003B00C8" w:rsidRDefault="006A4EED" w:rsidP="00F1558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Pour Genette, un récit ne peut véritablement imiter la réalité ; il se veut toujours un acte fictif de langage, aussi réaliste soit-il, provenant d’une </w:t>
      </w:r>
      <w:r w:rsidRPr="003B00C8">
        <w:rPr>
          <w:rFonts w:ascii="Times New Roman" w:eastAsia="Times New Roman" w:hAnsi="Times New Roman"/>
          <w:i/>
          <w:iCs/>
          <w:sz w:val="24"/>
          <w:szCs w:val="24"/>
          <w:lang w:eastAsia="fr-FR"/>
        </w:rPr>
        <w:t>instance narrative</w:t>
      </w:r>
      <w:r w:rsidRPr="003B00C8">
        <w:rPr>
          <w:rFonts w:ascii="Times New Roman" w:eastAsia="Times New Roman" w:hAnsi="Times New Roman"/>
          <w:sz w:val="24"/>
          <w:szCs w:val="24"/>
          <w:lang w:eastAsia="fr-FR"/>
        </w:rPr>
        <w:t xml:space="preserve">. « Le récit ne “ représente ” pas une histoire (réelle ou fictive), il la </w:t>
      </w:r>
      <w:r w:rsidRPr="003B00C8">
        <w:rPr>
          <w:rFonts w:ascii="Times New Roman" w:eastAsia="Times New Roman" w:hAnsi="Times New Roman"/>
          <w:i/>
          <w:iCs/>
          <w:sz w:val="24"/>
          <w:szCs w:val="24"/>
          <w:lang w:eastAsia="fr-FR"/>
        </w:rPr>
        <w:t>raconte</w:t>
      </w:r>
      <w:r w:rsidRPr="003B00C8">
        <w:rPr>
          <w:rFonts w:ascii="Times New Roman" w:eastAsia="Times New Roman" w:hAnsi="Times New Roman"/>
          <w:sz w:val="24"/>
          <w:szCs w:val="24"/>
          <w:lang w:eastAsia="fr-FR"/>
        </w:rPr>
        <w:t>, c’est-à-dire qu’il la signifie par le moyen du langage […]. Il n’y a pas de place pour l’imitation dans le récit […]. »</w:t>
      </w:r>
      <w:r w:rsidRPr="003B00C8">
        <w:rPr>
          <w:rFonts w:ascii="Times New Roman" w:eastAsia="Times New Roman" w:hAnsi="Times New Roman"/>
          <w:sz w:val="24"/>
          <w:szCs w:val="24"/>
          <w:vertAlign w:val="superscript"/>
          <w:lang w:eastAsia="fr-FR"/>
        </w:rPr>
        <w:footnoteReference w:id="138"/>
      </w:r>
      <w:r w:rsidRPr="003B00C8">
        <w:rPr>
          <w:rFonts w:ascii="Times New Roman" w:eastAsia="Times New Roman" w:hAnsi="Times New Roman"/>
          <w:sz w:val="24"/>
          <w:szCs w:val="24"/>
          <w:lang w:eastAsia="fr-FR"/>
        </w:rPr>
        <w:t xml:space="preserve"> Ainsi, entre les deux grands modes narratifs traditionnels que sont la </w:t>
      </w:r>
      <w:r w:rsidRPr="003B00C8">
        <w:rPr>
          <w:rFonts w:ascii="Times New Roman" w:eastAsia="Times New Roman" w:hAnsi="Times New Roman"/>
          <w:i/>
          <w:iCs/>
          <w:sz w:val="24"/>
          <w:szCs w:val="24"/>
          <w:lang w:eastAsia="fr-FR"/>
        </w:rPr>
        <w:t>diégésis</w:t>
      </w:r>
      <w:r w:rsidRPr="003B00C8">
        <w:rPr>
          <w:rFonts w:ascii="Times New Roman" w:eastAsia="Times New Roman" w:hAnsi="Times New Roman"/>
          <w:sz w:val="24"/>
          <w:szCs w:val="24"/>
          <w:lang w:eastAsia="fr-FR"/>
        </w:rPr>
        <w:t xml:space="preserve"> et la </w:t>
      </w:r>
      <w:r w:rsidRPr="003B00C8">
        <w:rPr>
          <w:rFonts w:ascii="Times New Roman" w:eastAsia="Times New Roman" w:hAnsi="Times New Roman"/>
          <w:i/>
          <w:iCs/>
          <w:sz w:val="24"/>
          <w:szCs w:val="24"/>
          <w:lang w:eastAsia="fr-FR"/>
        </w:rPr>
        <w:t>mimésis</w:t>
      </w:r>
      <w:r w:rsidRPr="003B00C8">
        <w:rPr>
          <w:rFonts w:ascii="Times New Roman" w:eastAsia="Times New Roman" w:hAnsi="Times New Roman"/>
          <w:sz w:val="24"/>
          <w:szCs w:val="24"/>
          <w:lang w:eastAsia="fr-FR"/>
        </w:rPr>
        <w:t xml:space="preserve">, le narratologue préconise différents degrés de </w:t>
      </w:r>
      <w:r w:rsidRPr="003B00C8">
        <w:rPr>
          <w:rFonts w:ascii="Times New Roman" w:eastAsia="Times New Roman" w:hAnsi="Times New Roman"/>
          <w:i/>
          <w:iCs/>
          <w:sz w:val="24"/>
          <w:szCs w:val="24"/>
          <w:lang w:eastAsia="fr-FR"/>
        </w:rPr>
        <w:t>diégésis</w:t>
      </w:r>
      <w:r w:rsidRPr="003B00C8">
        <w:rPr>
          <w:rFonts w:ascii="Times New Roman" w:eastAsia="Times New Roman" w:hAnsi="Times New Roman"/>
          <w:sz w:val="24"/>
          <w:szCs w:val="24"/>
          <w:lang w:eastAsia="fr-FR"/>
        </w:rPr>
        <w:t xml:space="preserve">, faisant en sorte que le narrateur est plus ou moins impliqué </w:t>
      </w:r>
      <w:r w:rsidRPr="003B00C8">
        <w:rPr>
          <w:rFonts w:ascii="Times New Roman" w:eastAsia="Times New Roman" w:hAnsi="Times New Roman"/>
          <w:sz w:val="24"/>
          <w:szCs w:val="24"/>
          <w:lang w:eastAsia="fr-FR"/>
        </w:rPr>
        <w:lastRenderedPageBreak/>
        <w:t>dans son récit, et que ce dernier laisse peu ou beaucoup de place à l’acte narratif. Mais, insiste-t-il, en aucun cas ce narrateur n’est totalement absent.</w:t>
      </w:r>
    </w:p>
    <w:p w:rsidR="00BF2EEB" w:rsidRPr="003B00C8" w:rsidRDefault="006A4EED" w:rsidP="004C13F9">
      <w:pPr>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Cette partie de notre travail s’organisera </w:t>
      </w:r>
      <w:r w:rsidR="00BF2EEB">
        <w:rPr>
          <w:rFonts w:ascii="Times New Roman" w:eastAsia="Times New Roman" w:hAnsi="Times New Roman"/>
          <w:sz w:val="24"/>
          <w:szCs w:val="24"/>
          <w:lang w:eastAsia="fr-FR"/>
        </w:rPr>
        <w:t xml:space="preserve">donc </w:t>
      </w:r>
      <w:r w:rsidRPr="003B00C8">
        <w:rPr>
          <w:rFonts w:ascii="Times New Roman" w:eastAsia="Times New Roman" w:hAnsi="Times New Roman"/>
          <w:sz w:val="24"/>
          <w:szCs w:val="24"/>
          <w:lang w:eastAsia="fr-FR"/>
        </w:rPr>
        <w:t>autour de trois chapitres, comme suit :</w:t>
      </w:r>
    </w:p>
    <w:p w:rsidR="006A4EED" w:rsidRPr="003B00C8" w:rsidRDefault="006A4EED" w:rsidP="00230C65">
      <w:pPr>
        <w:numPr>
          <w:ilvl w:val="0"/>
          <w:numId w:val="8"/>
        </w:numPr>
        <w:autoSpaceDE w:val="0"/>
        <w:autoSpaceDN w:val="0"/>
        <w:adjustRightInd w:val="0"/>
        <w:spacing w:after="0" w:line="360" w:lineRule="auto"/>
        <w:contextualSpacing/>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Chapitre 4. Etude narrative de la pièce de K</w:t>
      </w:r>
      <w:r w:rsidR="00B92D21">
        <w:rPr>
          <w:rFonts w:ascii="Times New Roman" w:eastAsia="Times New Roman" w:hAnsi="Times New Roman"/>
          <w:sz w:val="24"/>
          <w:szCs w:val="24"/>
          <w:lang w:eastAsia="fr-FR"/>
        </w:rPr>
        <w:t>aki</w:t>
      </w:r>
    </w:p>
    <w:p w:rsidR="006A4EED" w:rsidRPr="003B00C8" w:rsidRDefault="006A4EED" w:rsidP="00230C65">
      <w:pPr>
        <w:numPr>
          <w:ilvl w:val="0"/>
          <w:numId w:val="8"/>
        </w:numPr>
        <w:autoSpaceDE w:val="0"/>
        <w:autoSpaceDN w:val="0"/>
        <w:adjustRightInd w:val="0"/>
        <w:spacing w:after="0" w:line="360" w:lineRule="auto"/>
        <w:contextualSpacing/>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Chapitre 5. Etude narrative de la pièce de G</w:t>
      </w:r>
      <w:r w:rsidR="00B92D21">
        <w:rPr>
          <w:rFonts w:ascii="Times New Roman" w:eastAsia="Times New Roman" w:hAnsi="Times New Roman"/>
          <w:sz w:val="24"/>
          <w:szCs w:val="24"/>
          <w:lang w:eastAsia="fr-FR"/>
        </w:rPr>
        <w:t>helderode</w:t>
      </w:r>
    </w:p>
    <w:p w:rsidR="006A4EED" w:rsidRPr="003B00C8" w:rsidRDefault="006A4EED" w:rsidP="00230C65">
      <w:pPr>
        <w:numPr>
          <w:ilvl w:val="0"/>
          <w:numId w:val="8"/>
        </w:numPr>
        <w:autoSpaceDE w:val="0"/>
        <w:autoSpaceDN w:val="0"/>
        <w:adjustRightInd w:val="0"/>
        <w:spacing w:after="0" w:line="360" w:lineRule="auto"/>
        <w:contextualSpacing/>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Chapitre 6. Confrontation des personnages narrateurs dans les deux pièces</w:t>
      </w:r>
    </w:p>
    <w:p w:rsidR="00D106F6" w:rsidRDefault="00D106F6" w:rsidP="00D106F6">
      <w:pPr>
        <w:rPr>
          <w:lang w:eastAsia="fr-FR"/>
        </w:rPr>
      </w:pPr>
      <w:bookmarkStart w:id="77" w:name="_Toc471484448"/>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Default="00D106F6" w:rsidP="00D106F6">
      <w:pPr>
        <w:rPr>
          <w:lang w:eastAsia="fr-FR"/>
        </w:rPr>
      </w:pPr>
    </w:p>
    <w:p w:rsidR="00D106F6" w:rsidRPr="00D106F6" w:rsidRDefault="00D106F6" w:rsidP="00D106F6">
      <w:pPr>
        <w:rPr>
          <w:lang w:eastAsia="fr-FR"/>
        </w:rPr>
      </w:pPr>
    </w:p>
    <w:bookmarkEnd w:id="77"/>
    <w:p w:rsidR="00D106F6" w:rsidRDefault="00D106F6" w:rsidP="004C13FD">
      <w:pPr>
        <w:pStyle w:val="Titre2"/>
        <w:spacing w:before="0" w:after="0"/>
        <w:jc w:val="both"/>
        <w:rPr>
          <w:rFonts w:ascii="Times New Roman" w:hAnsi="Times New Roman" w:cs="Times New Roman"/>
          <w:i w:val="0"/>
          <w:sz w:val="24"/>
          <w:szCs w:val="24"/>
        </w:rPr>
      </w:pPr>
    </w:p>
    <w:p w:rsidR="004C13FD" w:rsidRPr="00B92D21" w:rsidRDefault="004C13FD" w:rsidP="004C13FD">
      <w:pPr>
        <w:pStyle w:val="Titre2"/>
        <w:spacing w:before="0" w:after="0"/>
        <w:jc w:val="both"/>
        <w:rPr>
          <w:rFonts w:ascii="Times New Roman" w:hAnsi="Times New Roman" w:cs="Times New Roman"/>
          <w:i w:val="0"/>
          <w:sz w:val="24"/>
          <w:szCs w:val="24"/>
        </w:rPr>
      </w:pPr>
      <w:r w:rsidRPr="00B92D21">
        <w:rPr>
          <w:rFonts w:ascii="Times New Roman" w:hAnsi="Times New Roman" w:cs="Times New Roman"/>
          <w:i w:val="0"/>
          <w:sz w:val="24"/>
          <w:szCs w:val="24"/>
        </w:rPr>
        <w:t>Chapitre 1</w:t>
      </w:r>
      <w:r>
        <w:rPr>
          <w:rFonts w:ascii="Times New Roman" w:hAnsi="Times New Roman" w:cs="Times New Roman"/>
          <w:i w:val="0"/>
          <w:sz w:val="24"/>
          <w:szCs w:val="24"/>
        </w:rPr>
        <w:t xml:space="preserve"> : </w:t>
      </w:r>
      <w:r w:rsidRPr="00B92D21">
        <w:rPr>
          <w:rFonts w:ascii="Times New Roman" w:hAnsi="Times New Roman" w:cs="Times New Roman"/>
          <w:i w:val="0"/>
          <w:iCs w:val="0"/>
          <w:sz w:val="24"/>
          <w:szCs w:val="24"/>
        </w:rPr>
        <w:t>Narratologie et structuration du récit dans</w:t>
      </w:r>
      <w:r w:rsidRPr="00B92D21">
        <w:rPr>
          <w:rFonts w:ascii="Times New Roman" w:hAnsi="Times New Roman" w:cs="Times New Roman"/>
          <w:sz w:val="24"/>
          <w:szCs w:val="24"/>
        </w:rPr>
        <w:t xml:space="preserve"> Le porteur d'eau et les marabouts </w:t>
      </w:r>
      <w:r w:rsidRPr="00B92D21">
        <w:rPr>
          <w:rFonts w:ascii="Times New Roman" w:hAnsi="Times New Roman" w:cs="Times New Roman"/>
          <w:i w:val="0"/>
          <w:iCs w:val="0"/>
          <w:sz w:val="24"/>
          <w:szCs w:val="24"/>
        </w:rPr>
        <w:t>de Kaki</w:t>
      </w:r>
    </w:p>
    <w:p w:rsidR="004C13FD" w:rsidRDefault="004C13FD" w:rsidP="002C2C1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4C13FD" w:rsidRDefault="004C13FD" w:rsidP="002C2C1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6A4EED" w:rsidRPr="003B00C8" w:rsidRDefault="006A4EED" w:rsidP="002C2C1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L’on se propose ici d’étudier la structure du récit dans la pièce de théâtre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 xml:space="preserve">e porteur d'eau et les marabouts </w:t>
      </w:r>
      <w:r w:rsidRPr="003B00C8">
        <w:rPr>
          <w:rFonts w:ascii="Times New Roman" w:eastAsia="Times New Roman" w:hAnsi="Times New Roman"/>
          <w:sz w:val="24"/>
          <w:szCs w:val="24"/>
          <w:lang w:eastAsia="fr-FR"/>
        </w:rPr>
        <w:t>de Ould Abderrahmane</w:t>
      </w:r>
      <w:r w:rsidRPr="00505124">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K</w:t>
      </w:r>
      <w:r w:rsidR="002C2C11">
        <w:rPr>
          <w:rFonts w:ascii="Times New Roman" w:eastAsia="Times New Roman" w:hAnsi="Times New Roman"/>
          <w:sz w:val="24"/>
          <w:szCs w:val="24"/>
          <w:lang w:eastAsia="fr-FR"/>
        </w:rPr>
        <w:t>aki</w:t>
      </w:r>
      <w:r w:rsidRPr="003B00C8">
        <w:rPr>
          <w:rFonts w:ascii="Times New Roman" w:eastAsia="Times New Roman" w:hAnsi="Times New Roman"/>
          <w:sz w:val="24"/>
          <w:szCs w:val="24"/>
          <w:lang w:eastAsia="fr-FR"/>
        </w:rPr>
        <w:t xml:space="preserve">. En d’autres termes, d’inventorier et d’analyser toutes les catégories du récit présentes dans le corpus. Pour y parvenir, nous nous servirons non seulement de l’étude de certaines catégories du récit proposée par Gérard </w:t>
      </w:r>
      <w:r w:rsidR="008236E9" w:rsidRPr="003B00C8">
        <w:rPr>
          <w:rFonts w:ascii="Times New Roman" w:eastAsia="Times New Roman" w:hAnsi="Times New Roman"/>
          <w:sz w:val="24"/>
          <w:szCs w:val="24"/>
          <w:lang w:eastAsia="fr-FR"/>
        </w:rPr>
        <w:t>Genet</w:t>
      </w:r>
      <w:r w:rsidR="008236E9">
        <w:rPr>
          <w:rFonts w:ascii="Times New Roman" w:eastAsia="Times New Roman" w:hAnsi="Times New Roman"/>
          <w:sz w:val="24"/>
          <w:szCs w:val="24"/>
          <w:lang w:eastAsia="fr-FR"/>
        </w:rPr>
        <w:t>te</w:t>
      </w:r>
      <w:r w:rsidRPr="003B00C8">
        <w:rPr>
          <w:rFonts w:ascii="Times New Roman" w:eastAsia="Times New Roman" w:hAnsi="Times New Roman"/>
          <w:sz w:val="24"/>
          <w:szCs w:val="24"/>
          <w:lang w:eastAsia="fr-FR"/>
        </w:rPr>
        <w:t>, mais aussi de celle faite par Mikhaïl Bakhtine et Barnabé Mbala Zé qui intègrent le personnage dans l’étude des catégories du récit. Avant que de s’intéresser à ces autres éléments, il est important d’examiner l’ordre du récit.</w:t>
      </w:r>
    </w:p>
    <w:p w:rsidR="008559CE" w:rsidRDefault="008559CE" w:rsidP="008559CE">
      <w:pPr>
        <w:pStyle w:val="Titre3"/>
        <w:spacing w:before="0" w:after="0" w:line="360" w:lineRule="auto"/>
        <w:ind w:left="641" w:hanging="357"/>
        <w:jc w:val="both"/>
        <w:rPr>
          <w:rFonts w:ascii="Times New Roman" w:hAnsi="Times New Roman" w:cs="Times New Roman"/>
          <w:sz w:val="24"/>
          <w:szCs w:val="24"/>
        </w:rPr>
      </w:pPr>
    </w:p>
    <w:p w:rsidR="006A4EED" w:rsidRPr="002C2C11" w:rsidRDefault="008559CE" w:rsidP="008559CE">
      <w:pPr>
        <w:pStyle w:val="Titre3"/>
        <w:spacing w:before="0" w:after="0" w:line="360" w:lineRule="auto"/>
        <w:ind w:firstLine="284"/>
        <w:jc w:val="both"/>
        <w:rPr>
          <w:rFonts w:ascii="Times New Roman" w:hAnsi="Times New Roman" w:cs="Times New Roman"/>
          <w:sz w:val="24"/>
          <w:szCs w:val="24"/>
        </w:rPr>
      </w:pPr>
      <w:bookmarkStart w:id="78" w:name="_Toc471484449"/>
      <w:r w:rsidRPr="002C2C11">
        <w:rPr>
          <w:rFonts w:ascii="Times New Roman" w:hAnsi="Times New Roman" w:cs="Times New Roman"/>
          <w:sz w:val="24"/>
          <w:szCs w:val="24"/>
        </w:rPr>
        <w:t>1. L’ordre</w:t>
      </w:r>
      <w:r w:rsidR="006A4EED" w:rsidRPr="002C2C11">
        <w:rPr>
          <w:rFonts w:ascii="Times New Roman" w:hAnsi="Times New Roman" w:cs="Times New Roman"/>
          <w:sz w:val="24"/>
          <w:szCs w:val="24"/>
        </w:rPr>
        <w:t xml:space="preserve"> du récit</w:t>
      </w:r>
      <w:bookmarkEnd w:id="78"/>
    </w:p>
    <w:p w:rsidR="006A4EED" w:rsidRPr="003B00C8" w:rsidRDefault="006A4EED" w:rsidP="008559CE">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Selon Gérard Genette dans l’analyse du récit,</w:t>
      </w:r>
    </w:p>
    <w:p w:rsidR="006A4EED" w:rsidRPr="008559CE" w:rsidRDefault="006A4EED" w:rsidP="008559CE">
      <w:pPr>
        <w:pStyle w:val="Citationintense"/>
        <w:spacing w:before="0" w:after="0"/>
        <w:ind w:left="567" w:right="0"/>
        <w:rPr>
          <w:sz w:val="20"/>
          <w:szCs w:val="20"/>
        </w:rPr>
      </w:pPr>
      <w:r w:rsidRPr="008559CE">
        <w:rPr>
          <w:sz w:val="20"/>
          <w:szCs w:val="20"/>
        </w:rPr>
        <w:t>Étudier l’ordre du récit, c’est confronter l’ordre de disposition des événements ou segments temporels dans le discours narratif à l’ordre de succession de ces événements ou segments temporels dans l’histoire, en tant qu’il est explicitement indiqué par le récit lui-même, ou qu’on peut l’inférer de tel ou tel indice direct</w:t>
      </w:r>
      <w:r w:rsidRPr="008559CE">
        <w:rPr>
          <w:sz w:val="20"/>
          <w:szCs w:val="20"/>
          <w:vertAlign w:val="superscript"/>
        </w:rPr>
        <w:footnoteReference w:id="139"/>
      </w:r>
    </w:p>
    <w:p w:rsidR="008559CE" w:rsidRDefault="008559CE" w:rsidP="004C13F9">
      <w:pPr>
        <w:spacing w:after="0" w:line="360" w:lineRule="auto"/>
        <w:jc w:val="both"/>
        <w:rPr>
          <w:rFonts w:ascii="Times New Roman" w:eastAsia="Times New Roman" w:hAnsi="Times New Roman"/>
          <w:sz w:val="24"/>
          <w:szCs w:val="24"/>
          <w:lang w:eastAsia="fr-FR"/>
        </w:rPr>
      </w:pPr>
    </w:p>
    <w:p w:rsidR="006A4EED" w:rsidRPr="003B00C8" w:rsidRDefault="006A4EED" w:rsidP="00D3182A">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On pourrait penser que la tendance spontanée des conteurs et dramaturges soit de faire coïncider l'ordre des événements racontés et l'ordre de leur présentation narrative (récit </w:t>
      </w:r>
      <w:r w:rsidRPr="003B00C8">
        <w:rPr>
          <w:rFonts w:ascii="Times New Roman" w:eastAsia="Times New Roman" w:hAnsi="Times New Roman"/>
          <w:i/>
          <w:iCs/>
          <w:sz w:val="24"/>
          <w:szCs w:val="24"/>
          <w:lang w:eastAsia="fr-FR"/>
        </w:rPr>
        <w:t>synchrone</w:t>
      </w:r>
      <w:r w:rsidRPr="003B00C8">
        <w:rPr>
          <w:rFonts w:ascii="Times New Roman" w:eastAsia="Times New Roman" w:hAnsi="Times New Roman"/>
          <w:sz w:val="24"/>
          <w:szCs w:val="24"/>
          <w:lang w:eastAsia="fr-FR"/>
        </w:rPr>
        <w:t xml:space="preserve">). Or, c'est le contraire qui est vrai: la majorité des récits ne respectent pas l'ordre chronologique: ils sont </w:t>
      </w:r>
      <w:r w:rsidRPr="003B00C8">
        <w:rPr>
          <w:rFonts w:ascii="Times New Roman" w:eastAsia="Times New Roman" w:hAnsi="Times New Roman"/>
          <w:i/>
          <w:iCs/>
          <w:sz w:val="24"/>
          <w:szCs w:val="24"/>
          <w:lang w:eastAsia="fr-FR"/>
        </w:rPr>
        <w:t>anachroniques</w:t>
      </w:r>
      <w:r w:rsidRPr="003B00C8">
        <w:rPr>
          <w:rFonts w:ascii="Times New Roman" w:eastAsia="Times New Roman" w:hAnsi="Times New Roman"/>
          <w:sz w:val="24"/>
          <w:szCs w:val="24"/>
          <w:lang w:eastAsia="fr-FR"/>
        </w:rPr>
        <w:t xml:space="preserve">, soit qu'ils racontent avant (dans R) ce qui s'est passé après (dans H) – anticipation, ou </w:t>
      </w:r>
      <w:r w:rsidRPr="003B00C8">
        <w:rPr>
          <w:rFonts w:ascii="Times New Roman" w:eastAsia="Times New Roman" w:hAnsi="Times New Roman"/>
          <w:i/>
          <w:iCs/>
          <w:sz w:val="24"/>
          <w:szCs w:val="24"/>
          <w:lang w:eastAsia="fr-FR"/>
        </w:rPr>
        <w:t>prolepse</w:t>
      </w:r>
      <w:r w:rsidRPr="003B00C8">
        <w:rPr>
          <w:rFonts w:ascii="Times New Roman" w:eastAsia="Times New Roman" w:hAnsi="Times New Roman"/>
          <w:sz w:val="24"/>
          <w:szCs w:val="24"/>
          <w:lang w:eastAsia="fr-FR"/>
        </w:rPr>
        <w:t xml:space="preserve">; soit qu'ils racontent après (dans R) ce qui s'est passé avant (dans H) – rétrospection, ou </w:t>
      </w:r>
      <w:r w:rsidRPr="003B00C8">
        <w:rPr>
          <w:rFonts w:ascii="Times New Roman" w:eastAsia="Times New Roman" w:hAnsi="Times New Roman"/>
          <w:i/>
          <w:iCs/>
          <w:sz w:val="24"/>
          <w:szCs w:val="24"/>
          <w:lang w:eastAsia="fr-FR"/>
        </w:rPr>
        <w:t>analepse</w:t>
      </w:r>
      <w:r w:rsidRPr="003B00C8">
        <w:rPr>
          <w:rFonts w:ascii="Times New Roman" w:eastAsia="Times New Roman" w:hAnsi="Times New Roman"/>
          <w:sz w:val="24"/>
          <w:szCs w:val="24"/>
          <w:lang w:eastAsia="fr-FR"/>
        </w:rPr>
        <w:t xml:space="preserve">. </w:t>
      </w:r>
    </w:p>
    <w:p w:rsidR="006A4EED" w:rsidRPr="003B00C8" w:rsidRDefault="006A4EED" w:rsidP="00D3182A">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confrontation de cet ordre de disposition des événements présente de nombreuses infidélités chronologiques dans la pièce de </w:t>
      </w:r>
      <w:r w:rsidR="0030057B" w:rsidRPr="003B00C8">
        <w:rPr>
          <w:rFonts w:ascii="Times New Roman" w:eastAsia="Times New Roman" w:hAnsi="Times New Roman"/>
          <w:sz w:val="24"/>
          <w:szCs w:val="24"/>
          <w:lang w:eastAsia="fr-FR"/>
        </w:rPr>
        <w:t>K</w:t>
      </w:r>
      <w:r w:rsidRPr="003B00C8">
        <w:rPr>
          <w:rFonts w:ascii="Times New Roman" w:eastAsia="Times New Roman" w:hAnsi="Times New Roman"/>
          <w:sz w:val="24"/>
          <w:szCs w:val="24"/>
          <w:lang w:eastAsia="fr-FR"/>
        </w:rPr>
        <w:t xml:space="preserve">aki. Ces infidélités s’illustrent non seulement à travers les types de récits présents dans </w:t>
      </w:r>
      <w:r w:rsidRPr="003B00C8">
        <w:rPr>
          <w:rFonts w:ascii="Times New Roman" w:eastAsia="Times New Roman" w:hAnsi="Times New Roman"/>
          <w:i/>
          <w:sz w:val="24"/>
          <w:szCs w:val="24"/>
          <w:lang w:eastAsia="fr-FR"/>
        </w:rPr>
        <w:t>Le porteur d’eau et les marabouts,</w:t>
      </w:r>
      <w:r w:rsidRPr="003B00C8">
        <w:rPr>
          <w:rFonts w:ascii="Times New Roman" w:eastAsia="Times New Roman" w:hAnsi="Times New Roman"/>
          <w:sz w:val="24"/>
          <w:szCs w:val="24"/>
          <w:lang w:eastAsia="fr-FR"/>
        </w:rPr>
        <w:t xml:space="preserve"> mais aussi, à travers la désarticulation de l’ordre, orchestrée par diverses formes d’anachronies.</w:t>
      </w:r>
    </w:p>
    <w:p w:rsidR="006A4EED" w:rsidRPr="005B1741" w:rsidRDefault="00EE6CB7" w:rsidP="00EE6CB7">
      <w:pPr>
        <w:pStyle w:val="Titre4"/>
        <w:spacing w:before="0" w:after="0" w:line="360" w:lineRule="auto"/>
        <w:ind w:left="0" w:firstLine="284"/>
        <w:jc w:val="both"/>
        <w:rPr>
          <w:rFonts w:ascii="Times New Roman" w:hAnsi="Times New Roman"/>
          <w:i w:val="0"/>
          <w:iCs/>
          <w:lang w:eastAsia="fr-FR"/>
        </w:rPr>
      </w:pPr>
      <w:bookmarkStart w:id="79" w:name="_Toc471484450"/>
      <w:r>
        <w:rPr>
          <w:rFonts w:ascii="Times New Roman" w:hAnsi="Times New Roman"/>
          <w:i w:val="0"/>
          <w:iCs/>
          <w:lang w:eastAsia="fr-FR"/>
        </w:rPr>
        <w:lastRenderedPageBreak/>
        <w:t>1.1.</w:t>
      </w:r>
      <w:r w:rsidRPr="005B1741">
        <w:rPr>
          <w:rFonts w:ascii="Times New Roman" w:hAnsi="Times New Roman"/>
          <w:i w:val="0"/>
          <w:iCs/>
          <w:lang w:eastAsia="fr-FR"/>
        </w:rPr>
        <w:t xml:space="preserve"> Les</w:t>
      </w:r>
      <w:r w:rsidR="006A4EED" w:rsidRPr="005B1741">
        <w:rPr>
          <w:rFonts w:ascii="Times New Roman" w:hAnsi="Times New Roman"/>
          <w:i w:val="0"/>
          <w:iCs/>
          <w:lang w:eastAsia="fr-FR"/>
        </w:rPr>
        <w:t xml:space="preserve"> désinences du récit</w:t>
      </w:r>
      <w:bookmarkEnd w:id="79"/>
    </w:p>
    <w:p w:rsidR="006A4EED" w:rsidRPr="003B00C8" w:rsidRDefault="006A4EED" w:rsidP="00EE6CB7">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Tzevetan Todorov dans </w:t>
      </w:r>
      <w:r w:rsidRPr="003B00C8">
        <w:rPr>
          <w:rFonts w:ascii="Times New Roman" w:eastAsia="Times New Roman" w:hAnsi="Times New Roman"/>
          <w:i/>
          <w:sz w:val="24"/>
          <w:szCs w:val="24"/>
          <w:lang w:eastAsia="fr-FR"/>
        </w:rPr>
        <w:t>Les catégories du récit littéraire</w:t>
      </w:r>
      <w:r w:rsidRPr="003B00C8">
        <w:rPr>
          <w:rFonts w:ascii="Times New Roman" w:eastAsia="Times New Roman" w:hAnsi="Times New Roman"/>
          <w:sz w:val="24"/>
          <w:szCs w:val="24"/>
          <w:lang w:eastAsia="fr-FR"/>
        </w:rPr>
        <w:t xml:space="preserve"> estime que : </w:t>
      </w:r>
    </w:p>
    <w:p w:rsidR="006A4EED" w:rsidRPr="003B210A" w:rsidRDefault="006A4EED" w:rsidP="003B210A">
      <w:pPr>
        <w:pStyle w:val="Citationintense"/>
        <w:spacing w:before="0" w:after="0"/>
        <w:ind w:left="567" w:right="0"/>
        <w:rPr>
          <w:sz w:val="20"/>
          <w:szCs w:val="20"/>
        </w:rPr>
      </w:pPr>
      <w:r w:rsidRPr="003B210A">
        <w:rPr>
          <w:sz w:val="20"/>
          <w:szCs w:val="20"/>
        </w:rPr>
        <w:t>Le problème de la présentation du temps dans le récit se pose à cause d’une dissemblance entre la temporalité de l’histoire et celle du discours. Le temps du discours est, dans un certain sens, un temps linéaire, alors que le temps de l’histoire est pluridimensionnel. Dans l’histoire, plusieurs événements peuvent se dérouler en même temps ; mais le discours littéraire doit obligatoirement les mettre à la suite l’un de l’autre. Une figure complexe se trouve projetée sur une ligne droite. C’est là que vient la nécessité de rompre la succession « naturelle » parce qu’il utilise la déformation temporelle</w:t>
      </w:r>
      <w:r w:rsidRPr="003B210A">
        <w:rPr>
          <w:sz w:val="20"/>
          <w:szCs w:val="20"/>
          <w:vertAlign w:val="superscript"/>
        </w:rPr>
        <w:footnoteReference w:id="140"/>
      </w:r>
      <w:r w:rsidRPr="003B210A">
        <w:rPr>
          <w:sz w:val="20"/>
          <w:szCs w:val="20"/>
        </w:rPr>
        <w:t>.</w:t>
      </w:r>
    </w:p>
    <w:p w:rsidR="003B210A" w:rsidRDefault="003B210A" w:rsidP="004C13F9">
      <w:pPr>
        <w:autoSpaceDE w:val="0"/>
        <w:autoSpaceDN w:val="0"/>
        <w:adjustRightInd w:val="0"/>
        <w:spacing w:after="0" w:line="360" w:lineRule="auto"/>
        <w:ind w:right="283"/>
        <w:jc w:val="both"/>
        <w:rPr>
          <w:rFonts w:ascii="Times New Roman" w:eastAsia="Times New Roman" w:hAnsi="Times New Roman"/>
          <w:sz w:val="24"/>
          <w:szCs w:val="24"/>
          <w:lang w:eastAsia="fr-FR"/>
        </w:rPr>
      </w:pPr>
    </w:p>
    <w:p w:rsidR="006A4EED" w:rsidRPr="003B00C8" w:rsidRDefault="006A4EED" w:rsidP="003B210A">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C’est dans cette rupture que se situent les récits en présence dans le corpus. Ainsi on a les récits enchâssés et les récits alternants. Cette analyse ne consiste pas en une simple étude des types de récit, mais vise à démontrer qu’il y a non seulement plusieurs histoires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 xml:space="preserve">e porteur d'eau et les marabouts </w:t>
      </w:r>
      <w:r w:rsidRPr="003B00C8">
        <w:rPr>
          <w:rFonts w:ascii="Times New Roman" w:eastAsia="Times New Roman" w:hAnsi="Times New Roman"/>
          <w:sz w:val="24"/>
          <w:szCs w:val="24"/>
          <w:lang w:eastAsia="fr-FR"/>
        </w:rPr>
        <w:t xml:space="preserve">de </w:t>
      </w:r>
      <w:r w:rsidR="005B1741" w:rsidRPr="003B00C8">
        <w:rPr>
          <w:rFonts w:ascii="Times New Roman" w:eastAsia="Times New Roman" w:hAnsi="Times New Roman"/>
          <w:sz w:val="24"/>
          <w:szCs w:val="24"/>
          <w:lang w:eastAsia="fr-FR"/>
        </w:rPr>
        <w:t>K</w:t>
      </w:r>
      <w:r w:rsidRPr="003B00C8">
        <w:rPr>
          <w:rFonts w:ascii="Times New Roman" w:eastAsia="Times New Roman" w:hAnsi="Times New Roman"/>
          <w:sz w:val="24"/>
          <w:szCs w:val="24"/>
          <w:lang w:eastAsia="fr-FR"/>
        </w:rPr>
        <w:t>aki Ould Abderrahmane, mais aussi que la mise en relation de celles-ci démontre la rupture de l’ordre du récit.</w:t>
      </w:r>
    </w:p>
    <w:p w:rsidR="0070655F" w:rsidRDefault="0070655F" w:rsidP="0070655F">
      <w:pPr>
        <w:pStyle w:val="Titre5"/>
        <w:spacing w:before="0" w:after="0"/>
        <w:ind w:left="641" w:hanging="357"/>
        <w:jc w:val="both"/>
        <w:rPr>
          <w:rFonts w:ascii="Times New Roman" w:hAnsi="Times New Roman"/>
          <w:color w:val="auto"/>
          <w:lang w:eastAsia="fr-FR"/>
        </w:rPr>
      </w:pPr>
    </w:p>
    <w:p w:rsidR="006A4EED" w:rsidRPr="0070655F" w:rsidRDefault="0070655F" w:rsidP="0070655F">
      <w:pPr>
        <w:pStyle w:val="Titre5"/>
        <w:spacing w:before="0" w:after="0"/>
        <w:ind w:left="641" w:hanging="357"/>
        <w:jc w:val="both"/>
        <w:rPr>
          <w:rFonts w:ascii="Times New Roman" w:hAnsi="Times New Roman"/>
          <w:color w:val="auto"/>
          <w:lang w:eastAsia="fr-FR"/>
        </w:rPr>
      </w:pPr>
      <w:bookmarkStart w:id="80" w:name="_Toc471484451"/>
      <w:r w:rsidRPr="0070655F">
        <w:rPr>
          <w:rFonts w:ascii="Times New Roman" w:hAnsi="Times New Roman"/>
          <w:color w:val="auto"/>
          <w:lang w:eastAsia="fr-FR"/>
        </w:rPr>
        <w:t>1.1.1. Les</w:t>
      </w:r>
      <w:r w:rsidR="006A4EED" w:rsidRPr="0070655F">
        <w:rPr>
          <w:rFonts w:ascii="Times New Roman" w:hAnsi="Times New Roman"/>
          <w:color w:val="auto"/>
          <w:lang w:eastAsia="fr-FR"/>
        </w:rPr>
        <w:t xml:space="preserve"> récits enchâssés</w:t>
      </w:r>
      <w:bookmarkEnd w:id="80"/>
      <w:r w:rsidR="006A4EED" w:rsidRPr="0070655F">
        <w:rPr>
          <w:rFonts w:ascii="Times New Roman" w:hAnsi="Times New Roman"/>
          <w:color w:val="auto"/>
          <w:lang w:eastAsia="fr-FR"/>
        </w:rPr>
        <w:t xml:space="preserve"> </w:t>
      </w:r>
    </w:p>
    <w:p w:rsidR="00460C6C" w:rsidRPr="0070655F" w:rsidRDefault="006A4EED" w:rsidP="0070655F">
      <w:pPr>
        <w:autoSpaceDE w:val="0"/>
        <w:autoSpaceDN w:val="0"/>
        <w:adjustRightInd w:val="0"/>
        <w:spacing w:after="0" w:line="360" w:lineRule="auto"/>
        <w:ind w:firstLine="284"/>
        <w:jc w:val="both"/>
        <w:rPr>
          <w:rFonts w:asciiTheme="majorBidi" w:hAnsiTheme="majorBidi" w:cstheme="majorBidi"/>
          <w:sz w:val="24"/>
          <w:szCs w:val="24"/>
          <w:lang w:eastAsia="fr-FR"/>
        </w:rPr>
      </w:pPr>
      <w:r w:rsidRPr="003B00C8">
        <w:rPr>
          <w:rFonts w:ascii="Times New Roman" w:eastAsia="Times New Roman" w:hAnsi="Times New Roman"/>
          <w:sz w:val="24"/>
          <w:szCs w:val="24"/>
          <w:lang w:eastAsia="fr-FR"/>
        </w:rPr>
        <w:t xml:space="preserve">Du point de vue de Todorov, </w:t>
      </w:r>
      <w:r w:rsidR="0070655F" w:rsidRPr="0070655F">
        <w:rPr>
          <w:rFonts w:asciiTheme="majorBidi" w:eastAsia="Times New Roman" w:hAnsiTheme="majorBidi" w:cstheme="majorBidi"/>
          <w:sz w:val="24"/>
          <w:szCs w:val="24"/>
          <w:lang w:eastAsia="fr-FR"/>
        </w:rPr>
        <w:t>« l</w:t>
      </w:r>
      <w:r w:rsidRPr="0070655F">
        <w:rPr>
          <w:rFonts w:asciiTheme="majorBidi" w:hAnsiTheme="majorBidi" w:cstheme="majorBidi"/>
          <w:sz w:val="24"/>
          <w:szCs w:val="24"/>
          <w:lang w:eastAsia="fr-FR"/>
        </w:rPr>
        <w:t>’enchâssement, c’est l’inclusion d’une histoire à l’intérieur d’une autre. »</w:t>
      </w:r>
      <w:r w:rsidRPr="0070655F">
        <w:rPr>
          <w:rFonts w:asciiTheme="majorBidi" w:hAnsiTheme="majorBidi" w:cstheme="majorBidi"/>
          <w:sz w:val="24"/>
          <w:szCs w:val="24"/>
          <w:vertAlign w:val="superscript"/>
          <w:lang w:eastAsia="fr-FR"/>
        </w:rPr>
        <w:footnoteReference w:id="141"/>
      </w:r>
      <w:r w:rsidRPr="0070655F">
        <w:rPr>
          <w:rFonts w:asciiTheme="majorBidi" w:hAnsiTheme="majorBidi" w:cstheme="majorBidi"/>
          <w:sz w:val="24"/>
          <w:szCs w:val="24"/>
          <w:lang w:eastAsia="fr-FR"/>
        </w:rPr>
        <w:t xml:space="preserve"> </w:t>
      </w:r>
    </w:p>
    <w:p w:rsidR="006A4EED" w:rsidRPr="003B00C8" w:rsidRDefault="006A4EED" w:rsidP="001117DB">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sz w:val="24"/>
          <w:szCs w:val="24"/>
          <w:lang w:eastAsia="fr-FR"/>
        </w:rPr>
        <w:t xml:space="preserve">Ainsi défini, on peut lire l’enchâssement des récits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en ce sens que l’histoire de Halima et des trois marabouts vertueux à savoir </w:t>
      </w:r>
      <w:r w:rsidR="00BB7E43">
        <w:rPr>
          <w:rFonts w:ascii="Times New Roman" w:eastAsia="Times New Roman" w:hAnsi="Times New Roman"/>
          <w:bCs/>
          <w:sz w:val="24"/>
          <w:szCs w:val="24"/>
          <w:lang w:eastAsia="fr-FR"/>
        </w:rPr>
        <w:t>S</w:t>
      </w:r>
      <w:r w:rsidR="00BB7E43" w:rsidRPr="003B00C8">
        <w:rPr>
          <w:rFonts w:ascii="Times New Roman" w:eastAsia="Times New Roman" w:hAnsi="Times New Roman"/>
          <w:bCs/>
          <w:sz w:val="24"/>
          <w:szCs w:val="24"/>
          <w:lang w:eastAsia="fr-FR"/>
        </w:rPr>
        <w:t>idi-</w:t>
      </w:r>
      <w:r w:rsidR="00BB7E43">
        <w:rPr>
          <w:rFonts w:ascii="Times New Roman" w:eastAsia="Times New Roman" w:hAnsi="Times New Roman"/>
          <w:bCs/>
          <w:sz w:val="24"/>
          <w:szCs w:val="24"/>
          <w:lang w:eastAsia="fr-FR"/>
        </w:rPr>
        <w:t>B</w:t>
      </w:r>
      <w:r w:rsidR="00BB7E43" w:rsidRPr="003B00C8">
        <w:rPr>
          <w:rFonts w:ascii="Times New Roman" w:eastAsia="Times New Roman" w:hAnsi="Times New Roman"/>
          <w:bCs/>
          <w:sz w:val="24"/>
          <w:szCs w:val="24"/>
          <w:lang w:eastAsia="fr-FR"/>
        </w:rPr>
        <w:t xml:space="preserve">oumédiène, </w:t>
      </w:r>
      <w:r w:rsidR="00BB7E43">
        <w:rPr>
          <w:rFonts w:ascii="Times New Roman" w:eastAsia="Times New Roman" w:hAnsi="Times New Roman"/>
          <w:bCs/>
          <w:sz w:val="24"/>
          <w:szCs w:val="24"/>
          <w:lang w:eastAsia="fr-FR"/>
        </w:rPr>
        <w:t>S</w:t>
      </w:r>
      <w:r w:rsidR="00BB7E43" w:rsidRPr="003B00C8">
        <w:rPr>
          <w:rFonts w:ascii="Times New Roman" w:eastAsia="Times New Roman" w:hAnsi="Times New Roman"/>
          <w:bCs/>
          <w:sz w:val="24"/>
          <w:szCs w:val="24"/>
          <w:lang w:eastAsia="fr-FR"/>
        </w:rPr>
        <w:t>idi-</w:t>
      </w:r>
      <w:r w:rsidR="00BB7E43">
        <w:rPr>
          <w:rFonts w:ascii="Times New Roman" w:eastAsia="Times New Roman" w:hAnsi="Times New Roman"/>
          <w:bCs/>
          <w:sz w:val="24"/>
          <w:szCs w:val="24"/>
          <w:lang w:eastAsia="fr-FR"/>
        </w:rPr>
        <w:t>A</w:t>
      </w:r>
      <w:r w:rsidR="00BB7E43" w:rsidRPr="003B00C8">
        <w:rPr>
          <w:rFonts w:ascii="Times New Roman" w:eastAsia="Times New Roman" w:hAnsi="Times New Roman"/>
          <w:bCs/>
          <w:sz w:val="24"/>
          <w:szCs w:val="24"/>
          <w:lang w:eastAsia="fr-FR"/>
        </w:rPr>
        <w:t>bdelkader</w:t>
      </w:r>
      <w:r w:rsidRPr="003B00C8">
        <w:rPr>
          <w:rFonts w:ascii="Times New Roman" w:eastAsia="Times New Roman" w:hAnsi="Times New Roman"/>
          <w:sz w:val="24"/>
          <w:szCs w:val="24"/>
          <w:lang w:eastAsia="fr-FR"/>
        </w:rPr>
        <w:t xml:space="preserve"> </w:t>
      </w:r>
      <w:r w:rsidR="00BB7E43" w:rsidRPr="003B00C8">
        <w:rPr>
          <w:rFonts w:ascii="Times New Roman" w:eastAsia="Times New Roman" w:hAnsi="Times New Roman"/>
          <w:sz w:val="24"/>
          <w:szCs w:val="24"/>
          <w:lang w:eastAsia="fr-FR"/>
        </w:rPr>
        <w:t xml:space="preserve">et </w:t>
      </w:r>
      <w:r w:rsidR="00BB7E43">
        <w:rPr>
          <w:rFonts w:ascii="Times New Roman" w:eastAsia="Times New Roman" w:hAnsi="Times New Roman"/>
          <w:bCs/>
          <w:sz w:val="24"/>
          <w:szCs w:val="24"/>
          <w:lang w:eastAsia="fr-FR"/>
        </w:rPr>
        <w:t>S</w:t>
      </w:r>
      <w:r w:rsidR="00BB7E43" w:rsidRPr="003B00C8">
        <w:rPr>
          <w:rFonts w:ascii="Times New Roman" w:eastAsia="Times New Roman" w:hAnsi="Times New Roman"/>
          <w:bCs/>
          <w:sz w:val="24"/>
          <w:szCs w:val="24"/>
          <w:lang w:eastAsia="fr-FR"/>
        </w:rPr>
        <w:t>idi-</w:t>
      </w:r>
      <w:r w:rsidR="00BB7E43">
        <w:rPr>
          <w:rFonts w:ascii="Times New Roman" w:eastAsia="Times New Roman" w:hAnsi="Times New Roman"/>
          <w:bCs/>
          <w:sz w:val="24"/>
          <w:szCs w:val="24"/>
          <w:lang w:eastAsia="fr-FR"/>
        </w:rPr>
        <w:t>A</w:t>
      </w:r>
      <w:r w:rsidR="00BB7E43" w:rsidRPr="003B00C8">
        <w:rPr>
          <w:rFonts w:ascii="Times New Roman" w:eastAsia="Times New Roman" w:hAnsi="Times New Roman"/>
          <w:bCs/>
          <w:sz w:val="24"/>
          <w:szCs w:val="24"/>
          <w:lang w:eastAsia="fr-FR"/>
        </w:rPr>
        <w:t>bderrahmane</w:t>
      </w:r>
      <w:r w:rsidRPr="003B00C8">
        <w:rPr>
          <w:rFonts w:ascii="Times New Roman" w:eastAsia="Times New Roman" w:hAnsi="Times New Roman"/>
          <w:bCs/>
          <w:sz w:val="24"/>
          <w:szCs w:val="24"/>
          <w:lang w:eastAsia="fr-FR"/>
        </w:rPr>
        <w:t xml:space="preserve"> est enchâssée dans celle de Slimane, le porteur d’eau, personnage principal de la pièce de théâtre. Si l’on s’intéresse aux deux histoires, on se rend compte que Slimane a son histoire à lui ; une histoire de vie misérable, de mendicité. Le narrateur-conteur de cette pièce de théâtre conduit le lecteur à la découverte de la bénédiction miraculeuse de l’aveugle Halima et conséquemment des contrées frappées de misère à travers le pèlerinage de Slimane qui, tout au long du récit chemine avec les trois marabouts vertueux. Il faut dire que la principale histoire, au mieux l’histoire centrale de cette pièce de théâtre est celle de Slimane à en croire le titre et même le volume de pages </w:t>
      </w:r>
      <w:r w:rsidR="005B1741">
        <w:rPr>
          <w:rFonts w:ascii="Times New Roman" w:eastAsia="Times New Roman" w:hAnsi="Times New Roman"/>
          <w:bCs/>
          <w:sz w:val="24"/>
          <w:szCs w:val="24"/>
          <w:lang w:eastAsia="fr-FR"/>
        </w:rPr>
        <w:t>qui lui est</w:t>
      </w:r>
      <w:r w:rsidRPr="003B00C8">
        <w:rPr>
          <w:rFonts w:ascii="Times New Roman" w:eastAsia="Times New Roman" w:hAnsi="Times New Roman"/>
          <w:bCs/>
          <w:sz w:val="24"/>
          <w:szCs w:val="24"/>
          <w:lang w:eastAsia="fr-FR"/>
        </w:rPr>
        <w:t xml:space="preserve"> consacré. On comprend donc vite que de ces deux histoires, c’est celle du porteur d’eau qui est la première et celle d’Halima </w:t>
      </w:r>
      <w:r w:rsidRPr="003B00C8">
        <w:rPr>
          <w:rFonts w:ascii="Times New Roman" w:eastAsia="Times New Roman" w:hAnsi="Times New Roman"/>
          <w:bCs/>
          <w:sz w:val="24"/>
          <w:szCs w:val="24"/>
          <w:lang w:eastAsia="fr-FR"/>
        </w:rPr>
        <w:lastRenderedPageBreak/>
        <w:t>la deuxième. La mise en relation de ces deux histoires pousse le narrateur à enchâsser l’une dans l’autre.</w:t>
      </w:r>
      <w:r w:rsidR="00715014">
        <w:rPr>
          <w:rFonts w:ascii="Times New Roman" w:eastAsia="Times New Roman" w:hAnsi="Times New Roman"/>
          <w:bCs/>
          <w:sz w:val="24"/>
          <w:szCs w:val="24"/>
          <w:lang w:eastAsia="fr-FR"/>
        </w:rPr>
        <w:t xml:space="preserve"> </w:t>
      </w:r>
      <w:r w:rsidRPr="003B00C8">
        <w:rPr>
          <w:rFonts w:ascii="Times New Roman" w:eastAsia="Times New Roman" w:hAnsi="Times New Roman"/>
          <w:bCs/>
          <w:sz w:val="24"/>
          <w:szCs w:val="24"/>
          <w:lang w:eastAsia="fr-FR"/>
        </w:rPr>
        <w:t xml:space="preserve">En outre, autant les histoires de Slimane et Halima sont enchâssées autant les histoires du Derviche, de l’aveugle et Aicha, de Hashmi, du Servant de Sidi-Dahane, de Cadi et du Mufti… le sont dans la principale histoire de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narrée par le narrateur-conteur. Dès lors, il pourrait s’établir plusieurs rapports de subordinations entre ces histoires. L’histoire d’Halima est subordonnée à celle de Slimane tout comme les autres histoires le sont à celle de Slimane. Toutefois dans une relation de subordination, le narrateur réussit à les enchâsser. Une telle association ne peut laisser la temporalité indifférente. Néanmoins, avant de voir son impact sur la temporalité, examinons aussi l’autre type de récit présent dans le texte : l’alternance des récits.</w:t>
      </w:r>
    </w:p>
    <w:p w:rsidR="001117DB" w:rsidRDefault="001117DB" w:rsidP="001117DB">
      <w:pPr>
        <w:pStyle w:val="Titre5"/>
        <w:spacing w:before="0" w:after="0"/>
        <w:ind w:left="641" w:hanging="357"/>
        <w:jc w:val="both"/>
        <w:rPr>
          <w:rFonts w:ascii="Times New Roman" w:hAnsi="Times New Roman"/>
          <w:color w:val="auto"/>
          <w:lang w:eastAsia="fr-FR"/>
        </w:rPr>
      </w:pPr>
    </w:p>
    <w:p w:rsidR="006A4EED" w:rsidRPr="001117DB" w:rsidRDefault="001117DB" w:rsidP="001117DB">
      <w:pPr>
        <w:pStyle w:val="Titre5"/>
        <w:spacing w:before="0" w:after="0"/>
        <w:ind w:left="641" w:hanging="357"/>
        <w:jc w:val="both"/>
        <w:rPr>
          <w:rFonts w:ascii="Times New Roman" w:hAnsi="Times New Roman"/>
          <w:color w:val="auto"/>
          <w:lang w:eastAsia="fr-FR"/>
        </w:rPr>
      </w:pPr>
      <w:bookmarkStart w:id="81" w:name="_Toc471484452"/>
      <w:r w:rsidRPr="001117DB">
        <w:rPr>
          <w:rFonts w:ascii="Times New Roman" w:hAnsi="Times New Roman"/>
          <w:color w:val="auto"/>
          <w:lang w:eastAsia="fr-FR"/>
        </w:rPr>
        <w:t>1.1.2. Les</w:t>
      </w:r>
      <w:r w:rsidR="006A4EED" w:rsidRPr="001117DB">
        <w:rPr>
          <w:rFonts w:ascii="Times New Roman" w:hAnsi="Times New Roman"/>
          <w:color w:val="auto"/>
          <w:lang w:eastAsia="fr-FR"/>
        </w:rPr>
        <w:t xml:space="preserve"> récits alternants</w:t>
      </w:r>
      <w:bookmarkEnd w:id="81"/>
    </w:p>
    <w:p w:rsidR="006A4EED" w:rsidRPr="003B00C8" w:rsidRDefault="006A4EED" w:rsidP="001117DB">
      <w:pPr>
        <w:autoSpaceDE w:val="0"/>
        <w:autoSpaceDN w:val="0"/>
        <w:adjustRightInd w:val="0"/>
        <w:spacing w:after="0" w:line="360" w:lineRule="auto"/>
        <w:ind w:firstLine="340"/>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 xml:space="preserve">Selon Todorov, l’alternance </w:t>
      </w:r>
      <w:r w:rsidRPr="00BB7E43">
        <w:rPr>
          <w:rFonts w:ascii="Times New Roman" w:eastAsia="Times New Roman" w:hAnsi="Times New Roman"/>
          <w:bCs/>
          <w:iCs/>
          <w:sz w:val="24"/>
          <w:szCs w:val="24"/>
          <w:lang w:eastAsia="fr-FR"/>
        </w:rPr>
        <w:t>« </w:t>
      </w:r>
      <w:r w:rsidRPr="00BB7E43">
        <w:rPr>
          <w:rFonts w:ascii="Times New Roman" w:eastAsia="Times New Roman" w:hAnsi="Times New Roman"/>
          <w:bCs/>
          <w:sz w:val="24"/>
          <w:szCs w:val="24"/>
          <w:lang w:eastAsia="fr-FR"/>
        </w:rPr>
        <w:t>consiste à raconter les deux histoires simultanément, en interrompant tantôt l’une, tantôt l’autre, pour la reprendre à l’interruption suivante</w:t>
      </w:r>
      <w:r w:rsidRPr="003B00C8">
        <w:rPr>
          <w:rFonts w:ascii="Times New Roman" w:eastAsia="Times New Roman" w:hAnsi="Times New Roman"/>
          <w:bCs/>
          <w:iCs/>
          <w:sz w:val="24"/>
          <w:szCs w:val="24"/>
          <w:lang w:eastAsia="fr-FR"/>
        </w:rPr>
        <w:t> »</w:t>
      </w:r>
      <w:r w:rsidRPr="003B00C8">
        <w:rPr>
          <w:rFonts w:ascii="Times New Roman" w:eastAsia="Times New Roman" w:hAnsi="Times New Roman"/>
          <w:bCs/>
          <w:iCs/>
          <w:sz w:val="24"/>
          <w:szCs w:val="24"/>
          <w:vertAlign w:val="superscript"/>
          <w:lang w:eastAsia="fr-FR"/>
        </w:rPr>
        <w:footnoteReference w:id="142"/>
      </w:r>
      <w:r w:rsidRPr="003B00C8">
        <w:rPr>
          <w:rFonts w:ascii="Times New Roman" w:eastAsia="Times New Roman" w:hAnsi="Times New Roman"/>
          <w:bCs/>
          <w:iCs/>
          <w:sz w:val="24"/>
          <w:szCs w:val="24"/>
          <w:lang w:eastAsia="fr-FR"/>
        </w:rPr>
        <w:t xml:space="preserve">. Tout comme l’enchâssement, les exemples d’alternance fourmillent également dans la pièce de théâtre. D’ailleurs, c’est d’elle que se sert le narrateur pour la mise en relief des histoires que </w:t>
      </w:r>
      <w:proofErr w:type="gramStart"/>
      <w:r w:rsidRPr="003B00C8">
        <w:rPr>
          <w:rFonts w:ascii="Times New Roman" w:eastAsia="Times New Roman" w:hAnsi="Times New Roman"/>
          <w:bCs/>
          <w:iCs/>
          <w:sz w:val="24"/>
          <w:szCs w:val="24"/>
          <w:lang w:eastAsia="fr-FR"/>
        </w:rPr>
        <w:t>relate</w:t>
      </w:r>
      <w:proofErr w:type="gramEnd"/>
      <w:r w:rsidRPr="003B00C8">
        <w:rPr>
          <w:rFonts w:ascii="Times New Roman" w:eastAsia="Times New Roman" w:hAnsi="Times New Roman"/>
          <w:bCs/>
          <w:iCs/>
          <w:sz w:val="24"/>
          <w:szCs w:val="24"/>
          <w:lang w:eastAsia="fr-FR"/>
        </w:rPr>
        <w:t xml:space="preserv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Si on prend en considération par exemple l’histoire du Derviche, il est perceptible que celle-ci s’étend sur plusieurs pages qui ne se suivent pas. L’histoire du Derviche commence dès la première page (p.01) de la pièce de théâtre avec celle de Slimane. Elle est interrompue à la page cinq (p.05) pour laisser le temps à Slimane d’épiloguer sur les propos du Derviche jusqu’à la rencontre des trois (03) marabouts vertueux. Le lecteur ne verra le Derviche réapparaitre que dans le dernier acte de la pièce de théâtre après que les trois (03) marabouts vertueux auront déjà béni l’aveugle Halima et que toute la contrée serait enfin sortie de la misère.</w:t>
      </w:r>
    </w:p>
    <w:p w:rsidR="006A4EED" w:rsidRPr="003B00C8" w:rsidRDefault="006A4EED" w:rsidP="001117DB">
      <w:pPr>
        <w:autoSpaceDE w:val="0"/>
        <w:autoSpaceDN w:val="0"/>
        <w:adjustRightInd w:val="0"/>
        <w:spacing w:after="0" w:line="360" w:lineRule="auto"/>
        <w:ind w:firstLine="340"/>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Par ailleurs, l’histoire de Slimane qui s’étale sur le plus grand nombre de pages et qui en est d’ailleurs la principale de la pièce de théâtre est brusquement interrompu</w:t>
      </w:r>
      <w:r w:rsidR="00715014">
        <w:rPr>
          <w:rFonts w:ascii="Times New Roman" w:eastAsia="Times New Roman" w:hAnsi="Times New Roman"/>
          <w:bCs/>
          <w:iCs/>
          <w:sz w:val="24"/>
          <w:szCs w:val="24"/>
          <w:lang w:eastAsia="fr-FR"/>
        </w:rPr>
        <w:t>e</w:t>
      </w:r>
      <w:r w:rsidRPr="003B00C8">
        <w:rPr>
          <w:rFonts w:ascii="Times New Roman" w:eastAsia="Times New Roman" w:hAnsi="Times New Roman"/>
          <w:bCs/>
          <w:iCs/>
          <w:sz w:val="24"/>
          <w:szCs w:val="24"/>
          <w:lang w:eastAsia="fr-FR"/>
        </w:rPr>
        <w:t xml:space="preserve"> dans le deuxième acte de la pièce lorsque celui-ci déclare :</w:t>
      </w:r>
    </w:p>
    <w:p w:rsidR="006A4EED" w:rsidRPr="001117DB" w:rsidRDefault="006A4EED" w:rsidP="001117DB">
      <w:pPr>
        <w:pStyle w:val="Citationintense"/>
        <w:spacing w:before="0" w:after="0"/>
        <w:ind w:left="567" w:right="0"/>
        <w:rPr>
          <w:iCs w:val="0"/>
          <w:sz w:val="20"/>
          <w:szCs w:val="20"/>
          <w:lang w:eastAsia="fr-FR"/>
        </w:rPr>
      </w:pPr>
      <w:r w:rsidRPr="001117DB">
        <w:rPr>
          <w:b/>
          <w:iCs w:val="0"/>
          <w:sz w:val="20"/>
          <w:szCs w:val="20"/>
          <w:lang w:eastAsia="fr-FR"/>
        </w:rPr>
        <w:lastRenderedPageBreak/>
        <w:t xml:space="preserve">SLIMANE- </w:t>
      </w:r>
      <w:r w:rsidRPr="001117DB">
        <w:rPr>
          <w:iCs w:val="0"/>
          <w:sz w:val="20"/>
          <w:szCs w:val="20"/>
          <w:lang w:eastAsia="fr-FR"/>
        </w:rPr>
        <w:t>Non, non, mes seigneurs. Elle souhaite la bienvenue aux Marabouts Vertueux qui ont demandé l’hospitalité. Moi, je suis encore de cette contrée, je suis encore de ce monde ; il faut que je travaille pour gagner mon pain. Si tu veux être sauvé, travaille ! a dit Kaddour. Et moi, je veux être sauvé ! Allez ! Adieu !</w:t>
      </w:r>
    </w:p>
    <w:p w:rsidR="006A4EED" w:rsidRPr="001117DB" w:rsidRDefault="006A4EED" w:rsidP="001117DB">
      <w:pPr>
        <w:pStyle w:val="Citationintense"/>
        <w:spacing w:before="0" w:after="0"/>
        <w:ind w:left="567" w:right="0"/>
        <w:rPr>
          <w:iCs w:val="0"/>
          <w:sz w:val="20"/>
          <w:szCs w:val="20"/>
          <w:lang w:eastAsia="fr-FR"/>
        </w:rPr>
      </w:pPr>
      <w:r w:rsidRPr="001117DB">
        <w:rPr>
          <w:iCs w:val="0"/>
          <w:sz w:val="20"/>
          <w:szCs w:val="20"/>
          <w:lang w:eastAsia="fr-FR"/>
        </w:rPr>
        <w:t>De l’eau ! De l’eau ! L’eau du Très-Haut !</w:t>
      </w:r>
    </w:p>
    <w:p w:rsidR="006A4EED" w:rsidRPr="001117DB" w:rsidRDefault="006A4EED" w:rsidP="001117DB">
      <w:pPr>
        <w:pStyle w:val="Citationintense"/>
        <w:spacing w:before="0" w:after="0"/>
        <w:ind w:left="567" w:right="0"/>
        <w:rPr>
          <w:sz w:val="20"/>
          <w:szCs w:val="20"/>
          <w:lang w:eastAsia="fr-FR"/>
        </w:rPr>
      </w:pPr>
      <w:proofErr w:type="gramStart"/>
      <w:r w:rsidRPr="001117DB">
        <w:rPr>
          <w:iCs w:val="0"/>
          <w:sz w:val="20"/>
          <w:szCs w:val="20"/>
          <w:lang w:eastAsia="fr-FR"/>
        </w:rPr>
        <w:t>Tout droit</w:t>
      </w:r>
      <w:proofErr w:type="gramEnd"/>
      <w:r w:rsidRPr="001117DB">
        <w:rPr>
          <w:iCs w:val="0"/>
          <w:sz w:val="20"/>
          <w:szCs w:val="20"/>
          <w:lang w:eastAsia="fr-FR"/>
        </w:rPr>
        <w:t xml:space="preserve"> sortie de la source de Sidi-Okbi</w:t>
      </w:r>
      <w:r w:rsidRPr="001117DB">
        <w:rPr>
          <w:sz w:val="20"/>
          <w:szCs w:val="20"/>
          <w:lang w:eastAsia="fr-FR"/>
        </w:rPr>
        <w:t xml:space="preserve">! </w:t>
      </w:r>
      <w:r w:rsidRPr="001117DB">
        <w:rPr>
          <w:sz w:val="20"/>
          <w:szCs w:val="20"/>
          <w:vertAlign w:val="superscript"/>
          <w:lang w:eastAsia="fr-FR"/>
        </w:rPr>
        <w:footnoteReference w:id="143"/>
      </w:r>
    </w:p>
    <w:p w:rsidR="008B41D8" w:rsidRDefault="008B41D8" w:rsidP="006A4EED">
      <w:pPr>
        <w:autoSpaceDE w:val="0"/>
        <w:autoSpaceDN w:val="0"/>
        <w:adjustRightInd w:val="0"/>
        <w:spacing w:after="0" w:line="360" w:lineRule="auto"/>
        <w:ind w:right="283"/>
        <w:jc w:val="both"/>
        <w:rPr>
          <w:rFonts w:ascii="Times New Roman" w:eastAsia="Times New Roman" w:hAnsi="Times New Roman"/>
          <w:iCs/>
          <w:sz w:val="24"/>
          <w:szCs w:val="24"/>
          <w:lang w:eastAsia="fr-FR"/>
        </w:rPr>
      </w:pPr>
    </w:p>
    <w:p w:rsidR="00A60207" w:rsidRPr="003B00C8" w:rsidRDefault="006A4EED" w:rsidP="009275AA">
      <w:pPr>
        <w:autoSpaceDE w:val="0"/>
        <w:autoSpaceDN w:val="0"/>
        <w:adjustRightInd w:val="0"/>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iCs/>
          <w:sz w:val="24"/>
          <w:szCs w:val="24"/>
          <w:lang w:eastAsia="fr-FR"/>
        </w:rPr>
        <w:t>Joignant l’acte à sa parole, le personnage principal de la pièce de Kaki laissera ses compagnons de longue marche en compagnie de l’aveugle Halima chez qui ils ont pu enfin avoir le gite et le couvert. Cette interruption est aussi brusque qu’elle est forte de signification lorsqu’on prend en compte la symbolique du chrétien ou du musulman qui passe sur une longue période par le désert brûlant puis au moment de la bénédiction divine est absent.</w:t>
      </w:r>
      <w:r w:rsidRPr="003B00C8">
        <w:rPr>
          <w:rFonts w:ascii="Times New Roman" w:eastAsia="Times New Roman" w:hAnsi="Times New Roman"/>
          <w:sz w:val="24"/>
          <w:szCs w:val="24"/>
          <w:lang w:eastAsia="fr-FR"/>
        </w:rPr>
        <w:t xml:space="preserve"> L’histoire de Slimane qui alterne avec celle de Halima et des marabouts vertueux (</w:t>
      </w:r>
      <w:r w:rsidR="006D5AF5">
        <w:rPr>
          <w:rFonts w:ascii="Times New Roman" w:eastAsia="Times New Roman" w:hAnsi="Times New Roman"/>
          <w:bCs/>
          <w:sz w:val="24"/>
          <w:szCs w:val="24"/>
          <w:lang w:eastAsia="fr-FR"/>
        </w:rPr>
        <w:t>S</w:t>
      </w:r>
      <w:r w:rsidR="006D5AF5" w:rsidRPr="003B00C8">
        <w:rPr>
          <w:rFonts w:ascii="Times New Roman" w:eastAsia="Times New Roman" w:hAnsi="Times New Roman"/>
          <w:bCs/>
          <w:sz w:val="24"/>
          <w:szCs w:val="24"/>
          <w:lang w:eastAsia="fr-FR"/>
        </w:rPr>
        <w:t>idi-</w:t>
      </w:r>
      <w:r w:rsidR="006D5AF5">
        <w:rPr>
          <w:rFonts w:ascii="Times New Roman" w:eastAsia="Times New Roman" w:hAnsi="Times New Roman"/>
          <w:bCs/>
          <w:sz w:val="24"/>
          <w:szCs w:val="24"/>
          <w:lang w:eastAsia="fr-FR"/>
        </w:rPr>
        <w:t>B</w:t>
      </w:r>
      <w:r w:rsidR="006D5AF5" w:rsidRPr="003B00C8">
        <w:rPr>
          <w:rFonts w:ascii="Times New Roman" w:eastAsia="Times New Roman" w:hAnsi="Times New Roman"/>
          <w:bCs/>
          <w:sz w:val="24"/>
          <w:szCs w:val="24"/>
          <w:lang w:eastAsia="fr-FR"/>
        </w:rPr>
        <w:t xml:space="preserve">oumédiène, </w:t>
      </w:r>
      <w:r w:rsidR="006D5AF5">
        <w:rPr>
          <w:rFonts w:ascii="Times New Roman" w:eastAsia="Times New Roman" w:hAnsi="Times New Roman"/>
          <w:bCs/>
          <w:sz w:val="24"/>
          <w:szCs w:val="24"/>
          <w:lang w:eastAsia="fr-FR"/>
        </w:rPr>
        <w:t>S</w:t>
      </w:r>
      <w:r w:rsidR="006D5AF5" w:rsidRPr="003B00C8">
        <w:rPr>
          <w:rFonts w:ascii="Times New Roman" w:eastAsia="Times New Roman" w:hAnsi="Times New Roman"/>
          <w:bCs/>
          <w:sz w:val="24"/>
          <w:szCs w:val="24"/>
          <w:lang w:eastAsia="fr-FR"/>
        </w:rPr>
        <w:t>idi-</w:t>
      </w:r>
      <w:r w:rsidR="006D5AF5">
        <w:rPr>
          <w:rFonts w:ascii="Times New Roman" w:eastAsia="Times New Roman" w:hAnsi="Times New Roman"/>
          <w:bCs/>
          <w:sz w:val="24"/>
          <w:szCs w:val="24"/>
          <w:lang w:eastAsia="fr-FR"/>
        </w:rPr>
        <w:t>A</w:t>
      </w:r>
      <w:r w:rsidR="006D5AF5" w:rsidRPr="003B00C8">
        <w:rPr>
          <w:rFonts w:ascii="Times New Roman" w:eastAsia="Times New Roman" w:hAnsi="Times New Roman"/>
          <w:bCs/>
          <w:sz w:val="24"/>
          <w:szCs w:val="24"/>
          <w:lang w:eastAsia="fr-FR"/>
        </w:rPr>
        <w:t>bdelkader</w:t>
      </w:r>
      <w:r w:rsidR="006D5AF5" w:rsidRPr="003B00C8">
        <w:rPr>
          <w:rFonts w:ascii="Times New Roman" w:eastAsia="Times New Roman" w:hAnsi="Times New Roman"/>
          <w:sz w:val="24"/>
          <w:szCs w:val="24"/>
          <w:lang w:eastAsia="fr-FR"/>
        </w:rPr>
        <w:t xml:space="preserve"> et </w:t>
      </w:r>
      <w:r w:rsidR="006D5AF5">
        <w:rPr>
          <w:rFonts w:ascii="Times New Roman" w:eastAsia="Times New Roman" w:hAnsi="Times New Roman"/>
          <w:bCs/>
          <w:sz w:val="24"/>
          <w:szCs w:val="24"/>
          <w:lang w:eastAsia="fr-FR"/>
        </w:rPr>
        <w:t>S</w:t>
      </w:r>
      <w:r w:rsidR="006D5AF5" w:rsidRPr="003B00C8">
        <w:rPr>
          <w:rFonts w:ascii="Times New Roman" w:eastAsia="Times New Roman" w:hAnsi="Times New Roman"/>
          <w:bCs/>
          <w:sz w:val="24"/>
          <w:szCs w:val="24"/>
          <w:lang w:eastAsia="fr-FR"/>
        </w:rPr>
        <w:t>idi-</w:t>
      </w:r>
      <w:r w:rsidR="006D5AF5">
        <w:rPr>
          <w:rFonts w:ascii="Times New Roman" w:eastAsia="Times New Roman" w:hAnsi="Times New Roman"/>
          <w:bCs/>
          <w:sz w:val="24"/>
          <w:szCs w:val="24"/>
          <w:lang w:eastAsia="fr-FR"/>
        </w:rPr>
        <w:t>A</w:t>
      </w:r>
      <w:r w:rsidR="006D5AF5" w:rsidRPr="003B00C8">
        <w:rPr>
          <w:rFonts w:ascii="Times New Roman" w:eastAsia="Times New Roman" w:hAnsi="Times New Roman"/>
          <w:bCs/>
          <w:sz w:val="24"/>
          <w:szCs w:val="24"/>
          <w:lang w:eastAsia="fr-FR"/>
        </w:rPr>
        <w:t>bderrahmane</w:t>
      </w:r>
      <w:r w:rsidRPr="003B00C8">
        <w:rPr>
          <w:rFonts w:ascii="Times New Roman" w:eastAsia="Times New Roman" w:hAnsi="Times New Roman"/>
          <w:bCs/>
          <w:sz w:val="24"/>
          <w:szCs w:val="24"/>
          <w:lang w:eastAsia="fr-FR"/>
        </w:rPr>
        <w:t xml:space="preserve">) a </w:t>
      </w:r>
      <w:r w:rsidR="008B41D8">
        <w:rPr>
          <w:rFonts w:ascii="Times New Roman" w:eastAsia="Times New Roman" w:hAnsi="Times New Roman"/>
          <w:bCs/>
          <w:sz w:val="24"/>
          <w:szCs w:val="24"/>
          <w:lang w:eastAsia="fr-FR"/>
        </w:rPr>
        <w:t xml:space="preserve">un </w:t>
      </w:r>
      <w:r w:rsidRPr="003B00C8">
        <w:rPr>
          <w:rFonts w:ascii="Times New Roman" w:eastAsia="Times New Roman" w:hAnsi="Times New Roman"/>
          <w:bCs/>
          <w:sz w:val="24"/>
          <w:szCs w:val="24"/>
          <w:lang w:eastAsia="fr-FR"/>
        </w:rPr>
        <w:t xml:space="preserve">sens lié avec l’alternance dans la bénédiction divine dont les trois marabouts vertueux étaient mandataires. Il en va de la sorte dans la pièce de théâtre de Kaki. Tantôt le narrateur-conteur feint de faire vivre à son lecteur l’histoire du Fassi/Safi, le </w:t>
      </w:r>
      <w:r w:rsidR="00DC5C98" w:rsidRPr="003B00C8">
        <w:rPr>
          <w:rFonts w:ascii="Times New Roman" w:eastAsia="Times New Roman" w:hAnsi="Times New Roman"/>
          <w:bCs/>
          <w:sz w:val="24"/>
          <w:szCs w:val="24"/>
          <w:lang w:eastAsia="fr-FR"/>
        </w:rPr>
        <w:t>banni</w:t>
      </w:r>
      <w:r w:rsidRPr="003B00C8">
        <w:rPr>
          <w:rFonts w:ascii="Times New Roman" w:eastAsia="Times New Roman" w:hAnsi="Times New Roman"/>
          <w:bCs/>
          <w:sz w:val="24"/>
          <w:szCs w:val="24"/>
          <w:lang w:eastAsia="fr-FR"/>
        </w:rPr>
        <w:t xml:space="preserve">, tantôt il donne l’impression de revenir aux histoires du Cadi, du servant et Mufti dont il avait précédemment interrompu la narration pour par </w:t>
      </w:r>
      <w:r w:rsidR="00CF63BA">
        <w:rPr>
          <w:rFonts w:ascii="Times New Roman" w:eastAsia="Times New Roman" w:hAnsi="Times New Roman"/>
          <w:bCs/>
          <w:sz w:val="24"/>
          <w:szCs w:val="24"/>
          <w:lang w:eastAsia="fr-FR"/>
        </w:rPr>
        <w:t>la suite</w:t>
      </w:r>
      <w:r w:rsidRPr="003B00C8">
        <w:rPr>
          <w:rFonts w:ascii="Times New Roman" w:eastAsia="Times New Roman" w:hAnsi="Times New Roman"/>
          <w:bCs/>
          <w:sz w:val="24"/>
          <w:szCs w:val="24"/>
          <w:lang w:eastAsia="fr-FR"/>
        </w:rPr>
        <w:t xml:space="preserve"> revenir à l’histoire du Safi/Fassi.</w:t>
      </w:r>
    </w:p>
    <w:p w:rsidR="006A4EED" w:rsidRPr="00C04BD4" w:rsidRDefault="006A4EED" w:rsidP="009275AA">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bCs/>
          <w:sz w:val="24"/>
          <w:szCs w:val="24"/>
          <w:lang w:eastAsia="fr-FR"/>
        </w:rPr>
        <w:t xml:space="preserve">De cette analyse des types de récit, il ressort un fait dans l’ensemble du corpus, celui de la présence de plusieurs histoires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La mise ensemble de ces histoires par le discours crée donc un problème t</w:t>
      </w:r>
      <w:r w:rsidR="00C04BD4">
        <w:rPr>
          <w:rFonts w:ascii="Times New Roman" w:eastAsia="Times New Roman" w:hAnsi="Times New Roman"/>
          <w:bCs/>
          <w:iCs/>
          <w:sz w:val="24"/>
          <w:szCs w:val="24"/>
          <w:lang w:eastAsia="fr-FR"/>
        </w:rPr>
        <w:t>emporel tel que l’évoque Todorov :</w:t>
      </w:r>
    </w:p>
    <w:p w:rsidR="006A4EED" w:rsidRPr="008755B7" w:rsidRDefault="006A4EED" w:rsidP="008755B7">
      <w:pPr>
        <w:pStyle w:val="Citationintense"/>
        <w:spacing w:before="0" w:after="0"/>
        <w:ind w:left="567" w:right="0"/>
        <w:rPr>
          <w:sz w:val="20"/>
          <w:szCs w:val="20"/>
        </w:rPr>
      </w:pPr>
      <w:r w:rsidRPr="008755B7">
        <w:rPr>
          <w:sz w:val="20"/>
          <w:szCs w:val="20"/>
        </w:rPr>
        <w:t>Le problème de la présentation du temps dans le récit se pose à cause d’une dissemblance entre la temporalité de l’histoire et celle du discours. Le temps du discours est, dans un certain sens, un temps linéaire, alors que le temps de l’histoire est pluridimensionnel. Dans l’histoire, plusieurs événements peuvent se dérouler en même temps ; mais le discours littéraire doit obligatoirement les mettre à la suite l’un de l’autre. Une figure complexe se trouve projetée sur une ligne</w:t>
      </w:r>
      <w:r w:rsidR="00754A98" w:rsidRPr="008755B7">
        <w:rPr>
          <w:sz w:val="20"/>
          <w:szCs w:val="20"/>
        </w:rPr>
        <w:t xml:space="preserve"> </w:t>
      </w:r>
      <w:r w:rsidRPr="008755B7">
        <w:rPr>
          <w:sz w:val="20"/>
          <w:szCs w:val="20"/>
        </w:rPr>
        <w:t xml:space="preserve">droite. C’est là que vient la nécessité de rompre la succession « naturelle » parce qu’il utilise la déformation temporelle </w:t>
      </w:r>
      <w:r w:rsidRPr="008755B7">
        <w:rPr>
          <w:sz w:val="20"/>
          <w:szCs w:val="20"/>
          <w:vertAlign w:val="superscript"/>
        </w:rPr>
        <w:footnoteReference w:id="144"/>
      </w:r>
    </w:p>
    <w:p w:rsidR="0091728E" w:rsidRDefault="0091728E" w:rsidP="006A4EED">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3B00C8" w:rsidRDefault="006A4EED" w:rsidP="0091728E">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Cet entremêlement d’histoires a un impact sur le temps du récit qui présente désormais des ruptures d’ordre chronologique en fonction de la volonté de l’auteur de taire tel événement et de privilégier l’autre, de commencer par tel événement au </w:t>
      </w:r>
      <w:r w:rsidRPr="003B00C8">
        <w:rPr>
          <w:rFonts w:ascii="Times New Roman" w:eastAsia="Times New Roman" w:hAnsi="Times New Roman"/>
          <w:sz w:val="24"/>
          <w:szCs w:val="24"/>
          <w:lang w:eastAsia="fr-FR"/>
        </w:rPr>
        <w:lastRenderedPageBreak/>
        <w:t>détriment de l’autre, d’intercaler tel événement de l’histoire à l’intérieur de tel autre événement ou encore de privilégier une histoire par rapport à une autre. Ces choix de l’auteur se perçoivent même à travers les séquences narratives. Malgré le fait que l’histoire du Derviche soit l’entame de la pièce de théâtre et celle de Halima dans les derniers actes de la pièce, la séquence narrative de la première histoire s’étend sur moins de pages que la séquence narrative de la deuxième histoire. Cette préférence de l’auteur laisse entrevoir son enjeu centré sur la deuxième histoire, c’est-à-dire celle de Halima.</w:t>
      </w:r>
    </w:p>
    <w:p w:rsidR="0091728E" w:rsidRDefault="0091728E" w:rsidP="0091728E">
      <w:pPr>
        <w:pStyle w:val="Titre4"/>
        <w:spacing w:before="0" w:after="0" w:line="360" w:lineRule="auto"/>
        <w:ind w:left="641" w:hanging="357"/>
        <w:jc w:val="both"/>
        <w:rPr>
          <w:rFonts w:ascii="Times New Roman" w:hAnsi="Times New Roman"/>
          <w:i w:val="0"/>
          <w:iCs/>
          <w:lang w:eastAsia="fr-FR"/>
        </w:rPr>
      </w:pPr>
    </w:p>
    <w:p w:rsidR="006A4EED" w:rsidRPr="00A81270" w:rsidRDefault="0091728E" w:rsidP="0091728E">
      <w:pPr>
        <w:pStyle w:val="Titre4"/>
        <w:spacing w:before="0" w:after="0" w:line="360" w:lineRule="auto"/>
        <w:ind w:left="641" w:hanging="357"/>
        <w:jc w:val="both"/>
        <w:rPr>
          <w:rFonts w:ascii="Times New Roman" w:hAnsi="Times New Roman"/>
          <w:i w:val="0"/>
          <w:iCs/>
          <w:lang w:eastAsia="fr-FR"/>
        </w:rPr>
      </w:pPr>
      <w:bookmarkStart w:id="82" w:name="_Toc471484453"/>
      <w:r>
        <w:rPr>
          <w:rFonts w:ascii="Times New Roman" w:hAnsi="Times New Roman"/>
          <w:i w:val="0"/>
          <w:iCs/>
          <w:lang w:eastAsia="fr-FR"/>
        </w:rPr>
        <w:t>1.2.</w:t>
      </w:r>
      <w:r w:rsidRPr="00A81270">
        <w:rPr>
          <w:rFonts w:ascii="Times New Roman" w:hAnsi="Times New Roman"/>
          <w:i w:val="0"/>
          <w:iCs/>
          <w:lang w:eastAsia="fr-FR"/>
        </w:rPr>
        <w:t xml:space="preserve"> Un</w:t>
      </w:r>
      <w:r w:rsidR="006A4EED" w:rsidRPr="00A81270">
        <w:rPr>
          <w:rFonts w:ascii="Times New Roman" w:hAnsi="Times New Roman"/>
          <w:i w:val="0"/>
          <w:iCs/>
          <w:lang w:eastAsia="fr-FR"/>
        </w:rPr>
        <w:t xml:space="preserve"> ordre désarticulé</w:t>
      </w:r>
      <w:bookmarkEnd w:id="82"/>
    </w:p>
    <w:p w:rsidR="006D5AF5" w:rsidRPr="006D5AF5" w:rsidRDefault="006A4EED" w:rsidP="0091728E">
      <w:pPr>
        <w:autoSpaceDE w:val="0"/>
        <w:autoSpaceDN w:val="0"/>
        <w:adjustRightInd w:val="0"/>
        <w:spacing w:after="0" w:line="360" w:lineRule="auto"/>
        <w:ind w:firstLine="284"/>
        <w:jc w:val="both"/>
      </w:pPr>
      <w:r w:rsidRPr="003B00C8">
        <w:rPr>
          <w:rFonts w:ascii="Times New Roman" w:eastAsia="Times New Roman" w:hAnsi="Times New Roman"/>
          <w:sz w:val="24"/>
          <w:szCs w:val="24"/>
          <w:lang w:eastAsia="fr-FR"/>
        </w:rPr>
        <w:t xml:space="preserve">La disposition presqu’anarchique de l’ordre temporel des événements est le fait de plusieurs histoires déjà démontrées par les phénomènes d’alternance et d’enchâssement des récits du corpus. Selon Gérard Genette, le récit peut présenter </w:t>
      </w:r>
      <w:r w:rsidR="0091728E" w:rsidRPr="0091728E">
        <w:rPr>
          <w:rFonts w:asciiTheme="majorBidi" w:eastAsia="Times New Roman" w:hAnsiTheme="majorBidi" w:cstheme="majorBidi"/>
          <w:sz w:val="24"/>
          <w:szCs w:val="24"/>
          <w:lang w:eastAsia="fr-FR"/>
        </w:rPr>
        <w:t>« </w:t>
      </w:r>
      <w:r w:rsidRPr="0091728E">
        <w:rPr>
          <w:rFonts w:asciiTheme="majorBidi" w:hAnsiTheme="majorBidi" w:cstheme="majorBidi"/>
          <w:sz w:val="24"/>
          <w:szCs w:val="24"/>
        </w:rPr>
        <w:t>des infidélités d’ordre chronologique des événements et sur les relations d’enchainement, d’alternance ou d’enchâssement entre les différentes lignes d’action constitutives de l’histoire »</w:t>
      </w:r>
      <w:r w:rsidRPr="0091728E">
        <w:rPr>
          <w:rFonts w:asciiTheme="majorBidi" w:hAnsiTheme="majorBidi" w:cstheme="majorBidi"/>
          <w:sz w:val="24"/>
          <w:szCs w:val="24"/>
          <w:vertAlign w:val="superscript"/>
        </w:rPr>
        <w:footnoteReference w:id="145"/>
      </w:r>
      <w:r w:rsidRPr="0091728E">
        <w:rPr>
          <w:rFonts w:asciiTheme="majorBidi" w:hAnsiTheme="majorBidi" w:cstheme="majorBidi"/>
          <w:sz w:val="24"/>
          <w:szCs w:val="24"/>
          <w:vertAlign w:val="superscript"/>
        </w:rPr>
        <w:t>.</w:t>
      </w:r>
      <w:r w:rsidRPr="006D5AF5">
        <w:rPr>
          <w:vertAlign w:val="superscript"/>
        </w:rPr>
        <w:t xml:space="preserve"> </w:t>
      </w:r>
    </w:p>
    <w:p w:rsidR="006A4EED" w:rsidRPr="003B00C8" w:rsidRDefault="006A4EED" w:rsidP="00FC145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difficulté devient encore plus accentuée lorsqu’il s’agit des récits à divers temps, associant le temps ordinaire au temps </w:t>
      </w:r>
      <w:r w:rsidR="00096FFC">
        <w:rPr>
          <w:rFonts w:ascii="Times New Roman" w:eastAsia="Times New Roman" w:hAnsi="Times New Roman"/>
          <w:sz w:val="24"/>
          <w:szCs w:val="24"/>
          <w:lang w:eastAsia="fr-FR"/>
        </w:rPr>
        <w:t>du récit</w:t>
      </w:r>
      <w:r w:rsidRPr="003B00C8">
        <w:rPr>
          <w:rFonts w:ascii="Times New Roman" w:eastAsia="Times New Roman" w:hAnsi="Times New Roman"/>
          <w:sz w:val="24"/>
          <w:szCs w:val="24"/>
          <w:lang w:eastAsia="fr-FR"/>
        </w:rPr>
        <w:t>. C’est ce qui ressort dans le corpus où le temps n’est pas stable, il devient discordant et le récit lui-même détemporalisé. Cette marque de l’errance du récit est bien illustrée par les phénomènes d’analepse de prolepse et les ellipses narratives.</w:t>
      </w:r>
    </w:p>
    <w:p w:rsidR="0040212E" w:rsidRDefault="0040212E" w:rsidP="0040212E">
      <w:pPr>
        <w:pStyle w:val="Titre5"/>
        <w:spacing w:before="0" w:after="0"/>
        <w:ind w:left="641" w:hanging="357"/>
        <w:jc w:val="both"/>
        <w:rPr>
          <w:rFonts w:ascii="Times New Roman" w:hAnsi="Times New Roman"/>
          <w:color w:val="auto"/>
          <w:lang w:eastAsia="fr-FR"/>
        </w:rPr>
      </w:pPr>
    </w:p>
    <w:p w:rsidR="006A4EED" w:rsidRPr="0040212E" w:rsidRDefault="0040212E" w:rsidP="0040212E">
      <w:pPr>
        <w:pStyle w:val="Titre5"/>
        <w:spacing w:before="0" w:after="0"/>
        <w:ind w:left="641" w:hanging="357"/>
        <w:jc w:val="both"/>
        <w:rPr>
          <w:rFonts w:ascii="Times New Roman" w:hAnsi="Times New Roman"/>
          <w:color w:val="auto"/>
          <w:lang w:eastAsia="fr-FR"/>
        </w:rPr>
      </w:pPr>
      <w:bookmarkStart w:id="83" w:name="_Toc471484454"/>
      <w:r w:rsidRPr="0040212E">
        <w:rPr>
          <w:rFonts w:ascii="Times New Roman" w:hAnsi="Times New Roman"/>
          <w:color w:val="auto"/>
          <w:lang w:eastAsia="fr-FR"/>
        </w:rPr>
        <w:t>1.2.1. Une</w:t>
      </w:r>
      <w:r w:rsidR="006A4EED" w:rsidRPr="0040212E">
        <w:rPr>
          <w:rFonts w:ascii="Times New Roman" w:hAnsi="Times New Roman"/>
          <w:color w:val="auto"/>
          <w:lang w:eastAsia="fr-FR"/>
        </w:rPr>
        <w:t xml:space="preserve"> narration analeptique et proleptique</w:t>
      </w:r>
      <w:bookmarkEnd w:id="83"/>
    </w:p>
    <w:p w:rsidR="006A4EED" w:rsidRPr="003B00C8" w:rsidRDefault="006A4EED" w:rsidP="0040212E">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Selon Gérard Genette</w:t>
      </w:r>
      <w:r w:rsidRPr="003B00C8">
        <w:rPr>
          <w:rFonts w:ascii="Times New Roman" w:eastAsia="Times New Roman" w:hAnsi="Times New Roman"/>
          <w:sz w:val="24"/>
          <w:szCs w:val="24"/>
          <w:vertAlign w:val="superscript"/>
          <w:lang w:eastAsia="fr-FR"/>
        </w:rPr>
        <w:footnoteReference w:id="146"/>
      </w:r>
      <w:r w:rsidRPr="003B00C8">
        <w:rPr>
          <w:rFonts w:ascii="Times New Roman" w:eastAsia="Times New Roman" w:hAnsi="Times New Roman"/>
          <w:sz w:val="24"/>
          <w:szCs w:val="24"/>
          <w:lang w:eastAsia="fr-FR"/>
        </w:rPr>
        <w:t>, l’analepse et la prolepse s’appréhendent comme les deux principales anachronies qu’on perçoit dans un texte littéraire.</w:t>
      </w:r>
    </w:p>
    <w:p w:rsidR="00CE1404" w:rsidRDefault="006A4EED" w:rsidP="0040212E">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En ce qui concerne l’analepse, c’est une rétrospection narrative concernant les récits essentiellement tournés vers le passé. Pour Gérard Genette, il s’agit de </w:t>
      </w:r>
      <w:r w:rsidRPr="00A56E96">
        <w:rPr>
          <w:rFonts w:ascii="Times New Roman" w:eastAsia="Times New Roman" w:hAnsi="Times New Roman"/>
          <w:sz w:val="24"/>
          <w:szCs w:val="24"/>
          <w:lang w:eastAsia="fr-FR"/>
        </w:rPr>
        <w:t>« toute évocation après coup d’un événement antérieur au point de l’histoire où l’on se trouve »</w:t>
      </w:r>
      <w:r w:rsidRPr="00A56E96">
        <w:rPr>
          <w:rFonts w:ascii="Times New Roman" w:eastAsia="Times New Roman" w:hAnsi="Times New Roman"/>
          <w:sz w:val="24"/>
          <w:szCs w:val="24"/>
          <w:vertAlign w:val="superscript"/>
          <w:lang w:eastAsia="fr-FR"/>
        </w:rPr>
        <w:footnoteReference w:id="147"/>
      </w:r>
      <w:r w:rsidRPr="00A56E96">
        <w:rPr>
          <w:rFonts w:ascii="Times New Roman" w:eastAsia="Times New Roman" w:hAnsi="Times New Roman"/>
          <w:sz w:val="24"/>
          <w:szCs w:val="24"/>
          <w:lang w:eastAsia="fr-FR"/>
        </w:rPr>
        <w:t>.</w:t>
      </w:r>
      <w:r w:rsidRPr="003B00C8">
        <w:rPr>
          <w:rFonts w:ascii="Times New Roman" w:eastAsia="Times New Roman" w:hAnsi="Times New Roman"/>
          <w:sz w:val="24"/>
          <w:szCs w:val="24"/>
          <w:lang w:eastAsia="fr-FR"/>
        </w:rPr>
        <w:t xml:space="preserve"> </w:t>
      </w:r>
    </w:p>
    <w:p w:rsidR="006A4EED" w:rsidRPr="003B00C8" w:rsidRDefault="006A4EED" w:rsidP="0040212E">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sz w:val="24"/>
          <w:szCs w:val="24"/>
          <w:lang w:eastAsia="fr-FR"/>
        </w:rPr>
        <w:lastRenderedPageBreak/>
        <w:t>Ainsi présenté</w:t>
      </w:r>
      <w:r w:rsidR="00B97761">
        <w:rPr>
          <w:rFonts w:ascii="Times New Roman" w:eastAsia="Times New Roman" w:hAnsi="Times New Roman"/>
          <w:sz w:val="24"/>
          <w:szCs w:val="24"/>
          <w:lang w:eastAsia="fr-FR"/>
        </w:rPr>
        <w:t>e</w:t>
      </w:r>
      <w:r w:rsidRPr="003B00C8">
        <w:rPr>
          <w:rFonts w:ascii="Times New Roman" w:eastAsia="Times New Roman" w:hAnsi="Times New Roman"/>
          <w:sz w:val="24"/>
          <w:szCs w:val="24"/>
          <w:lang w:eastAsia="fr-FR"/>
        </w:rPr>
        <w:t xml:space="preserve">, l’analepse est une réalité dans la pièce de théâtre de </w:t>
      </w:r>
      <w:r w:rsidR="00B97761" w:rsidRPr="003B00C8">
        <w:rPr>
          <w:rFonts w:ascii="Times New Roman" w:eastAsia="Times New Roman" w:hAnsi="Times New Roman"/>
          <w:sz w:val="24"/>
          <w:szCs w:val="24"/>
          <w:lang w:eastAsia="fr-FR"/>
        </w:rPr>
        <w:t>K</w:t>
      </w:r>
      <w:r w:rsidRPr="003B00C8">
        <w:rPr>
          <w:rFonts w:ascii="Times New Roman" w:eastAsia="Times New Roman" w:hAnsi="Times New Roman"/>
          <w:sz w:val="24"/>
          <w:szCs w:val="24"/>
          <w:lang w:eastAsia="fr-FR"/>
        </w:rPr>
        <w:t xml:space="preserve">aki.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le récit est amorcé </w:t>
      </w:r>
      <w:r w:rsidR="00CE1404">
        <w:rPr>
          <w:rFonts w:ascii="Times New Roman" w:eastAsia="Times New Roman" w:hAnsi="Times New Roman"/>
          <w:bCs/>
          <w:iCs/>
          <w:sz w:val="24"/>
          <w:szCs w:val="24"/>
          <w:lang w:eastAsia="fr-FR"/>
        </w:rPr>
        <w:t xml:space="preserve">par </w:t>
      </w:r>
      <w:r w:rsidRPr="003B00C8">
        <w:rPr>
          <w:rFonts w:ascii="Times New Roman" w:eastAsia="Times New Roman" w:hAnsi="Times New Roman"/>
          <w:bCs/>
          <w:iCs/>
          <w:sz w:val="24"/>
          <w:szCs w:val="24"/>
          <w:lang w:eastAsia="fr-FR"/>
        </w:rPr>
        <w:t xml:space="preserve">les invocations fantaisistes que le personnage principal (Slimane) fait suite à l’initiation </w:t>
      </w:r>
      <w:r w:rsidR="00CE1404">
        <w:rPr>
          <w:rFonts w:ascii="Times New Roman" w:eastAsia="Times New Roman" w:hAnsi="Times New Roman"/>
          <w:bCs/>
          <w:iCs/>
          <w:sz w:val="24"/>
          <w:szCs w:val="24"/>
          <w:lang w:eastAsia="fr-FR"/>
        </w:rPr>
        <w:t xml:space="preserve">qui lui fut </w:t>
      </w:r>
      <w:r w:rsidRPr="003B00C8">
        <w:rPr>
          <w:rFonts w:ascii="Times New Roman" w:eastAsia="Times New Roman" w:hAnsi="Times New Roman"/>
          <w:bCs/>
          <w:iCs/>
          <w:sz w:val="24"/>
          <w:szCs w:val="24"/>
          <w:lang w:eastAsia="fr-FR"/>
        </w:rPr>
        <w:t>donn</w:t>
      </w:r>
      <w:r w:rsidR="00CE1404">
        <w:rPr>
          <w:rFonts w:ascii="Times New Roman" w:eastAsia="Times New Roman" w:hAnsi="Times New Roman"/>
          <w:bCs/>
          <w:iCs/>
          <w:sz w:val="24"/>
          <w:szCs w:val="24"/>
          <w:lang w:eastAsia="fr-FR"/>
        </w:rPr>
        <w:t>ée</w:t>
      </w:r>
      <w:r w:rsidRPr="003B00C8">
        <w:rPr>
          <w:rFonts w:ascii="Times New Roman" w:eastAsia="Times New Roman" w:hAnsi="Times New Roman"/>
          <w:bCs/>
          <w:iCs/>
          <w:sz w:val="24"/>
          <w:szCs w:val="24"/>
          <w:lang w:eastAsia="fr-FR"/>
        </w:rPr>
        <w:t xml:space="preserve"> par le Derviche plus en arrière en vue de faire apparaitre les marabouts vertueux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MARABOUT-1 </w:t>
      </w:r>
      <w:r w:rsidRPr="006D5AF5">
        <w:rPr>
          <w:iCs w:val="0"/>
          <w:sz w:val="20"/>
          <w:szCs w:val="20"/>
          <w:lang w:eastAsia="fr-FR"/>
        </w:rPr>
        <w:t>Nous sommes là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MARABOUT-2 </w:t>
      </w:r>
      <w:r w:rsidRPr="006D5AF5">
        <w:rPr>
          <w:iCs w:val="0"/>
          <w:sz w:val="20"/>
          <w:szCs w:val="20"/>
          <w:lang w:eastAsia="fr-FR"/>
        </w:rPr>
        <w:t>Prêts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MARABOUT-3 </w:t>
      </w:r>
      <w:r w:rsidRPr="006D5AF5">
        <w:rPr>
          <w:iCs w:val="0"/>
          <w:sz w:val="20"/>
          <w:szCs w:val="20"/>
          <w:lang w:eastAsia="fr-FR"/>
        </w:rPr>
        <w:t>Debout derrière toi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Quoi ? Quoi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MARABOUT-1 </w:t>
      </w:r>
      <w:r w:rsidRPr="006D5AF5">
        <w:rPr>
          <w:iCs w:val="0"/>
          <w:sz w:val="20"/>
          <w:szCs w:val="20"/>
          <w:lang w:eastAsia="fr-FR"/>
        </w:rPr>
        <w:t>Tes oreilles n’ont rien capté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MARABOUT-2 </w:t>
      </w:r>
      <w:r w:rsidRPr="006D5AF5">
        <w:rPr>
          <w:iCs w:val="0"/>
          <w:sz w:val="20"/>
          <w:szCs w:val="20"/>
          <w:lang w:eastAsia="fr-FR"/>
        </w:rPr>
        <w:t>Tu n’as rien entendu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MARABOUT-3 </w:t>
      </w:r>
      <w:r w:rsidRPr="006D5AF5">
        <w:rPr>
          <w:iCs w:val="0"/>
          <w:sz w:val="20"/>
          <w:szCs w:val="20"/>
          <w:lang w:eastAsia="fr-FR"/>
        </w:rPr>
        <w:t>Retourne-toi, tu verras les Vertueux.</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Je ne me retournerai pas et je refuse de croire ce que j’entends!</w:t>
      </w:r>
    </w:p>
    <w:p w:rsidR="006A4EED" w:rsidRPr="006D5AF5" w:rsidRDefault="006A4EED" w:rsidP="00A56E96">
      <w:pPr>
        <w:pStyle w:val="Citationintense"/>
        <w:spacing w:before="0" w:after="0"/>
        <w:ind w:left="567" w:right="0"/>
        <w:rPr>
          <w:iCs w:val="0"/>
          <w:sz w:val="20"/>
          <w:szCs w:val="20"/>
          <w:lang w:eastAsia="fr-FR"/>
        </w:rPr>
      </w:pPr>
      <w:r w:rsidRPr="006D5AF5">
        <w:rPr>
          <w:iCs w:val="0"/>
          <w:sz w:val="20"/>
          <w:szCs w:val="20"/>
          <w:lang w:eastAsia="fr-FR"/>
        </w:rPr>
        <w:t>Qu’est-ce que c’est que cette plaisanterie ! Alors on n’a plus le droit de se livrer à de petites invocations à part soi sans que les invoqués apparaissent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MARABOUT-1 </w:t>
      </w:r>
      <w:r w:rsidRPr="006D5AF5">
        <w:rPr>
          <w:iCs w:val="0"/>
          <w:sz w:val="20"/>
          <w:szCs w:val="20"/>
          <w:lang w:eastAsia="fr-FR"/>
        </w:rPr>
        <w:t>N’est-ce pas toi qui as appelé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MARABOUT-2 </w:t>
      </w:r>
      <w:r w:rsidRPr="006D5AF5">
        <w:rPr>
          <w:iCs w:val="0"/>
          <w:sz w:val="20"/>
          <w:szCs w:val="20"/>
          <w:lang w:eastAsia="fr-FR"/>
        </w:rPr>
        <w:t>N’est-ce pas toi qui as crié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MARABOUT-3 </w:t>
      </w:r>
      <w:r w:rsidRPr="006D5AF5">
        <w:rPr>
          <w:iCs w:val="0"/>
          <w:sz w:val="20"/>
          <w:szCs w:val="20"/>
          <w:lang w:eastAsia="fr-FR"/>
        </w:rPr>
        <w:t>N’est-ce pas toi qui as hurlé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J’ai fait ça pour rire ! Je ne vous ai pas demandé de venir !</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MARABOUT-1 </w:t>
      </w:r>
      <w:r w:rsidRPr="006D5AF5">
        <w:rPr>
          <w:iCs w:val="0"/>
          <w:sz w:val="20"/>
          <w:szCs w:val="20"/>
          <w:lang w:eastAsia="fr-FR"/>
        </w:rPr>
        <w:t>Tu as appelé…</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 xml:space="preserve">MARABOUT-2 </w:t>
      </w:r>
      <w:r w:rsidRPr="006D5AF5">
        <w:rPr>
          <w:iCs w:val="0"/>
          <w:sz w:val="20"/>
          <w:szCs w:val="20"/>
          <w:lang w:eastAsia="fr-FR"/>
        </w:rPr>
        <w:t>Et nous, nous avons quitté…</w:t>
      </w:r>
    </w:p>
    <w:p w:rsidR="006A4EED" w:rsidRPr="006D5AF5" w:rsidRDefault="006A4EED" w:rsidP="00A56E96">
      <w:pPr>
        <w:pStyle w:val="Citationintense"/>
        <w:spacing w:before="0" w:after="0"/>
        <w:ind w:left="567" w:right="0"/>
        <w:rPr>
          <w:iCs w:val="0"/>
          <w:sz w:val="20"/>
          <w:szCs w:val="20"/>
          <w:lang w:eastAsia="fr-FR"/>
        </w:rPr>
      </w:pPr>
      <w:r w:rsidRPr="006D5AF5">
        <w:rPr>
          <w:b/>
          <w:iCs w:val="0"/>
          <w:sz w:val="20"/>
          <w:szCs w:val="20"/>
          <w:lang w:eastAsia="fr-FR"/>
        </w:rPr>
        <w:t>MARABOUT-3</w:t>
      </w:r>
      <w:r w:rsidRPr="006D5AF5">
        <w:rPr>
          <w:iCs w:val="0"/>
          <w:sz w:val="20"/>
          <w:szCs w:val="20"/>
          <w:lang w:eastAsia="fr-FR"/>
        </w:rPr>
        <w:t>… Le Paradis pour être là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Pardonnez-moi mes Seigneurs ! Je ne recommencerai plus jamais à vous invoquer, maintenant que je sais que vous écoutez ! Je suis pieds et poings liés devant vous ! Cependant, sachez que je ne suis pas un vrai derviche ! Je voulais simplement jouer au derviche, histoire de gagner ma pitance. Si j’avais su que ça me mènerait là, je n’aurais jamais invoqué les Vertueux</w:t>
      </w:r>
      <w:r w:rsidR="00F66AFD">
        <w:rPr>
          <w:iCs w:val="0"/>
          <w:sz w:val="20"/>
          <w:szCs w:val="20"/>
          <w:lang w:eastAsia="fr-FR"/>
        </w:rPr>
        <w:t xml:space="preserve"> [</w:t>
      </w:r>
      <w:r w:rsidRPr="006D5AF5">
        <w:rPr>
          <w:iCs w:val="0"/>
          <w:sz w:val="20"/>
          <w:szCs w:val="20"/>
          <w:lang w:eastAsia="fr-FR"/>
        </w:rPr>
        <w:t>…</w:t>
      </w:r>
      <w:r w:rsidR="00F66AFD">
        <w:rPr>
          <w:iCs w:val="0"/>
          <w:sz w:val="20"/>
          <w:szCs w:val="20"/>
          <w:lang w:eastAsia="fr-FR"/>
        </w:rPr>
        <w:t>]</w:t>
      </w:r>
      <w:r w:rsidR="00E834E0">
        <w:rPr>
          <w:iCs w:val="0"/>
          <w:sz w:val="20"/>
          <w:szCs w:val="20"/>
          <w:lang w:eastAsia="fr-FR"/>
        </w:rPr>
        <w:t>. (O-A. Kaki, 2003, p.17-18).</w:t>
      </w:r>
    </w:p>
    <w:p w:rsidR="006D5AF5" w:rsidRDefault="006D5AF5" w:rsidP="009C6585">
      <w:pPr>
        <w:autoSpaceDE w:val="0"/>
        <w:autoSpaceDN w:val="0"/>
        <w:adjustRightInd w:val="0"/>
        <w:spacing w:after="0" w:line="360" w:lineRule="auto"/>
        <w:jc w:val="both"/>
        <w:rPr>
          <w:rFonts w:ascii="Times New Roman" w:eastAsia="Times New Roman" w:hAnsi="Times New Roman"/>
          <w:bCs/>
          <w:iCs/>
          <w:sz w:val="24"/>
          <w:szCs w:val="24"/>
          <w:lang w:eastAsia="fr-FR"/>
        </w:rPr>
      </w:pPr>
    </w:p>
    <w:p w:rsidR="006A4EED" w:rsidRPr="003B00C8" w:rsidRDefault="006A4EED" w:rsidP="00E834E0">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 xml:space="preserve">Cette longue suite dialogale plonge directement le lecteur dans un des récits qui lui ont été racontés par Le Derviche, celui qui a qualité et capacité dans la tradition judéo-islamiste d’invoquer les marabouts vertueux. Slimane à qui se présente les vertueux dans ce passage se sent incommodé de la réponse aussi immédiate qu’inattendue des vertueux qui paradoxalement n’avaient </w:t>
      </w:r>
      <w:r w:rsidR="009C6585">
        <w:rPr>
          <w:rFonts w:ascii="Times New Roman" w:eastAsia="Times New Roman" w:hAnsi="Times New Roman"/>
          <w:bCs/>
          <w:iCs/>
          <w:sz w:val="24"/>
          <w:szCs w:val="24"/>
          <w:lang w:eastAsia="fr-FR"/>
        </w:rPr>
        <w:t xml:space="preserve">pourtant point </w:t>
      </w:r>
      <w:r w:rsidRPr="003B00C8">
        <w:rPr>
          <w:rFonts w:ascii="Times New Roman" w:eastAsia="Times New Roman" w:hAnsi="Times New Roman"/>
          <w:bCs/>
          <w:iCs/>
          <w:sz w:val="24"/>
          <w:szCs w:val="24"/>
          <w:lang w:eastAsia="fr-FR"/>
        </w:rPr>
        <w:t>obéi avec une telle promptitude lorsque le Derviche les invoqua :</w:t>
      </w:r>
    </w:p>
    <w:p w:rsidR="006A4EED" w:rsidRPr="003B00C8" w:rsidRDefault="006A4EED" w:rsidP="006A4EED">
      <w:pPr>
        <w:autoSpaceDE w:val="0"/>
        <w:autoSpaceDN w:val="0"/>
        <w:adjustRightInd w:val="0"/>
        <w:spacing w:after="0" w:line="240" w:lineRule="auto"/>
        <w:rPr>
          <w:rFonts w:ascii="Times New Roman" w:eastAsia="Times New Roman" w:hAnsi="Times New Roman"/>
          <w:b/>
          <w:bCs/>
          <w:sz w:val="20"/>
          <w:szCs w:val="20"/>
          <w:lang w:eastAsia="fr-FR"/>
        </w:rPr>
      </w:pP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Laisse tomber Sidi-Abdelkader ! De Baghdad, tu voudrais qu’il fasse une apparition ici, à Béni-Dahane ? Évoquons ceux qui sont proches de Sidi-Dahane, les Sidi-Chaabane, Sidi-Lebbane… et on verra…</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DERVICHE- </w:t>
      </w:r>
      <w:r w:rsidRPr="006D5AF5">
        <w:rPr>
          <w:iCs w:val="0"/>
          <w:sz w:val="20"/>
          <w:szCs w:val="20"/>
          <w:lang w:eastAsia="fr-FR"/>
        </w:rPr>
        <w:t>Comment veux-tu que les vertueux apparaissent si tu commences par… des courants d’air ? Pèse bien tes mots et appelle Sidi- Abdelkader, Sidi-Boumédiène et Sidi-Abderrahmane.</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De l’eau ! De l’eau ! L’eau du Très-Haut !</w:t>
      </w:r>
    </w:p>
    <w:p w:rsidR="006A4EED" w:rsidRPr="006D5AF5" w:rsidRDefault="006A4EED" w:rsidP="00E834E0">
      <w:pPr>
        <w:pStyle w:val="Citationintense"/>
        <w:spacing w:before="0" w:after="0"/>
        <w:ind w:left="567" w:right="0"/>
        <w:rPr>
          <w:iCs w:val="0"/>
          <w:sz w:val="20"/>
          <w:szCs w:val="20"/>
          <w:lang w:eastAsia="fr-FR"/>
        </w:rPr>
      </w:pPr>
      <w:proofErr w:type="gramStart"/>
      <w:r w:rsidRPr="006D5AF5">
        <w:rPr>
          <w:iCs w:val="0"/>
          <w:sz w:val="20"/>
          <w:szCs w:val="20"/>
          <w:lang w:eastAsia="fr-FR"/>
        </w:rPr>
        <w:t>Tout droit</w:t>
      </w:r>
      <w:proofErr w:type="gramEnd"/>
      <w:r w:rsidRPr="006D5AF5">
        <w:rPr>
          <w:iCs w:val="0"/>
          <w:sz w:val="20"/>
          <w:szCs w:val="20"/>
          <w:lang w:eastAsia="fr-FR"/>
        </w:rPr>
        <w:t xml:space="preserve"> sortie de la source de Sidi-Okbi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DERVICHE- </w:t>
      </w:r>
      <w:r w:rsidRPr="006D5AF5">
        <w:rPr>
          <w:iCs w:val="0"/>
          <w:sz w:val="20"/>
          <w:szCs w:val="20"/>
          <w:lang w:eastAsia="fr-FR"/>
        </w:rPr>
        <w:t>Crie ! Crie ! Ô Marabouts Vertueux ! Les gens meurent de faim à Béni-Zernane et les Béni-Dahane ont peur que la disette ne vienne les décimer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 xml:space="preserve">De l’eau ! De l’eau ! L’eau du Très-Haut ! </w:t>
      </w:r>
      <w:proofErr w:type="gramStart"/>
      <w:r w:rsidRPr="006D5AF5">
        <w:rPr>
          <w:iCs w:val="0"/>
          <w:sz w:val="20"/>
          <w:szCs w:val="20"/>
          <w:lang w:eastAsia="fr-FR"/>
        </w:rPr>
        <w:t>Tout droit</w:t>
      </w:r>
      <w:proofErr w:type="gramEnd"/>
      <w:r w:rsidRPr="006D5AF5">
        <w:rPr>
          <w:iCs w:val="0"/>
          <w:sz w:val="20"/>
          <w:szCs w:val="20"/>
          <w:lang w:eastAsia="fr-FR"/>
        </w:rPr>
        <w:t xml:space="preserve"> sortie de la source de Sidi-Okbi!</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DERVICHE- </w:t>
      </w:r>
      <w:r w:rsidRPr="006D5AF5">
        <w:rPr>
          <w:iCs w:val="0"/>
          <w:sz w:val="20"/>
          <w:szCs w:val="20"/>
          <w:lang w:eastAsia="fr-FR"/>
        </w:rPr>
        <w:t>Tu ne veux pas appeler les Marabouts Vertueux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lastRenderedPageBreak/>
        <w:t xml:space="preserve">SLIMANE- </w:t>
      </w:r>
      <w:r w:rsidRPr="006D5AF5">
        <w:rPr>
          <w:iCs w:val="0"/>
          <w:sz w:val="20"/>
          <w:szCs w:val="20"/>
          <w:lang w:eastAsia="fr-FR"/>
        </w:rPr>
        <w:t>Appelle-les toi, si tu veux ! Moi je dois vendre mon eau… Et je crois que mon eau est foutue… Ce soir, je n’aurais sans doute rien à me mettre sous la dent.</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DERVICHE- </w:t>
      </w:r>
      <w:r w:rsidRPr="006D5AF5">
        <w:rPr>
          <w:iCs w:val="0"/>
          <w:sz w:val="20"/>
          <w:szCs w:val="20"/>
          <w:lang w:eastAsia="fr-FR"/>
        </w:rPr>
        <w:t>Ô Marabouts Vertueux ! Les gens sont en train de mourir de faim à Béni-Zernane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Et Sidi-Debbane le fougueux n’a rien fait ! Le patron de Sidi- Debbane ne fait pas parti des Vertueux, on dirait… Ô Sidi-Debbane, les Béni-Zernane sont en train de crever de faim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DERVICHE- </w:t>
      </w:r>
      <w:r w:rsidRPr="006D5AF5">
        <w:rPr>
          <w:iCs w:val="0"/>
          <w:sz w:val="20"/>
          <w:szCs w:val="20"/>
          <w:lang w:eastAsia="fr-FR"/>
        </w:rPr>
        <w:t>Je vais quitter sans retour cette contrée qui n’a pas su s’attirer la miséricorde des marabouts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Tu as bien dit que tu prenais un aller simple ?</w:t>
      </w:r>
    </w:p>
    <w:p w:rsidR="006A4EED" w:rsidRPr="006D5AF5" w:rsidRDefault="006A4EED" w:rsidP="00E834E0">
      <w:pPr>
        <w:pStyle w:val="Citationintense"/>
        <w:spacing w:before="0" w:after="0"/>
        <w:ind w:left="567" w:right="0"/>
        <w:rPr>
          <w:iCs w:val="0"/>
          <w:sz w:val="20"/>
          <w:szCs w:val="20"/>
          <w:lang w:eastAsia="fr-FR"/>
        </w:rPr>
      </w:pPr>
      <w:r w:rsidRPr="006D5AF5">
        <w:rPr>
          <w:b/>
          <w:iCs w:val="0"/>
          <w:sz w:val="20"/>
          <w:szCs w:val="20"/>
          <w:lang w:eastAsia="fr-FR"/>
        </w:rPr>
        <w:t xml:space="preserve">DERVICHE- </w:t>
      </w:r>
      <w:r w:rsidRPr="006D5AF5">
        <w:rPr>
          <w:iCs w:val="0"/>
          <w:sz w:val="20"/>
          <w:szCs w:val="20"/>
          <w:lang w:eastAsia="fr-FR"/>
        </w:rPr>
        <w:t>Qui pense à un aller-retour ? À Béni-Zernane, les temps sont à la famine et à Béni-Dahane, la peur de la disette fait des ravages ! Que j’aille vers l’est ou vers l’ouest, le fait est que vous ne reverrez plus ma face à partir d’aujourd’hui !</w:t>
      </w:r>
      <w:r w:rsidR="006D5AF5">
        <w:rPr>
          <w:iCs w:val="0"/>
          <w:sz w:val="20"/>
          <w:szCs w:val="20"/>
          <w:vertAlign w:val="superscript"/>
          <w:lang w:eastAsia="fr-FR"/>
        </w:rPr>
        <w:t xml:space="preserve"> </w:t>
      </w:r>
      <w:r w:rsidR="006D5AF5">
        <w:rPr>
          <w:iCs w:val="0"/>
          <w:sz w:val="20"/>
          <w:szCs w:val="20"/>
          <w:lang w:eastAsia="fr-FR"/>
        </w:rPr>
        <w:t xml:space="preserve"> (</w:t>
      </w:r>
      <w:r w:rsidR="00E834E0">
        <w:rPr>
          <w:i/>
          <w:sz w:val="20"/>
          <w:szCs w:val="20"/>
          <w:lang w:eastAsia="fr-FR"/>
        </w:rPr>
        <w:t xml:space="preserve">Ibid, </w:t>
      </w:r>
      <w:r w:rsidR="006D5AF5">
        <w:rPr>
          <w:iCs w:val="0"/>
          <w:sz w:val="20"/>
          <w:szCs w:val="20"/>
          <w:lang w:eastAsia="fr-FR"/>
        </w:rPr>
        <w:t>p.14)</w:t>
      </w:r>
    </w:p>
    <w:p w:rsidR="00E834E0" w:rsidRDefault="006A4EED" w:rsidP="00481081">
      <w:pPr>
        <w:autoSpaceDE w:val="0"/>
        <w:autoSpaceDN w:val="0"/>
        <w:adjustRightInd w:val="0"/>
        <w:spacing w:after="0" w:line="360" w:lineRule="auto"/>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ab/>
      </w:r>
    </w:p>
    <w:p w:rsidR="006A4EED" w:rsidRPr="003B00C8" w:rsidRDefault="006A4EED" w:rsidP="00E834E0">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Ainsi, ce retour en arrière situe le lecteur sur l’ordre chronologique des événements. Le lecteur a ici la véritable raison qui pousse le Derviche à quitter Béni-Dahane. Une contrée frappée de misère et qui peine à en sortir est loin d’être aux yeux du Derviche la terre promise. Si même l’invocation des vertueux sur la terre de Béni-Dahane est devenue chose utopique il est normal dans un sens charnel des choses que le Derviche entreprenne un voyage en quête du bonheur. C’est donc la volonté de gagner dignement son pain, de pouvoir subvenir à ses besoins nutritionnels qui pousse le Derviche vers de nouveaux horizons.</w:t>
      </w:r>
    </w:p>
    <w:p w:rsidR="006A4EED" w:rsidRPr="003B00C8" w:rsidRDefault="006A4EED" w:rsidP="00E834E0">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Par ailleurs, le narrateur conteur de</w:t>
      </w:r>
      <w:r w:rsidRPr="003B00C8">
        <w:rPr>
          <w:rFonts w:ascii="Times New Roman" w:eastAsia="Times New Roman" w:hAnsi="Times New Roman"/>
          <w:i/>
          <w:sz w:val="24"/>
          <w:szCs w:val="24"/>
          <w:lang w:eastAsia="fr-FR"/>
        </w:rPr>
        <w:t xml:space="preserve"> L</w:t>
      </w:r>
      <w:r w:rsidRPr="003B00C8">
        <w:rPr>
          <w:rFonts w:ascii="Times New Roman" w:eastAsia="Times New Roman" w:hAnsi="Times New Roman"/>
          <w:bCs/>
          <w:i/>
          <w:iCs/>
          <w:sz w:val="24"/>
          <w:szCs w:val="24"/>
          <w:lang w:eastAsia="fr-FR"/>
        </w:rPr>
        <w:t xml:space="preserve">e porteur d'eau et les marabouts, </w:t>
      </w:r>
      <w:r w:rsidRPr="003B00C8">
        <w:rPr>
          <w:rFonts w:ascii="Times New Roman" w:eastAsia="Times New Roman" w:hAnsi="Times New Roman"/>
          <w:bCs/>
          <w:iCs/>
          <w:sz w:val="24"/>
          <w:szCs w:val="24"/>
          <w:lang w:eastAsia="fr-FR"/>
        </w:rPr>
        <w:t xml:space="preserve"> de </w:t>
      </w:r>
      <w:r w:rsidR="00A366A0" w:rsidRPr="003B00C8">
        <w:rPr>
          <w:rFonts w:ascii="Times New Roman" w:eastAsia="Times New Roman" w:hAnsi="Times New Roman"/>
          <w:sz w:val="24"/>
          <w:szCs w:val="24"/>
          <w:lang w:eastAsia="fr-FR"/>
        </w:rPr>
        <w:t>K</w:t>
      </w:r>
      <w:r w:rsidRPr="003B00C8">
        <w:rPr>
          <w:rFonts w:ascii="Times New Roman" w:eastAsia="Times New Roman" w:hAnsi="Times New Roman"/>
          <w:sz w:val="24"/>
          <w:szCs w:val="24"/>
          <w:lang w:eastAsia="fr-FR"/>
        </w:rPr>
        <w:t>aki</w:t>
      </w:r>
      <w:r w:rsidRPr="003B00C8">
        <w:rPr>
          <w:rFonts w:ascii="Times New Roman" w:eastAsia="Times New Roman" w:hAnsi="Times New Roman"/>
          <w:i/>
          <w:sz w:val="24"/>
          <w:szCs w:val="24"/>
          <w:lang w:eastAsia="fr-FR"/>
        </w:rPr>
        <w:t xml:space="preserve">, </w:t>
      </w:r>
      <w:r w:rsidRPr="003B00C8">
        <w:rPr>
          <w:rFonts w:ascii="Times New Roman" w:eastAsia="Times New Roman" w:hAnsi="Times New Roman"/>
          <w:bCs/>
          <w:iCs/>
          <w:sz w:val="24"/>
          <w:szCs w:val="24"/>
          <w:lang w:eastAsia="fr-FR"/>
        </w:rPr>
        <w:t>signe une autre analepse à la page 75, lorsqu’il revient sur le récit de l’aveugle et de la mauvaise épouse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Où sommes-nous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FEMME- </w:t>
      </w:r>
      <w:r w:rsidRPr="00E222F0">
        <w:rPr>
          <w:sz w:val="20"/>
          <w:szCs w:val="20"/>
          <w:lang w:eastAsia="fr-FR"/>
        </w:rPr>
        <w:t>Nous y sommes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Où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FEMME- </w:t>
      </w:r>
      <w:r w:rsidRPr="00E222F0">
        <w:rPr>
          <w:sz w:val="20"/>
          <w:szCs w:val="20"/>
          <w:lang w:eastAsia="fr-FR"/>
        </w:rPr>
        <w:t>Au village de Sidi-Dahane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As-tu entendu le son des fifres et des tambourins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FEMME- </w:t>
      </w:r>
      <w:r w:rsidRPr="00E222F0">
        <w:rPr>
          <w:sz w:val="20"/>
          <w:szCs w:val="20"/>
          <w:lang w:eastAsia="fr-FR"/>
        </w:rPr>
        <w:t>Et toi, tu es sourd maintenant ? Si tu n’as rien entendu, alors je n’ai rien entendu non plus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Je n’ai jamais vu de ma vie une fête silencieuse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FEMME- </w:t>
      </w:r>
      <w:r w:rsidRPr="00E222F0">
        <w:rPr>
          <w:sz w:val="20"/>
          <w:szCs w:val="20"/>
          <w:lang w:eastAsia="fr-FR"/>
        </w:rPr>
        <w:t>Quand as-tu vu quelque chose dans ta vie ? Aveugle ! Dans les ténèbres depuis toujours ! Et depuis que je suis ta femme, je te traîne partout comme un boulet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Et qui t’a obligée à m’épouser ? C’est parce que tu as eu pitié, c’est ça ? Avant de te connaître, j’étais très bien ! C’est toi qui as apporté la poisse ! Quand c’était mon ami qui me guidait, nous étions heureux. Nous vivions au jour le jour, sans souci du lendemain… Et voilà que tu es arrivée… comme la poisse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FEMME- </w:t>
      </w:r>
      <w:r w:rsidRPr="00E222F0">
        <w:rPr>
          <w:sz w:val="20"/>
          <w:szCs w:val="20"/>
          <w:lang w:eastAsia="fr-FR"/>
        </w:rPr>
        <w:t>Tu ne t’es pas vu, espèce de chauve-souris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Moi, je ne peux pas me voir… Mais toi, tu me vois et tu t’es mariée avec moi… Alors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FEMME- </w:t>
      </w:r>
      <w:r w:rsidRPr="00E222F0">
        <w:rPr>
          <w:sz w:val="20"/>
          <w:szCs w:val="20"/>
          <w:lang w:eastAsia="fr-FR"/>
        </w:rPr>
        <w:t>Je regrette ! Je regrette ! Ah, si j’avais su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Tu serais restée vieille fille si tu n’avais pas trouvé un aveugle ! Parce que quiconque a des yeux pour te voir ne serait pas fou pour t’épouser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FEMME- </w:t>
      </w:r>
      <w:r w:rsidRPr="00E222F0">
        <w:rPr>
          <w:sz w:val="20"/>
          <w:szCs w:val="20"/>
          <w:lang w:eastAsia="fr-FR"/>
        </w:rPr>
        <w:t>Dieu t’a privé de la vue ; il aurait dû te paralyser la langue et te boucher les oreilles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AVEUGLE- </w:t>
      </w:r>
      <w:r w:rsidRPr="00E222F0">
        <w:rPr>
          <w:sz w:val="20"/>
          <w:szCs w:val="20"/>
          <w:lang w:eastAsia="fr-FR"/>
        </w:rPr>
        <w:t>Et tu aurais été tranquille, n’est-ce pas ?</w:t>
      </w:r>
    </w:p>
    <w:p w:rsidR="006A4EED" w:rsidRPr="00E222F0" w:rsidRDefault="006A4EED" w:rsidP="00194675">
      <w:pPr>
        <w:pStyle w:val="Citationintense"/>
        <w:spacing w:before="0" w:after="0"/>
        <w:ind w:left="567" w:right="0"/>
        <w:rPr>
          <w:sz w:val="20"/>
          <w:szCs w:val="20"/>
          <w:lang w:eastAsia="fr-FR"/>
        </w:rPr>
      </w:pPr>
      <w:r w:rsidRPr="00E222F0">
        <w:rPr>
          <w:b/>
          <w:sz w:val="20"/>
          <w:szCs w:val="20"/>
          <w:lang w:eastAsia="fr-FR"/>
        </w:rPr>
        <w:t xml:space="preserve">SLIMANE- </w:t>
      </w:r>
      <w:r w:rsidRPr="00E222F0">
        <w:rPr>
          <w:sz w:val="20"/>
          <w:szCs w:val="20"/>
          <w:lang w:eastAsia="fr-FR"/>
        </w:rPr>
        <w:t>L’aveugle</w:t>
      </w:r>
      <w:r w:rsidR="006D5AF5" w:rsidRPr="00E222F0">
        <w:rPr>
          <w:sz w:val="20"/>
          <w:szCs w:val="20"/>
          <w:lang w:eastAsia="fr-FR"/>
        </w:rPr>
        <w:t> !  (</w:t>
      </w:r>
      <w:r w:rsidR="00753988" w:rsidRPr="00E222F0">
        <w:rPr>
          <w:i/>
          <w:iCs w:val="0"/>
          <w:sz w:val="20"/>
          <w:szCs w:val="20"/>
          <w:lang w:eastAsia="fr-FR"/>
        </w:rPr>
        <w:t>Ibid</w:t>
      </w:r>
      <w:r w:rsidR="00753988" w:rsidRPr="00E222F0">
        <w:rPr>
          <w:sz w:val="20"/>
          <w:szCs w:val="20"/>
          <w:lang w:eastAsia="fr-FR"/>
        </w:rPr>
        <w:t xml:space="preserve">, </w:t>
      </w:r>
      <w:r w:rsidR="006D5AF5" w:rsidRPr="00E222F0">
        <w:rPr>
          <w:sz w:val="20"/>
          <w:szCs w:val="20"/>
          <w:lang w:eastAsia="fr-FR"/>
        </w:rPr>
        <w:t>p.74)</w:t>
      </w:r>
    </w:p>
    <w:p w:rsidR="006A4EED" w:rsidRPr="003B00C8" w:rsidRDefault="006A4EED" w:rsidP="006A4EED">
      <w:pPr>
        <w:autoSpaceDE w:val="0"/>
        <w:autoSpaceDN w:val="0"/>
        <w:adjustRightInd w:val="0"/>
        <w:spacing w:after="0" w:line="240" w:lineRule="auto"/>
        <w:ind w:right="283"/>
        <w:jc w:val="both"/>
        <w:rPr>
          <w:rFonts w:ascii="Times New Roman" w:eastAsia="Times New Roman" w:hAnsi="Times New Roman"/>
          <w:bCs/>
          <w:iCs/>
          <w:sz w:val="20"/>
          <w:szCs w:val="20"/>
          <w:lang w:eastAsia="fr-FR"/>
        </w:rPr>
      </w:pPr>
    </w:p>
    <w:p w:rsidR="006A4EED" w:rsidRPr="003B00C8" w:rsidRDefault="006A4EED" w:rsidP="00BB2043">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 xml:space="preserve">Si le narrateur-conteur a marqué une longue pause quant à l’histoire de l’aveugle c’est a dessein. La réplique de Slimane suivie du point d’exclamation « L’aveugle ! » illustre la prise de conscience de ce désordre chronologique par le narrateur. Raison pour laquelle il fait cette rétrospection narrative pour éclairer le lecteur non seulement sur les événements incompris dès le début, mais aussi sur la suite de l’intrigue de la pièce de théâtre. </w:t>
      </w:r>
    </w:p>
    <w:p w:rsidR="006A4EED" w:rsidRPr="003B00C8" w:rsidRDefault="006A4EED" w:rsidP="00BB2043">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 xml:space="preserve">L’exclamation de Slimane à valeur de joie des retrouvailles d’un ami perdu </w:t>
      </w:r>
      <w:r w:rsidR="00A366A0" w:rsidRPr="003B00C8">
        <w:rPr>
          <w:rFonts w:ascii="Times New Roman" w:eastAsia="Times New Roman" w:hAnsi="Times New Roman"/>
          <w:bCs/>
          <w:iCs/>
          <w:sz w:val="24"/>
          <w:szCs w:val="24"/>
          <w:lang w:eastAsia="fr-FR"/>
        </w:rPr>
        <w:t>parce que</w:t>
      </w:r>
      <w:r w:rsidRPr="003B00C8">
        <w:rPr>
          <w:rFonts w:ascii="Times New Roman" w:eastAsia="Times New Roman" w:hAnsi="Times New Roman"/>
          <w:bCs/>
          <w:iCs/>
          <w:sz w:val="24"/>
          <w:szCs w:val="24"/>
          <w:lang w:eastAsia="fr-FR"/>
        </w:rPr>
        <w:t xml:space="preserve"> marié à une femme peu affective s’explique davantage si l’on y revient dans les pages 16 à 17 :</w:t>
      </w:r>
    </w:p>
    <w:p w:rsidR="006A4EED" w:rsidRPr="009431AE" w:rsidRDefault="006A4EED" w:rsidP="00521B74">
      <w:pPr>
        <w:autoSpaceDE w:val="0"/>
        <w:autoSpaceDN w:val="0"/>
        <w:adjustRightInd w:val="0"/>
        <w:spacing w:after="0" w:line="360" w:lineRule="auto"/>
        <w:ind w:firstLine="284"/>
        <w:jc w:val="both"/>
        <w:rPr>
          <w:rFonts w:ascii="Times New Roman" w:eastAsia="Times New Roman" w:hAnsi="Times New Roman"/>
          <w:bCs/>
          <w:i/>
          <w:lang w:eastAsia="fr-FR"/>
        </w:rPr>
      </w:pPr>
    </w:p>
    <w:p w:rsidR="006A4EED" w:rsidRPr="00BB2043" w:rsidRDefault="006A4EED" w:rsidP="00BB2043">
      <w:pPr>
        <w:pStyle w:val="Citationintense"/>
        <w:spacing w:before="0" w:after="0"/>
        <w:ind w:left="567" w:right="0"/>
        <w:rPr>
          <w:sz w:val="20"/>
          <w:szCs w:val="20"/>
          <w:lang w:eastAsia="fr-FR"/>
        </w:rPr>
      </w:pPr>
      <w:r w:rsidRPr="00BB2043">
        <w:rPr>
          <w:b/>
          <w:sz w:val="20"/>
          <w:szCs w:val="20"/>
          <w:lang w:eastAsia="fr-FR"/>
        </w:rPr>
        <w:t xml:space="preserve">AVEUGLE- </w:t>
      </w:r>
      <w:r w:rsidRPr="00BB2043">
        <w:rPr>
          <w:sz w:val="20"/>
          <w:szCs w:val="20"/>
          <w:lang w:eastAsia="fr-FR"/>
        </w:rPr>
        <w:t>Peut-être qu’il faudrait informer Slimane ? Il pourrait venir avec nous?</w:t>
      </w:r>
    </w:p>
    <w:p w:rsidR="006A4EED" w:rsidRPr="00BB2043" w:rsidRDefault="006A4EED" w:rsidP="00BB2043">
      <w:pPr>
        <w:pStyle w:val="Citationintense"/>
        <w:spacing w:before="0" w:after="0"/>
        <w:ind w:left="567" w:right="0"/>
        <w:rPr>
          <w:sz w:val="20"/>
          <w:szCs w:val="20"/>
          <w:lang w:eastAsia="fr-FR"/>
        </w:rPr>
      </w:pPr>
      <w:r w:rsidRPr="00BB2043">
        <w:rPr>
          <w:b/>
          <w:sz w:val="20"/>
          <w:szCs w:val="20"/>
          <w:lang w:eastAsia="fr-FR"/>
        </w:rPr>
        <w:t xml:space="preserve">AÏCHA- </w:t>
      </w:r>
      <w:r w:rsidRPr="00BB2043">
        <w:rPr>
          <w:sz w:val="20"/>
          <w:szCs w:val="20"/>
          <w:lang w:eastAsia="fr-FR"/>
        </w:rPr>
        <w:t>Ne t’occupe pas de Slimane et marche !</w:t>
      </w:r>
    </w:p>
    <w:p w:rsidR="006A4EED" w:rsidRPr="00BB2043" w:rsidRDefault="006A4EED" w:rsidP="00BB2043">
      <w:pPr>
        <w:pStyle w:val="Citationintense"/>
        <w:spacing w:before="0" w:after="0"/>
        <w:ind w:left="567" w:right="0"/>
        <w:rPr>
          <w:sz w:val="20"/>
          <w:szCs w:val="20"/>
          <w:lang w:eastAsia="fr-FR"/>
        </w:rPr>
      </w:pPr>
      <w:r w:rsidRPr="00BB2043">
        <w:rPr>
          <w:b/>
          <w:sz w:val="20"/>
          <w:szCs w:val="20"/>
          <w:lang w:eastAsia="fr-FR"/>
        </w:rPr>
        <w:t xml:space="preserve">AVEUGLE- </w:t>
      </w:r>
      <w:r w:rsidRPr="00BB2043">
        <w:rPr>
          <w:sz w:val="20"/>
          <w:szCs w:val="20"/>
          <w:lang w:eastAsia="fr-FR"/>
        </w:rPr>
        <w:t>Pauvre Slimane ! Il va sûrement lui arriver ce qui est arrivé au porteur qui l’a précédé… Il ne passera pas l’hiver…</w:t>
      </w:r>
    </w:p>
    <w:p w:rsidR="006A4EED" w:rsidRPr="00BB2043" w:rsidRDefault="006A4EED" w:rsidP="00BB2043">
      <w:pPr>
        <w:pStyle w:val="Citationintense"/>
        <w:spacing w:before="0" w:after="0"/>
        <w:ind w:left="567" w:right="0"/>
        <w:rPr>
          <w:sz w:val="20"/>
          <w:szCs w:val="20"/>
          <w:lang w:eastAsia="fr-FR"/>
        </w:rPr>
      </w:pPr>
      <w:r w:rsidRPr="00BB2043">
        <w:rPr>
          <w:b/>
          <w:sz w:val="20"/>
          <w:szCs w:val="20"/>
          <w:lang w:eastAsia="fr-FR"/>
        </w:rPr>
        <w:t xml:space="preserve">AÏCHA- </w:t>
      </w:r>
      <w:r w:rsidRPr="00BB2043">
        <w:rPr>
          <w:sz w:val="20"/>
          <w:szCs w:val="20"/>
          <w:lang w:eastAsia="fr-FR"/>
        </w:rPr>
        <w:t>Et en quoi cela te regarde-t-il ? Tes malheurs ne te suffisent pas ?</w:t>
      </w:r>
    </w:p>
    <w:p w:rsidR="006A4EED" w:rsidRPr="00BB2043" w:rsidRDefault="006A4EED" w:rsidP="00BB2043">
      <w:pPr>
        <w:pStyle w:val="Citationintense"/>
        <w:spacing w:before="0" w:after="0"/>
        <w:ind w:left="567" w:right="0"/>
        <w:rPr>
          <w:sz w:val="20"/>
          <w:szCs w:val="20"/>
          <w:lang w:eastAsia="fr-FR"/>
        </w:rPr>
      </w:pPr>
      <w:r w:rsidRPr="00BB2043">
        <w:rPr>
          <w:sz w:val="20"/>
          <w:szCs w:val="20"/>
          <w:lang w:eastAsia="fr-FR"/>
        </w:rPr>
        <w:t>Il faut encore que tu t’occupes de ceux des autres ?</w:t>
      </w:r>
    </w:p>
    <w:p w:rsidR="006A4EED" w:rsidRPr="00BB2043" w:rsidRDefault="006A4EED" w:rsidP="00BB2043">
      <w:pPr>
        <w:pStyle w:val="Citationintense"/>
        <w:spacing w:before="0" w:after="0"/>
        <w:ind w:left="567" w:right="0"/>
        <w:rPr>
          <w:sz w:val="20"/>
          <w:szCs w:val="20"/>
          <w:lang w:eastAsia="fr-FR"/>
        </w:rPr>
      </w:pPr>
      <w:r w:rsidRPr="00BB2043">
        <w:rPr>
          <w:b/>
          <w:sz w:val="20"/>
          <w:szCs w:val="20"/>
          <w:lang w:eastAsia="fr-FR"/>
        </w:rPr>
        <w:t xml:space="preserve">AVEUGLE- </w:t>
      </w:r>
      <w:r w:rsidRPr="00BB2043">
        <w:rPr>
          <w:sz w:val="20"/>
          <w:szCs w:val="20"/>
          <w:lang w:eastAsia="fr-FR"/>
        </w:rPr>
        <w:t>Tu n’as pas de cœur, Aïcha ! Pas la moindre compassion pour les humains !</w:t>
      </w:r>
    </w:p>
    <w:p w:rsidR="006A4EED" w:rsidRPr="00BB2043" w:rsidRDefault="006A4EED" w:rsidP="00BB2043">
      <w:pPr>
        <w:pStyle w:val="Citationintense"/>
        <w:spacing w:before="0" w:after="0"/>
        <w:ind w:left="567" w:right="0"/>
        <w:rPr>
          <w:sz w:val="20"/>
          <w:szCs w:val="20"/>
          <w:lang w:eastAsia="fr-FR"/>
        </w:rPr>
      </w:pPr>
      <w:r w:rsidRPr="00BB2043">
        <w:rPr>
          <w:b/>
          <w:sz w:val="20"/>
          <w:szCs w:val="20"/>
          <w:lang w:eastAsia="fr-FR"/>
        </w:rPr>
        <w:t xml:space="preserve">AÏCHA- </w:t>
      </w:r>
      <w:r w:rsidRPr="00BB2043">
        <w:rPr>
          <w:sz w:val="20"/>
          <w:szCs w:val="20"/>
          <w:lang w:eastAsia="fr-FR"/>
        </w:rPr>
        <w:t>J’ai eu pitié de toi et vois où cela m’a menée ! Allez marche ! Et en supposant que j’aie pitié d’eux, que puis-je faire pour eux ?</w:t>
      </w:r>
    </w:p>
    <w:p w:rsidR="006A4EED" w:rsidRPr="00BB2043" w:rsidRDefault="006A4EED" w:rsidP="00BB2043">
      <w:pPr>
        <w:pStyle w:val="Citationintense"/>
        <w:spacing w:before="0" w:after="0"/>
        <w:ind w:left="567" w:right="0"/>
        <w:rPr>
          <w:sz w:val="20"/>
          <w:szCs w:val="20"/>
          <w:lang w:eastAsia="fr-FR"/>
        </w:rPr>
      </w:pPr>
      <w:r w:rsidRPr="00BB2043">
        <w:rPr>
          <w:b/>
          <w:sz w:val="20"/>
          <w:szCs w:val="20"/>
          <w:lang w:eastAsia="fr-FR"/>
        </w:rPr>
        <w:t xml:space="preserve">SLIMANE- </w:t>
      </w:r>
      <w:r w:rsidRPr="00BB2043">
        <w:rPr>
          <w:sz w:val="20"/>
          <w:szCs w:val="20"/>
          <w:lang w:eastAsia="fr-FR"/>
        </w:rPr>
        <w:t xml:space="preserve">Tiens ! Tiens ! Voyez ce </w:t>
      </w:r>
      <w:proofErr w:type="gramStart"/>
      <w:r w:rsidRPr="00BB2043">
        <w:rPr>
          <w:sz w:val="20"/>
          <w:szCs w:val="20"/>
          <w:lang w:eastAsia="fr-FR"/>
        </w:rPr>
        <w:t>que Aïcha</w:t>
      </w:r>
      <w:proofErr w:type="gramEnd"/>
      <w:r w:rsidRPr="00BB2043">
        <w:rPr>
          <w:sz w:val="20"/>
          <w:szCs w:val="20"/>
          <w:lang w:eastAsia="fr-FR"/>
        </w:rPr>
        <w:t xml:space="preserve"> fait subir à l’aveugle ! Quant à moi, je ne sais plus à quel saint me vouer ! Vais-je devenir mendiant ou demeurer porteur d’eau ?</w:t>
      </w:r>
      <w:r w:rsidR="006D5AF5" w:rsidRPr="00BB2043">
        <w:rPr>
          <w:sz w:val="20"/>
          <w:szCs w:val="20"/>
          <w:lang w:eastAsia="fr-FR"/>
        </w:rPr>
        <w:t xml:space="preserve"> </w:t>
      </w:r>
      <w:r w:rsidR="00BB2043" w:rsidRPr="00BB2043">
        <w:rPr>
          <w:sz w:val="20"/>
          <w:szCs w:val="20"/>
          <w:lang w:eastAsia="fr-FR"/>
        </w:rPr>
        <w:t>(</w:t>
      </w:r>
      <w:r w:rsidR="00521B74" w:rsidRPr="00BB2043">
        <w:rPr>
          <w:i/>
          <w:iCs w:val="0"/>
          <w:sz w:val="20"/>
          <w:szCs w:val="20"/>
          <w:lang w:eastAsia="fr-FR"/>
        </w:rPr>
        <w:t>Ibid</w:t>
      </w:r>
      <w:r w:rsidR="00521B74" w:rsidRPr="00BB2043">
        <w:rPr>
          <w:sz w:val="20"/>
          <w:szCs w:val="20"/>
          <w:lang w:eastAsia="fr-FR"/>
        </w:rPr>
        <w:t xml:space="preserve">, </w:t>
      </w:r>
      <w:r w:rsidR="006D5AF5" w:rsidRPr="00BB2043">
        <w:rPr>
          <w:sz w:val="20"/>
          <w:szCs w:val="20"/>
          <w:lang w:eastAsia="fr-FR"/>
        </w:rPr>
        <w:t>p.16)</w:t>
      </w: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bCs/>
          <w:i/>
          <w:iCs/>
          <w:sz w:val="20"/>
          <w:szCs w:val="20"/>
          <w:lang w:eastAsia="fr-FR"/>
        </w:rPr>
      </w:pPr>
    </w:p>
    <w:p w:rsidR="006A4EED" w:rsidRPr="006D5AF5" w:rsidRDefault="006A4EED" w:rsidP="00425CF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bCs/>
          <w:iCs/>
          <w:sz w:val="24"/>
          <w:szCs w:val="24"/>
          <w:lang w:eastAsia="fr-FR"/>
        </w:rPr>
        <w:t xml:space="preserve">Ces mouvements de </w:t>
      </w:r>
      <w:r w:rsidRPr="00A366A0">
        <w:rPr>
          <w:rFonts w:ascii="Times New Roman" w:eastAsia="Times New Roman" w:hAnsi="Times New Roman"/>
          <w:bCs/>
          <w:sz w:val="24"/>
          <w:szCs w:val="24"/>
          <w:lang w:eastAsia="fr-FR"/>
        </w:rPr>
        <w:t>va-et-vient</w:t>
      </w:r>
      <w:r w:rsidRPr="003B00C8">
        <w:rPr>
          <w:rFonts w:ascii="Times New Roman" w:eastAsia="Times New Roman" w:hAnsi="Times New Roman"/>
          <w:bCs/>
          <w:iCs/>
          <w:sz w:val="24"/>
          <w:szCs w:val="24"/>
          <w:lang w:eastAsia="fr-FR"/>
        </w:rPr>
        <w:t xml:space="preserve"> observés dans la pièce de théâtre sont fonctions du mouvement incessant d’aller et retour chez les personnages de Kaki en quête de bonheur : il y </w:t>
      </w:r>
      <w:r w:rsidRPr="006D5AF5">
        <w:rPr>
          <w:rFonts w:ascii="Times New Roman" w:eastAsia="Times New Roman" w:hAnsi="Times New Roman"/>
          <w:bCs/>
          <w:iCs/>
          <w:sz w:val="24"/>
          <w:szCs w:val="24"/>
          <w:lang w:eastAsia="fr-FR"/>
        </w:rPr>
        <w:t>a dans les écrits du dramaturge le thème de l’errance qui se dessine d’ores et déjà. A cet effet, Gérard Genette affirme qu’  « </w:t>
      </w:r>
      <w:r w:rsidRPr="006D5AF5">
        <w:rPr>
          <w:rFonts w:ascii="Times New Roman" w:eastAsia="Times New Roman" w:hAnsi="Times New Roman"/>
          <w:bCs/>
          <w:sz w:val="24"/>
          <w:szCs w:val="24"/>
          <w:lang w:eastAsia="fr-FR"/>
        </w:rPr>
        <w:t>elles ont seulement pour fonction de compléter en éclairant le lecteur sur tel ou tel antécédent</w:t>
      </w:r>
      <w:r w:rsidRPr="006D5AF5">
        <w:rPr>
          <w:rFonts w:ascii="Times New Roman" w:eastAsia="Times New Roman" w:hAnsi="Times New Roman"/>
          <w:bCs/>
          <w:iCs/>
          <w:sz w:val="24"/>
          <w:szCs w:val="24"/>
          <w:lang w:eastAsia="fr-FR"/>
        </w:rPr>
        <w:t> »</w:t>
      </w:r>
      <w:r w:rsidRPr="006D5AF5">
        <w:rPr>
          <w:rFonts w:ascii="Times New Roman" w:eastAsia="Times New Roman" w:hAnsi="Times New Roman"/>
          <w:bCs/>
          <w:iCs/>
          <w:sz w:val="24"/>
          <w:szCs w:val="24"/>
          <w:vertAlign w:val="superscript"/>
          <w:lang w:eastAsia="fr-FR"/>
        </w:rPr>
        <w:footnoteReference w:id="148"/>
      </w:r>
      <w:r w:rsidRPr="006D5AF5">
        <w:rPr>
          <w:rFonts w:ascii="Times New Roman" w:eastAsia="Times New Roman" w:hAnsi="Times New Roman"/>
          <w:bCs/>
          <w:iCs/>
          <w:sz w:val="24"/>
          <w:szCs w:val="24"/>
          <w:lang w:eastAsia="fr-FR"/>
        </w:rPr>
        <w:t xml:space="preserve"> </w:t>
      </w:r>
      <w:r w:rsidRPr="006D5AF5">
        <w:rPr>
          <w:rFonts w:ascii="Times New Roman" w:eastAsia="Times New Roman" w:hAnsi="Times New Roman"/>
          <w:sz w:val="24"/>
          <w:szCs w:val="24"/>
          <w:lang w:eastAsia="fr-FR"/>
        </w:rPr>
        <w:t xml:space="preserve">L'analepse est un pont jeté vers le passé, mais ce passé peut être plus ou moins éloigné du récit premier; cette distance temporelle variable définit la portée de l'analepse. </w:t>
      </w:r>
    </w:p>
    <w:p w:rsidR="006A4EED" w:rsidRPr="006D5AF5" w:rsidRDefault="006A4EED" w:rsidP="00425CF8">
      <w:pPr>
        <w:spacing w:after="0" w:line="360" w:lineRule="auto"/>
        <w:ind w:firstLine="284"/>
        <w:jc w:val="both"/>
        <w:rPr>
          <w:rFonts w:ascii="Times New Roman" w:eastAsia="Times New Roman" w:hAnsi="Times New Roman"/>
          <w:sz w:val="24"/>
          <w:szCs w:val="24"/>
          <w:lang w:eastAsia="fr-FR"/>
        </w:rPr>
      </w:pPr>
      <w:r w:rsidRPr="006D5AF5">
        <w:rPr>
          <w:rFonts w:ascii="Times New Roman" w:eastAsia="Times New Roman" w:hAnsi="Times New Roman"/>
          <w:bCs/>
          <w:iCs/>
          <w:sz w:val="24"/>
          <w:szCs w:val="24"/>
          <w:lang w:eastAsia="fr-FR"/>
        </w:rPr>
        <w:t xml:space="preserve">Contrairement aux premiers exemples, nous considérons cette analepse consacrée aux retrouvailles de Slimane et l’aveugle, comme une analepse interne puisqu’elle est postérieure au jour de visitation et de bénédictions de Béni-Dahane par les marabouts vertueux. Si l’amplitude des premiers exemples est externe à celle du récit de Slimane, le champ temporel du récit de l’aveugle et de sa </w:t>
      </w:r>
      <w:r w:rsidRPr="006D5AF5">
        <w:rPr>
          <w:rFonts w:ascii="Times New Roman" w:eastAsia="Times New Roman" w:hAnsi="Times New Roman"/>
          <w:bCs/>
          <w:iCs/>
          <w:sz w:val="24"/>
          <w:szCs w:val="24"/>
          <w:lang w:eastAsia="fr-FR"/>
        </w:rPr>
        <w:lastRenderedPageBreak/>
        <w:t>compagne y est compris. Ainsi, il permet non seulement d’informer le lecteur, il donne aussi l’occasion au narrateur de voyager dans le temps et dans l’espace de ses souvenirs.</w:t>
      </w:r>
      <w:r w:rsidRPr="006D5AF5">
        <w:rPr>
          <w:rFonts w:ascii="Times New Roman" w:eastAsia="Times New Roman" w:hAnsi="Times New Roman"/>
          <w:sz w:val="24"/>
          <w:szCs w:val="24"/>
          <w:lang w:eastAsia="fr-FR"/>
        </w:rPr>
        <w:t xml:space="preserve"> La tranche temporelle, plus ou moins étendue, prise en charge par l'analepse définit son amplitude. </w:t>
      </w:r>
    </w:p>
    <w:p w:rsidR="006A4EED" w:rsidRPr="006D5AF5" w:rsidRDefault="006A4EED" w:rsidP="00425CF8">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6D5AF5">
        <w:rPr>
          <w:rFonts w:ascii="Times New Roman" w:eastAsia="Times New Roman" w:hAnsi="Times New Roman"/>
          <w:bCs/>
          <w:iCs/>
          <w:sz w:val="24"/>
          <w:szCs w:val="24"/>
          <w:lang w:eastAsia="fr-FR"/>
        </w:rPr>
        <w:t>Les faits de langue ainsi relevés montrent en effet que la digression narrative à effet rétrospective est usitée par Kaki. Il ne s’agit pas d’une utilisation gratuite. Il s’agit d’un jeu qui a évidemment un enjeu, celui de resituer le dramaturge par rapport au désordre chronologique qu’il fait constater. A travers ces techniques, le narrateur échappe au contrôle du temps, se permettant de chevaucher entre histoire et époques.</w:t>
      </w:r>
    </w:p>
    <w:p w:rsidR="006A4EED" w:rsidRPr="003B00C8" w:rsidRDefault="006A4EED" w:rsidP="00425CF8">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6D5AF5">
        <w:rPr>
          <w:rFonts w:ascii="Times New Roman" w:eastAsia="Times New Roman" w:hAnsi="Times New Roman"/>
          <w:bCs/>
          <w:iCs/>
          <w:sz w:val="24"/>
          <w:szCs w:val="24"/>
          <w:lang w:eastAsia="fr-FR"/>
        </w:rPr>
        <w:t xml:space="preserve">Au sujet de </w:t>
      </w:r>
      <w:r w:rsidR="00C13314" w:rsidRPr="006D5AF5">
        <w:rPr>
          <w:rFonts w:ascii="Times New Roman" w:eastAsia="Times New Roman" w:hAnsi="Times New Roman"/>
          <w:bCs/>
          <w:iCs/>
          <w:sz w:val="24"/>
          <w:szCs w:val="24"/>
          <w:lang w:eastAsia="fr-FR"/>
        </w:rPr>
        <w:t xml:space="preserve">la </w:t>
      </w:r>
      <w:r w:rsidRPr="006D5AF5">
        <w:rPr>
          <w:rFonts w:ascii="Times New Roman" w:eastAsia="Times New Roman" w:hAnsi="Times New Roman"/>
          <w:bCs/>
          <w:iCs/>
          <w:sz w:val="24"/>
          <w:szCs w:val="24"/>
          <w:lang w:eastAsia="fr-FR"/>
        </w:rPr>
        <w:t>prolepse, on désigne « </w:t>
      </w:r>
      <w:r w:rsidRPr="006D5AF5">
        <w:rPr>
          <w:rFonts w:ascii="Times New Roman" w:eastAsia="Times New Roman" w:hAnsi="Times New Roman"/>
          <w:bCs/>
          <w:sz w:val="24"/>
          <w:szCs w:val="24"/>
          <w:lang w:eastAsia="fr-FR"/>
        </w:rPr>
        <w:t>par prolepse toute manœuvre narrative consistant à raconter ou à évoquer d’avance un événement ultérieur</w:t>
      </w:r>
      <w:r w:rsidRPr="006D5AF5">
        <w:rPr>
          <w:rFonts w:ascii="Times New Roman" w:eastAsia="Times New Roman" w:hAnsi="Times New Roman"/>
          <w:bCs/>
          <w:iCs/>
          <w:sz w:val="24"/>
          <w:szCs w:val="24"/>
          <w:lang w:eastAsia="fr-FR"/>
        </w:rPr>
        <w:t> »</w:t>
      </w:r>
      <w:r w:rsidRPr="006D5AF5">
        <w:rPr>
          <w:rFonts w:ascii="Times New Roman" w:eastAsia="Times New Roman" w:hAnsi="Times New Roman"/>
          <w:bCs/>
          <w:iCs/>
          <w:sz w:val="24"/>
          <w:szCs w:val="24"/>
          <w:vertAlign w:val="superscript"/>
          <w:lang w:eastAsia="fr-FR"/>
        </w:rPr>
        <w:footnoteReference w:id="149"/>
      </w:r>
      <w:r w:rsidRPr="006D5AF5">
        <w:rPr>
          <w:rFonts w:ascii="Times New Roman" w:eastAsia="Times New Roman" w:hAnsi="Times New Roman"/>
          <w:bCs/>
          <w:iCs/>
          <w:sz w:val="24"/>
          <w:szCs w:val="24"/>
          <w:lang w:eastAsia="fr-FR"/>
        </w:rPr>
        <w:t xml:space="preserve"> c’est dire qu’elle est une anticipation narrative qui permet au lecteur de se projeter sur un événement qui aura lieu</w:t>
      </w:r>
      <w:r w:rsidRPr="003B00C8">
        <w:rPr>
          <w:rFonts w:ascii="Times New Roman" w:eastAsia="Times New Roman" w:hAnsi="Times New Roman"/>
          <w:bCs/>
          <w:iCs/>
          <w:sz w:val="24"/>
          <w:szCs w:val="24"/>
          <w:lang w:eastAsia="fr-FR"/>
        </w:rPr>
        <w:t xml:space="preserve"> dans le futur. Tout comme l’analepse, la prolepse illustre également le brouillage chronologique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Kaki.</w:t>
      </w:r>
    </w:p>
    <w:p w:rsidR="006A4EED" w:rsidRPr="003B00C8" w:rsidRDefault="006A4EED" w:rsidP="004B50FA">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Les anticipations, ou prolepses, se rencontrent moins fréquemment que les retours en arrière. Les récits qui s'y prêtent le mieux sont les </w:t>
      </w:r>
      <w:r w:rsidR="003E0F90" w:rsidRPr="003B00C8">
        <w:rPr>
          <w:rFonts w:ascii="Times New Roman" w:eastAsia="Times New Roman" w:hAnsi="Times New Roman"/>
          <w:sz w:val="24"/>
          <w:szCs w:val="24"/>
          <w:lang w:eastAsia="fr-FR"/>
        </w:rPr>
        <w:t>m</w:t>
      </w:r>
      <w:r w:rsidRPr="003B00C8">
        <w:rPr>
          <w:rFonts w:ascii="Times New Roman" w:eastAsia="Times New Roman" w:hAnsi="Times New Roman"/>
          <w:sz w:val="24"/>
          <w:szCs w:val="24"/>
          <w:lang w:eastAsia="fr-FR"/>
        </w:rPr>
        <w:t xml:space="preserve">émoires ou les prophéties– tant réels que fictifs. Ici, le narrateur, en racontant son passé, connaît évidemment l'avenir et fait parfois usage de ce savoir. Considérons le fragment de texte suivant: </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SERVANT- </w:t>
      </w:r>
      <w:r w:rsidRPr="006D5AF5">
        <w:rPr>
          <w:iCs w:val="0"/>
          <w:sz w:val="20"/>
          <w:szCs w:val="20"/>
          <w:lang w:eastAsia="fr-FR"/>
        </w:rPr>
        <w:t>Que veux-tu, Slimane ?</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Je t’ai amené des amis de Sidi-Dahane !</w:t>
      </w:r>
    </w:p>
    <w:p w:rsidR="006A4EED" w:rsidRPr="006D5AF5" w:rsidRDefault="006A4EED" w:rsidP="009F51D8">
      <w:pPr>
        <w:pStyle w:val="Citationintense"/>
        <w:spacing w:before="0" w:after="0"/>
        <w:ind w:left="567" w:right="0"/>
        <w:rPr>
          <w:iCs w:val="0"/>
          <w:sz w:val="20"/>
          <w:szCs w:val="20"/>
          <w:lang w:eastAsia="fr-FR"/>
        </w:rPr>
      </w:pPr>
      <w:r w:rsidRPr="006D5AF5">
        <w:rPr>
          <w:b/>
          <w:iCs w:val="0"/>
          <w:sz w:val="20"/>
          <w:szCs w:val="20"/>
          <w:lang w:eastAsia="fr-FR"/>
        </w:rPr>
        <w:t xml:space="preserve">SERVANT- </w:t>
      </w:r>
      <w:r w:rsidRPr="006D5AF5">
        <w:rPr>
          <w:iCs w:val="0"/>
          <w:sz w:val="20"/>
          <w:szCs w:val="20"/>
          <w:lang w:eastAsia="fr-FR"/>
        </w:rPr>
        <w:t>Ont-ils apporté des présents ?</w:t>
      </w:r>
      <w:r w:rsidR="009F51D8">
        <w:rPr>
          <w:iCs w:val="0"/>
          <w:sz w:val="20"/>
          <w:szCs w:val="20"/>
          <w:lang w:eastAsia="fr-FR"/>
        </w:rPr>
        <w:t xml:space="preserve"> </w:t>
      </w:r>
      <w:r w:rsidRPr="006D5AF5">
        <w:rPr>
          <w:iCs w:val="0"/>
          <w:sz w:val="20"/>
          <w:szCs w:val="20"/>
          <w:lang w:eastAsia="fr-FR"/>
        </w:rPr>
        <w:t>Le visiteur qui arrive ici les bras chargés mérite les égards</w:t>
      </w:r>
      <w:r w:rsidR="009F51D8">
        <w:rPr>
          <w:iCs w:val="0"/>
          <w:sz w:val="20"/>
          <w:szCs w:val="20"/>
          <w:lang w:eastAsia="fr-FR"/>
        </w:rPr>
        <w:t xml:space="preserve">. </w:t>
      </w:r>
      <w:r w:rsidRPr="006D5AF5">
        <w:rPr>
          <w:iCs w:val="0"/>
          <w:sz w:val="20"/>
          <w:szCs w:val="20"/>
          <w:lang w:eastAsia="fr-FR"/>
        </w:rPr>
        <w:t>Celui qui n’apporte rien n’aura même pas droit à un regard</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Ce sont des amis de Sidi-Dahane !</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SERVANT- </w:t>
      </w:r>
      <w:r w:rsidRPr="006D5AF5">
        <w:rPr>
          <w:iCs w:val="0"/>
          <w:sz w:val="20"/>
          <w:szCs w:val="20"/>
          <w:lang w:eastAsia="fr-FR"/>
        </w:rPr>
        <w:t>Et moi je suis son serviteur ! Ils me doivent l’obole !</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Alors serviteur écoute bien ! Tu as face à toi Sidi-Abdelkader, Sidi- Abderrahmane et Sidi-Boumédiène !</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SERVANT- </w:t>
      </w:r>
      <w:r w:rsidRPr="006D5AF5">
        <w:rPr>
          <w:iCs w:val="0"/>
          <w:sz w:val="20"/>
          <w:szCs w:val="20"/>
          <w:lang w:eastAsia="fr-FR"/>
        </w:rPr>
        <w:t>Que peut le servant pour les serviteurs de Dieu ? Que veulent-ils ?</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Écoute bien ! Ce ne sont pas des serviteurs ! Ce sont les Marabouts Vertueux ! Sidi-Boumédiène, Sidi-Abdelkader et Sidi-Abderrahmane et ils viennent te demander à toi, le servant de Sidi-Dahane, l’hospitalité au nom de Dieu !</w:t>
      </w:r>
    </w:p>
    <w:p w:rsidR="006A4EED" w:rsidRPr="006D5AF5" w:rsidRDefault="006A4EED" w:rsidP="004B50FA">
      <w:pPr>
        <w:pStyle w:val="Citationintense"/>
        <w:spacing w:before="0" w:after="0"/>
        <w:ind w:left="567" w:right="0"/>
        <w:rPr>
          <w:iCs w:val="0"/>
          <w:sz w:val="20"/>
          <w:szCs w:val="20"/>
          <w:lang w:eastAsia="fr-FR"/>
        </w:rPr>
      </w:pPr>
      <w:r w:rsidRPr="006D5AF5">
        <w:rPr>
          <w:b/>
          <w:iCs w:val="0"/>
          <w:sz w:val="20"/>
          <w:szCs w:val="20"/>
          <w:lang w:eastAsia="fr-FR"/>
        </w:rPr>
        <w:t xml:space="preserve">SERVANT- </w:t>
      </w:r>
      <w:r w:rsidRPr="006D5AF5">
        <w:rPr>
          <w:iCs w:val="0"/>
          <w:sz w:val="20"/>
          <w:szCs w:val="20"/>
          <w:lang w:eastAsia="fr-FR"/>
        </w:rPr>
        <w:t xml:space="preserve">Bon, alors écoute : toi, tu n’es pas moi… Moi, je suis un serviteur ; qui veut me faire du bien, qu’il soit le bienvenu. Qui vient honorer Sidi- Dahane, doit se rappeler que je suis son serviteur. Mais que celui qui vient à moi pour que je lui glisse l’obole, celui-là devrait s’inquiéter de savoir où il a mis son </w:t>
      </w:r>
      <w:r w:rsidR="00FA56B6" w:rsidRPr="006D5AF5">
        <w:rPr>
          <w:iCs w:val="0"/>
          <w:sz w:val="20"/>
          <w:szCs w:val="20"/>
          <w:lang w:eastAsia="fr-FR"/>
        </w:rPr>
        <w:t>discernement [</w:t>
      </w:r>
      <w:r w:rsidRPr="006D5AF5">
        <w:rPr>
          <w:iCs w:val="0"/>
          <w:sz w:val="20"/>
          <w:szCs w:val="20"/>
          <w:lang w:eastAsia="fr-FR"/>
        </w:rPr>
        <w:t>…]</w:t>
      </w:r>
    </w:p>
    <w:p w:rsidR="006A4EED" w:rsidRPr="006D5AF5" w:rsidRDefault="006A4EED" w:rsidP="009F51D8">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Tout cela, c’est des mots ! Tu n’as pas encore répondu à la</w:t>
      </w:r>
      <w:r w:rsidR="009F51D8">
        <w:rPr>
          <w:iCs w:val="0"/>
          <w:sz w:val="20"/>
          <w:szCs w:val="20"/>
          <w:lang w:eastAsia="fr-FR"/>
        </w:rPr>
        <w:t xml:space="preserve"> </w:t>
      </w:r>
      <w:r w:rsidRPr="006D5AF5">
        <w:rPr>
          <w:iCs w:val="0"/>
          <w:sz w:val="20"/>
          <w:szCs w:val="20"/>
          <w:lang w:eastAsia="fr-FR"/>
        </w:rPr>
        <w:t>question : leur offres-tu l’hospitalité, oui ou non ?</w:t>
      </w:r>
    </w:p>
    <w:p w:rsidR="006A4EED" w:rsidRPr="006D5AF5" w:rsidRDefault="006A4EED" w:rsidP="009F51D8">
      <w:pPr>
        <w:pStyle w:val="Citationintense"/>
        <w:spacing w:before="0" w:after="0"/>
        <w:ind w:left="567" w:right="0"/>
        <w:rPr>
          <w:rFonts w:eastAsia="Times New Roman"/>
          <w:b/>
          <w:bCs w:val="0"/>
          <w:sz w:val="20"/>
          <w:szCs w:val="20"/>
          <w:lang w:eastAsia="fr-FR"/>
        </w:rPr>
      </w:pPr>
      <w:r w:rsidRPr="006D5AF5">
        <w:rPr>
          <w:b/>
          <w:iCs w:val="0"/>
          <w:sz w:val="20"/>
          <w:szCs w:val="20"/>
          <w:lang w:eastAsia="fr-FR"/>
        </w:rPr>
        <w:lastRenderedPageBreak/>
        <w:t xml:space="preserve">SERVANT- </w:t>
      </w:r>
      <w:r w:rsidRPr="006D5AF5">
        <w:rPr>
          <w:iCs w:val="0"/>
          <w:sz w:val="20"/>
          <w:szCs w:val="20"/>
          <w:lang w:eastAsia="fr-FR"/>
        </w:rPr>
        <w:t xml:space="preserve">Je n’ai dit ni oui ni non, ni prononcé aucune parole méchante ! </w:t>
      </w:r>
      <w:r w:rsidRPr="006D5AF5">
        <w:rPr>
          <w:b/>
          <w:iCs w:val="0"/>
          <w:sz w:val="20"/>
          <w:szCs w:val="20"/>
          <w:lang w:eastAsia="fr-FR"/>
        </w:rPr>
        <w:t>J’ai dit : Dieu y pourvoira</w:t>
      </w:r>
      <w:r w:rsidR="006D5AF5" w:rsidRPr="006D5AF5">
        <w:rPr>
          <w:b/>
          <w:iCs w:val="0"/>
          <w:sz w:val="20"/>
          <w:szCs w:val="20"/>
          <w:lang w:eastAsia="fr-FR"/>
        </w:rPr>
        <w:t xml:space="preserve">.  </w:t>
      </w:r>
      <w:r w:rsidR="006D5AF5" w:rsidRPr="006D5AF5">
        <w:rPr>
          <w:iCs w:val="0"/>
          <w:sz w:val="20"/>
          <w:szCs w:val="20"/>
          <w:lang w:eastAsia="fr-FR"/>
        </w:rPr>
        <w:t>(</w:t>
      </w:r>
      <w:r w:rsidR="004B50FA">
        <w:rPr>
          <w:i/>
          <w:sz w:val="20"/>
          <w:szCs w:val="20"/>
          <w:lang w:eastAsia="fr-FR"/>
        </w:rPr>
        <w:t>Ibid</w:t>
      </w:r>
      <w:r w:rsidR="009F51D8">
        <w:rPr>
          <w:i/>
          <w:sz w:val="20"/>
          <w:szCs w:val="20"/>
          <w:lang w:eastAsia="fr-FR"/>
        </w:rPr>
        <w:t xml:space="preserve">, </w:t>
      </w:r>
      <w:r w:rsidR="006D5AF5" w:rsidRPr="006D5AF5">
        <w:rPr>
          <w:iCs w:val="0"/>
          <w:sz w:val="20"/>
          <w:szCs w:val="20"/>
          <w:lang w:eastAsia="fr-FR"/>
        </w:rPr>
        <w:t>p.32)</w:t>
      </w:r>
    </w:p>
    <w:p w:rsidR="006D5AF5" w:rsidRDefault="006D5AF5" w:rsidP="006A4EED">
      <w:pPr>
        <w:spacing w:after="0" w:line="360" w:lineRule="auto"/>
        <w:jc w:val="both"/>
        <w:rPr>
          <w:rFonts w:ascii="Times New Roman" w:eastAsia="Times New Roman" w:hAnsi="Times New Roman"/>
          <w:sz w:val="24"/>
          <w:szCs w:val="24"/>
          <w:lang w:eastAsia="fr-FR"/>
        </w:rPr>
      </w:pPr>
    </w:p>
    <w:p w:rsidR="006A4EED" w:rsidRPr="003B00C8" w:rsidRDefault="004B50FA" w:rsidP="004B50FA">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À</w:t>
      </w:r>
      <w:r w:rsidR="006A4EED" w:rsidRPr="003B00C8">
        <w:rPr>
          <w:rFonts w:ascii="Times New Roman" w:eastAsia="Times New Roman" w:hAnsi="Times New Roman"/>
          <w:sz w:val="24"/>
          <w:szCs w:val="24"/>
          <w:lang w:eastAsia="fr-FR"/>
        </w:rPr>
        <w:t xml:space="preserve"> Béni-Dahane, l’hospitalité se fait de plus en plus rare. Les hommes pour </w:t>
      </w:r>
      <w:r w:rsidR="00FA56B6" w:rsidRPr="003B00C8">
        <w:rPr>
          <w:rFonts w:ascii="Times New Roman" w:eastAsia="Times New Roman" w:hAnsi="Times New Roman"/>
          <w:sz w:val="24"/>
          <w:szCs w:val="24"/>
          <w:lang w:eastAsia="fr-FR"/>
        </w:rPr>
        <w:t>démentir</w:t>
      </w:r>
      <w:r w:rsidR="006A4EED" w:rsidRPr="003B00C8">
        <w:rPr>
          <w:rFonts w:ascii="Times New Roman" w:eastAsia="Times New Roman" w:hAnsi="Times New Roman"/>
          <w:sz w:val="24"/>
          <w:szCs w:val="24"/>
          <w:lang w:eastAsia="fr-FR"/>
        </w:rPr>
        <w:t xml:space="preserve"> seraient prêts à vendre même leur droit d’ainesse. La misère y est si aigue au point où même les élus succombent peu à peu à la tentation. Si tant est que « ventre affamé </w:t>
      </w:r>
      <w:proofErr w:type="gramStart"/>
      <w:r w:rsidR="006A4EED" w:rsidRPr="003B00C8">
        <w:rPr>
          <w:rFonts w:ascii="Times New Roman" w:eastAsia="Times New Roman" w:hAnsi="Times New Roman"/>
          <w:sz w:val="24"/>
          <w:szCs w:val="24"/>
          <w:lang w:eastAsia="fr-FR"/>
        </w:rPr>
        <w:t>n’a</w:t>
      </w:r>
      <w:proofErr w:type="gramEnd"/>
      <w:r w:rsidR="006A4EED" w:rsidRPr="003B00C8">
        <w:rPr>
          <w:rFonts w:ascii="Times New Roman" w:eastAsia="Times New Roman" w:hAnsi="Times New Roman"/>
          <w:sz w:val="24"/>
          <w:szCs w:val="24"/>
          <w:lang w:eastAsia="fr-FR"/>
        </w:rPr>
        <w:t xml:space="preserve"> point d’oreilles », dans cette contrée la famine </w:t>
      </w:r>
      <w:r w:rsidR="00FA56B6" w:rsidRPr="003B00C8">
        <w:rPr>
          <w:rFonts w:ascii="Times New Roman" w:eastAsia="Times New Roman" w:hAnsi="Times New Roman"/>
          <w:sz w:val="24"/>
          <w:szCs w:val="24"/>
          <w:lang w:eastAsia="fr-FR"/>
        </w:rPr>
        <w:t>empêchait</w:t>
      </w:r>
      <w:r w:rsidR="006A4EED" w:rsidRPr="003B00C8">
        <w:rPr>
          <w:rFonts w:ascii="Times New Roman" w:eastAsia="Times New Roman" w:hAnsi="Times New Roman"/>
          <w:sz w:val="24"/>
          <w:szCs w:val="24"/>
          <w:lang w:eastAsia="fr-FR"/>
        </w:rPr>
        <w:t xml:space="preserve"> l’esprit de percevoir qu’au milieu d’eux se trouvaient les envoyés du Dieu </w:t>
      </w:r>
      <w:r w:rsidR="00FA56B6" w:rsidRPr="003B00C8">
        <w:rPr>
          <w:rFonts w:ascii="Times New Roman" w:eastAsia="Times New Roman" w:hAnsi="Times New Roman"/>
          <w:sz w:val="24"/>
          <w:szCs w:val="24"/>
          <w:lang w:eastAsia="fr-FR"/>
        </w:rPr>
        <w:t>C</w:t>
      </w:r>
      <w:r w:rsidR="006A4EED" w:rsidRPr="003B00C8">
        <w:rPr>
          <w:rFonts w:ascii="Times New Roman" w:eastAsia="Times New Roman" w:hAnsi="Times New Roman"/>
          <w:sz w:val="24"/>
          <w:szCs w:val="24"/>
          <w:lang w:eastAsia="fr-FR"/>
        </w:rPr>
        <w:t xml:space="preserve">réateur du ciel et de la terre. </w:t>
      </w:r>
    </w:p>
    <w:p w:rsidR="006A4EED" w:rsidRPr="003B00C8" w:rsidRDefault="006A4EED" w:rsidP="004B50FA">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L’expression « Dieu y pourvoira », justifie la construction proleptique que prend ici en charge le futur de l’indicatif à valeur prospective. Même si le prétendu serviteur de Dieu sur la terre, le dit avec beaucoup d’ironie nous dirions même mordante, il reste que plus loin dans le récit Dieu pourvoira pour ses trois marabouts vertueux : un gite et un couvert.</w:t>
      </w:r>
    </w:p>
    <w:p w:rsidR="006A4EED" w:rsidRPr="003B00C8" w:rsidRDefault="006A4EED" w:rsidP="004B50FA">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Ce qui est annoncé dans les pages 32 à 33 sous forme de prophétie ironisante par le Servant, trouve son accomplissement dans les pages 40 à 50 :</w:t>
      </w:r>
    </w:p>
    <w:p w:rsidR="006A4EED" w:rsidRPr="003B00C8" w:rsidRDefault="006A4EED" w:rsidP="006A4EED">
      <w:pPr>
        <w:spacing w:after="0" w:line="360" w:lineRule="auto"/>
        <w:jc w:val="both"/>
        <w:rPr>
          <w:rFonts w:ascii="Times New Roman" w:eastAsia="Times New Roman" w:hAnsi="Times New Roman"/>
          <w:sz w:val="24"/>
          <w:szCs w:val="24"/>
          <w:lang w:eastAsia="fr-FR"/>
        </w:rPr>
      </w:pPr>
    </w:p>
    <w:p w:rsidR="006A4EED" w:rsidRPr="004B50FA" w:rsidRDefault="006A4EED" w:rsidP="00340F74">
      <w:pPr>
        <w:pStyle w:val="Citationintense"/>
        <w:spacing w:before="0" w:after="0"/>
        <w:ind w:left="567" w:right="0"/>
        <w:rPr>
          <w:iCs w:val="0"/>
          <w:sz w:val="20"/>
          <w:szCs w:val="20"/>
          <w:lang w:eastAsia="fr-FR"/>
        </w:rPr>
      </w:pPr>
      <w:r w:rsidRPr="004B50FA">
        <w:rPr>
          <w:b/>
          <w:iCs w:val="0"/>
          <w:sz w:val="20"/>
          <w:szCs w:val="20"/>
          <w:lang w:eastAsia="fr-FR"/>
        </w:rPr>
        <w:t xml:space="preserve">SIDI-BOUMÉDIÈNE- </w:t>
      </w:r>
      <w:r w:rsidRPr="004B50FA">
        <w:rPr>
          <w:iCs w:val="0"/>
          <w:sz w:val="20"/>
          <w:szCs w:val="20"/>
          <w:lang w:eastAsia="fr-FR"/>
        </w:rPr>
        <w:t>S’il y a dans cette maison un homme de bien ou une</w:t>
      </w:r>
      <w:r w:rsidR="00340F74">
        <w:rPr>
          <w:iCs w:val="0"/>
          <w:sz w:val="20"/>
          <w:szCs w:val="20"/>
          <w:lang w:eastAsia="fr-FR"/>
        </w:rPr>
        <w:t xml:space="preserve"> </w:t>
      </w:r>
      <w:r w:rsidRPr="004B50FA">
        <w:rPr>
          <w:iCs w:val="0"/>
          <w:sz w:val="20"/>
          <w:szCs w:val="20"/>
          <w:lang w:eastAsia="fr-FR"/>
        </w:rPr>
        <w:t>femme de bien, sachez que les marabouts viennent à vous pour vous demander l’hospitalité au nom de Dieu !</w:t>
      </w:r>
    </w:p>
    <w:p w:rsidR="006A4EED" w:rsidRPr="004B50FA" w:rsidRDefault="006A4EED" w:rsidP="004B50FA">
      <w:pPr>
        <w:pStyle w:val="Citationintense"/>
        <w:spacing w:before="0" w:after="0"/>
        <w:ind w:left="567" w:right="0"/>
        <w:rPr>
          <w:iCs w:val="0"/>
          <w:sz w:val="20"/>
          <w:szCs w:val="20"/>
          <w:lang w:eastAsia="fr-FR"/>
        </w:rPr>
      </w:pPr>
      <w:r w:rsidRPr="004B50FA">
        <w:rPr>
          <w:b/>
          <w:iCs w:val="0"/>
          <w:sz w:val="20"/>
          <w:szCs w:val="20"/>
          <w:lang w:eastAsia="fr-FR"/>
        </w:rPr>
        <w:t xml:space="preserve">HALIMA- </w:t>
      </w:r>
      <w:r w:rsidRPr="004B50FA">
        <w:rPr>
          <w:iCs w:val="0"/>
          <w:sz w:val="20"/>
          <w:szCs w:val="20"/>
          <w:lang w:eastAsia="fr-FR"/>
        </w:rPr>
        <w:t xml:space="preserve">Dans cette maison habite une femme aveugle, seule avec sa chèvre, et elle répond Bienvenue </w:t>
      </w:r>
      <w:r w:rsidR="00340F74" w:rsidRPr="004B50FA">
        <w:rPr>
          <w:iCs w:val="0"/>
          <w:sz w:val="20"/>
          <w:szCs w:val="20"/>
          <w:lang w:eastAsia="fr-FR"/>
        </w:rPr>
        <w:t>! [</w:t>
      </w:r>
      <w:r w:rsidRPr="004B50FA">
        <w:rPr>
          <w:iCs w:val="0"/>
          <w:sz w:val="20"/>
          <w:szCs w:val="20"/>
          <w:lang w:eastAsia="fr-FR"/>
        </w:rPr>
        <w:t>…]</w:t>
      </w:r>
    </w:p>
    <w:p w:rsidR="006A4EED" w:rsidRPr="004B50FA" w:rsidRDefault="006A4EED" w:rsidP="004B50FA">
      <w:pPr>
        <w:pStyle w:val="Citationintense"/>
        <w:spacing w:before="0" w:after="0"/>
        <w:ind w:left="567" w:right="0"/>
        <w:rPr>
          <w:iCs w:val="0"/>
          <w:sz w:val="20"/>
          <w:szCs w:val="20"/>
          <w:lang w:eastAsia="fr-FR"/>
        </w:rPr>
      </w:pPr>
      <w:r w:rsidRPr="004B50FA">
        <w:rPr>
          <w:b/>
          <w:iCs w:val="0"/>
          <w:sz w:val="20"/>
          <w:szCs w:val="20"/>
          <w:lang w:eastAsia="fr-FR"/>
        </w:rPr>
        <w:t xml:space="preserve">SLIMANE- </w:t>
      </w:r>
      <w:r w:rsidRPr="004B50FA">
        <w:rPr>
          <w:iCs w:val="0"/>
          <w:sz w:val="20"/>
          <w:szCs w:val="20"/>
          <w:lang w:eastAsia="fr-FR"/>
        </w:rPr>
        <w:t>Elle a dit Bienvenue ; alors, entrez et laissez-moi aller vendre mon eau…</w:t>
      </w:r>
    </w:p>
    <w:p w:rsidR="006A4EED" w:rsidRPr="004B50FA" w:rsidRDefault="006A4EED" w:rsidP="004B50FA">
      <w:pPr>
        <w:pStyle w:val="Citationintense"/>
        <w:spacing w:before="0" w:after="0"/>
        <w:ind w:left="567" w:right="0"/>
        <w:rPr>
          <w:iCs w:val="0"/>
          <w:sz w:val="20"/>
          <w:szCs w:val="20"/>
          <w:lang w:eastAsia="fr-FR"/>
        </w:rPr>
      </w:pPr>
      <w:r w:rsidRPr="004B50FA">
        <w:rPr>
          <w:b/>
          <w:iCs w:val="0"/>
          <w:sz w:val="20"/>
          <w:szCs w:val="20"/>
          <w:lang w:eastAsia="fr-FR"/>
        </w:rPr>
        <w:t xml:space="preserve">SIDI-ABDERRAHMANE- </w:t>
      </w:r>
      <w:proofErr w:type="gramStart"/>
      <w:r w:rsidRPr="004B50FA">
        <w:rPr>
          <w:iCs w:val="0"/>
          <w:sz w:val="20"/>
          <w:szCs w:val="20"/>
          <w:lang w:eastAsia="fr-FR"/>
        </w:rPr>
        <w:t>Entrons</w:t>
      </w:r>
      <w:proofErr w:type="gramEnd"/>
      <w:r w:rsidRPr="004B50FA">
        <w:rPr>
          <w:iCs w:val="0"/>
          <w:sz w:val="20"/>
          <w:szCs w:val="20"/>
          <w:lang w:eastAsia="fr-FR"/>
        </w:rPr>
        <w:t xml:space="preserve"> !</w:t>
      </w:r>
    </w:p>
    <w:p w:rsidR="006A4EED" w:rsidRPr="004B50FA" w:rsidRDefault="006A4EED" w:rsidP="004B50FA">
      <w:pPr>
        <w:pStyle w:val="Citationintense"/>
        <w:spacing w:before="0" w:after="0"/>
        <w:ind w:left="567" w:right="0"/>
        <w:rPr>
          <w:iCs w:val="0"/>
          <w:sz w:val="20"/>
          <w:szCs w:val="20"/>
          <w:lang w:eastAsia="fr-FR"/>
        </w:rPr>
      </w:pPr>
      <w:r w:rsidRPr="004B50FA">
        <w:rPr>
          <w:b/>
          <w:iCs w:val="0"/>
          <w:sz w:val="20"/>
          <w:szCs w:val="20"/>
          <w:lang w:eastAsia="fr-FR"/>
        </w:rPr>
        <w:t xml:space="preserve">HALIMA- </w:t>
      </w:r>
      <w:r w:rsidRPr="004B50FA">
        <w:rPr>
          <w:iCs w:val="0"/>
          <w:sz w:val="20"/>
          <w:szCs w:val="20"/>
          <w:lang w:eastAsia="fr-FR"/>
        </w:rPr>
        <w:t>Allons mes seigneurs ! Ma maison est la vôtre ! Mon gîte est le vôtre ! Mon couvert est le vôtre !</w:t>
      </w:r>
    </w:p>
    <w:p w:rsidR="006A4EED" w:rsidRPr="004B50FA" w:rsidRDefault="006A4EED" w:rsidP="004B50FA">
      <w:pPr>
        <w:pStyle w:val="Citationintense"/>
        <w:spacing w:before="0" w:after="0"/>
        <w:ind w:left="567" w:right="0"/>
        <w:rPr>
          <w:iCs w:val="0"/>
          <w:sz w:val="20"/>
          <w:szCs w:val="20"/>
          <w:lang w:eastAsia="fr-FR"/>
        </w:rPr>
      </w:pPr>
      <w:r w:rsidRPr="004B50FA">
        <w:rPr>
          <w:b/>
          <w:iCs w:val="0"/>
          <w:sz w:val="20"/>
          <w:szCs w:val="20"/>
          <w:lang w:eastAsia="fr-FR"/>
        </w:rPr>
        <w:t xml:space="preserve">SIDI-ABDELKADER- </w:t>
      </w:r>
      <w:r w:rsidRPr="004B50FA">
        <w:rPr>
          <w:iCs w:val="0"/>
          <w:sz w:val="20"/>
          <w:szCs w:val="20"/>
          <w:lang w:eastAsia="fr-FR"/>
        </w:rPr>
        <w:t xml:space="preserve">Femme ! </w:t>
      </w:r>
      <w:proofErr w:type="gramStart"/>
      <w:r w:rsidRPr="004B50FA">
        <w:rPr>
          <w:iCs w:val="0"/>
          <w:sz w:val="20"/>
          <w:szCs w:val="20"/>
          <w:lang w:eastAsia="fr-FR"/>
        </w:rPr>
        <w:t>nous</w:t>
      </w:r>
      <w:proofErr w:type="gramEnd"/>
      <w:r w:rsidRPr="004B50FA">
        <w:rPr>
          <w:iCs w:val="0"/>
          <w:sz w:val="20"/>
          <w:szCs w:val="20"/>
          <w:lang w:eastAsia="fr-FR"/>
        </w:rPr>
        <w:t xml:space="preserve"> avons demandé l’hospitalité au nom de Dieu.</w:t>
      </w:r>
    </w:p>
    <w:p w:rsidR="006A4EED" w:rsidRPr="004B50FA" w:rsidRDefault="006A4EED" w:rsidP="004B50FA">
      <w:pPr>
        <w:pStyle w:val="Citationintense"/>
        <w:spacing w:before="0" w:after="0"/>
        <w:ind w:left="567" w:right="0"/>
        <w:rPr>
          <w:sz w:val="20"/>
          <w:szCs w:val="20"/>
          <w:lang w:eastAsia="fr-FR"/>
        </w:rPr>
      </w:pPr>
      <w:r w:rsidRPr="004B50FA">
        <w:rPr>
          <w:b/>
          <w:iCs w:val="0"/>
          <w:sz w:val="20"/>
          <w:szCs w:val="20"/>
          <w:lang w:eastAsia="fr-FR"/>
        </w:rPr>
        <w:t xml:space="preserve">HALIMA- </w:t>
      </w:r>
      <w:r w:rsidRPr="004B50FA">
        <w:rPr>
          <w:iCs w:val="0"/>
          <w:sz w:val="20"/>
          <w:szCs w:val="20"/>
          <w:lang w:eastAsia="fr-FR"/>
        </w:rPr>
        <w:t>Et moi je vous ai dit Bienvenue</w:t>
      </w:r>
      <w:r w:rsidRPr="004B50FA">
        <w:rPr>
          <w:sz w:val="20"/>
          <w:szCs w:val="20"/>
          <w:lang w:eastAsia="fr-FR"/>
        </w:rPr>
        <w:t xml:space="preserve"> !</w:t>
      </w:r>
      <w:r w:rsidR="006D5AF5" w:rsidRPr="004B50FA">
        <w:rPr>
          <w:iCs w:val="0"/>
          <w:sz w:val="20"/>
          <w:szCs w:val="20"/>
          <w:lang w:eastAsia="fr-FR"/>
        </w:rPr>
        <w:t xml:space="preserve"> (</w:t>
      </w:r>
      <w:r w:rsidR="004B50FA">
        <w:rPr>
          <w:i/>
          <w:sz w:val="20"/>
          <w:szCs w:val="20"/>
          <w:lang w:eastAsia="fr-FR"/>
        </w:rPr>
        <w:t xml:space="preserve">Ibid, </w:t>
      </w:r>
      <w:r w:rsidR="006D5AF5" w:rsidRPr="004B50FA">
        <w:rPr>
          <w:iCs w:val="0"/>
          <w:sz w:val="20"/>
          <w:szCs w:val="20"/>
          <w:lang w:eastAsia="fr-FR"/>
        </w:rPr>
        <w:t>p.40-41)</w:t>
      </w:r>
    </w:p>
    <w:p w:rsidR="006D5AF5" w:rsidRDefault="006D5AF5" w:rsidP="00FA56B6">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3B00C8" w:rsidRDefault="006A4EED" w:rsidP="002C34B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Dieu a donc véritablement pourvu au gite et au couvert pour les trois marabouts vertueux selon que l’avait annoncé le Servant. Halima aveugle des yeux et voyante de cœur grâce aux yeux de l’esprit que lui a donnés Dieu, se présente ici comme le bélier que Dieu avait pourvu à son serviteur Abraham afin qu’il ne fasse </w:t>
      </w:r>
      <w:r w:rsidR="00FA56B6">
        <w:rPr>
          <w:rFonts w:ascii="Times New Roman" w:eastAsia="Times New Roman" w:hAnsi="Times New Roman"/>
          <w:sz w:val="24"/>
          <w:szCs w:val="24"/>
          <w:lang w:eastAsia="fr-FR"/>
        </w:rPr>
        <w:t xml:space="preserve">point </w:t>
      </w:r>
      <w:r w:rsidRPr="003B00C8">
        <w:rPr>
          <w:rFonts w:ascii="Times New Roman" w:eastAsia="Times New Roman" w:hAnsi="Times New Roman"/>
          <w:sz w:val="24"/>
          <w:szCs w:val="24"/>
          <w:lang w:eastAsia="fr-FR"/>
        </w:rPr>
        <w:t>de mal à son unique fils Is</w:t>
      </w:r>
      <w:r w:rsidR="00FA56B6">
        <w:rPr>
          <w:rFonts w:ascii="Times New Roman" w:eastAsia="Times New Roman" w:hAnsi="Times New Roman"/>
          <w:sz w:val="24"/>
          <w:szCs w:val="24"/>
          <w:lang w:eastAsia="fr-FR"/>
        </w:rPr>
        <w:t>mail</w:t>
      </w:r>
      <w:r w:rsidRPr="003B00C8">
        <w:rPr>
          <w:rFonts w:ascii="Times New Roman" w:eastAsia="Times New Roman" w:hAnsi="Times New Roman"/>
          <w:sz w:val="24"/>
          <w:szCs w:val="24"/>
          <w:lang w:eastAsia="fr-FR"/>
        </w:rPr>
        <w:t>.</w:t>
      </w:r>
    </w:p>
    <w:p w:rsidR="006A4EED" w:rsidRDefault="006A4EED" w:rsidP="002C34B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Chez le dramaturge</w:t>
      </w:r>
      <w:r w:rsidRPr="003B00C8">
        <w:rPr>
          <w:rFonts w:ascii="Times New Roman" w:eastAsia="Times New Roman" w:hAnsi="Times New Roman"/>
          <w:lang w:eastAsia="fr-FR"/>
        </w:rPr>
        <w:t xml:space="preserve"> </w:t>
      </w:r>
      <w:r w:rsidRPr="003B00C8">
        <w:rPr>
          <w:rFonts w:ascii="Times New Roman" w:eastAsia="Times New Roman" w:hAnsi="Times New Roman"/>
          <w:sz w:val="24"/>
          <w:szCs w:val="24"/>
          <w:lang w:eastAsia="fr-FR"/>
        </w:rPr>
        <w:t>Kaki, la prolepse a valeur de prophétie parce que rattachée à l’hospitalité ou à l’avarice envers les trois marabouts vertueux. Tout se paye avec Dieu.</w:t>
      </w:r>
      <w:r w:rsidR="002C34BC">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L’eau à boire que Slimane, le porteur et vendeur d’eau donne aux trois mystérieux visiteurs lui sera imputée dans la suite du récit :</w:t>
      </w:r>
    </w:p>
    <w:p w:rsidR="006A4EED" w:rsidRPr="002C34BC" w:rsidRDefault="006A4EED" w:rsidP="002C34BC">
      <w:pPr>
        <w:pStyle w:val="Citationintense"/>
        <w:spacing w:before="0" w:after="0"/>
        <w:ind w:left="567" w:right="0"/>
        <w:rPr>
          <w:iCs w:val="0"/>
          <w:sz w:val="20"/>
          <w:szCs w:val="20"/>
          <w:lang w:eastAsia="fr-FR"/>
        </w:rPr>
      </w:pPr>
      <w:r w:rsidRPr="002C34BC">
        <w:rPr>
          <w:b/>
          <w:iCs w:val="0"/>
          <w:sz w:val="20"/>
          <w:szCs w:val="20"/>
          <w:lang w:eastAsia="fr-FR"/>
        </w:rPr>
        <w:lastRenderedPageBreak/>
        <w:t xml:space="preserve">SIDI-BOUMÉDIÈNE- </w:t>
      </w:r>
      <w:r w:rsidRPr="002C34BC">
        <w:rPr>
          <w:iCs w:val="0"/>
          <w:sz w:val="20"/>
          <w:szCs w:val="20"/>
          <w:lang w:eastAsia="fr-FR"/>
        </w:rPr>
        <w:t>Nous avons étanché notre soif et bu à satiété ! Que Dieu étanche ta soif !</w:t>
      </w:r>
    </w:p>
    <w:p w:rsidR="006A4EED" w:rsidRPr="002C34BC" w:rsidRDefault="006A4EED" w:rsidP="002C34BC">
      <w:pPr>
        <w:pStyle w:val="Citationintense"/>
        <w:spacing w:before="0" w:after="0"/>
        <w:ind w:left="567" w:right="0"/>
        <w:rPr>
          <w:iCs w:val="0"/>
          <w:sz w:val="20"/>
          <w:szCs w:val="20"/>
          <w:lang w:eastAsia="fr-FR"/>
        </w:rPr>
      </w:pPr>
      <w:r w:rsidRPr="002C34BC">
        <w:rPr>
          <w:b/>
          <w:iCs w:val="0"/>
          <w:sz w:val="20"/>
          <w:szCs w:val="20"/>
          <w:lang w:eastAsia="fr-FR"/>
        </w:rPr>
        <w:t xml:space="preserve">SIDI-ABDERRAHMANE- </w:t>
      </w:r>
      <w:r w:rsidRPr="002C34BC">
        <w:rPr>
          <w:iCs w:val="0"/>
          <w:sz w:val="20"/>
          <w:szCs w:val="20"/>
          <w:lang w:eastAsia="fr-FR"/>
        </w:rPr>
        <w:t>Nous nous sommes désaltérés et la soif a été étanchée ! Que Dieu exauce tes vœux !</w:t>
      </w:r>
    </w:p>
    <w:p w:rsidR="006A4EED" w:rsidRPr="002C34BC" w:rsidRDefault="006A4EED" w:rsidP="002C34BC">
      <w:pPr>
        <w:pStyle w:val="Citationintense"/>
        <w:spacing w:before="0" w:after="0"/>
        <w:ind w:left="567" w:right="0"/>
        <w:rPr>
          <w:sz w:val="20"/>
          <w:szCs w:val="20"/>
          <w:lang w:eastAsia="fr-FR"/>
        </w:rPr>
      </w:pPr>
      <w:r w:rsidRPr="002C34BC">
        <w:rPr>
          <w:b/>
          <w:iCs w:val="0"/>
          <w:sz w:val="20"/>
          <w:szCs w:val="20"/>
          <w:lang w:eastAsia="fr-FR"/>
        </w:rPr>
        <w:t xml:space="preserve">SIDI-ABDELKADER- </w:t>
      </w:r>
      <w:r w:rsidRPr="002C34BC">
        <w:rPr>
          <w:iCs w:val="0"/>
          <w:sz w:val="20"/>
          <w:szCs w:val="20"/>
          <w:lang w:eastAsia="fr-FR"/>
        </w:rPr>
        <w:t>Nous nous sommes désaltérés et avons étanché notre soif ! Que Dieu prenne tes géniteurs en miséricorde</w:t>
      </w:r>
      <w:r w:rsidRPr="002C34BC">
        <w:rPr>
          <w:sz w:val="20"/>
          <w:szCs w:val="20"/>
          <w:lang w:eastAsia="fr-FR"/>
        </w:rPr>
        <w:t xml:space="preserve"> !</w:t>
      </w:r>
      <w:r w:rsidR="006D5AF5" w:rsidRPr="002C34BC">
        <w:rPr>
          <w:iCs w:val="0"/>
          <w:sz w:val="20"/>
          <w:szCs w:val="20"/>
          <w:lang w:eastAsia="fr-FR"/>
        </w:rPr>
        <w:t xml:space="preserve"> (</w:t>
      </w:r>
      <w:r w:rsidR="002C34BC" w:rsidRPr="00340F74">
        <w:rPr>
          <w:i/>
          <w:sz w:val="20"/>
          <w:szCs w:val="20"/>
          <w:lang w:eastAsia="fr-FR"/>
        </w:rPr>
        <w:t>Ibid</w:t>
      </w:r>
      <w:r w:rsidR="002C34BC">
        <w:rPr>
          <w:iCs w:val="0"/>
          <w:sz w:val="20"/>
          <w:szCs w:val="20"/>
          <w:lang w:eastAsia="fr-FR"/>
        </w:rPr>
        <w:t xml:space="preserve">, </w:t>
      </w:r>
      <w:r w:rsidR="006D5AF5" w:rsidRPr="002C34BC">
        <w:rPr>
          <w:iCs w:val="0"/>
          <w:sz w:val="20"/>
          <w:szCs w:val="20"/>
          <w:lang w:eastAsia="fr-FR"/>
        </w:rPr>
        <w:t>p.23)</w:t>
      </w:r>
    </w:p>
    <w:p w:rsidR="006A4EED" w:rsidRPr="003B00C8" w:rsidRDefault="006A4EED" w:rsidP="006A4EED">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3B00C8" w:rsidRDefault="006A4EED" w:rsidP="002C34B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 C’est de l’hospitalité d’Halima que la contrée frappée de misère en sera délivrée et qu’elle recouvrira la vue. Tout se passe dans cette pièce de théâtre à la manière des trois anges, d’Abraham, de Sara et de Lot. Il </w:t>
      </w:r>
      <w:r w:rsidR="00FF0B64" w:rsidRPr="003B00C8">
        <w:rPr>
          <w:rFonts w:ascii="Times New Roman" w:eastAsia="Times New Roman" w:hAnsi="Times New Roman"/>
          <w:sz w:val="24"/>
          <w:szCs w:val="24"/>
          <w:lang w:eastAsia="fr-FR"/>
        </w:rPr>
        <w:t>app</w:t>
      </w:r>
      <w:r w:rsidR="00FF0B64">
        <w:rPr>
          <w:rFonts w:ascii="Times New Roman" w:eastAsia="Times New Roman" w:hAnsi="Times New Roman"/>
          <w:sz w:val="24"/>
          <w:szCs w:val="24"/>
          <w:lang w:eastAsia="fr-FR"/>
        </w:rPr>
        <w:t>arait</w:t>
      </w:r>
      <w:r w:rsidRPr="003B00C8">
        <w:rPr>
          <w:rFonts w:ascii="Times New Roman" w:eastAsia="Times New Roman" w:hAnsi="Times New Roman"/>
          <w:sz w:val="24"/>
          <w:szCs w:val="24"/>
          <w:lang w:eastAsia="fr-FR"/>
        </w:rPr>
        <w:t xml:space="preserve"> que celui qui donne un verre d’eau à un prophète a la même récompense que ce prophète. </w:t>
      </w:r>
    </w:p>
    <w:p w:rsidR="006A4EED" w:rsidRPr="003B00C8" w:rsidRDefault="006A4EED" w:rsidP="002C34B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Ces prolepses ont une fonction d'</w:t>
      </w:r>
      <w:r w:rsidRPr="00FF0B64">
        <w:rPr>
          <w:rFonts w:ascii="Times New Roman" w:eastAsia="Times New Roman" w:hAnsi="Times New Roman"/>
          <w:sz w:val="24"/>
          <w:szCs w:val="24"/>
          <w:lang w:eastAsia="fr-FR"/>
        </w:rPr>
        <w:t>annonce</w:t>
      </w:r>
      <w:r w:rsidRPr="003B00C8">
        <w:rPr>
          <w:rFonts w:ascii="Times New Roman" w:eastAsia="Times New Roman" w:hAnsi="Times New Roman"/>
          <w:sz w:val="24"/>
          <w:szCs w:val="24"/>
          <w:lang w:eastAsia="fr-FR"/>
        </w:rPr>
        <w:t xml:space="preserve">; elles concourent à établir la cohérence à long terme du récit. De façon plus générale, en disant maintenant (dans R) ce qui adviendra plus tard (dans H), la prolepse fait peser sur le récit un certain poids destinal. Comme dans la tragédie, l'intérêt du lecteur se déplace: la fin (misérable) de l'histoire lui étant connue, ce n'est plus le désir simple de savoir la suite qui le meut, mais une curiosité plus complexe, et sans doute plus mélancolique: celle de connaître les rouages inflexibles d'une intrigue de prédestination. </w:t>
      </w:r>
    </w:p>
    <w:p w:rsidR="006A4EED" w:rsidRPr="003B00C8" w:rsidRDefault="006A4EED" w:rsidP="008E587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De ce fait, il ressort que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le sort du personnage se scelle à certains moments par le narrateur. Une telle capacité de prédire l’avenir des personnages confirme cette analyse qu’Elisabeth Lagadec Sadoulet fait des prolepses : </w:t>
      </w:r>
      <w:r w:rsidRPr="008E587B">
        <w:rPr>
          <w:rFonts w:ascii="Times New Roman" w:eastAsia="Times New Roman" w:hAnsi="Times New Roman"/>
          <w:bCs/>
          <w:iCs/>
          <w:sz w:val="24"/>
          <w:szCs w:val="24"/>
          <w:lang w:eastAsia="fr-FR"/>
        </w:rPr>
        <w:t>« Elles scellent le destin tragique du personnage enfermé dans une fatalité inéluctable »</w:t>
      </w:r>
      <w:r w:rsidRPr="008E587B">
        <w:rPr>
          <w:rFonts w:ascii="Times New Roman" w:eastAsia="Times New Roman" w:hAnsi="Times New Roman"/>
          <w:bCs/>
          <w:iCs/>
          <w:sz w:val="24"/>
          <w:szCs w:val="24"/>
          <w:vertAlign w:val="superscript"/>
          <w:lang w:eastAsia="fr-FR"/>
        </w:rPr>
        <w:footnoteReference w:id="150"/>
      </w:r>
      <w:r w:rsidR="008E587B">
        <w:rPr>
          <w:rFonts w:ascii="Times New Roman" w:eastAsia="Times New Roman" w:hAnsi="Times New Roman"/>
          <w:bCs/>
          <w:iCs/>
          <w:sz w:val="24"/>
          <w:szCs w:val="24"/>
          <w:lang w:eastAsia="fr-FR"/>
        </w:rPr>
        <w:t xml:space="preserve">. </w:t>
      </w:r>
      <w:r w:rsidRPr="003B00C8">
        <w:rPr>
          <w:rFonts w:ascii="Times New Roman" w:eastAsia="Times New Roman" w:hAnsi="Times New Roman"/>
          <w:bCs/>
          <w:iCs/>
          <w:sz w:val="24"/>
          <w:szCs w:val="24"/>
          <w:lang w:eastAsia="fr-FR"/>
        </w:rPr>
        <w:t xml:space="preserve">Bien plus, la pièce théâtrale de </w:t>
      </w:r>
      <w:proofErr w:type="gramStart"/>
      <w:r w:rsidRPr="003B00C8">
        <w:rPr>
          <w:rFonts w:ascii="Times New Roman" w:eastAsia="Times New Roman" w:hAnsi="Times New Roman"/>
          <w:sz w:val="24"/>
          <w:szCs w:val="24"/>
          <w:lang w:eastAsia="fr-FR"/>
        </w:rPr>
        <w:t>Kaki fourmille</w:t>
      </w:r>
      <w:proofErr w:type="gramEnd"/>
      <w:r w:rsidRPr="003B00C8">
        <w:rPr>
          <w:rFonts w:ascii="Times New Roman" w:eastAsia="Times New Roman" w:hAnsi="Times New Roman"/>
          <w:sz w:val="24"/>
          <w:szCs w:val="24"/>
          <w:lang w:eastAsia="fr-FR"/>
        </w:rPr>
        <w:t xml:space="preserve"> de pauses et d’ellipses temporelles.</w:t>
      </w:r>
    </w:p>
    <w:p w:rsidR="008E587B" w:rsidRDefault="008E587B" w:rsidP="008E587B">
      <w:pPr>
        <w:pStyle w:val="Titre5"/>
        <w:spacing w:before="0" w:after="0"/>
        <w:ind w:left="641" w:hanging="357"/>
        <w:jc w:val="both"/>
        <w:rPr>
          <w:rFonts w:ascii="Times New Roman" w:hAnsi="Times New Roman"/>
          <w:color w:val="auto"/>
          <w:lang w:eastAsia="fr-FR"/>
        </w:rPr>
      </w:pPr>
    </w:p>
    <w:p w:rsidR="006A4EED" w:rsidRPr="008E587B" w:rsidRDefault="008E587B" w:rsidP="008E587B">
      <w:pPr>
        <w:pStyle w:val="Titre5"/>
        <w:spacing w:before="0" w:after="0"/>
        <w:ind w:left="641" w:hanging="357"/>
        <w:jc w:val="both"/>
        <w:rPr>
          <w:rFonts w:ascii="Times New Roman" w:hAnsi="Times New Roman"/>
          <w:color w:val="auto"/>
          <w:lang w:eastAsia="fr-FR"/>
        </w:rPr>
      </w:pPr>
      <w:bookmarkStart w:id="84" w:name="_Toc471484455"/>
      <w:r w:rsidRPr="008E587B">
        <w:rPr>
          <w:rFonts w:ascii="Times New Roman" w:hAnsi="Times New Roman"/>
          <w:color w:val="auto"/>
          <w:lang w:eastAsia="fr-FR"/>
        </w:rPr>
        <w:t>1.2.2. Pauses</w:t>
      </w:r>
      <w:r w:rsidR="006A4EED" w:rsidRPr="008E587B">
        <w:rPr>
          <w:rFonts w:ascii="Times New Roman" w:hAnsi="Times New Roman"/>
          <w:color w:val="auto"/>
          <w:lang w:eastAsia="fr-FR"/>
        </w:rPr>
        <w:t xml:space="preserve"> et ellipses temporelles</w:t>
      </w:r>
      <w:bookmarkEnd w:id="84"/>
    </w:p>
    <w:p w:rsidR="00FF0B64" w:rsidRPr="008E587B" w:rsidRDefault="006A4EED" w:rsidP="008E587B">
      <w:pPr>
        <w:spacing w:after="0" w:line="360" w:lineRule="auto"/>
        <w:ind w:firstLine="284"/>
        <w:jc w:val="both"/>
        <w:rPr>
          <w:rFonts w:ascii="Times New Roman" w:eastAsia="Times New Roman" w:hAnsi="Times New Roman"/>
          <w:sz w:val="24"/>
          <w:szCs w:val="24"/>
          <w:lang w:eastAsia="fr-FR"/>
        </w:rPr>
      </w:pPr>
      <w:r w:rsidRPr="008E587B">
        <w:rPr>
          <w:rFonts w:ascii="Times New Roman" w:eastAsia="Times New Roman" w:hAnsi="Times New Roman"/>
          <w:sz w:val="24"/>
          <w:szCs w:val="24"/>
          <w:lang w:eastAsia="fr-FR"/>
        </w:rPr>
        <w:t xml:space="preserve">Faisons un point sur la pause et l’ellipse. La pause et l'ellipse constituent les deux points extrêmes de l'échelle des vitesses narratives. Il s’agit en fait de paradoxes narratifs : en réalité, ni la pause, ni l'ellipse ne racontent une histoire. Avec la pause, le récit s'enlise, s’arrête et cède la place à la description ou au commentaire. L'ellipse peut être, elle, appréhendée comme une forme radicalisée </w:t>
      </w:r>
      <w:r w:rsidRPr="008E587B">
        <w:rPr>
          <w:rFonts w:ascii="Times New Roman" w:eastAsia="Times New Roman" w:hAnsi="Times New Roman"/>
          <w:sz w:val="24"/>
          <w:szCs w:val="24"/>
          <w:lang w:eastAsia="fr-FR"/>
        </w:rPr>
        <w:lastRenderedPageBreak/>
        <w:t>du sommaire: telle des entr'actes au théâtre, elle permet de sauter du temps inutile ou de souligner, plutôt,  des aspects importants passés sous silence</w:t>
      </w:r>
      <w:r w:rsidRPr="008E587B">
        <w:rPr>
          <w:rStyle w:val="Appelnotedebasdep"/>
          <w:rFonts w:ascii="Times New Roman" w:hAnsi="Times New Roman"/>
          <w:sz w:val="24"/>
          <w:szCs w:val="24"/>
          <w:lang w:eastAsia="fr-FR"/>
        </w:rPr>
        <w:footnoteReference w:id="151"/>
      </w:r>
      <w:r w:rsidRPr="008E587B">
        <w:rPr>
          <w:rFonts w:ascii="Times New Roman" w:eastAsia="Times New Roman" w:hAnsi="Times New Roman"/>
          <w:sz w:val="24"/>
          <w:szCs w:val="24"/>
          <w:lang w:eastAsia="fr-FR"/>
        </w:rPr>
        <w:t xml:space="preserve">. </w:t>
      </w:r>
    </w:p>
    <w:p w:rsidR="00FF0B64" w:rsidRPr="003B00C8" w:rsidRDefault="006A4EED" w:rsidP="008E587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Mais la </w:t>
      </w:r>
      <w:r w:rsidRPr="00FF0B64">
        <w:rPr>
          <w:rFonts w:ascii="Times New Roman" w:eastAsia="Times New Roman" w:hAnsi="Times New Roman"/>
          <w:sz w:val="24"/>
          <w:szCs w:val="24"/>
          <w:lang w:eastAsia="fr-FR"/>
        </w:rPr>
        <w:t xml:space="preserve">pause </w:t>
      </w:r>
      <w:r w:rsidRPr="003B00C8">
        <w:rPr>
          <w:rFonts w:ascii="Times New Roman" w:eastAsia="Times New Roman" w:hAnsi="Times New Roman"/>
          <w:sz w:val="24"/>
          <w:szCs w:val="24"/>
          <w:lang w:eastAsia="fr-FR"/>
        </w:rPr>
        <w:t xml:space="preserve">n’est pas aisée à appliquer. Le lecteur de récits est exigent: il veut qu'on lui raconte une histoire et perçoit comme une infraction tout ce qui s'écarte de cette fonction narrative de base. La preuve: lorsque le lecteur juge les </w:t>
      </w:r>
      <w:r w:rsidRPr="00FF0B64">
        <w:rPr>
          <w:rFonts w:ascii="Times New Roman" w:eastAsia="Times New Roman" w:hAnsi="Times New Roman"/>
          <w:sz w:val="24"/>
          <w:szCs w:val="24"/>
          <w:lang w:eastAsia="fr-FR"/>
        </w:rPr>
        <w:t>pauses descriptives</w:t>
      </w:r>
      <w:r w:rsidRPr="003B00C8">
        <w:rPr>
          <w:rFonts w:ascii="Times New Roman" w:eastAsia="Times New Roman" w:hAnsi="Times New Roman"/>
          <w:sz w:val="24"/>
          <w:szCs w:val="24"/>
          <w:lang w:eastAsia="fr-FR"/>
        </w:rPr>
        <w:t xml:space="preserve"> trop longues, il les saute. La </w:t>
      </w:r>
      <w:r w:rsidRPr="00FF0B64">
        <w:rPr>
          <w:rFonts w:ascii="Times New Roman" w:eastAsia="Times New Roman" w:hAnsi="Times New Roman"/>
          <w:sz w:val="24"/>
          <w:szCs w:val="24"/>
          <w:lang w:eastAsia="fr-FR"/>
        </w:rPr>
        <w:t>pause commentative</w:t>
      </w:r>
      <w:r w:rsidRPr="003B00C8">
        <w:rPr>
          <w:rFonts w:ascii="Times New Roman" w:eastAsia="Times New Roman" w:hAnsi="Times New Roman"/>
          <w:i/>
          <w:iCs/>
          <w:sz w:val="24"/>
          <w:szCs w:val="24"/>
          <w:lang w:eastAsia="fr-FR"/>
        </w:rPr>
        <w:t xml:space="preserve"> </w:t>
      </w:r>
      <w:r w:rsidRPr="003B00C8">
        <w:rPr>
          <w:rFonts w:ascii="Times New Roman" w:eastAsia="Times New Roman" w:hAnsi="Times New Roman"/>
          <w:iCs/>
          <w:sz w:val="24"/>
          <w:szCs w:val="24"/>
          <w:lang w:eastAsia="fr-FR"/>
        </w:rPr>
        <w:t>quant à elle</w:t>
      </w:r>
      <w:r w:rsidRPr="003B00C8">
        <w:rPr>
          <w:rFonts w:ascii="Times New Roman" w:eastAsia="Times New Roman" w:hAnsi="Times New Roman"/>
          <w:i/>
          <w:iCs/>
          <w:sz w:val="24"/>
          <w:szCs w:val="24"/>
          <w:lang w:eastAsia="fr-FR"/>
        </w:rPr>
        <w:t xml:space="preserve">, </w:t>
      </w:r>
      <w:r w:rsidRPr="003B00C8">
        <w:rPr>
          <w:rFonts w:ascii="Times New Roman" w:eastAsia="Times New Roman" w:hAnsi="Times New Roman"/>
          <w:iCs/>
          <w:sz w:val="24"/>
          <w:szCs w:val="24"/>
          <w:lang w:eastAsia="fr-FR"/>
        </w:rPr>
        <w:t>a souvent son importance. Elle</w:t>
      </w:r>
      <w:r w:rsidRPr="003B00C8">
        <w:rPr>
          <w:rFonts w:ascii="Times New Roman" w:eastAsia="Times New Roman" w:hAnsi="Times New Roman"/>
          <w:i/>
          <w:iCs/>
          <w:sz w:val="24"/>
          <w:szCs w:val="24"/>
          <w:lang w:eastAsia="fr-FR"/>
        </w:rPr>
        <w:t xml:space="preserve"> </w:t>
      </w:r>
      <w:r w:rsidRPr="003B00C8">
        <w:rPr>
          <w:rFonts w:ascii="Times New Roman" w:eastAsia="Times New Roman" w:hAnsi="Times New Roman"/>
          <w:sz w:val="24"/>
          <w:szCs w:val="24"/>
          <w:lang w:eastAsia="fr-FR"/>
        </w:rPr>
        <w:t xml:space="preserve">permet au narrateur d'intervenir en personne dans son récit, pour donner son avis, </w:t>
      </w:r>
      <w:r w:rsidR="00FF0B64" w:rsidRPr="003B00C8">
        <w:rPr>
          <w:rFonts w:ascii="Times New Roman" w:eastAsia="Times New Roman" w:hAnsi="Times New Roman"/>
          <w:sz w:val="24"/>
          <w:szCs w:val="24"/>
          <w:lang w:eastAsia="fr-FR"/>
        </w:rPr>
        <w:t>émettre</w:t>
      </w:r>
      <w:r w:rsidRPr="003B00C8">
        <w:rPr>
          <w:rFonts w:ascii="Times New Roman" w:eastAsia="Times New Roman" w:hAnsi="Times New Roman"/>
          <w:sz w:val="24"/>
          <w:szCs w:val="24"/>
          <w:lang w:eastAsia="fr-FR"/>
        </w:rPr>
        <w:t xml:space="preserve"> un jugement sur son personnage, ou encore pour proposer une information sur un élément factuel ou culturel</w:t>
      </w:r>
      <w:r w:rsidR="00FF0B64">
        <w:rPr>
          <w:rFonts w:ascii="Times New Roman" w:eastAsia="Times New Roman" w:hAnsi="Times New Roman"/>
          <w:sz w:val="24"/>
          <w:szCs w:val="24"/>
          <w:lang w:eastAsia="fr-FR"/>
        </w:rPr>
        <w:t>.</w:t>
      </w:r>
    </w:p>
    <w:p w:rsidR="006A4EED" w:rsidRDefault="006A4EED" w:rsidP="008E587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perturbation temporelle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sz w:val="24"/>
          <w:szCs w:val="24"/>
          <w:lang w:eastAsia="fr-FR"/>
        </w:rPr>
        <w:t xml:space="preserve"> se perçoit à travers le phénomène de l’ellipse temporelle. On entend par ellipse temporelle la suppression d’un moment de la vie d’un personnage par le narrateur. A cet effet, Gérard Genette préconise : </w:t>
      </w:r>
      <w:r w:rsidRPr="008E587B">
        <w:rPr>
          <w:rFonts w:ascii="Times New Roman" w:eastAsia="Times New Roman" w:hAnsi="Times New Roman"/>
          <w:sz w:val="24"/>
          <w:szCs w:val="24"/>
          <w:lang w:eastAsia="fr-FR"/>
        </w:rPr>
        <w:t>« du point de vue temporel, l’analyse des ellipses se ramène à la considération du temps d’histoire élidé, et la première question est ici de savoir si cette durée est indiquée (ellipses déterminées) ou non (ellipses indéterminées) »</w:t>
      </w:r>
      <w:r w:rsidRPr="008E587B">
        <w:rPr>
          <w:rFonts w:ascii="Times New Roman" w:eastAsia="Times New Roman" w:hAnsi="Times New Roman"/>
          <w:sz w:val="24"/>
          <w:szCs w:val="24"/>
          <w:vertAlign w:val="superscript"/>
          <w:lang w:eastAsia="fr-FR"/>
        </w:rPr>
        <w:footnoteReference w:id="152"/>
      </w:r>
      <w:r w:rsidR="008E587B">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Cette catégorisation des ellipses permet à Genette de distinguer deux principales ellipses à savoir l’ellipse explicite et l’ellipse implicite.</w:t>
      </w:r>
    </w:p>
    <w:p w:rsidR="00904D42" w:rsidRDefault="00904D42" w:rsidP="008E587B">
      <w:pPr>
        <w:spacing w:after="0" w:line="360" w:lineRule="auto"/>
        <w:ind w:firstLine="284"/>
        <w:jc w:val="both"/>
        <w:rPr>
          <w:rFonts w:ascii="Times New Roman" w:eastAsia="Times New Roman" w:hAnsi="Times New Roman"/>
          <w:sz w:val="24"/>
          <w:szCs w:val="24"/>
          <w:lang w:eastAsia="fr-FR"/>
        </w:rPr>
      </w:pPr>
    </w:p>
    <w:p w:rsidR="006A4EED" w:rsidRPr="00723DA9" w:rsidRDefault="00723DA9" w:rsidP="00723DA9">
      <w:pPr>
        <w:pStyle w:val="Titre5"/>
        <w:spacing w:before="0" w:after="0"/>
        <w:ind w:left="641" w:hanging="357"/>
        <w:jc w:val="both"/>
        <w:rPr>
          <w:rFonts w:ascii="Times New Roman" w:hAnsi="Times New Roman"/>
          <w:color w:val="auto"/>
          <w:lang w:eastAsia="fr-FR"/>
        </w:rPr>
      </w:pPr>
      <w:bookmarkStart w:id="85" w:name="_Toc471484456"/>
      <w:r w:rsidRPr="00723DA9">
        <w:rPr>
          <w:rFonts w:ascii="Times New Roman" w:hAnsi="Times New Roman"/>
          <w:color w:val="auto"/>
          <w:lang w:eastAsia="fr-FR"/>
        </w:rPr>
        <w:t>1.2.3. Les</w:t>
      </w:r>
      <w:r w:rsidR="006A4EED" w:rsidRPr="00723DA9">
        <w:rPr>
          <w:rFonts w:ascii="Times New Roman" w:hAnsi="Times New Roman"/>
          <w:color w:val="auto"/>
          <w:lang w:eastAsia="fr-FR"/>
        </w:rPr>
        <w:t xml:space="preserve"> ellipses déterminées</w:t>
      </w:r>
      <w:bookmarkEnd w:id="85"/>
    </w:p>
    <w:p w:rsidR="006A4EED" w:rsidRDefault="006A4EED" w:rsidP="00F32B1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L’ellipse déterminée </w:t>
      </w:r>
      <w:r w:rsidRPr="00723DA9">
        <w:rPr>
          <w:rFonts w:ascii="Times New Roman" w:eastAsia="Times New Roman" w:hAnsi="Times New Roman"/>
          <w:sz w:val="24"/>
          <w:szCs w:val="24"/>
          <w:lang w:eastAsia="fr-FR"/>
        </w:rPr>
        <w:t>« procède soit par indication (déterminée ou non) du laps de temps qu’elle élide. Ce qui les assimile à des sommaires très rapides, de types quelques années passèrent, […] soit par élision pure et simple […] et indication du temps écoulé à la reprise du récit : types, « deux ans plus tard » »</w:t>
      </w:r>
      <w:r w:rsidRPr="00723DA9">
        <w:rPr>
          <w:rFonts w:ascii="Times New Roman" w:eastAsia="Times New Roman" w:hAnsi="Times New Roman"/>
          <w:sz w:val="24"/>
          <w:szCs w:val="24"/>
          <w:vertAlign w:val="superscript"/>
          <w:lang w:eastAsia="fr-FR"/>
        </w:rPr>
        <w:footnoteReference w:id="153"/>
      </w:r>
      <w:r w:rsidR="00723DA9">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Tel est le cas dans chez le dramaturge Ould Abderrahmane</w:t>
      </w:r>
      <w:r w:rsidRPr="00C56A9D">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K</w:t>
      </w:r>
      <w:r w:rsidR="00F32B15">
        <w:rPr>
          <w:rFonts w:ascii="Times New Roman" w:eastAsia="Times New Roman" w:hAnsi="Times New Roman"/>
          <w:sz w:val="24"/>
          <w:szCs w:val="24"/>
          <w:lang w:eastAsia="fr-FR"/>
        </w:rPr>
        <w:t>aki</w:t>
      </w:r>
      <w:r w:rsidRPr="003B00C8">
        <w:rPr>
          <w:rFonts w:ascii="Times New Roman" w:eastAsia="Times New Roman" w:hAnsi="Times New Roman"/>
          <w:sz w:val="24"/>
          <w:szCs w:val="24"/>
          <w:lang w:eastAsia="fr-FR"/>
        </w:rPr>
        <w:t xml:space="preserve">, où le narrateur raconte plusieurs histoires dans le temps et dans l’espace. Plusieurs moments sont supprimés par le narrateur à travers des expressions. Le récit de la rencontre entre Slimane et le Derviche chez </w:t>
      </w:r>
      <w:r w:rsidR="00FF0B64">
        <w:rPr>
          <w:rFonts w:ascii="Times New Roman" w:eastAsia="Times New Roman" w:hAnsi="Times New Roman"/>
          <w:sz w:val="24"/>
          <w:szCs w:val="24"/>
          <w:lang w:eastAsia="fr-FR"/>
        </w:rPr>
        <w:t xml:space="preserve">qui </w:t>
      </w:r>
      <w:r w:rsidRPr="003B00C8">
        <w:rPr>
          <w:rFonts w:ascii="Times New Roman" w:eastAsia="Times New Roman" w:hAnsi="Times New Roman"/>
          <w:sz w:val="24"/>
          <w:szCs w:val="24"/>
          <w:lang w:eastAsia="fr-FR"/>
        </w:rPr>
        <w:t>l’on entendra pour la première fois l’appellation : les marabouts vertueux, s’achève momentanément dans les pages 12 à 14, après que ce dernier a</w:t>
      </w:r>
      <w:r w:rsidR="00D128C3">
        <w:rPr>
          <w:rFonts w:ascii="Times New Roman" w:eastAsia="Times New Roman" w:hAnsi="Times New Roman"/>
          <w:sz w:val="24"/>
          <w:szCs w:val="24"/>
          <w:lang w:eastAsia="fr-FR"/>
        </w:rPr>
        <w:t>it</w:t>
      </w:r>
      <w:r w:rsidRPr="003B00C8">
        <w:rPr>
          <w:rFonts w:ascii="Times New Roman" w:eastAsia="Times New Roman" w:hAnsi="Times New Roman"/>
          <w:sz w:val="24"/>
          <w:szCs w:val="24"/>
          <w:lang w:eastAsia="fr-FR"/>
        </w:rPr>
        <w:t xml:space="preserve"> dit au porteur d’eau et aux marabouts combien il avait faim : </w:t>
      </w:r>
    </w:p>
    <w:p w:rsidR="006D5AF5" w:rsidRPr="001A4A07" w:rsidRDefault="006D5AF5" w:rsidP="001A4A07">
      <w:pPr>
        <w:spacing w:after="0" w:line="360" w:lineRule="auto"/>
        <w:jc w:val="both"/>
        <w:rPr>
          <w:rFonts w:ascii="Times New Roman" w:eastAsia="Times New Roman" w:hAnsi="Times New Roman"/>
          <w:sz w:val="24"/>
          <w:szCs w:val="24"/>
          <w:lang w:eastAsia="fr-FR"/>
        </w:rPr>
      </w:pPr>
    </w:p>
    <w:p w:rsidR="006A4EED" w:rsidRPr="006D5AF5" w:rsidRDefault="006A4EED" w:rsidP="00723DA9">
      <w:pPr>
        <w:pStyle w:val="Citationintense"/>
        <w:spacing w:before="0" w:after="0"/>
        <w:ind w:left="567" w:right="0"/>
        <w:rPr>
          <w:iCs w:val="0"/>
          <w:sz w:val="20"/>
          <w:szCs w:val="20"/>
          <w:lang w:eastAsia="fr-FR"/>
        </w:rPr>
      </w:pPr>
      <w:r w:rsidRPr="006D5AF5">
        <w:rPr>
          <w:b/>
          <w:iCs w:val="0"/>
          <w:sz w:val="20"/>
          <w:szCs w:val="20"/>
          <w:lang w:eastAsia="fr-FR"/>
        </w:rPr>
        <w:lastRenderedPageBreak/>
        <w:t xml:space="preserve">DERVICHE- </w:t>
      </w:r>
      <w:r w:rsidRPr="006D5AF5">
        <w:rPr>
          <w:iCs w:val="0"/>
          <w:sz w:val="20"/>
          <w:szCs w:val="20"/>
          <w:lang w:eastAsia="fr-FR"/>
        </w:rPr>
        <w:t xml:space="preserve">Ô Marabouts Vertueux j’ai faim. </w:t>
      </w:r>
      <w:r w:rsidRPr="006D5AF5">
        <w:rPr>
          <w:b/>
          <w:iCs w:val="0"/>
          <w:sz w:val="20"/>
          <w:szCs w:val="20"/>
          <w:lang w:eastAsia="fr-FR"/>
        </w:rPr>
        <w:t xml:space="preserve">Depuis hier point de sustentation. </w:t>
      </w:r>
      <w:r w:rsidRPr="006D5AF5">
        <w:rPr>
          <w:iCs w:val="0"/>
          <w:sz w:val="20"/>
          <w:szCs w:val="20"/>
          <w:lang w:eastAsia="fr-FR"/>
        </w:rPr>
        <w:t>Et me voici proche de l’inanition. La générosité a déserté les Béni-Dahane. Et la famine sévit chez les Béni-Zernane. Ô Marabouts Vertueux j'ai faim […]</w:t>
      </w:r>
    </w:p>
    <w:p w:rsidR="006A4EED" w:rsidRPr="006D5AF5" w:rsidRDefault="006A4EED" w:rsidP="00723DA9">
      <w:pPr>
        <w:pStyle w:val="Citationintense"/>
        <w:spacing w:before="0" w:after="0"/>
        <w:ind w:left="567" w:right="0"/>
        <w:rPr>
          <w:iCs w:val="0"/>
          <w:sz w:val="20"/>
          <w:szCs w:val="20"/>
          <w:lang w:eastAsia="fr-FR"/>
        </w:rPr>
      </w:pPr>
      <w:r w:rsidRPr="006D5AF5">
        <w:rPr>
          <w:b/>
          <w:iCs w:val="0"/>
          <w:sz w:val="20"/>
          <w:szCs w:val="20"/>
          <w:lang w:eastAsia="fr-FR"/>
        </w:rPr>
        <w:t>DERVICHE- Je vais quitter sans retour</w:t>
      </w:r>
      <w:r w:rsidRPr="006D5AF5">
        <w:rPr>
          <w:iCs w:val="0"/>
          <w:sz w:val="20"/>
          <w:szCs w:val="20"/>
          <w:lang w:eastAsia="fr-FR"/>
        </w:rPr>
        <w:t xml:space="preserve"> cette contrée qui n’a pas su s’attirer la miséricorde des marabouts !</w:t>
      </w:r>
    </w:p>
    <w:p w:rsidR="006A4EED" w:rsidRPr="006D5AF5" w:rsidRDefault="006A4EED" w:rsidP="00723DA9">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Tu as bien dit que tu prenais un aller simple ?</w:t>
      </w:r>
    </w:p>
    <w:p w:rsidR="006A4EED" w:rsidRPr="006D5AF5" w:rsidRDefault="006A4EED" w:rsidP="00723DA9">
      <w:pPr>
        <w:pStyle w:val="Citationintense"/>
        <w:spacing w:before="0" w:after="0"/>
        <w:ind w:left="567" w:right="0"/>
        <w:rPr>
          <w:iCs w:val="0"/>
          <w:sz w:val="20"/>
          <w:szCs w:val="20"/>
          <w:lang w:eastAsia="fr-FR"/>
        </w:rPr>
      </w:pPr>
      <w:r w:rsidRPr="006D5AF5">
        <w:rPr>
          <w:b/>
          <w:iCs w:val="0"/>
          <w:sz w:val="20"/>
          <w:szCs w:val="20"/>
          <w:lang w:eastAsia="fr-FR"/>
        </w:rPr>
        <w:t xml:space="preserve">DERVICHE- </w:t>
      </w:r>
      <w:r w:rsidRPr="006D5AF5">
        <w:rPr>
          <w:iCs w:val="0"/>
          <w:sz w:val="20"/>
          <w:szCs w:val="20"/>
          <w:lang w:eastAsia="fr-FR"/>
        </w:rPr>
        <w:t>Qui pense à un aller-retour ? À Béni-Zernane, les temps sont à la famine et à Béni-Dahane, la peur de la disette fait des ravages ! Que j’aille vers l’est ou vers l’ouest, le fait est que vous ne reverrez plus ma face à partir d’aujourd’hui !</w:t>
      </w:r>
    </w:p>
    <w:p w:rsidR="006A4EED" w:rsidRPr="006D5AF5" w:rsidRDefault="006A4EED" w:rsidP="00DF1B3E">
      <w:pPr>
        <w:pStyle w:val="Citationintense"/>
        <w:spacing w:before="0" w:after="0"/>
        <w:ind w:left="567" w:right="0"/>
        <w:rPr>
          <w:lang w:eastAsia="fr-FR"/>
        </w:rPr>
      </w:pPr>
      <w:r w:rsidRPr="006D5AF5">
        <w:rPr>
          <w:b/>
          <w:iCs w:val="0"/>
          <w:sz w:val="20"/>
          <w:szCs w:val="20"/>
          <w:lang w:eastAsia="fr-FR"/>
        </w:rPr>
        <w:t xml:space="preserve">SLIMANE- </w:t>
      </w:r>
      <w:r w:rsidRPr="006D5AF5">
        <w:rPr>
          <w:iCs w:val="0"/>
          <w:sz w:val="20"/>
          <w:szCs w:val="20"/>
          <w:lang w:eastAsia="fr-FR"/>
        </w:rPr>
        <w:t>Adieu</w:t>
      </w:r>
      <w:r w:rsidR="006D5AF5">
        <w:rPr>
          <w:iCs w:val="0"/>
          <w:sz w:val="20"/>
          <w:szCs w:val="20"/>
          <w:lang w:eastAsia="fr-FR"/>
        </w:rPr>
        <w:t xml:space="preserve"> (</w:t>
      </w:r>
      <w:r w:rsidR="00DF1B3E">
        <w:rPr>
          <w:iCs w:val="0"/>
          <w:sz w:val="20"/>
          <w:szCs w:val="20"/>
          <w:lang w:eastAsia="fr-FR"/>
        </w:rPr>
        <w:t>O-A. Kaki, 2003, p.</w:t>
      </w:r>
      <w:r w:rsidR="006D5AF5">
        <w:rPr>
          <w:iCs w:val="0"/>
          <w:sz w:val="20"/>
          <w:szCs w:val="20"/>
          <w:lang w:eastAsia="fr-FR"/>
        </w:rPr>
        <w:t>13-14)</w:t>
      </w:r>
    </w:p>
    <w:p w:rsidR="006A4EED" w:rsidRPr="003B00C8" w:rsidRDefault="006A4EED" w:rsidP="006A4EED">
      <w:pPr>
        <w:autoSpaceDE w:val="0"/>
        <w:autoSpaceDN w:val="0"/>
        <w:adjustRightInd w:val="0"/>
        <w:spacing w:after="0" w:line="240" w:lineRule="auto"/>
        <w:ind w:right="283"/>
        <w:jc w:val="both"/>
        <w:rPr>
          <w:rFonts w:ascii="Times New Roman" w:eastAsia="Times New Roman" w:hAnsi="Times New Roman"/>
          <w:bCs/>
          <w:sz w:val="20"/>
          <w:szCs w:val="20"/>
          <w:lang w:eastAsia="fr-FR"/>
        </w:rPr>
      </w:pPr>
    </w:p>
    <w:p w:rsidR="006A4EED" w:rsidRPr="003B00C8" w:rsidRDefault="006A4EED" w:rsidP="00030687">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 stratégie narrative du dramaturge centrée ici sur les ellipses temporelles déterminées consiste d’une part à renseigner le lecteur sur la durée de la faim accrue du Derviche « depuis hier » et d’autre part d’annoncer clairement au lecteur qu’il fera fi de l’histoire de ce personnage sur une bonne quantité de pages « je vais quitter sans retour ». D’ailleurs, tel en est le cas puisque le Derviche qui se plaignait de faim en disant aux marabouts vertueux qu’ils étaient en train de laisser leur serviteur fidèle dans la panade se fera oubli</w:t>
      </w:r>
      <w:r w:rsidR="00D128C3">
        <w:rPr>
          <w:rFonts w:ascii="Times New Roman" w:eastAsia="Times New Roman" w:hAnsi="Times New Roman"/>
          <w:sz w:val="24"/>
          <w:szCs w:val="24"/>
          <w:lang w:eastAsia="fr-FR"/>
        </w:rPr>
        <w:t xml:space="preserve">er </w:t>
      </w:r>
      <w:r w:rsidRPr="003B00C8">
        <w:rPr>
          <w:rFonts w:ascii="Times New Roman" w:eastAsia="Times New Roman" w:hAnsi="Times New Roman"/>
          <w:sz w:val="24"/>
          <w:szCs w:val="24"/>
          <w:lang w:eastAsia="fr-FR"/>
        </w:rPr>
        <w:t>pour réapparaitre plus tard alors que Dieu par les trois vertueux aura déjà accompli un prodige dans cette contrée.</w:t>
      </w:r>
    </w:p>
    <w:p w:rsidR="006A4EED" w:rsidRPr="003B00C8" w:rsidRDefault="006A4EED" w:rsidP="00030687">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Il est impérieux de marquer ici un temps d’arrêt pour souligner l’absence du Derviche à l’arrivée des trois vertueux que paradoxalement il avait invoqués et dont il avait jugé le calme et le silence de refus d’aide à un serviteur pourtant rompu à la tâche. Il y a dans cette pièce théâtrale une forte résurgence, prégnance, une prééminence du coran tout au mieux du biblique. Le discours coranique que cache l’intention de communication du dramaturge se révèle fort évocateur dans la saisie de la symbolique des ellipses temporelles déterminées. Le Derviche apparait comme un personnage impatient, incrédule, qui demande et exige une réponse favorable immédiate aux divinités. C’est un personnage qui croit pouvoir forcer la main des dieux, qui n’a pas compris qu’une demande adressée à Dieu a trois réponses :</w:t>
      </w:r>
    </w:p>
    <w:p w:rsidR="006A4EED" w:rsidRPr="003B00C8" w:rsidRDefault="006A4EED" w:rsidP="00230C65">
      <w:pPr>
        <w:numPr>
          <w:ilvl w:val="0"/>
          <w:numId w:val="9"/>
        </w:numPr>
        <w:autoSpaceDE w:val="0"/>
        <w:autoSpaceDN w:val="0"/>
        <w:adjustRightInd w:val="0"/>
        <w:spacing w:after="0" w:line="360" w:lineRule="auto"/>
        <w:ind w:right="283"/>
        <w:contextualSpacing/>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Tiens</w:t>
      </w:r>
    </w:p>
    <w:p w:rsidR="006A4EED" w:rsidRPr="003B00C8" w:rsidRDefault="006A4EED" w:rsidP="00230C65">
      <w:pPr>
        <w:numPr>
          <w:ilvl w:val="0"/>
          <w:numId w:val="9"/>
        </w:numPr>
        <w:autoSpaceDE w:val="0"/>
        <w:autoSpaceDN w:val="0"/>
        <w:adjustRightInd w:val="0"/>
        <w:spacing w:after="0" w:line="360" w:lineRule="auto"/>
        <w:ind w:right="283"/>
        <w:contextualSpacing/>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Attends</w:t>
      </w:r>
    </w:p>
    <w:p w:rsidR="006A4EED" w:rsidRPr="001A4A07" w:rsidRDefault="006A4EED" w:rsidP="00230C65">
      <w:pPr>
        <w:numPr>
          <w:ilvl w:val="0"/>
          <w:numId w:val="9"/>
        </w:numPr>
        <w:autoSpaceDE w:val="0"/>
        <w:autoSpaceDN w:val="0"/>
        <w:adjustRightInd w:val="0"/>
        <w:spacing w:after="0" w:line="360" w:lineRule="auto"/>
        <w:ind w:right="283"/>
        <w:contextualSpacing/>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Je ne donne pas.</w:t>
      </w:r>
    </w:p>
    <w:p w:rsidR="006A4EED" w:rsidRPr="003B00C8" w:rsidRDefault="006A4EED" w:rsidP="00117F7D">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Pour les cas de Béni-Zernane et Béni-Dahane la réponse de Dieu était « attends ». Mais le serviteur affamé ne pensant qu’à remplir sa panse n’a pas su interpréter les mystères de Dieu et s’est retiré. Dire qu’en temps de famine et de disette la chair l’emporte sur l’esprit même des élus</w:t>
      </w:r>
      <w:r w:rsidR="00D128C3">
        <w:rPr>
          <w:rFonts w:ascii="Times New Roman" w:eastAsia="Times New Roman" w:hAnsi="Times New Roman"/>
          <w:sz w:val="24"/>
          <w:szCs w:val="24"/>
          <w:lang w:eastAsia="fr-FR"/>
        </w:rPr>
        <w:t xml:space="preserve"> tant il demeure vrai que </w:t>
      </w:r>
      <w:r w:rsidR="00D128C3" w:rsidRPr="00D128C3">
        <w:rPr>
          <w:rFonts w:ascii="Times New Roman" w:eastAsia="Times New Roman" w:hAnsi="Times New Roman"/>
          <w:i/>
          <w:iCs/>
          <w:sz w:val="24"/>
          <w:szCs w:val="24"/>
          <w:lang w:eastAsia="fr-FR"/>
        </w:rPr>
        <w:t xml:space="preserve">les </w:t>
      </w:r>
      <w:r w:rsidR="00D128C3" w:rsidRPr="00D128C3">
        <w:rPr>
          <w:rFonts w:ascii="Times New Roman" w:eastAsia="Times New Roman" w:hAnsi="Times New Roman"/>
          <w:i/>
          <w:iCs/>
          <w:sz w:val="24"/>
          <w:szCs w:val="24"/>
          <w:lang w:eastAsia="fr-FR"/>
        </w:rPr>
        <w:lastRenderedPageBreak/>
        <w:t>voies du Seigneur sont impénétrables</w:t>
      </w:r>
      <w:r w:rsidRPr="003B00C8">
        <w:rPr>
          <w:rFonts w:ascii="Times New Roman" w:eastAsia="Times New Roman" w:hAnsi="Times New Roman"/>
          <w:sz w:val="24"/>
          <w:szCs w:val="24"/>
          <w:lang w:eastAsia="fr-FR"/>
        </w:rPr>
        <w:t xml:space="preserve">. Ces choix narratifs permettent certes, à l’auteur de mettre en évidence un phénomène de son choix, mais </w:t>
      </w:r>
      <w:r w:rsidR="00D128C3">
        <w:rPr>
          <w:rFonts w:ascii="Times New Roman" w:eastAsia="Times New Roman" w:hAnsi="Times New Roman"/>
          <w:sz w:val="24"/>
          <w:szCs w:val="24"/>
          <w:lang w:eastAsia="fr-FR"/>
        </w:rPr>
        <w:t xml:space="preserve">qui </w:t>
      </w:r>
      <w:r w:rsidRPr="003B00C8">
        <w:rPr>
          <w:rFonts w:ascii="Times New Roman" w:eastAsia="Times New Roman" w:hAnsi="Times New Roman"/>
          <w:sz w:val="24"/>
          <w:szCs w:val="24"/>
          <w:lang w:eastAsia="fr-FR"/>
        </w:rPr>
        <w:t>est à l’origine des dérangements temporels.</w:t>
      </w:r>
    </w:p>
    <w:p w:rsidR="006A4EED" w:rsidRPr="0019184E" w:rsidRDefault="006A4EED" w:rsidP="00117F7D">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En outre, un fait marquant d’ellipse temporelle déterminée à valeur analeptique se trouve à la page 76 :</w:t>
      </w:r>
    </w:p>
    <w:p w:rsidR="006A4EED" w:rsidRPr="006D5AF5" w:rsidRDefault="006A4EED" w:rsidP="00117F7D">
      <w:pPr>
        <w:pStyle w:val="Citationintense"/>
        <w:spacing w:before="0" w:after="0"/>
        <w:ind w:left="567" w:right="0"/>
        <w:rPr>
          <w:iCs w:val="0"/>
          <w:sz w:val="20"/>
          <w:szCs w:val="20"/>
          <w:lang w:eastAsia="fr-FR"/>
        </w:rPr>
      </w:pPr>
      <w:r w:rsidRPr="006D5AF5">
        <w:rPr>
          <w:b/>
          <w:iCs w:val="0"/>
          <w:sz w:val="20"/>
          <w:szCs w:val="20"/>
          <w:lang w:eastAsia="fr-FR"/>
        </w:rPr>
        <w:t xml:space="preserve">AVEUGLE- </w:t>
      </w:r>
      <w:r w:rsidRPr="006D5AF5">
        <w:rPr>
          <w:iCs w:val="0"/>
          <w:sz w:val="20"/>
          <w:szCs w:val="20"/>
          <w:lang w:eastAsia="fr-FR"/>
        </w:rPr>
        <w:t>Slimane !</w:t>
      </w:r>
    </w:p>
    <w:p w:rsidR="006A4EED" w:rsidRPr="006D5AF5" w:rsidRDefault="006A4EED" w:rsidP="00117F7D">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Tu es revenu ?</w:t>
      </w:r>
    </w:p>
    <w:p w:rsidR="006A4EED" w:rsidRPr="006D5AF5" w:rsidRDefault="006A4EED" w:rsidP="00117F7D">
      <w:pPr>
        <w:pStyle w:val="Citationintense"/>
        <w:spacing w:before="0" w:after="0"/>
        <w:ind w:left="567" w:right="0"/>
        <w:rPr>
          <w:iCs w:val="0"/>
          <w:sz w:val="20"/>
          <w:szCs w:val="20"/>
          <w:lang w:eastAsia="fr-FR"/>
        </w:rPr>
      </w:pPr>
      <w:r w:rsidRPr="006D5AF5">
        <w:rPr>
          <w:b/>
          <w:iCs w:val="0"/>
          <w:sz w:val="20"/>
          <w:szCs w:val="20"/>
          <w:lang w:eastAsia="fr-FR"/>
        </w:rPr>
        <w:t xml:space="preserve">AVEUGLE- </w:t>
      </w:r>
      <w:r w:rsidRPr="006D5AF5">
        <w:rPr>
          <w:iCs w:val="0"/>
          <w:sz w:val="20"/>
          <w:szCs w:val="20"/>
          <w:lang w:eastAsia="fr-FR"/>
        </w:rPr>
        <w:t>Comme tu vois ! Et toi ? Toujours porteur d’eau ?</w:t>
      </w:r>
    </w:p>
    <w:p w:rsidR="006A4EED" w:rsidRPr="006D5AF5" w:rsidRDefault="006A4EED" w:rsidP="00117F7D">
      <w:pPr>
        <w:pStyle w:val="Citationintense"/>
        <w:spacing w:before="0" w:after="0"/>
        <w:ind w:left="567" w:right="0"/>
        <w:rPr>
          <w:iCs w:val="0"/>
          <w:sz w:val="20"/>
          <w:szCs w:val="20"/>
          <w:lang w:eastAsia="fr-FR"/>
        </w:rPr>
      </w:pPr>
      <w:r w:rsidRPr="006D5AF5">
        <w:rPr>
          <w:b/>
          <w:iCs w:val="0"/>
          <w:sz w:val="20"/>
          <w:szCs w:val="20"/>
          <w:lang w:eastAsia="fr-FR"/>
        </w:rPr>
        <w:t xml:space="preserve">SLIMANE- </w:t>
      </w:r>
      <w:r w:rsidRPr="006D5AF5">
        <w:rPr>
          <w:iCs w:val="0"/>
          <w:sz w:val="20"/>
          <w:szCs w:val="20"/>
          <w:lang w:eastAsia="fr-FR"/>
        </w:rPr>
        <w:t>C’est de l’histoire ancienne, mon vieux ! L’outre et l’eau, je leur ai dit adieu voilà maintenant trois ans !</w:t>
      </w:r>
    </w:p>
    <w:p w:rsidR="006A4EED" w:rsidRPr="006D5AF5" w:rsidRDefault="006A4EED" w:rsidP="00117F7D">
      <w:pPr>
        <w:pStyle w:val="Citationintense"/>
        <w:spacing w:before="0" w:after="0"/>
        <w:ind w:left="567" w:right="0"/>
        <w:rPr>
          <w:b/>
          <w:iCs w:val="0"/>
          <w:sz w:val="20"/>
          <w:szCs w:val="20"/>
          <w:lang w:eastAsia="fr-FR"/>
        </w:rPr>
      </w:pPr>
      <w:r w:rsidRPr="006D5AF5">
        <w:rPr>
          <w:b/>
          <w:iCs w:val="0"/>
          <w:sz w:val="20"/>
          <w:szCs w:val="20"/>
          <w:lang w:eastAsia="fr-FR"/>
        </w:rPr>
        <w:t>AVEUGLE- Trois ans !</w:t>
      </w:r>
    </w:p>
    <w:p w:rsidR="006A4EED" w:rsidRPr="006D5AF5" w:rsidRDefault="006A4EED" w:rsidP="00117F7D">
      <w:pPr>
        <w:pStyle w:val="Citationintense"/>
        <w:spacing w:before="0" w:after="0"/>
        <w:ind w:left="567" w:right="0"/>
        <w:rPr>
          <w:b/>
          <w:iCs w:val="0"/>
          <w:sz w:val="20"/>
          <w:szCs w:val="20"/>
          <w:lang w:eastAsia="fr-FR"/>
        </w:rPr>
      </w:pPr>
      <w:r w:rsidRPr="006D5AF5">
        <w:rPr>
          <w:b/>
          <w:iCs w:val="0"/>
          <w:sz w:val="20"/>
          <w:szCs w:val="20"/>
          <w:lang w:eastAsia="fr-FR"/>
        </w:rPr>
        <w:t>SLIMANE- Trois ans.</w:t>
      </w:r>
    </w:p>
    <w:p w:rsidR="006A4EED" w:rsidRDefault="006A4EED" w:rsidP="00117F7D">
      <w:pPr>
        <w:pStyle w:val="Citationintense"/>
        <w:spacing w:before="0" w:after="0"/>
        <w:ind w:left="567" w:right="0"/>
        <w:rPr>
          <w:lang w:eastAsia="fr-FR"/>
        </w:rPr>
      </w:pPr>
      <w:r w:rsidRPr="006D5AF5">
        <w:rPr>
          <w:b/>
          <w:iCs w:val="0"/>
          <w:sz w:val="20"/>
          <w:szCs w:val="20"/>
          <w:lang w:eastAsia="fr-FR"/>
        </w:rPr>
        <w:t xml:space="preserve">AVEUGLE- </w:t>
      </w:r>
      <w:r w:rsidRPr="006D5AF5">
        <w:rPr>
          <w:iCs w:val="0"/>
          <w:sz w:val="20"/>
          <w:szCs w:val="20"/>
          <w:lang w:eastAsia="fr-FR"/>
        </w:rPr>
        <w:t>Cela fait trois ans que nous sommes partis, fuyant la famine</w:t>
      </w:r>
      <w:r w:rsidR="006D5AF5">
        <w:rPr>
          <w:sz w:val="20"/>
          <w:szCs w:val="20"/>
          <w:lang w:eastAsia="fr-FR"/>
        </w:rPr>
        <w:t xml:space="preserve">… </w:t>
      </w:r>
      <w:r w:rsidR="006D5AF5">
        <w:rPr>
          <w:iCs w:val="0"/>
          <w:sz w:val="20"/>
          <w:szCs w:val="20"/>
          <w:lang w:eastAsia="fr-FR"/>
        </w:rPr>
        <w:t>(</w:t>
      </w:r>
      <w:r w:rsidR="00117F7D" w:rsidRPr="00117F7D">
        <w:rPr>
          <w:i/>
          <w:sz w:val="20"/>
          <w:szCs w:val="20"/>
          <w:lang w:eastAsia="fr-FR"/>
        </w:rPr>
        <w:t>Ibid</w:t>
      </w:r>
      <w:r w:rsidR="00117F7D">
        <w:rPr>
          <w:iCs w:val="0"/>
          <w:sz w:val="20"/>
          <w:szCs w:val="20"/>
          <w:lang w:eastAsia="fr-FR"/>
        </w:rPr>
        <w:t xml:space="preserve">, </w:t>
      </w:r>
      <w:r w:rsidR="006D5AF5" w:rsidRPr="00117F7D">
        <w:rPr>
          <w:iCs w:val="0"/>
          <w:sz w:val="20"/>
          <w:szCs w:val="20"/>
          <w:lang w:eastAsia="fr-FR"/>
        </w:rPr>
        <w:t>p</w:t>
      </w:r>
      <w:r w:rsidR="006D5AF5">
        <w:rPr>
          <w:iCs w:val="0"/>
          <w:sz w:val="20"/>
          <w:szCs w:val="20"/>
          <w:lang w:eastAsia="fr-FR"/>
        </w:rPr>
        <w:t>.76)</w:t>
      </w:r>
    </w:p>
    <w:p w:rsidR="006D5AF5" w:rsidRPr="006D5AF5" w:rsidRDefault="006D5AF5" w:rsidP="006D5AF5">
      <w:pPr>
        <w:rPr>
          <w:lang w:eastAsia="fr-FR"/>
        </w:rPr>
      </w:pPr>
    </w:p>
    <w:p w:rsidR="006A4EED" w:rsidRPr="003B00C8" w:rsidRDefault="006A4EED" w:rsidP="00117F7D">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L’ellipse temporelle déterminée porte ici sur l’indice temporel « trois ans » ; trois ans que l’aveugle et son épouse avait quitté la contrée. En trois ans il s’était passé bien de choses. Tout n’était plus comme avant. Les trois vertueux avaient enfin trouvé non un homme de bien mais une femme de bien dans le pays et n’étaient guère rentrés avec la bénédiction dont ils étaient dépositaires.</w:t>
      </w:r>
    </w:p>
    <w:p w:rsidR="006A4EED" w:rsidRPr="003B00C8" w:rsidRDefault="006A4EED" w:rsidP="00777B6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Un autre cas d’ellipse temporelle déterminée concerne la séparation de Slimane d’avec les trois marabouts vertueux au seuil du domicile de l’aveugle Halima. Il est bien curieux qu’après autant de journées de marche avec les trois marabouts vertueux à la recherche d’un Homme de bien </w:t>
      </w:r>
      <w:r w:rsidR="00E955E0" w:rsidRPr="003B00C8">
        <w:rPr>
          <w:rFonts w:ascii="Times New Roman" w:eastAsia="Times New Roman" w:hAnsi="Times New Roman"/>
          <w:sz w:val="24"/>
          <w:szCs w:val="24"/>
          <w:lang w:eastAsia="fr-FR"/>
        </w:rPr>
        <w:t>parce que</w:t>
      </w:r>
      <w:r w:rsidRPr="003B00C8">
        <w:rPr>
          <w:rFonts w:ascii="Times New Roman" w:eastAsia="Times New Roman" w:hAnsi="Times New Roman"/>
          <w:sz w:val="24"/>
          <w:szCs w:val="24"/>
          <w:lang w:eastAsia="fr-FR"/>
        </w:rPr>
        <w:t xml:space="preserve"> hospitalier, Slimane (guide touristes) vienne à partir en se remémorant les paroles du Kaddour. Ainsi, Slimane sera absent au moment de la bénédiction et de la guérison de Halima naguère aveugle. Ce porteur et vendeur d’eau souvent mendiant venait de passer à coté d’une bénédiction personnelle dont il aurait pu bénéficier au même titre que Halima.</w:t>
      </w:r>
    </w:p>
    <w:p w:rsidR="006A4EED" w:rsidRPr="003B00C8" w:rsidRDefault="006A4EED" w:rsidP="00777B6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De plus, on assiste à des ellipses de forme sylleptique, </w:t>
      </w:r>
      <w:r w:rsidR="00E955E0">
        <w:rPr>
          <w:rFonts w:ascii="Times New Roman" w:eastAsia="Times New Roman" w:hAnsi="Times New Roman"/>
          <w:sz w:val="24"/>
          <w:szCs w:val="24"/>
          <w:lang w:eastAsia="fr-FR"/>
        </w:rPr>
        <w:t xml:space="preserve">forme </w:t>
      </w:r>
      <w:r w:rsidRPr="003B00C8">
        <w:rPr>
          <w:rFonts w:ascii="Times New Roman" w:eastAsia="Times New Roman" w:hAnsi="Times New Roman"/>
          <w:sz w:val="24"/>
          <w:szCs w:val="24"/>
          <w:lang w:eastAsia="fr-FR"/>
        </w:rPr>
        <w:t>qui regroupe des activités répétitives en de simples formules temporelles du genre « soir après soir ; jour après jour »</w:t>
      </w:r>
      <w:r w:rsidRPr="003B00C8">
        <w:rPr>
          <w:rFonts w:ascii="Times New Roman" w:eastAsia="Times New Roman" w:hAnsi="Times New Roman"/>
          <w:sz w:val="24"/>
          <w:szCs w:val="24"/>
          <w:vertAlign w:val="superscript"/>
          <w:lang w:eastAsia="fr-FR"/>
        </w:rPr>
        <w:footnoteReference w:id="154"/>
      </w:r>
      <w:r w:rsidRPr="003B00C8">
        <w:rPr>
          <w:rFonts w:ascii="Times New Roman" w:eastAsia="Times New Roman" w:hAnsi="Times New Roman"/>
          <w:sz w:val="24"/>
          <w:szCs w:val="24"/>
          <w:lang w:eastAsia="fr-FR"/>
        </w:rPr>
        <w:t xml:space="preserve"> cette forme, bien qu’intervenant selon Genette au niveau de la fréquence, se présente ici comme une ellipse temporelle dans la mesure où elle permet de faire taire cette itération des événements au profit d’une vue globale.</w:t>
      </w:r>
    </w:p>
    <w:p w:rsidR="006A4EED" w:rsidRPr="006B7FB2" w:rsidRDefault="006B7FB2" w:rsidP="006B7FB2">
      <w:pPr>
        <w:pStyle w:val="Titre5"/>
        <w:spacing w:before="0" w:after="0"/>
        <w:ind w:left="641" w:hanging="357"/>
        <w:jc w:val="both"/>
        <w:rPr>
          <w:rFonts w:ascii="Times New Roman" w:hAnsi="Times New Roman"/>
          <w:color w:val="auto"/>
          <w:lang w:eastAsia="fr-FR"/>
        </w:rPr>
      </w:pPr>
      <w:bookmarkStart w:id="86" w:name="_Toc471484457"/>
      <w:r w:rsidRPr="006B7FB2">
        <w:rPr>
          <w:rFonts w:ascii="Times New Roman" w:hAnsi="Times New Roman"/>
          <w:color w:val="auto"/>
          <w:lang w:eastAsia="fr-FR"/>
        </w:rPr>
        <w:lastRenderedPageBreak/>
        <w:t>1.2.4. Les</w:t>
      </w:r>
      <w:r w:rsidR="006A4EED" w:rsidRPr="006B7FB2">
        <w:rPr>
          <w:rFonts w:ascii="Times New Roman" w:hAnsi="Times New Roman"/>
          <w:color w:val="auto"/>
          <w:lang w:eastAsia="fr-FR"/>
        </w:rPr>
        <w:t xml:space="preserve"> ellipses indéterminées</w:t>
      </w:r>
      <w:bookmarkEnd w:id="86"/>
    </w:p>
    <w:p w:rsidR="006A4EED" w:rsidRDefault="006A4EED" w:rsidP="006B7FB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Pour Gérard Genette</w:t>
      </w:r>
      <w:r w:rsidRPr="003B00C8">
        <w:rPr>
          <w:rFonts w:ascii="Times New Roman" w:eastAsia="Times New Roman" w:hAnsi="Times New Roman"/>
          <w:sz w:val="24"/>
          <w:szCs w:val="24"/>
          <w:vertAlign w:val="superscript"/>
          <w:lang w:eastAsia="fr-FR"/>
        </w:rPr>
        <w:footnoteReference w:id="155"/>
      </w:r>
      <w:r w:rsidRPr="003B00C8">
        <w:rPr>
          <w:rFonts w:ascii="Times New Roman" w:eastAsia="Times New Roman" w:hAnsi="Times New Roman"/>
          <w:sz w:val="24"/>
          <w:szCs w:val="24"/>
          <w:lang w:eastAsia="fr-FR"/>
        </w:rPr>
        <w:t xml:space="preserve">, il existe deux formes d’ellipse : la forme la moins implicite et la forme la plus implicite appelée ellipse hypothétique. Dans le corpus en étude, c’est la forme la moins implicite qui est mise en évidence. Selon l’auteur sus cité, c’est </w:t>
      </w:r>
      <w:r w:rsidRPr="006B7FB2">
        <w:rPr>
          <w:rFonts w:ascii="Times New Roman" w:eastAsia="Times New Roman" w:hAnsi="Times New Roman"/>
          <w:sz w:val="24"/>
          <w:szCs w:val="24"/>
          <w:lang w:eastAsia="fr-FR"/>
        </w:rPr>
        <w:t>« celle dont la présence même n’est pas déclarée dans le texte, et que le lecteur peut seulement inférer de quelque lacune chronologique ou solutions de continuité narrative »</w:t>
      </w:r>
      <w:r w:rsidRPr="006B7FB2">
        <w:rPr>
          <w:rFonts w:ascii="Times New Roman" w:eastAsia="Times New Roman" w:hAnsi="Times New Roman"/>
          <w:sz w:val="24"/>
          <w:szCs w:val="24"/>
          <w:vertAlign w:val="superscript"/>
          <w:lang w:eastAsia="fr-FR"/>
        </w:rPr>
        <w:footnoteReference w:id="156"/>
      </w:r>
      <w:r w:rsidRPr="006B7FB2">
        <w:rPr>
          <w:rFonts w:ascii="Times New Roman" w:eastAsia="Times New Roman" w:hAnsi="Times New Roman"/>
          <w:sz w:val="24"/>
          <w:szCs w:val="24"/>
          <w:lang w:eastAsia="fr-FR"/>
        </w:rPr>
        <w:t>.</w:t>
      </w:r>
      <w:r w:rsidRPr="003B00C8">
        <w:rPr>
          <w:rFonts w:ascii="Times New Roman" w:eastAsia="Times New Roman" w:hAnsi="Times New Roman"/>
          <w:sz w:val="24"/>
          <w:szCs w:val="24"/>
          <w:lang w:eastAsia="fr-FR"/>
        </w:rPr>
        <w:t xml:space="preserve"> Cette forme d’ellipse est très présente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 xml:space="preserve">e porteur d'eau et les marabouts </w:t>
      </w:r>
      <w:proofErr w:type="gramStart"/>
      <w:r w:rsidRPr="003B00C8">
        <w:rPr>
          <w:rFonts w:ascii="Times New Roman" w:eastAsia="Times New Roman" w:hAnsi="Times New Roman"/>
          <w:bCs/>
          <w:iCs/>
          <w:sz w:val="24"/>
          <w:szCs w:val="24"/>
          <w:lang w:eastAsia="fr-FR"/>
        </w:rPr>
        <w:t xml:space="preserve">de </w:t>
      </w:r>
      <w:r w:rsidRPr="003B00C8">
        <w:rPr>
          <w:rFonts w:ascii="Times New Roman" w:eastAsia="Times New Roman" w:hAnsi="Times New Roman"/>
          <w:sz w:val="24"/>
          <w:szCs w:val="24"/>
          <w:lang w:eastAsia="fr-FR"/>
        </w:rPr>
        <w:t>Ould</w:t>
      </w:r>
      <w:proofErr w:type="gramEnd"/>
      <w:r w:rsidRPr="003B00C8">
        <w:rPr>
          <w:rFonts w:ascii="Times New Roman" w:eastAsia="Times New Roman" w:hAnsi="Times New Roman"/>
          <w:sz w:val="24"/>
          <w:szCs w:val="24"/>
          <w:lang w:eastAsia="fr-FR"/>
        </w:rPr>
        <w:t xml:space="preserve"> Abderrahmane</w:t>
      </w:r>
      <w:r w:rsidR="00F90EBE">
        <w:rPr>
          <w:rFonts w:ascii="Times New Roman" w:eastAsia="Times New Roman" w:hAnsi="Times New Roman"/>
          <w:sz w:val="24"/>
          <w:szCs w:val="24"/>
          <w:lang w:eastAsia="fr-FR"/>
        </w:rPr>
        <w:t xml:space="preserve"> </w:t>
      </w:r>
      <w:r w:rsidR="00F90EBE" w:rsidRPr="003B00C8">
        <w:rPr>
          <w:rFonts w:ascii="Times New Roman" w:eastAsia="Times New Roman" w:hAnsi="Times New Roman"/>
          <w:sz w:val="24"/>
          <w:szCs w:val="24"/>
          <w:lang w:eastAsia="fr-FR"/>
        </w:rPr>
        <w:t>Kaki</w:t>
      </w:r>
      <w:r w:rsidRPr="003B00C8">
        <w:rPr>
          <w:rFonts w:ascii="Times New Roman" w:eastAsia="Times New Roman" w:hAnsi="Times New Roman"/>
          <w:sz w:val="24"/>
          <w:szCs w:val="24"/>
          <w:lang w:eastAsia="fr-FR"/>
        </w:rPr>
        <w:t>. C’est le cas de l’histoire de l’aveugle et de son épouse qui s’arrête lorsqu’ils décident d’entreprendre une aventure en quête de bonheur. Lorsque le récit sur eux reprend, le narrateur par la voix de la femme de l’aveugle donne les raisons de leur retour :</w:t>
      </w:r>
    </w:p>
    <w:p w:rsidR="006D5AF5" w:rsidRPr="003B00C8" w:rsidRDefault="006D5AF5" w:rsidP="00F90EBE">
      <w:pPr>
        <w:autoSpaceDE w:val="0"/>
        <w:autoSpaceDN w:val="0"/>
        <w:adjustRightInd w:val="0"/>
        <w:spacing w:after="0" w:line="360" w:lineRule="auto"/>
        <w:ind w:right="283"/>
        <w:jc w:val="both"/>
        <w:rPr>
          <w:rFonts w:ascii="Times New Roman" w:eastAsia="Times New Roman" w:hAnsi="Times New Roman"/>
          <w:sz w:val="24"/>
          <w:szCs w:val="24"/>
          <w:lang w:eastAsia="fr-FR"/>
        </w:rPr>
      </w:pPr>
    </w:p>
    <w:p w:rsidR="006A4EED" w:rsidRPr="00E2394E" w:rsidRDefault="006A4EED" w:rsidP="00E2394E">
      <w:pPr>
        <w:pStyle w:val="Citationintense"/>
        <w:spacing w:before="0" w:after="0"/>
        <w:ind w:left="567" w:right="0"/>
        <w:rPr>
          <w:iCs w:val="0"/>
          <w:sz w:val="20"/>
          <w:szCs w:val="20"/>
          <w:lang w:eastAsia="fr-FR"/>
        </w:rPr>
      </w:pPr>
      <w:r w:rsidRPr="00E2394E">
        <w:rPr>
          <w:b/>
          <w:iCs w:val="0"/>
          <w:sz w:val="20"/>
          <w:szCs w:val="20"/>
          <w:lang w:eastAsia="fr-FR"/>
        </w:rPr>
        <w:t xml:space="preserve">SLIMANE- </w:t>
      </w:r>
      <w:r w:rsidRPr="00E2394E">
        <w:rPr>
          <w:iCs w:val="0"/>
          <w:sz w:val="20"/>
          <w:szCs w:val="20"/>
          <w:lang w:eastAsia="fr-FR"/>
        </w:rPr>
        <w:t xml:space="preserve">La nuit même où vous êtes partis… Tu te souviens, l’aveugle ? Tu te souviens, dis ? De l’eau ! De l’eau ! L’eau du Très-Haut ! </w:t>
      </w:r>
      <w:proofErr w:type="gramStart"/>
      <w:r w:rsidRPr="00E2394E">
        <w:rPr>
          <w:iCs w:val="0"/>
          <w:sz w:val="20"/>
          <w:szCs w:val="20"/>
          <w:lang w:eastAsia="fr-FR"/>
        </w:rPr>
        <w:t>Tout droit</w:t>
      </w:r>
      <w:proofErr w:type="gramEnd"/>
      <w:r w:rsidRPr="00E2394E">
        <w:rPr>
          <w:iCs w:val="0"/>
          <w:sz w:val="20"/>
          <w:szCs w:val="20"/>
          <w:lang w:eastAsia="fr-FR"/>
        </w:rPr>
        <w:t xml:space="preserve"> sortie de la source de Sidi-Okbi !</w:t>
      </w:r>
    </w:p>
    <w:p w:rsidR="006A4EED" w:rsidRPr="00E2394E" w:rsidRDefault="006A4EED" w:rsidP="00E2394E">
      <w:pPr>
        <w:pStyle w:val="Citationintense"/>
        <w:spacing w:before="0" w:after="0"/>
        <w:ind w:left="567" w:right="0"/>
        <w:rPr>
          <w:iCs w:val="0"/>
          <w:sz w:val="20"/>
          <w:szCs w:val="20"/>
          <w:lang w:eastAsia="fr-FR"/>
        </w:rPr>
      </w:pPr>
      <w:r w:rsidRPr="00E2394E">
        <w:rPr>
          <w:b/>
          <w:iCs w:val="0"/>
          <w:sz w:val="20"/>
          <w:szCs w:val="20"/>
          <w:lang w:eastAsia="fr-FR"/>
        </w:rPr>
        <w:t xml:space="preserve">AVEUGLE- </w:t>
      </w:r>
      <w:r w:rsidRPr="00E2394E">
        <w:rPr>
          <w:iCs w:val="0"/>
          <w:sz w:val="20"/>
          <w:szCs w:val="20"/>
          <w:lang w:eastAsia="fr-FR"/>
        </w:rPr>
        <w:t>Oui ! Quand je me rappelais ta chanson durant l’exil, je pleurais</w:t>
      </w:r>
      <w:r w:rsidR="00813DC5" w:rsidRPr="00E2394E">
        <w:rPr>
          <w:iCs w:val="0"/>
          <w:sz w:val="20"/>
          <w:szCs w:val="20"/>
          <w:lang w:eastAsia="fr-FR"/>
        </w:rPr>
        <w:t xml:space="preserve"> </w:t>
      </w:r>
      <w:r w:rsidRPr="00E2394E">
        <w:rPr>
          <w:iCs w:val="0"/>
          <w:sz w:val="20"/>
          <w:szCs w:val="20"/>
          <w:lang w:eastAsia="fr-FR"/>
        </w:rPr>
        <w:t>Chante-la moi encore !</w:t>
      </w:r>
    </w:p>
    <w:p w:rsidR="006A4EED" w:rsidRPr="00E2394E" w:rsidRDefault="006A4EED" w:rsidP="00E2394E">
      <w:pPr>
        <w:pStyle w:val="Citationintense"/>
        <w:spacing w:before="0" w:after="0"/>
        <w:ind w:left="567" w:right="0"/>
        <w:rPr>
          <w:iCs w:val="0"/>
          <w:sz w:val="20"/>
          <w:szCs w:val="20"/>
          <w:lang w:eastAsia="fr-FR"/>
        </w:rPr>
      </w:pPr>
      <w:r w:rsidRPr="00E2394E">
        <w:rPr>
          <w:b/>
          <w:iCs w:val="0"/>
          <w:sz w:val="20"/>
          <w:szCs w:val="20"/>
          <w:lang w:eastAsia="fr-FR"/>
        </w:rPr>
        <w:t xml:space="preserve">FEMME- </w:t>
      </w:r>
      <w:r w:rsidRPr="00E2394E">
        <w:rPr>
          <w:iCs w:val="0"/>
          <w:sz w:val="20"/>
          <w:szCs w:val="20"/>
          <w:lang w:eastAsia="fr-FR"/>
        </w:rPr>
        <w:t>Nous sommes revenus parce que nous avons entendu dire qu’il y avait un repas gratuit tous les jours à Sidi-Dahane</w:t>
      </w:r>
      <w:r w:rsidRPr="00E2394E">
        <w:rPr>
          <w:sz w:val="20"/>
          <w:szCs w:val="20"/>
          <w:lang w:eastAsia="fr-FR"/>
        </w:rPr>
        <w:t>.</w:t>
      </w:r>
      <w:r w:rsidR="006D5AF5" w:rsidRPr="00E2394E">
        <w:rPr>
          <w:iCs w:val="0"/>
          <w:sz w:val="20"/>
          <w:szCs w:val="20"/>
          <w:lang w:eastAsia="fr-FR"/>
        </w:rPr>
        <w:t xml:space="preserve"> (</w:t>
      </w:r>
      <w:r w:rsidR="00E2394E">
        <w:rPr>
          <w:iCs w:val="0"/>
          <w:sz w:val="20"/>
          <w:szCs w:val="20"/>
          <w:lang w:eastAsia="fr-FR"/>
        </w:rPr>
        <w:t xml:space="preserve">O-A. Kaki, 2003, </w:t>
      </w:r>
      <w:r w:rsidR="006D5AF5" w:rsidRPr="00E2394E">
        <w:rPr>
          <w:iCs w:val="0"/>
          <w:sz w:val="20"/>
          <w:szCs w:val="20"/>
          <w:lang w:eastAsia="fr-FR"/>
        </w:rPr>
        <w:t>p.76)</w:t>
      </w:r>
    </w:p>
    <w:p w:rsidR="006D5AF5" w:rsidRPr="006D5AF5" w:rsidRDefault="006D5AF5" w:rsidP="006D5AF5">
      <w:pPr>
        <w:rPr>
          <w:lang w:eastAsia="fr-FR"/>
        </w:rPr>
      </w:pPr>
    </w:p>
    <w:p w:rsidR="006A4EED" w:rsidRPr="003B00C8" w:rsidRDefault="006A4EED" w:rsidP="00E2394E">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Partis parce qu’affamés et cherchant de quoi manger, ces deux personnages longtemps oubliés par le lecteur refont surface de manière inattendue dans l’intrigue du narrateur. L’ellipse temporelle indéterminée dans ce cas soulève bien de questions dans l’esprit du lecteur dont la principale est « Que s’est-il passé à l’endroit où sont allés l’aveugle et sa femme, y ont-ils obtenu satisfaction, si oui pourquoi revenir ? » </w:t>
      </w:r>
    </w:p>
    <w:p w:rsidR="006A4EED" w:rsidRDefault="006A4EED" w:rsidP="003906B0">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Il en est de même pour les personnages Safi/Fassi, pour le Mufti, le Servant et le cadi dont les histoires sont de temps à autres interrompues et reprises sans suite des événements qui sont survenus entre temps. Nous jetons ici notre dévolu sur le personnage Safi qui se fait appeler Fassi, très proche de Halima pour qui elle avait élevé une supplication vers les vertueux pour sa libération et son retour dans la contrée. L’apparition de ce personnage est soudaine au même titre que l’est l’aide qu’il apportera à sa cousine Halima dans la gestion du patrimoine national pour le bien-être du pays. D’ailleurs le narrateur-conteur à la clôture de la pièce de théâtre </w:t>
      </w:r>
      <w:r w:rsidRPr="003B00C8">
        <w:rPr>
          <w:rFonts w:ascii="Times New Roman" w:eastAsia="Times New Roman" w:hAnsi="Times New Roman"/>
          <w:sz w:val="24"/>
          <w:szCs w:val="24"/>
          <w:lang w:eastAsia="fr-FR"/>
        </w:rPr>
        <w:lastRenderedPageBreak/>
        <w:t>expose le mieux la sagesse de l’œuvre et la symbolique du personnage peu raconté :</w:t>
      </w:r>
    </w:p>
    <w:p w:rsidR="00E72F32" w:rsidRPr="003B00C8" w:rsidRDefault="00E72F32" w:rsidP="001A4A07">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3906B0" w:rsidRDefault="006A4EED" w:rsidP="003906B0">
      <w:pPr>
        <w:pStyle w:val="Citationintense"/>
        <w:spacing w:before="0" w:after="0"/>
        <w:ind w:left="567" w:right="0"/>
        <w:rPr>
          <w:iCs w:val="0"/>
          <w:sz w:val="20"/>
          <w:szCs w:val="20"/>
          <w:lang w:eastAsia="fr-FR"/>
        </w:rPr>
      </w:pPr>
      <w:r w:rsidRPr="003906B0">
        <w:rPr>
          <w:b/>
          <w:iCs w:val="0"/>
          <w:sz w:val="20"/>
          <w:szCs w:val="20"/>
          <w:lang w:eastAsia="fr-FR"/>
        </w:rPr>
        <w:t xml:space="preserve">CONTEUR- </w:t>
      </w:r>
      <w:r w:rsidRPr="003906B0">
        <w:rPr>
          <w:iCs w:val="0"/>
          <w:sz w:val="20"/>
          <w:szCs w:val="20"/>
          <w:lang w:eastAsia="fr-FR"/>
        </w:rPr>
        <w:t>Les histoires des conteurs</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Sont parfois sucrées parfois salées</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Tout ce qu'ils trouveront à dire sur le lion c'est du bien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 xml:space="preserve">Mais de </w:t>
      </w:r>
      <w:r w:rsidR="00813DC5" w:rsidRPr="003906B0">
        <w:rPr>
          <w:iCs w:val="0"/>
          <w:sz w:val="20"/>
          <w:szCs w:val="20"/>
          <w:lang w:eastAsia="fr-FR"/>
        </w:rPr>
        <w:t>l’hyène</w:t>
      </w:r>
      <w:r w:rsidRPr="003906B0">
        <w:rPr>
          <w:iCs w:val="0"/>
          <w:sz w:val="20"/>
          <w:szCs w:val="20"/>
          <w:lang w:eastAsia="fr-FR"/>
        </w:rPr>
        <w:t xml:space="preserve"> ils diront qu'elle est pire qu'un chien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Cette histoire n'a pas de fin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Elle est comme la vie enfin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Et comporte une leçon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À qui prête attention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Le Fassi qui n'est pas de Fès</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Le cousin de Halima l'aveugle</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S'appelle en réalité Safi Le Pur car il est juste et bon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Et ni le caïd ni le mufti ni le cadi n'y verront d'objection</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Où est le bien véritable</w:t>
      </w:r>
    </w:p>
    <w:p w:rsidR="006A4EED" w:rsidRPr="003906B0" w:rsidRDefault="006A4EED" w:rsidP="003906B0">
      <w:pPr>
        <w:pStyle w:val="Citationintense"/>
        <w:spacing w:before="0" w:after="0"/>
        <w:ind w:left="567" w:right="0"/>
        <w:rPr>
          <w:iCs w:val="0"/>
          <w:sz w:val="20"/>
          <w:szCs w:val="20"/>
          <w:lang w:eastAsia="fr-FR"/>
        </w:rPr>
      </w:pPr>
      <w:r w:rsidRPr="003906B0">
        <w:rPr>
          <w:iCs w:val="0"/>
          <w:sz w:val="20"/>
          <w:szCs w:val="20"/>
          <w:lang w:eastAsia="fr-FR"/>
        </w:rPr>
        <w:t>Celui qu'a fait Halima</w:t>
      </w:r>
    </w:p>
    <w:p w:rsidR="006A4EED" w:rsidRPr="003906B0" w:rsidRDefault="006A4EED" w:rsidP="003906B0">
      <w:pPr>
        <w:pStyle w:val="Citationintense"/>
        <w:spacing w:before="0" w:after="0"/>
        <w:ind w:left="567" w:right="0"/>
        <w:rPr>
          <w:sz w:val="20"/>
          <w:szCs w:val="20"/>
          <w:lang w:eastAsia="fr-FR"/>
        </w:rPr>
      </w:pPr>
      <w:r w:rsidRPr="003906B0">
        <w:rPr>
          <w:iCs w:val="0"/>
          <w:sz w:val="20"/>
          <w:szCs w:val="20"/>
          <w:lang w:eastAsia="fr-FR"/>
        </w:rPr>
        <w:t>Ou celui qu'a commencé à faire Safi</w:t>
      </w:r>
      <w:r w:rsidRPr="003906B0">
        <w:rPr>
          <w:sz w:val="20"/>
          <w:szCs w:val="20"/>
          <w:lang w:eastAsia="fr-FR"/>
        </w:rPr>
        <w:t xml:space="preserve"> ?</w:t>
      </w:r>
      <w:r w:rsidR="00E72F32" w:rsidRPr="003906B0">
        <w:rPr>
          <w:sz w:val="20"/>
          <w:szCs w:val="20"/>
          <w:lang w:eastAsia="fr-FR"/>
        </w:rPr>
        <w:t xml:space="preserve"> (</w:t>
      </w:r>
      <w:r w:rsidR="003906B0">
        <w:rPr>
          <w:i/>
          <w:iCs w:val="0"/>
          <w:sz w:val="20"/>
          <w:szCs w:val="20"/>
          <w:lang w:eastAsia="fr-FR"/>
        </w:rPr>
        <w:t xml:space="preserve">Ibid, </w:t>
      </w:r>
      <w:r w:rsidR="00E72F32" w:rsidRPr="003906B0">
        <w:rPr>
          <w:sz w:val="20"/>
          <w:szCs w:val="20"/>
          <w:lang w:eastAsia="fr-FR"/>
        </w:rPr>
        <w:t>p.81)</w:t>
      </w:r>
    </w:p>
    <w:p w:rsidR="00E72F32" w:rsidRPr="00E72F32" w:rsidRDefault="00E72F32" w:rsidP="00E72F32">
      <w:pPr>
        <w:rPr>
          <w:lang w:eastAsia="fr-FR"/>
        </w:rPr>
      </w:pPr>
    </w:p>
    <w:p w:rsidR="00813DC5" w:rsidRPr="001A4A07" w:rsidRDefault="006A4EED" w:rsidP="003906B0">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Dans le cas de l’ellipse explicite comme dans le cas de l’ellipse implicite, on se rend compte qu’elle n’a pas seulement un fait de durée ou de fréquence. Elle est également un fait d’ordre, dans la mesure où elle synthétise les événements ou les supprime, rompant ainsi leur ordre de succession.</w:t>
      </w:r>
    </w:p>
    <w:p w:rsidR="00813DC5" w:rsidRPr="003906B0" w:rsidRDefault="006A4EED" w:rsidP="003906B0">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Ainsi, que ce soit les prolepses, les analepses ou les ellipses, ces discordances de temps illustrent en réalité le brouillage temporel dans le récit. Néanmoins, ces anachronismes jouent leurs rôles dans un récit décousu, celui de fournir des détails nécessaires à la compréhension du récit au moment où le narrateur l’évoque. Cette interprétation n’est pas très différente du rôle que Sadoulet assigne aux anachronies : </w:t>
      </w:r>
      <w:r w:rsidRPr="003906B0">
        <w:rPr>
          <w:rFonts w:ascii="Times New Roman" w:eastAsia="Times New Roman" w:hAnsi="Times New Roman"/>
          <w:sz w:val="24"/>
          <w:szCs w:val="24"/>
          <w:lang w:eastAsia="fr-FR"/>
        </w:rPr>
        <w:t>« Le principal rôle des anachronismes est de mettre en évidence l’événement singulier du récit premier en rapport avec d’autres événements ou état passé, habituels ou futurs dans une fonction explicative qui s’attache à éclairer causes et conséquences »</w:t>
      </w:r>
      <w:r w:rsidRPr="003906B0">
        <w:rPr>
          <w:rFonts w:ascii="Times New Roman" w:eastAsia="Times New Roman" w:hAnsi="Times New Roman"/>
          <w:sz w:val="24"/>
          <w:szCs w:val="24"/>
          <w:vertAlign w:val="superscript"/>
          <w:lang w:eastAsia="fr-FR"/>
        </w:rPr>
        <w:footnoteReference w:id="157"/>
      </w:r>
      <w:r w:rsidR="003906B0">
        <w:rPr>
          <w:rFonts w:ascii="Times New Roman" w:eastAsia="Times New Roman" w:hAnsi="Times New Roman"/>
          <w:sz w:val="24"/>
          <w:szCs w:val="24"/>
          <w:lang w:eastAsia="fr-FR"/>
        </w:rPr>
        <w:t>.</w:t>
      </w:r>
    </w:p>
    <w:p w:rsidR="00813DC5" w:rsidRPr="003B00C8" w:rsidRDefault="006A4EED" w:rsidP="00F175B7">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De cette possibilité du narrateur à échapper au contrôle du temps, à brouiller toutes les pistes chronologiques, ressort l’influence du temps mystique et mythique sur le temps de la narration. Cette influence est également perçue à travers les procédés de narration.</w:t>
      </w:r>
    </w:p>
    <w:p w:rsidR="006A4EED" w:rsidRPr="00346161" w:rsidRDefault="00346161" w:rsidP="00346161">
      <w:pPr>
        <w:pStyle w:val="Titre3"/>
        <w:spacing w:before="0" w:after="0" w:line="360" w:lineRule="auto"/>
        <w:ind w:left="641" w:hanging="357"/>
        <w:jc w:val="both"/>
        <w:rPr>
          <w:rFonts w:ascii="Times New Roman" w:hAnsi="Times New Roman" w:cs="Times New Roman"/>
          <w:sz w:val="24"/>
          <w:szCs w:val="24"/>
        </w:rPr>
      </w:pPr>
      <w:bookmarkStart w:id="87" w:name="_Toc471484458"/>
      <w:r w:rsidRPr="00346161">
        <w:rPr>
          <w:rFonts w:ascii="Times New Roman" w:hAnsi="Times New Roman" w:cs="Times New Roman"/>
          <w:sz w:val="24"/>
          <w:szCs w:val="24"/>
        </w:rPr>
        <w:lastRenderedPageBreak/>
        <w:t>2. La</w:t>
      </w:r>
      <w:r w:rsidR="006A4EED" w:rsidRPr="00346161">
        <w:rPr>
          <w:rFonts w:ascii="Times New Roman" w:hAnsi="Times New Roman" w:cs="Times New Roman"/>
          <w:sz w:val="24"/>
          <w:szCs w:val="24"/>
        </w:rPr>
        <w:t xml:space="preserve"> dynamique des personnages</w:t>
      </w:r>
      <w:bookmarkEnd w:id="87"/>
    </w:p>
    <w:p w:rsidR="006A4EED" w:rsidRPr="003B00C8" w:rsidRDefault="006A4EED" w:rsidP="0034616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Barnabé Mbala Zé adjoint le personnage dans la liste des catégories du récit lorsqu’il revisite la narratologie, en tant qu’il est une catégorie qui permet de conserver et transformer le récit</w:t>
      </w:r>
      <w:r w:rsidRPr="003B00C8">
        <w:rPr>
          <w:rFonts w:ascii="Times New Roman" w:eastAsia="Times New Roman" w:hAnsi="Times New Roman"/>
          <w:sz w:val="24"/>
          <w:szCs w:val="24"/>
          <w:vertAlign w:val="superscript"/>
          <w:lang w:eastAsia="fr-FR"/>
        </w:rPr>
        <w:footnoteReference w:id="158"/>
      </w:r>
      <w:r w:rsidRPr="003B00C8">
        <w:rPr>
          <w:rFonts w:ascii="Times New Roman" w:eastAsia="Times New Roman" w:hAnsi="Times New Roman"/>
          <w:sz w:val="24"/>
          <w:szCs w:val="24"/>
          <w:lang w:eastAsia="fr-FR"/>
        </w:rPr>
        <w:t>.</w:t>
      </w:r>
    </w:p>
    <w:p w:rsidR="00D7198B" w:rsidRDefault="006A4EED" w:rsidP="0068576A">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 L’un des postulats fondamentaux de la sémiotique consiste à poser son texte comme un système: or qui dit système dit ordre, et interdépendance des éléments constitutifs. Un système se comporte donc comme un tout cohérent; c’est dire que les liens qui unissent ces éléments du système sont si étroits qu’une modification de l’un deux entraîne celle de tous les autres.</w:t>
      </w:r>
      <w:r w:rsidR="0068576A">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Parler de ce fait du système des personnages dans une œuvre revient à définir le personnage tout d’abord comme une unité anthropomorphe, mais aussi comme </w:t>
      </w:r>
      <w:r w:rsidRPr="003B00C8">
        <w:rPr>
          <w:rFonts w:ascii="Times New Roman" w:eastAsia="Times New Roman" w:hAnsi="Times New Roman"/>
          <w:i/>
          <w:iCs/>
          <w:sz w:val="24"/>
          <w:szCs w:val="24"/>
          <w:lang w:eastAsia="fr-FR"/>
        </w:rPr>
        <w:t>une reconstruction du lecteur, une reconstruction du texte.</w:t>
      </w:r>
      <w:r w:rsidRPr="003B00C8">
        <w:rPr>
          <w:rFonts w:ascii="Times New Roman" w:eastAsia="Times New Roman" w:hAnsi="Times New Roman"/>
          <w:i/>
          <w:iCs/>
          <w:sz w:val="24"/>
          <w:szCs w:val="24"/>
          <w:vertAlign w:val="superscript"/>
          <w:lang w:eastAsia="fr-FR"/>
        </w:rPr>
        <w:footnoteReference w:id="159"/>
      </w:r>
      <w:r w:rsidRPr="003B00C8">
        <w:rPr>
          <w:rFonts w:ascii="Times New Roman" w:eastAsia="Times New Roman" w:hAnsi="Times New Roman"/>
          <w:i/>
          <w:iCs/>
          <w:color w:val="000000"/>
          <w:sz w:val="24"/>
          <w:szCs w:val="24"/>
          <w:lang w:eastAsia="fr-FR"/>
        </w:rPr>
        <w:t xml:space="preserve"> </w:t>
      </w:r>
      <w:r w:rsidRPr="003B00C8">
        <w:rPr>
          <w:rFonts w:ascii="Times New Roman" w:eastAsia="Times New Roman" w:hAnsi="Times New Roman"/>
          <w:color w:val="000000"/>
          <w:sz w:val="24"/>
          <w:szCs w:val="24"/>
          <w:lang w:eastAsia="fr-FR"/>
        </w:rPr>
        <w:t>En tant que tel le système des personnages a une sémiosis particulière parce qu’il participe à la construction et à la l’élaboration de la signification d’une œuvre, parce qu’il concourt autant que l’action ou le temps à l’unité du récit.</w:t>
      </w:r>
    </w:p>
    <w:p w:rsidR="006A4EED" w:rsidRPr="003B00C8" w:rsidRDefault="006A4EED" w:rsidP="0068576A">
      <w:pPr>
        <w:tabs>
          <w:tab w:val="left" w:pos="8364"/>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Dans le texte mis en regard, les personnages s’orientent profondément vers un ailleurs inconnu, ignorant le risque ou l’obstacle à franchir. De ces déplacements, les personnages se présentent comme des êtres fatigués de la monotonie du quotidien ou encore des oppressés par un ici inconfortable parce que misérable. Ils optent donc pour l’ailleurs à priori détenteur du vrai bonheur ; cette dynamique participe à la mythisation du récit dans la mesure où la fin d’un voyage entraine un autre, d’une aventure entraine une autre. Les personnages se présentent comme des êtres manipulés par une poétique orientée vers l’aventure. Qu’il s’agisse des transhumances ou des départs définitifs, ces aventures ont des motivations ou des quêtes connues.</w:t>
      </w:r>
    </w:p>
    <w:p w:rsidR="006A4EED" w:rsidRPr="00D5093B" w:rsidRDefault="00D5093B" w:rsidP="00D5093B">
      <w:pPr>
        <w:pStyle w:val="Titre4"/>
        <w:spacing w:before="0" w:after="0" w:line="360" w:lineRule="auto"/>
        <w:ind w:left="641" w:hanging="357"/>
        <w:jc w:val="both"/>
        <w:rPr>
          <w:rFonts w:ascii="Times New Roman" w:hAnsi="Times New Roman"/>
          <w:i w:val="0"/>
          <w:iCs/>
          <w:lang w:eastAsia="fr-FR"/>
        </w:rPr>
      </w:pPr>
      <w:bookmarkStart w:id="88" w:name="_Toc471484459"/>
      <w:r w:rsidRPr="00D5093B">
        <w:rPr>
          <w:rFonts w:ascii="Times New Roman" w:hAnsi="Times New Roman"/>
          <w:i w:val="0"/>
          <w:iCs/>
          <w:lang w:eastAsia="fr-FR"/>
        </w:rPr>
        <w:t>2.1. Des</w:t>
      </w:r>
      <w:r w:rsidR="006A4EED" w:rsidRPr="00D5093B">
        <w:rPr>
          <w:rFonts w:ascii="Times New Roman" w:hAnsi="Times New Roman"/>
          <w:i w:val="0"/>
          <w:iCs/>
          <w:lang w:eastAsia="fr-FR"/>
        </w:rPr>
        <w:t xml:space="preserve"> personnages aventuriers</w:t>
      </w:r>
      <w:bookmarkEnd w:id="88"/>
    </w:p>
    <w:p w:rsidR="00D7198B" w:rsidRDefault="006A4EED" w:rsidP="00D5093B">
      <w:pPr>
        <w:tabs>
          <w:tab w:val="left" w:pos="709"/>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Aventure, du latin « adventura » (advenir), désigne ce qui arrive d’imprévu. Le livre d’aventure sera le récit de voyages  mouvementés d’un homme –ou d’un  groupe d’hommes- partant de chez lui pour un but lointain, ou loin de chez lui, et cherchant à y revenir par la suite ; car l’aventure n’est jamais un départ absolu. De </w:t>
      </w:r>
      <w:r w:rsidRPr="003B00C8">
        <w:rPr>
          <w:rFonts w:ascii="Times New Roman" w:eastAsia="Times New Roman" w:hAnsi="Times New Roman"/>
          <w:color w:val="000000"/>
          <w:sz w:val="24"/>
          <w:szCs w:val="24"/>
          <w:lang w:eastAsia="fr-FR"/>
        </w:rPr>
        <w:lastRenderedPageBreak/>
        <w:t>plus, le voyage a lieu dans des espaces immenses, dangereux, inconnus ; et là tout peut arriver.</w:t>
      </w:r>
    </w:p>
    <w:p w:rsidR="00E72F32" w:rsidRPr="0064706C" w:rsidRDefault="006A4EED" w:rsidP="0064706C">
      <w:pPr>
        <w:tabs>
          <w:tab w:val="left" w:pos="8364"/>
        </w:tabs>
        <w:autoSpaceDE w:val="0"/>
        <w:autoSpaceDN w:val="0"/>
        <w:adjustRightInd w:val="0"/>
        <w:spacing w:after="0" w:line="360" w:lineRule="auto"/>
        <w:ind w:firstLine="284"/>
        <w:jc w:val="both"/>
        <w:rPr>
          <w:rFonts w:asciiTheme="majorBidi" w:hAnsiTheme="majorBidi" w:cstheme="majorBidi"/>
          <w:sz w:val="24"/>
          <w:szCs w:val="24"/>
          <w:lang w:eastAsia="fr-FR"/>
        </w:rPr>
      </w:pPr>
      <w:r w:rsidRPr="003B00C8">
        <w:rPr>
          <w:rFonts w:ascii="Times New Roman" w:eastAsia="Times New Roman" w:hAnsi="Times New Roman"/>
          <w:color w:val="000000"/>
          <w:sz w:val="24"/>
          <w:szCs w:val="24"/>
          <w:lang w:eastAsia="fr-FR"/>
        </w:rPr>
        <w:t xml:space="preserve">D’après Marie-Louise Messi Ndongo, </w:t>
      </w:r>
      <w:r w:rsidR="0064706C" w:rsidRPr="0064706C">
        <w:rPr>
          <w:rFonts w:asciiTheme="majorBidi" w:eastAsia="Times New Roman" w:hAnsiTheme="majorBidi" w:cstheme="majorBidi"/>
          <w:color w:val="000000"/>
          <w:sz w:val="24"/>
          <w:szCs w:val="24"/>
          <w:lang w:eastAsia="fr-FR"/>
        </w:rPr>
        <w:t>« </w:t>
      </w:r>
      <w:r w:rsidRPr="0064706C">
        <w:rPr>
          <w:rFonts w:asciiTheme="majorBidi" w:hAnsiTheme="majorBidi" w:cstheme="majorBidi"/>
          <w:sz w:val="24"/>
          <w:szCs w:val="24"/>
          <w:lang w:eastAsia="fr-FR"/>
        </w:rPr>
        <w:t>le terme aventure est utilisé communément pour désigner une entreprise hasardeuse, librement initiée, dénuée de tout souci de planification et à travers laquelle le sujet s’engage résolument à sonder l’inconnu, à arpenter des territoires nouveaux, avec une intention de défi et de dépassement manifeste</w:t>
      </w:r>
      <w:r w:rsidR="0064706C">
        <w:rPr>
          <w:rFonts w:asciiTheme="majorBidi" w:hAnsiTheme="majorBidi" w:cstheme="majorBidi"/>
          <w:sz w:val="24"/>
          <w:szCs w:val="24"/>
          <w:lang w:eastAsia="fr-FR"/>
        </w:rPr>
        <w:t> »</w:t>
      </w:r>
      <w:r w:rsidRPr="0064706C">
        <w:rPr>
          <w:rFonts w:asciiTheme="majorBidi" w:hAnsiTheme="majorBidi" w:cstheme="majorBidi"/>
          <w:sz w:val="24"/>
          <w:szCs w:val="24"/>
          <w:vertAlign w:val="superscript"/>
          <w:lang w:eastAsia="fr-FR"/>
        </w:rPr>
        <w:footnoteReference w:id="160"/>
      </w:r>
      <w:r w:rsidR="0064706C" w:rsidRPr="0064706C">
        <w:rPr>
          <w:rFonts w:asciiTheme="majorBidi" w:hAnsiTheme="majorBidi" w:cstheme="majorBidi"/>
          <w:sz w:val="24"/>
          <w:szCs w:val="24"/>
          <w:lang w:eastAsia="fr-FR"/>
        </w:rPr>
        <w:t>.</w:t>
      </w:r>
      <w:r w:rsidRPr="0064706C">
        <w:rPr>
          <w:rFonts w:asciiTheme="majorBidi" w:hAnsiTheme="majorBidi" w:cstheme="majorBidi"/>
          <w:sz w:val="24"/>
          <w:szCs w:val="24"/>
          <w:lang w:eastAsia="fr-FR"/>
        </w:rPr>
        <w:t xml:space="preserve"> </w:t>
      </w:r>
    </w:p>
    <w:p w:rsidR="00D7198B" w:rsidRDefault="006A4EED" w:rsidP="00BD58B0">
      <w:pPr>
        <w:tabs>
          <w:tab w:val="left" w:pos="8364"/>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C’est dire qu’au centre du terme aventure se situe plusieurs classiques tels que le départ, la découverte, le risque, le danger. Selon les horizons d’attente des personnages, une aventure peut être quêteuse, héroïque ou ludique. Plusieurs de ces paramètres de l’aventure sont présents dans le corpus.</w:t>
      </w:r>
    </w:p>
    <w:p w:rsidR="006A4EED" w:rsidRPr="003B00C8" w:rsidRDefault="006A4EED" w:rsidP="00BD58B0">
      <w:pPr>
        <w:tabs>
          <w:tab w:val="left" w:pos="8364"/>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L’aventure peut être « quêteuse » comme chez l’explorateur, le pionnier, le voyageur ou comme chez le savant, cet aventurier de la pensée ; elle peut être « héroïque » comme chez certains personnages des œuvres littéraires ; «individuelle » si elle est sous-tendue par l’esprit du lucre, de conquête et de gloire personnelle. L’aventure peut aussi être ludique ou rêvée selon qu’elle est motivée par le seul démon de l’aventure qui habite l’individu, ou qu’elle n’est point concrétisée.</w:t>
      </w:r>
    </w:p>
    <w:p w:rsidR="0033403C" w:rsidRDefault="0033403C" w:rsidP="006A4EED">
      <w:pPr>
        <w:tabs>
          <w:tab w:val="left" w:pos="8364"/>
        </w:tabs>
        <w:autoSpaceDE w:val="0"/>
        <w:autoSpaceDN w:val="0"/>
        <w:adjustRightInd w:val="0"/>
        <w:spacing w:after="0" w:line="360" w:lineRule="auto"/>
        <w:jc w:val="both"/>
        <w:rPr>
          <w:rFonts w:ascii="Times New Roman" w:eastAsia="Times New Roman" w:hAnsi="Times New Roman"/>
          <w:color w:val="000000"/>
          <w:sz w:val="24"/>
          <w:szCs w:val="24"/>
          <w:lang w:eastAsia="fr-FR"/>
        </w:rPr>
      </w:pPr>
    </w:p>
    <w:p w:rsidR="0033403C" w:rsidRDefault="006A4EED" w:rsidP="00BD58B0">
      <w:pPr>
        <w:tabs>
          <w:tab w:val="left" w:pos="8364"/>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Cette typologie est pourtant bien loin d’être exhaustive et rend parfaitement compte de la difficulté à cerner le thème de l’aventure. Au surplus, chaque individu, chaque être est-il à soi-même une véritable aventure. Nul d’entre nous ne connait, en effet, ni le jour, ni l’heure où ses parents lui « infligèrent la vie », pour parler comme Chateaubriand. Eux-mêmes le savent-ils vraiment ? Nul ne peut prédire avec exactitude le jour ou l’heure de sa mort !</w:t>
      </w:r>
    </w:p>
    <w:p w:rsidR="0033403C" w:rsidRDefault="006A4EED" w:rsidP="00BD58B0">
      <w:pPr>
        <w:tabs>
          <w:tab w:val="left" w:pos="8364"/>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L’aventure s’inscrit ainsi au cœur même de l’être et a des interférences avec l’exotisme, l’évasion, le gout du risque, l’héroïsme, tous désirs viscéraux de l’homme depuis la nuit des temps.</w:t>
      </w:r>
    </w:p>
    <w:p w:rsidR="0033403C" w:rsidRDefault="006A4EED" w:rsidP="004445E4">
      <w:pPr>
        <w:tabs>
          <w:tab w:val="left" w:pos="8364"/>
        </w:tabs>
        <w:autoSpaceDE w:val="0"/>
        <w:autoSpaceDN w:val="0"/>
        <w:adjustRightInd w:val="0"/>
        <w:spacing w:after="0" w:line="360" w:lineRule="auto"/>
        <w:ind w:firstLine="227"/>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Aussi à la question de savoir ce qui fait l’aventure d’un texte ou d’une œuvre littéraire, on répondra que c’est un texte dont le repérage des traits pertinents ressortit à une esthétique soumise ou réfractaire à la tradition littéraire depuis </w:t>
      </w:r>
      <w:r w:rsidRPr="003B00C8">
        <w:rPr>
          <w:rFonts w:ascii="Times New Roman" w:eastAsia="Times New Roman" w:hAnsi="Times New Roman"/>
          <w:color w:val="000000"/>
          <w:sz w:val="24"/>
          <w:szCs w:val="24"/>
          <w:lang w:eastAsia="fr-FR"/>
        </w:rPr>
        <w:lastRenderedPageBreak/>
        <w:t>l’époque médiévale. D’Homère à Maigret, en passant par Chrestien de Troyes, Lesage, Hugo, Balzac ou Stendhal, l’aventure s’impose comme un item prolifique qui a inspiré des œuvres magistrales.</w:t>
      </w:r>
    </w:p>
    <w:p w:rsidR="006A4EED" w:rsidRPr="003B00C8" w:rsidRDefault="006A4EED" w:rsidP="004445E4">
      <w:pPr>
        <w:tabs>
          <w:tab w:val="left" w:pos="8364"/>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L’aventure s’inscrit alors, provisoirement, au confluent d’une forme (cadres rhétoriques, techniques d’écriture et de composition) et d’un sens (orientations thématiques, significations avouées ou non). De sorte que parler d’aventure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 xml:space="preserve">Ould Abderrahmane </w:t>
      </w:r>
      <w:r w:rsidR="0033403C" w:rsidRPr="003B00C8">
        <w:rPr>
          <w:rFonts w:ascii="Times New Roman" w:eastAsia="Times New Roman" w:hAnsi="Times New Roman"/>
          <w:sz w:val="24"/>
          <w:szCs w:val="24"/>
          <w:lang w:eastAsia="fr-FR"/>
        </w:rPr>
        <w:t xml:space="preserve">Kaki </w:t>
      </w:r>
      <w:r w:rsidRPr="003B00C8">
        <w:rPr>
          <w:rFonts w:ascii="Times New Roman" w:eastAsia="Times New Roman" w:hAnsi="Times New Roman"/>
          <w:sz w:val="24"/>
          <w:szCs w:val="24"/>
          <w:lang w:eastAsia="fr-FR"/>
        </w:rPr>
        <w:t>conduit irréfutablement à parler de l’aventure de l’œuvre littéraire elle-même.  C’est sans doute, la replacer, écriture et sens liés, contenant et contenu scellés, à la fois dans la perspective de l’histoire littéraire et la dynamique des analyses et des repérages des ressources techniques.</w:t>
      </w:r>
    </w:p>
    <w:p w:rsidR="003E4AF0" w:rsidRDefault="003E4AF0" w:rsidP="003E4AF0">
      <w:pPr>
        <w:pStyle w:val="Titre4"/>
        <w:spacing w:before="0" w:after="0" w:line="360" w:lineRule="auto"/>
        <w:ind w:left="641" w:hanging="357"/>
        <w:jc w:val="both"/>
        <w:rPr>
          <w:rFonts w:ascii="Times New Roman" w:hAnsi="Times New Roman"/>
          <w:i w:val="0"/>
          <w:iCs/>
          <w:lang w:eastAsia="fr-FR"/>
        </w:rPr>
      </w:pPr>
    </w:p>
    <w:p w:rsidR="006A4EED" w:rsidRPr="0033403C" w:rsidRDefault="003E4AF0" w:rsidP="003E4AF0">
      <w:pPr>
        <w:pStyle w:val="Titre4"/>
        <w:spacing w:before="0" w:after="0" w:line="360" w:lineRule="auto"/>
        <w:ind w:left="641" w:hanging="357"/>
        <w:jc w:val="both"/>
        <w:rPr>
          <w:rFonts w:ascii="Times New Roman" w:hAnsi="Times New Roman"/>
          <w:i w:val="0"/>
          <w:iCs/>
          <w:lang w:eastAsia="fr-FR"/>
        </w:rPr>
      </w:pPr>
      <w:bookmarkStart w:id="89" w:name="_Toc471484460"/>
      <w:r>
        <w:rPr>
          <w:rFonts w:ascii="Times New Roman" w:hAnsi="Times New Roman"/>
          <w:i w:val="0"/>
          <w:iCs/>
          <w:lang w:eastAsia="fr-FR"/>
        </w:rPr>
        <w:t>2.2.</w:t>
      </w:r>
      <w:r w:rsidRPr="0033403C">
        <w:rPr>
          <w:rFonts w:ascii="Times New Roman" w:hAnsi="Times New Roman"/>
          <w:i w:val="0"/>
          <w:iCs/>
          <w:lang w:eastAsia="fr-FR"/>
        </w:rPr>
        <w:t xml:space="preserve"> L’aventure</w:t>
      </w:r>
      <w:r w:rsidR="006A4EED" w:rsidRPr="0033403C">
        <w:rPr>
          <w:rFonts w:ascii="Times New Roman" w:hAnsi="Times New Roman"/>
          <w:i w:val="0"/>
          <w:iCs/>
          <w:lang w:eastAsia="fr-FR"/>
        </w:rPr>
        <w:t xml:space="preserve"> dans l’espace</w:t>
      </w:r>
      <w:bookmarkEnd w:id="89"/>
    </w:p>
    <w:p w:rsidR="0033403C" w:rsidRPr="003B00C8" w:rsidRDefault="006A4EED" w:rsidP="003E4AF0">
      <w:pPr>
        <w:tabs>
          <w:tab w:val="left" w:pos="8364"/>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color w:val="000000"/>
          <w:sz w:val="24"/>
          <w:szCs w:val="24"/>
          <w:lang w:eastAsia="fr-FR"/>
        </w:rPr>
        <w:t xml:space="preserve">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Kaki, plusieurs cas de figure illustrent l’aventure spatiale des personnages. Celle-ci se fait sentir à travers les thèmes de la marche, de la fuite, du voyage qui y sont développés. C’est le cas du Derviche qui est le tout premier personnage à entreprendre un aller qu’il croyait sans retour.</w:t>
      </w:r>
    </w:p>
    <w:p w:rsidR="00B32D90" w:rsidRPr="003B00C8" w:rsidRDefault="006A4EED" w:rsidP="003E4AF0">
      <w:pPr>
        <w:tabs>
          <w:tab w:val="left" w:pos="8364"/>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Riche en fatigues, en souffrances et en risques, l’aventure est toujours cependant tentante. Elle est un appel du lointain qui fait craquer le carcan des habitudes des personnages de Kaki et les contraints au  dépassement, parfois au dépaysement. Mais il s’agit d’un dépaysement qui, bien canalisé, peut s’avérer positif et enrichissant car, l’aventure convoque en les personnages de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Kaki tout ce qu’il y a de meilleur : présence d’esprit, esprit de partage, souplesse, courage, endurance, retour, etc.</w:t>
      </w:r>
    </w:p>
    <w:p w:rsidR="006A4EED" w:rsidRPr="003B00C8" w:rsidRDefault="006A4EED" w:rsidP="003E4AF0">
      <w:pPr>
        <w:tabs>
          <w:tab w:val="left" w:pos="8364"/>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Derviche le tout premier personnage aventurier de cette pièce théâtrale explique les raisons de son aventure en ses termes :</w:t>
      </w:r>
    </w:p>
    <w:p w:rsidR="006A4EED" w:rsidRPr="003E4AF0" w:rsidRDefault="006A4EED" w:rsidP="003E4AF0">
      <w:pPr>
        <w:pStyle w:val="Citationintense"/>
        <w:spacing w:before="0" w:after="0"/>
        <w:ind w:left="567" w:right="0"/>
        <w:rPr>
          <w:iCs w:val="0"/>
          <w:sz w:val="20"/>
          <w:szCs w:val="20"/>
          <w:lang w:eastAsia="fr-FR"/>
        </w:rPr>
      </w:pPr>
      <w:r w:rsidRPr="003E4AF0">
        <w:rPr>
          <w:b/>
          <w:iCs w:val="0"/>
          <w:sz w:val="20"/>
          <w:szCs w:val="20"/>
          <w:lang w:eastAsia="fr-FR"/>
        </w:rPr>
        <w:t xml:space="preserve">DERVICHE- </w:t>
      </w:r>
      <w:r w:rsidRPr="003E4AF0">
        <w:rPr>
          <w:iCs w:val="0"/>
          <w:sz w:val="20"/>
          <w:szCs w:val="20"/>
          <w:lang w:eastAsia="fr-FR"/>
        </w:rPr>
        <w:t>Je vais quitter sans retour cette contrée qui n’a pas su s’attirer la miséricorde des marabouts !</w:t>
      </w:r>
    </w:p>
    <w:p w:rsidR="006A4EED" w:rsidRPr="003E4AF0" w:rsidRDefault="006A4EED" w:rsidP="003E4AF0">
      <w:pPr>
        <w:pStyle w:val="Citationintense"/>
        <w:spacing w:before="0" w:after="0"/>
        <w:ind w:left="567" w:right="0"/>
        <w:rPr>
          <w:iCs w:val="0"/>
          <w:sz w:val="20"/>
          <w:szCs w:val="20"/>
          <w:lang w:eastAsia="fr-FR"/>
        </w:rPr>
      </w:pPr>
      <w:r w:rsidRPr="003E4AF0">
        <w:rPr>
          <w:b/>
          <w:iCs w:val="0"/>
          <w:sz w:val="20"/>
          <w:szCs w:val="20"/>
          <w:lang w:eastAsia="fr-FR"/>
        </w:rPr>
        <w:t xml:space="preserve">SLIMANE- </w:t>
      </w:r>
      <w:r w:rsidRPr="003E4AF0">
        <w:rPr>
          <w:iCs w:val="0"/>
          <w:sz w:val="20"/>
          <w:szCs w:val="20"/>
          <w:lang w:eastAsia="fr-FR"/>
        </w:rPr>
        <w:t>Tu as bien dit que tu prenais un aller simple ?</w:t>
      </w:r>
    </w:p>
    <w:p w:rsidR="006A4EED" w:rsidRPr="003E4AF0" w:rsidRDefault="006A4EED" w:rsidP="003E4AF0">
      <w:pPr>
        <w:pStyle w:val="Citationintense"/>
        <w:spacing w:before="0" w:after="0"/>
        <w:ind w:left="567" w:right="0"/>
        <w:rPr>
          <w:iCs w:val="0"/>
          <w:sz w:val="20"/>
          <w:szCs w:val="20"/>
          <w:lang w:eastAsia="fr-FR"/>
        </w:rPr>
      </w:pPr>
      <w:r w:rsidRPr="003E4AF0">
        <w:rPr>
          <w:b/>
          <w:iCs w:val="0"/>
          <w:sz w:val="20"/>
          <w:szCs w:val="20"/>
          <w:lang w:eastAsia="fr-FR"/>
        </w:rPr>
        <w:t xml:space="preserve">DERVICHE- </w:t>
      </w:r>
      <w:r w:rsidRPr="003E4AF0">
        <w:rPr>
          <w:iCs w:val="0"/>
          <w:sz w:val="20"/>
          <w:szCs w:val="20"/>
          <w:lang w:eastAsia="fr-FR"/>
        </w:rPr>
        <w:t>Qui pense à un aller-retour ? À Béni-Zernane, les temps sont à la famine et à Béni-Dahane, la peur de la disette fait des ravages ! Que j’aille vers l’est ou vers l’ouest, le fait est que vous ne reverrez plus ma face à partir d’aujourd’hui !</w:t>
      </w:r>
    </w:p>
    <w:p w:rsidR="006A4EED" w:rsidRPr="003E4AF0" w:rsidRDefault="006A4EED" w:rsidP="003E4AF0">
      <w:pPr>
        <w:pStyle w:val="Citationintense"/>
        <w:spacing w:before="0" w:after="0"/>
        <w:ind w:left="567" w:right="0"/>
        <w:rPr>
          <w:sz w:val="20"/>
          <w:szCs w:val="20"/>
          <w:lang w:eastAsia="fr-FR"/>
        </w:rPr>
      </w:pPr>
      <w:r w:rsidRPr="003E4AF0">
        <w:rPr>
          <w:b/>
          <w:iCs w:val="0"/>
          <w:sz w:val="20"/>
          <w:szCs w:val="20"/>
          <w:lang w:eastAsia="fr-FR"/>
        </w:rPr>
        <w:t xml:space="preserve">SLIMANE- </w:t>
      </w:r>
      <w:r w:rsidRPr="003E4AF0">
        <w:rPr>
          <w:iCs w:val="0"/>
          <w:sz w:val="20"/>
          <w:szCs w:val="20"/>
          <w:lang w:eastAsia="fr-FR"/>
        </w:rPr>
        <w:t>Adieu veau, vache</w:t>
      </w:r>
      <w:r w:rsidR="0015029B">
        <w:rPr>
          <w:iCs w:val="0"/>
          <w:sz w:val="20"/>
          <w:szCs w:val="20"/>
          <w:lang w:eastAsia="fr-FR"/>
        </w:rPr>
        <w:t xml:space="preserve"> [</w:t>
      </w:r>
      <w:r w:rsidRPr="003E4AF0">
        <w:rPr>
          <w:iCs w:val="0"/>
          <w:sz w:val="20"/>
          <w:szCs w:val="20"/>
          <w:lang w:eastAsia="fr-FR"/>
        </w:rPr>
        <w:t>…</w:t>
      </w:r>
      <w:r w:rsidR="0015029B">
        <w:rPr>
          <w:iCs w:val="0"/>
          <w:sz w:val="20"/>
          <w:szCs w:val="20"/>
          <w:lang w:eastAsia="fr-FR"/>
        </w:rPr>
        <w:t>]</w:t>
      </w:r>
      <w:r w:rsidRPr="003E4AF0">
        <w:rPr>
          <w:iCs w:val="0"/>
          <w:sz w:val="20"/>
          <w:szCs w:val="20"/>
          <w:lang w:eastAsia="fr-FR"/>
        </w:rPr>
        <w:t xml:space="preserve"> Tu aspirais au grade de derviche et le derviche n’a rien de plus pressé à faire que de quitter la contrée au moment où la disette la menac</w:t>
      </w:r>
      <w:r w:rsidRPr="003E4AF0">
        <w:rPr>
          <w:sz w:val="20"/>
          <w:szCs w:val="20"/>
          <w:lang w:eastAsia="fr-FR"/>
        </w:rPr>
        <w:t>e !</w:t>
      </w:r>
      <w:r w:rsidR="00E72F32" w:rsidRPr="003E4AF0">
        <w:rPr>
          <w:sz w:val="20"/>
          <w:szCs w:val="20"/>
          <w:vertAlign w:val="superscript"/>
          <w:lang w:eastAsia="fr-FR"/>
        </w:rPr>
        <w:t xml:space="preserve"> </w:t>
      </w:r>
      <w:r w:rsidR="00E72F32" w:rsidRPr="003E4AF0">
        <w:rPr>
          <w:sz w:val="20"/>
          <w:szCs w:val="20"/>
          <w:lang w:eastAsia="fr-FR"/>
        </w:rPr>
        <w:t>(</w:t>
      </w:r>
      <w:r w:rsidR="003E4AF0">
        <w:rPr>
          <w:iCs w:val="0"/>
          <w:sz w:val="20"/>
          <w:szCs w:val="20"/>
          <w:lang w:eastAsia="fr-FR"/>
        </w:rPr>
        <w:t xml:space="preserve">O-A. Kaki, 2003, </w:t>
      </w:r>
      <w:r w:rsidR="00E72F32" w:rsidRPr="003E4AF0">
        <w:rPr>
          <w:sz w:val="20"/>
          <w:szCs w:val="20"/>
          <w:lang w:eastAsia="fr-FR"/>
        </w:rPr>
        <w:t>p.14)</w:t>
      </w:r>
    </w:p>
    <w:p w:rsidR="00E72F32" w:rsidRDefault="00E72F32" w:rsidP="00490920">
      <w:pPr>
        <w:tabs>
          <w:tab w:val="left" w:pos="8364"/>
        </w:tabs>
        <w:autoSpaceDE w:val="0"/>
        <w:autoSpaceDN w:val="0"/>
        <w:adjustRightInd w:val="0"/>
        <w:spacing w:after="0" w:line="360" w:lineRule="auto"/>
        <w:jc w:val="both"/>
        <w:rPr>
          <w:rFonts w:ascii="Times New Roman" w:eastAsia="Times New Roman" w:hAnsi="Times New Roman"/>
          <w:color w:val="000000"/>
          <w:sz w:val="24"/>
          <w:szCs w:val="24"/>
          <w:lang w:eastAsia="fr-FR"/>
        </w:rPr>
      </w:pPr>
    </w:p>
    <w:p w:rsidR="00B32D90" w:rsidRDefault="006A4EED" w:rsidP="0083317A">
      <w:pPr>
        <w:tabs>
          <w:tab w:val="left" w:pos="1134"/>
          <w:tab w:val="left" w:pos="8364"/>
        </w:tabs>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lastRenderedPageBreak/>
        <w:t xml:space="preserve">Ce qui caractérise le voyage du Derviche, c’est sa longueur étant donné l’importance des distances couvertes et le caractère lointain, voire inattendu des destinations qu’explique la longue absence observée sur les pages du narrateur-conteur. Révolté du faite de la misère et la disette qui frappe Béni-Dahane, et dont </w:t>
      </w:r>
      <w:r w:rsidRPr="003B00C8">
        <w:rPr>
          <w:rFonts w:ascii="Times New Roman" w:eastAsia="Times New Roman" w:hAnsi="Times New Roman"/>
          <w:sz w:val="24"/>
          <w:szCs w:val="24"/>
          <w:lang w:eastAsia="fr-FR"/>
        </w:rPr>
        <w:t>Béni-Zernane</w:t>
      </w:r>
      <w:r w:rsidRPr="003B00C8">
        <w:rPr>
          <w:rFonts w:ascii="Times New Roman" w:eastAsia="Times New Roman" w:hAnsi="Times New Roman"/>
          <w:color w:val="000000"/>
          <w:sz w:val="24"/>
          <w:szCs w:val="24"/>
          <w:lang w:eastAsia="fr-FR"/>
        </w:rPr>
        <w:t xml:space="preserve"> n’est pas exempte, il décide pour sauver sa panse, de s’éloigner le plus possible de cet enfer et de quitter cette contrée. Il songe à se rendre ailleurs et de la manière la plus inopinée : afin d’éviter d’être mis en pièces par la faim qui le ronge au mieux la famine qui frappe la contrée. Dans sa précipitation et son désir de se retrouver hors de la portée de Dame misère, il emprunte une destination qui l’éloignera et l’empêchera de voir de près l’exaucement des prières qu’il avait levées vers les marabouts vertueux.</w:t>
      </w:r>
    </w:p>
    <w:p w:rsidR="006A4EED" w:rsidRDefault="006A4EED" w:rsidP="0083317A">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color w:val="000000"/>
          <w:sz w:val="24"/>
          <w:szCs w:val="24"/>
          <w:lang w:eastAsia="fr-FR"/>
        </w:rPr>
        <w:t xml:space="preserve">Au surplus, il est à souligner que tous les personnages aventuriers de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 xml:space="preserve">Kaki qui entreprennent une aventure en quête de nouvel espace et conséquemment de bien-être sont inéluctablement ramenés au point de départ (retour). D’ailleurs, à en croire l’aventure de l’aveugle en compagnie de sa femme Aicha, il y a lieu de voir en le texte de Kaki, la réécriture du mythique. Oui ! Le texte du dramaturge  a </w:t>
      </w:r>
      <w:r w:rsidR="00B32D90">
        <w:rPr>
          <w:rFonts w:ascii="Times New Roman" w:eastAsia="Times New Roman" w:hAnsi="Times New Roman"/>
          <w:sz w:val="24"/>
          <w:szCs w:val="24"/>
          <w:lang w:eastAsia="fr-FR"/>
        </w:rPr>
        <w:t xml:space="preserve">un </w:t>
      </w:r>
      <w:r w:rsidRPr="003B00C8">
        <w:rPr>
          <w:rFonts w:ascii="Times New Roman" w:eastAsia="Times New Roman" w:hAnsi="Times New Roman"/>
          <w:sz w:val="24"/>
          <w:szCs w:val="24"/>
          <w:lang w:eastAsia="fr-FR"/>
        </w:rPr>
        <w:t>rapport lié avec le culturel coranique qui s’ancre dans les us et coutumes du Maghreb.  L’aveugle parce</w:t>
      </w:r>
      <w:r w:rsidR="00B32D90">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que aveugle est contraint de quitter le pays :</w:t>
      </w:r>
    </w:p>
    <w:p w:rsidR="00E72F32" w:rsidRPr="003B00C8" w:rsidRDefault="00E72F32" w:rsidP="0019184E">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AÏCHA- </w:t>
      </w:r>
      <w:r w:rsidRPr="0083317A">
        <w:rPr>
          <w:iCs w:val="0"/>
          <w:sz w:val="20"/>
          <w:szCs w:val="20"/>
          <w:lang w:eastAsia="fr-FR"/>
        </w:rPr>
        <w:t>Si tu n’étais pas aveugle, tu verrais tout le bien que tu m’as fait. Si le malheur et la pauvreté sont du bien, alors je nage dans le bien jusqu’aux oreilles. Bon ! Maintenant assez de bavardage ! Marche, sinon je t’abandonne ici !</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AVEUGLE- </w:t>
      </w:r>
      <w:r w:rsidRPr="0083317A">
        <w:rPr>
          <w:iCs w:val="0"/>
          <w:sz w:val="20"/>
          <w:szCs w:val="20"/>
          <w:lang w:eastAsia="fr-FR"/>
        </w:rPr>
        <w:t>Mais où veux-tu que nous allions, Aïcha ? Où ?</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AÏCHA- </w:t>
      </w:r>
      <w:r w:rsidRPr="0083317A">
        <w:rPr>
          <w:iCs w:val="0"/>
          <w:sz w:val="20"/>
          <w:szCs w:val="20"/>
          <w:lang w:eastAsia="fr-FR"/>
        </w:rPr>
        <w:t>Où il est écrit que nous irons ! L’essentiel est de quitter ce pays !</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AVEUGLE- </w:t>
      </w:r>
      <w:r w:rsidRPr="0083317A">
        <w:rPr>
          <w:iCs w:val="0"/>
          <w:sz w:val="20"/>
          <w:szCs w:val="20"/>
          <w:lang w:eastAsia="fr-FR"/>
        </w:rPr>
        <w:t>D’accord Aïcha ! Alors, allons chez les Béni-Zernane.</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AÏCHA- </w:t>
      </w:r>
      <w:r w:rsidRPr="0083317A">
        <w:rPr>
          <w:iCs w:val="0"/>
          <w:sz w:val="20"/>
          <w:szCs w:val="20"/>
          <w:lang w:eastAsia="fr-FR"/>
        </w:rPr>
        <w:t>Écoute l’aveugle, puisque Dieu n’a pas voulu te rendre sourd !</w:t>
      </w:r>
    </w:p>
    <w:p w:rsidR="006A4EED" w:rsidRPr="0083317A" w:rsidRDefault="006A4EED" w:rsidP="0083317A">
      <w:pPr>
        <w:pStyle w:val="Citationintense"/>
        <w:spacing w:before="0" w:after="0"/>
        <w:ind w:left="567" w:right="0"/>
        <w:rPr>
          <w:iCs w:val="0"/>
          <w:sz w:val="20"/>
          <w:szCs w:val="20"/>
          <w:lang w:eastAsia="fr-FR"/>
        </w:rPr>
      </w:pPr>
      <w:r w:rsidRPr="0083317A">
        <w:rPr>
          <w:iCs w:val="0"/>
          <w:sz w:val="20"/>
          <w:szCs w:val="20"/>
          <w:lang w:eastAsia="fr-FR"/>
        </w:rPr>
        <w:t>Chez les Béni-Dahane, c’est la misère ! Mais chez les Béni-Zernane, c’est la famine !</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AVEUGLE- </w:t>
      </w:r>
      <w:r w:rsidRPr="0083317A">
        <w:rPr>
          <w:iCs w:val="0"/>
          <w:sz w:val="20"/>
          <w:szCs w:val="20"/>
          <w:lang w:eastAsia="fr-FR"/>
        </w:rPr>
        <w:t>Et tu crois qu’ailleurs on trouvera un peu de prospérité ?</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AÏCHA- </w:t>
      </w:r>
      <w:r w:rsidRPr="0083317A">
        <w:rPr>
          <w:iCs w:val="0"/>
          <w:sz w:val="20"/>
          <w:szCs w:val="20"/>
          <w:lang w:eastAsia="fr-FR"/>
        </w:rPr>
        <w:t>Celui qui tourne le dos à la disette et à la famine et marche droit devant lui, que crois-tu qu’il trouvera ?</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AVEUGLE- </w:t>
      </w:r>
      <w:r w:rsidRPr="0083317A">
        <w:rPr>
          <w:iCs w:val="0"/>
          <w:sz w:val="20"/>
          <w:szCs w:val="20"/>
          <w:lang w:eastAsia="fr-FR"/>
        </w:rPr>
        <w:t>Peut-être qu’il trouvera la même chose devant lui</w:t>
      </w:r>
      <w:r w:rsidR="0083317A">
        <w:rPr>
          <w:iCs w:val="0"/>
          <w:sz w:val="20"/>
          <w:szCs w:val="20"/>
          <w:lang w:eastAsia="fr-FR"/>
        </w:rPr>
        <w:t xml:space="preserve"> [</w:t>
      </w:r>
      <w:r w:rsidRPr="0083317A">
        <w:rPr>
          <w:iCs w:val="0"/>
          <w:sz w:val="20"/>
          <w:szCs w:val="20"/>
          <w:lang w:eastAsia="fr-FR"/>
        </w:rPr>
        <w:t>…</w:t>
      </w:r>
      <w:r w:rsidR="0083317A">
        <w:rPr>
          <w:iCs w:val="0"/>
          <w:sz w:val="20"/>
          <w:szCs w:val="20"/>
          <w:lang w:eastAsia="fr-FR"/>
        </w:rPr>
        <w:t>]</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AÏCHA- </w:t>
      </w:r>
      <w:r w:rsidRPr="0083317A">
        <w:rPr>
          <w:iCs w:val="0"/>
          <w:sz w:val="20"/>
          <w:szCs w:val="20"/>
          <w:lang w:eastAsia="fr-FR"/>
        </w:rPr>
        <w:t>Écoute le non-voyant ! De deux choses l’une : ou tu marches ou je t'abandonne ici.</w:t>
      </w:r>
    </w:p>
    <w:p w:rsidR="006A4EED" w:rsidRPr="0083317A" w:rsidRDefault="006A4EED" w:rsidP="0083317A">
      <w:pPr>
        <w:pStyle w:val="Citationintense"/>
        <w:spacing w:before="0" w:after="0"/>
        <w:ind w:left="567" w:right="0"/>
        <w:rPr>
          <w:iCs w:val="0"/>
          <w:sz w:val="20"/>
          <w:szCs w:val="20"/>
          <w:lang w:eastAsia="fr-FR"/>
        </w:rPr>
      </w:pPr>
      <w:r w:rsidRPr="0083317A">
        <w:rPr>
          <w:b/>
          <w:iCs w:val="0"/>
          <w:sz w:val="20"/>
          <w:szCs w:val="20"/>
          <w:lang w:eastAsia="fr-FR"/>
        </w:rPr>
        <w:t xml:space="preserve">AVEUGLE- </w:t>
      </w:r>
      <w:r w:rsidRPr="0083317A">
        <w:rPr>
          <w:iCs w:val="0"/>
          <w:sz w:val="20"/>
          <w:szCs w:val="20"/>
          <w:lang w:eastAsia="fr-FR"/>
        </w:rPr>
        <w:t>D’accord, je vais marcher ; mais ne me traîne pas ! Qui veut aller loin, ménage sa monture…</w:t>
      </w:r>
    </w:p>
    <w:p w:rsidR="006A4EED" w:rsidRPr="0083317A" w:rsidRDefault="006A4EED" w:rsidP="0083317A">
      <w:pPr>
        <w:pStyle w:val="Citationintense"/>
        <w:spacing w:before="0" w:after="0"/>
        <w:ind w:left="567" w:right="0"/>
        <w:rPr>
          <w:sz w:val="20"/>
          <w:szCs w:val="20"/>
          <w:lang w:eastAsia="fr-FR"/>
        </w:rPr>
      </w:pPr>
      <w:r w:rsidRPr="0083317A">
        <w:rPr>
          <w:b/>
          <w:iCs w:val="0"/>
          <w:sz w:val="20"/>
          <w:szCs w:val="20"/>
          <w:lang w:eastAsia="fr-FR"/>
        </w:rPr>
        <w:t xml:space="preserve">AÏCHA- </w:t>
      </w:r>
      <w:r w:rsidRPr="0083317A">
        <w:rPr>
          <w:iCs w:val="0"/>
          <w:sz w:val="20"/>
          <w:szCs w:val="20"/>
          <w:lang w:eastAsia="fr-FR"/>
        </w:rPr>
        <w:t>En avant, marche</w:t>
      </w:r>
      <w:r w:rsidRPr="0083317A">
        <w:rPr>
          <w:sz w:val="20"/>
          <w:szCs w:val="20"/>
          <w:lang w:eastAsia="fr-FR"/>
        </w:rPr>
        <w:t xml:space="preserve"> !</w:t>
      </w:r>
      <w:r w:rsidR="00E72F32" w:rsidRPr="0083317A">
        <w:rPr>
          <w:sz w:val="20"/>
          <w:szCs w:val="20"/>
          <w:lang w:eastAsia="fr-FR"/>
        </w:rPr>
        <w:t xml:space="preserve"> (</w:t>
      </w:r>
      <w:r w:rsidR="00C92C77" w:rsidRPr="007E0A19">
        <w:rPr>
          <w:i/>
          <w:iCs w:val="0"/>
          <w:sz w:val="20"/>
          <w:szCs w:val="20"/>
          <w:lang w:eastAsia="fr-FR"/>
        </w:rPr>
        <w:t>Ibid</w:t>
      </w:r>
      <w:r w:rsidR="00C92C77">
        <w:rPr>
          <w:sz w:val="20"/>
          <w:szCs w:val="20"/>
          <w:lang w:eastAsia="fr-FR"/>
        </w:rPr>
        <w:t xml:space="preserve">, </w:t>
      </w:r>
      <w:r w:rsidR="00E72F32" w:rsidRPr="00C92C77">
        <w:rPr>
          <w:sz w:val="20"/>
          <w:szCs w:val="20"/>
          <w:lang w:eastAsia="fr-FR"/>
        </w:rPr>
        <w:t>p</w:t>
      </w:r>
      <w:r w:rsidR="00E72F32" w:rsidRPr="0083317A">
        <w:rPr>
          <w:sz w:val="20"/>
          <w:szCs w:val="20"/>
          <w:lang w:eastAsia="fr-FR"/>
        </w:rPr>
        <w:t>.14)</w:t>
      </w:r>
    </w:p>
    <w:p w:rsidR="006A4EED" w:rsidRPr="00E72F32" w:rsidRDefault="006A4EED" w:rsidP="00E72F32">
      <w:pPr>
        <w:autoSpaceDE w:val="0"/>
        <w:autoSpaceDN w:val="0"/>
        <w:adjustRightInd w:val="0"/>
        <w:spacing w:after="0"/>
        <w:ind w:right="283"/>
        <w:jc w:val="both"/>
        <w:rPr>
          <w:rFonts w:ascii="Times New Roman" w:eastAsia="Times New Roman" w:hAnsi="Times New Roman"/>
          <w:sz w:val="20"/>
          <w:szCs w:val="20"/>
          <w:lang w:eastAsia="fr-FR"/>
        </w:rPr>
      </w:pPr>
    </w:p>
    <w:p w:rsidR="006A4EED" w:rsidRPr="003B00C8" w:rsidRDefault="006A4EED" w:rsidP="00C92C77">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L’impératif « en avant marche » est chargé d’un potentiel explosif, et dont le sens est attenant aux notions de nouveauté, d’incertitude, d’ouverture, de danger, d’audace, de mutation et de transmutation. Si tant est que ces personnages partent </w:t>
      </w:r>
      <w:r w:rsidRPr="003B00C8">
        <w:rPr>
          <w:rFonts w:ascii="Times New Roman" w:eastAsia="Times New Roman" w:hAnsi="Times New Roman"/>
          <w:sz w:val="24"/>
          <w:szCs w:val="24"/>
          <w:lang w:eastAsia="fr-FR"/>
        </w:rPr>
        <w:lastRenderedPageBreak/>
        <w:t>en quête de bien-être, il reste que tous reviennent suite à l’écho des prodiges opérés dans la contrée autrefois frappée de disette. Un repas était donné gratuitement, chacun pouvait manger à satiété.</w:t>
      </w:r>
    </w:p>
    <w:p w:rsidR="006A4EED" w:rsidRPr="003B00C8" w:rsidRDefault="006A4EED" w:rsidP="00C92C77">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En plus, le narrateur de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conduit inéluctablement son lecteur à la découverte de micro-espaces. C’est une aventure intra-scénique qu’entreprennent les trois marabouts vertueux guidés par Slimane en quête du gite et du couvert : de l’hospitalité. Cette aventure intra-scénique code de manière hermétique toute la symbolique de l’ailleurs dans le texte de </w:t>
      </w:r>
      <w:r w:rsidRPr="003B00C8">
        <w:rPr>
          <w:rFonts w:ascii="Times New Roman" w:eastAsia="Times New Roman" w:hAnsi="Times New Roman"/>
          <w:sz w:val="24"/>
          <w:szCs w:val="24"/>
          <w:lang w:eastAsia="fr-FR"/>
        </w:rPr>
        <w:t xml:space="preserve">Kaki. Il est bien curieux en tant qu’étranger de partir de chez soi en y laissant gite et couvert en abondance, pour venir en demander dans une contrée où les hommes pour survivre seraient prêts à se manger les uns les autres. Les distances parcourues par Slimane et les trois vertueux revêtaient chacune pour sa part un enseignement coranique. </w:t>
      </w:r>
    </w:p>
    <w:p w:rsidR="006A4EED" w:rsidRPr="007E0A19" w:rsidRDefault="006A4EED" w:rsidP="00230C65">
      <w:pPr>
        <w:numPr>
          <w:ilvl w:val="0"/>
          <w:numId w:val="10"/>
        </w:numPr>
        <w:autoSpaceDE w:val="0"/>
        <w:autoSpaceDN w:val="0"/>
        <w:adjustRightInd w:val="0"/>
        <w:spacing w:after="0" w:line="360" w:lineRule="auto"/>
        <w:contextualSpacing/>
        <w:jc w:val="both"/>
        <w:rPr>
          <w:rFonts w:ascii="Times New Roman" w:eastAsia="Times New Roman" w:hAnsi="Times New Roman"/>
          <w:b/>
          <w:bCs/>
          <w:sz w:val="24"/>
          <w:szCs w:val="24"/>
          <w:lang w:eastAsia="fr-FR"/>
        </w:rPr>
      </w:pPr>
      <w:r w:rsidRPr="007E0A19">
        <w:rPr>
          <w:rFonts w:ascii="Times New Roman" w:eastAsia="Times New Roman" w:hAnsi="Times New Roman"/>
          <w:b/>
          <w:bCs/>
          <w:sz w:val="24"/>
          <w:szCs w:val="24"/>
          <w:lang w:eastAsia="fr-FR"/>
        </w:rPr>
        <w:t xml:space="preserve">Chez le </w:t>
      </w:r>
      <w:r w:rsidR="00B32D90" w:rsidRPr="007E0A19">
        <w:rPr>
          <w:rFonts w:ascii="Times New Roman" w:eastAsia="Times New Roman" w:hAnsi="Times New Roman"/>
          <w:b/>
          <w:bCs/>
          <w:sz w:val="24"/>
          <w:szCs w:val="24"/>
          <w:lang w:eastAsia="fr-FR"/>
        </w:rPr>
        <w:t xml:space="preserve">personnage </w:t>
      </w:r>
      <w:r w:rsidRPr="007E0A19">
        <w:rPr>
          <w:rFonts w:ascii="Times New Roman" w:eastAsia="Times New Roman" w:hAnsi="Times New Roman"/>
          <w:b/>
          <w:bCs/>
          <w:sz w:val="24"/>
          <w:szCs w:val="24"/>
          <w:lang w:eastAsia="fr-FR"/>
        </w:rPr>
        <w:t>Kaddour </w:t>
      </w:r>
    </w:p>
    <w:p w:rsidR="006A4EED" w:rsidRPr="007E0A19" w:rsidRDefault="006A4EED" w:rsidP="007E0A19">
      <w:pPr>
        <w:pStyle w:val="Citationintense"/>
        <w:spacing w:before="0" w:after="0"/>
        <w:ind w:left="567" w:right="0"/>
        <w:rPr>
          <w:sz w:val="20"/>
          <w:szCs w:val="20"/>
        </w:rPr>
      </w:pPr>
      <w:r w:rsidRPr="007E0A19">
        <w:rPr>
          <w:sz w:val="20"/>
          <w:szCs w:val="20"/>
        </w:rPr>
        <w:t>Je compte sur moi je ne suis pas un saprophyte. Ni puce ni pou je ne vis pas en parasite. Tout ce que je possède je l’ai gagné par mon labeur. Croyant je prie quand ça ne va pas le Maître de l’Heure. Je ne demande rien à la piétaille. Encore moins à Sidi-Racaille. J’ai sué pour me vêtir. J’ai sué pour me couvrir. Je sue encore pour me nourrir. Et vous vous arrivez comme ça en disant vite. Nous sommes des marabouts offre-nous le gîte. Donne-nous ta nourriture donne-nous ta couche. Soyez les bienvenus devrait dire ma bouche. L’hospitalité est partie avec les aïeux. En leur temps oui ils étaient pieux. Qu’avons-nous connu depuis que nous sommes sur terre. Jamais rien d’autre que la faim le travail la peine et la Misère. C’est la seule morale que nous ayons pour bagage. Si tu veux être sauvé travaille. Si tu veux survivre travaille. Et ça vaut toutes les paroles des sages</w:t>
      </w:r>
      <w:r w:rsidR="007937F2" w:rsidRPr="007E0A19">
        <w:rPr>
          <w:sz w:val="20"/>
          <w:szCs w:val="20"/>
        </w:rPr>
        <w:t xml:space="preserve"> (</w:t>
      </w:r>
      <w:r w:rsidR="007E0A19">
        <w:rPr>
          <w:i/>
          <w:iCs w:val="0"/>
          <w:sz w:val="20"/>
          <w:szCs w:val="20"/>
        </w:rPr>
        <w:t xml:space="preserve">Ibid  </w:t>
      </w:r>
      <w:r w:rsidR="007937F2" w:rsidRPr="007E0A19">
        <w:rPr>
          <w:sz w:val="20"/>
          <w:szCs w:val="20"/>
        </w:rPr>
        <w:t>p.14)</w:t>
      </w:r>
    </w:p>
    <w:p w:rsidR="006A4EED" w:rsidRPr="003B00C8" w:rsidRDefault="006A4EED" w:rsidP="006A4EED">
      <w:pPr>
        <w:tabs>
          <w:tab w:val="left" w:pos="8364"/>
        </w:tabs>
        <w:autoSpaceDE w:val="0"/>
        <w:autoSpaceDN w:val="0"/>
        <w:adjustRightInd w:val="0"/>
        <w:spacing w:after="0" w:line="240" w:lineRule="auto"/>
        <w:ind w:right="283"/>
        <w:jc w:val="both"/>
        <w:rPr>
          <w:rFonts w:ascii="Times New Roman" w:eastAsia="Times New Roman" w:hAnsi="Times New Roman"/>
          <w:i/>
          <w:color w:val="000000"/>
          <w:sz w:val="20"/>
          <w:szCs w:val="20"/>
          <w:lang w:eastAsia="fr-FR"/>
        </w:rPr>
      </w:pPr>
    </w:p>
    <w:p w:rsidR="006A4EED" w:rsidRDefault="006A4EED" w:rsidP="003E51C7">
      <w:pPr>
        <w:tabs>
          <w:tab w:val="left" w:pos="8364"/>
        </w:tabs>
        <w:autoSpaceDE w:val="0"/>
        <w:autoSpaceDN w:val="0"/>
        <w:adjustRightInd w:val="0"/>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color w:val="000000"/>
          <w:sz w:val="24"/>
          <w:szCs w:val="24"/>
          <w:lang w:eastAsia="fr-FR"/>
        </w:rPr>
        <w:t xml:space="preserve">Chez Kaddour à en croire le passage en sus, le gite et le couvert ne leur furent point accordés. Kaddour est de ceux qui pensent que pour manger, il faut travailler et que le paresseux n’a pas </w:t>
      </w:r>
      <w:r w:rsidRPr="007937F2">
        <w:rPr>
          <w:rFonts w:ascii="Times New Roman" w:eastAsia="Times New Roman" w:hAnsi="Times New Roman"/>
          <w:color w:val="000000"/>
          <w:sz w:val="24"/>
          <w:szCs w:val="24"/>
          <w:lang w:eastAsia="fr-FR"/>
        </w:rPr>
        <w:t>droit au pain. Il est donc inconcevable aux yeux d</w:t>
      </w:r>
      <w:r w:rsidR="00B32D90" w:rsidRPr="007937F2">
        <w:rPr>
          <w:rFonts w:ascii="Times New Roman" w:eastAsia="Times New Roman" w:hAnsi="Times New Roman"/>
          <w:color w:val="000000"/>
          <w:sz w:val="24"/>
          <w:szCs w:val="24"/>
          <w:lang w:eastAsia="fr-FR"/>
        </w:rPr>
        <w:t>e</w:t>
      </w:r>
      <w:r w:rsidRPr="007937F2">
        <w:rPr>
          <w:rFonts w:ascii="Times New Roman" w:eastAsia="Times New Roman" w:hAnsi="Times New Roman"/>
          <w:color w:val="000000"/>
          <w:sz w:val="24"/>
          <w:szCs w:val="24"/>
          <w:lang w:eastAsia="fr-FR"/>
        </w:rPr>
        <w:t xml:space="preserve"> Kaddour, que des étrangers surgissent de nulle part à et croient bénéficier de son hospitalité au nom de Dieu. D’un autre côté, les trois marabouts vertueux : </w:t>
      </w:r>
      <w:r w:rsidR="007937F2" w:rsidRPr="007937F2">
        <w:rPr>
          <w:rFonts w:ascii="Times New Roman" w:eastAsia="Times New Roman" w:hAnsi="Times New Roman"/>
          <w:color w:val="000000"/>
          <w:sz w:val="24"/>
          <w:szCs w:val="24"/>
          <w:lang w:eastAsia="fr-FR"/>
        </w:rPr>
        <w:t>Sidi</w:t>
      </w:r>
      <w:r w:rsidR="007937F2" w:rsidRPr="007937F2">
        <w:rPr>
          <w:rFonts w:ascii="Times New Roman" w:eastAsia="Times New Roman" w:hAnsi="Times New Roman"/>
          <w:bCs/>
          <w:sz w:val="24"/>
          <w:szCs w:val="24"/>
          <w:lang w:eastAsia="fr-FR"/>
        </w:rPr>
        <w:t>-Boumédiène, Sidi-Abdelkader</w:t>
      </w:r>
      <w:r w:rsidR="007937F2">
        <w:rPr>
          <w:rFonts w:ascii="Times New Roman" w:eastAsia="Times New Roman" w:hAnsi="Times New Roman"/>
          <w:sz w:val="24"/>
          <w:szCs w:val="24"/>
          <w:lang w:eastAsia="fr-FR"/>
        </w:rPr>
        <w:t xml:space="preserve"> e</w:t>
      </w:r>
      <w:r w:rsidR="007937F2" w:rsidRPr="007937F2">
        <w:rPr>
          <w:rFonts w:ascii="Times New Roman" w:eastAsia="Times New Roman" w:hAnsi="Times New Roman"/>
          <w:sz w:val="24"/>
          <w:szCs w:val="24"/>
          <w:lang w:eastAsia="fr-FR"/>
        </w:rPr>
        <w:t xml:space="preserve">t </w:t>
      </w:r>
      <w:r w:rsidR="007937F2" w:rsidRPr="007937F2">
        <w:rPr>
          <w:rFonts w:ascii="Times New Roman" w:eastAsia="Times New Roman" w:hAnsi="Times New Roman"/>
          <w:bCs/>
          <w:sz w:val="24"/>
          <w:szCs w:val="24"/>
          <w:lang w:eastAsia="fr-FR"/>
        </w:rPr>
        <w:t xml:space="preserve">Sidi-Abderrahmane </w:t>
      </w:r>
      <w:r w:rsidRPr="007937F2">
        <w:rPr>
          <w:rFonts w:ascii="Times New Roman" w:eastAsia="Times New Roman" w:hAnsi="Times New Roman"/>
          <w:bCs/>
          <w:sz w:val="24"/>
          <w:szCs w:val="24"/>
          <w:lang w:eastAsia="fr-FR"/>
        </w:rPr>
        <w:t>estiment que son cœur est dur comme de la pierre parce</w:t>
      </w:r>
      <w:r w:rsidR="00B32D90" w:rsidRPr="007937F2">
        <w:rPr>
          <w:rFonts w:ascii="Times New Roman" w:eastAsia="Times New Roman" w:hAnsi="Times New Roman"/>
          <w:bCs/>
          <w:sz w:val="24"/>
          <w:szCs w:val="24"/>
          <w:lang w:eastAsia="fr-FR"/>
        </w:rPr>
        <w:t xml:space="preserve"> </w:t>
      </w:r>
      <w:r w:rsidRPr="007937F2">
        <w:rPr>
          <w:rFonts w:ascii="Times New Roman" w:eastAsia="Times New Roman" w:hAnsi="Times New Roman"/>
          <w:bCs/>
          <w:sz w:val="24"/>
          <w:szCs w:val="24"/>
          <w:lang w:eastAsia="fr-FR"/>
        </w:rPr>
        <w:t xml:space="preserve">qu’il a tellement vécu de misères ; qu’il a fermé son cœur à la foi et que sa raison ne recherche plus que la pureté. Et </w:t>
      </w:r>
      <w:r w:rsidR="007937F2" w:rsidRPr="007937F2">
        <w:rPr>
          <w:rFonts w:ascii="Times New Roman" w:eastAsia="Times New Roman" w:hAnsi="Times New Roman"/>
          <w:color w:val="000000"/>
          <w:sz w:val="24"/>
          <w:szCs w:val="24"/>
          <w:lang w:eastAsia="fr-FR"/>
        </w:rPr>
        <w:t>Sidi</w:t>
      </w:r>
      <w:r w:rsidR="007937F2" w:rsidRPr="007937F2">
        <w:rPr>
          <w:rFonts w:ascii="Times New Roman" w:eastAsia="Times New Roman" w:hAnsi="Times New Roman"/>
          <w:bCs/>
          <w:sz w:val="24"/>
          <w:szCs w:val="24"/>
          <w:lang w:eastAsia="fr-FR"/>
        </w:rPr>
        <w:t xml:space="preserve">-Boumédiène </w:t>
      </w:r>
      <w:r w:rsidRPr="007937F2">
        <w:rPr>
          <w:rFonts w:ascii="Times New Roman" w:eastAsia="Times New Roman" w:hAnsi="Times New Roman"/>
          <w:bCs/>
          <w:sz w:val="24"/>
          <w:szCs w:val="24"/>
          <w:lang w:eastAsia="fr-FR"/>
        </w:rPr>
        <w:t>de conclure : « </w:t>
      </w:r>
      <w:r w:rsidRPr="007937F2">
        <w:rPr>
          <w:rFonts w:ascii="Times New Roman" w:eastAsia="Times New Roman" w:hAnsi="Times New Roman"/>
          <w:bCs/>
          <w:i/>
          <w:iCs/>
          <w:sz w:val="24"/>
          <w:szCs w:val="24"/>
          <w:lang w:eastAsia="fr-FR"/>
        </w:rPr>
        <w:t>Nous sommes arrivés à l’heure de fermeture des portes et des cœurs !</w:t>
      </w:r>
      <w:r w:rsidRPr="007937F2">
        <w:rPr>
          <w:rFonts w:ascii="Times New Roman" w:eastAsia="Times New Roman" w:hAnsi="Times New Roman"/>
          <w:bCs/>
          <w:sz w:val="24"/>
          <w:szCs w:val="24"/>
          <w:lang w:eastAsia="fr-FR"/>
        </w:rPr>
        <w:t> »</w:t>
      </w:r>
    </w:p>
    <w:p w:rsidR="006A4EED" w:rsidRPr="00460DFD" w:rsidRDefault="006A4EED" w:rsidP="00460DFD">
      <w:pPr>
        <w:numPr>
          <w:ilvl w:val="0"/>
          <w:numId w:val="10"/>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460DFD">
        <w:rPr>
          <w:rFonts w:ascii="Times New Roman" w:eastAsia="Times New Roman" w:hAnsi="Times New Roman"/>
          <w:b/>
          <w:bCs/>
          <w:sz w:val="24"/>
          <w:szCs w:val="24"/>
          <w:lang w:eastAsia="fr-FR"/>
        </w:rPr>
        <w:t>Chez le Servant</w:t>
      </w:r>
      <w:r w:rsidR="00460DFD" w:rsidRPr="00460DFD">
        <w:rPr>
          <w:rFonts w:ascii="Times New Roman" w:eastAsia="Times New Roman" w:hAnsi="Times New Roman"/>
          <w:b/>
          <w:bCs/>
          <w:sz w:val="24"/>
          <w:szCs w:val="24"/>
          <w:lang w:eastAsia="fr-FR"/>
        </w:rPr>
        <w:t xml:space="preserve">, </w:t>
      </w:r>
      <w:r w:rsidR="00460DFD" w:rsidRPr="00460DFD">
        <w:rPr>
          <w:rFonts w:ascii="Times New Roman" w:eastAsia="Times New Roman" w:hAnsi="Times New Roman"/>
          <w:sz w:val="24"/>
          <w:szCs w:val="24"/>
          <w:lang w:eastAsia="fr-FR"/>
        </w:rPr>
        <w:t>l</w:t>
      </w:r>
      <w:r w:rsidRPr="00460DFD">
        <w:rPr>
          <w:rFonts w:ascii="Times New Roman" w:eastAsia="Times New Roman" w:hAnsi="Times New Roman"/>
          <w:color w:val="000000"/>
          <w:sz w:val="24"/>
          <w:szCs w:val="24"/>
          <w:lang w:eastAsia="fr-FR"/>
        </w:rPr>
        <w:t>e traitement ne fut pas très différent, même si la démarche fut plus ironique la conclusion fut identique à celle d</w:t>
      </w:r>
      <w:r w:rsidR="00B32D90" w:rsidRPr="00460DFD">
        <w:rPr>
          <w:rFonts w:ascii="Times New Roman" w:eastAsia="Times New Roman" w:hAnsi="Times New Roman"/>
          <w:color w:val="000000"/>
          <w:sz w:val="24"/>
          <w:szCs w:val="24"/>
          <w:lang w:eastAsia="fr-FR"/>
        </w:rPr>
        <w:t>e</w:t>
      </w:r>
      <w:r w:rsidRPr="00460DFD">
        <w:rPr>
          <w:rFonts w:ascii="Times New Roman" w:eastAsia="Times New Roman" w:hAnsi="Times New Roman"/>
          <w:color w:val="000000"/>
          <w:sz w:val="24"/>
          <w:szCs w:val="24"/>
          <w:lang w:eastAsia="fr-FR"/>
        </w:rPr>
        <w:t xml:space="preserve"> Kaddour comme en témoigne le passage ci-dessous :</w:t>
      </w:r>
    </w:p>
    <w:p w:rsidR="006A4EED" w:rsidRPr="007937F2" w:rsidRDefault="006A4EED" w:rsidP="00D33978">
      <w:pPr>
        <w:pStyle w:val="Citationintense"/>
        <w:spacing w:before="0" w:after="0"/>
        <w:ind w:left="567" w:right="0"/>
        <w:rPr>
          <w:iCs w:val="0"/>
          <w:sz w:val="20"/>
          <w:szCs w:val="20"/>
          <w:lang w:eastAsia="fr-FR"/>
        </w:rPr>
      </w:pPr>
      <w:r w:rsidRPr="007937F2">
        <w:rPr>
          <w:b/>
          <w:iCs w:val="0"/>
          <w:sz w:val="20"/>
          <w:szCs w:val="20"/>
          <w:lang w:eastAsia="fr-FR"/>
        </w:rPr>
        <w:lastRenderedPageBreak/>
        <w:t xml:space="preserve">SLIMANE- </w:t>
      </w:r>
      <w:r w:rsidRPr="007937F2">
        <w:rPr>
          <w:iCs w:val="0"/>
          <w:sz w:val="20"/>
          <w:szCs w:val="20"/>
          <w:lang w:eastAsia="fr-FR"/>
        </w:rPr>
        <w:t>Mes seigneurs ! Ne perdez pas espoir ! J’ai une idée ! Le gardien du mausolée de Sidi-Dahane ! Son servant ! Celui qui vit des dons faits au marabout ! Il habite près d’ici ; allons le voir !(…)</w:t>
      </w:r>
    </w:p>
    <w:p w:rsidR="006A4EED" w:rsidRPr="007937F2" w:rsidRDefault="006A4EED" w:rsidP="00D33978">
      <w:pPr>
        <w:pStyle w:val="Citationintense"/>
        <w:spacing w:before="0" w:after="0"/>
        <w:ind w:left="567" w:right="0"/>
        <w:rPr>
          <w:iCs w:val="0"/>
          <w:sz w:val="20"/>
          <w:szCs w:val="20"/>
          <w:lang w:eastAsia="fr-FR"/>
        </w:rPr>
      </w:pPr>
      <w:r w:rsidRPr="007937F2">
        <w:rPr>
          <w:b/>
          <w:iCs w:val="0"/>
          <w:sz w:val="20"/>
          <w:szCs w:val="20"/>
          <w:lang w:eastAsia="fr-FR"/>
        </w:rPr>
        <w:t xml:space="preserve">SERVANT- </w:t>
      </w:r>
      <w:r w:rsidRPr="007937F2">
        <w:rPr>
          <w:iCs w:val="0"/>
          <w:sz w:val="20"/>
          <w:szCs w:val="20"/>
          <w:lang w:eastAsia="fr-FR"/>
        </w:rPr>
        <w:t>Que peut le servant pour les serviteurs de Dieu ? Que veulent ils ? (</w:t>
      </w:r>
      <w:proofErr w:type="gramStart"/>
      <w:r w:rsidRPr="007937F2">
        <w:rPr>
          <w:iCs w:val="0"/>
          <w:sz w:val="20"/>
          <w:szCs w:val="20"/>
          <w:lang w:eastAsia="fr-FR"/>
        </w:rPr>
        <w:t>..)</w:t>
      </w:r>
      <w:proofErr w:type="gramEnd"/>
    </w:p>
    <w:p w:rsidR="006A4EED" w:rsidRPr="007937F2" w:rsidRDefault="006A4EED" w:rsidP="00D33978">
      <w:pPr>
        <w:pStyle w:val="Citationintense"/>
        <w:spacing w:before="0" w:after="0"/>
        <w:ind w:left="567" w:right="0"/>
        <w:rPr>
          <w:iCs w:val="0"/>
          <w:sz w:val="20"/>
          <w:szCs w:val="20"/>
          <w:lang w:eastAsia="fr-FR"/>
        </w:rPr>
      </w:pPr>
      <w:r w:rsidRPr="007937F2">
        <w:rPr>
          <w:b/>
          <w:iCs w:val="0"/>
          <w:sz w:val="20"/>
          <w:szCs w:val="20"/>
          <w:lang w:eastAsia="fr-FR"/>
        </w:rPr>
        <w:t xml:space="preserve">SLIMANE- </w:t>
      </w:r>
      <w:r w:rsidRPr="007937F2">
        <w:rPr>
          <w:iCs w:val="0"/>
          <w:sz w:val="20"/>
          <w:szCs w:val="20"/>
          <w:lang w:eastAsia="fr-FR"/>
        </w:rPr>
        <w:t>Écoute bien ! Ce ne sont pas des serviteurs ! Ce sont les Marabouts. Vertueux ! Sidi-Boumédiène, Sidi-Abdelkader et Sidi-Abderrahmane et ils viennent te demander à toi, le servant de Sidi-Dahane, l’hospitalité au nom de Dieu!</w:t>
      </w:r>
    </w:p>
    <w:p w:rsidR="006A4EED" w:rsidRPr="007937F2" w:rsidRDefault="006A4EED" w:rsidP="00D33978">
      <w:pPr>
        <w:pStyle w:val="Citationintense"/>
        <w:spacing w:before="0" w:after="0"/>
        <w:ind w:left="567" w:right="0"/>
        <w:rPr>
          <w:b/>
          <w:iCs w:val="0"/>
          <w:sz w:val="20"/>
          <w:szCs w:val="20"/>
          <w:lang w:eastAsia="fr-FR"/>
        </w:rPr>
      </w:pPr>
      <w:r w:rsidRPr="007937F2">
        <w:rPr>
          <w:b/>
          <w:iCs w:val="0"/>
          <w:sz w:val="20"/>
          <w:szCs w:val="20"/>
          <w:lang w:eastAsia="fr-FR"/>
        </w:rPr>
        <w:t xml:space="preserve">SERVANT- </w:t>
      </w:r>
      <w:r w:rsidRPr="007937F2">
        <w:rPr>
          <w:iCs w:val="0"/>
          <w:sz w:val="20"/>
          <w:szCs w:val="20"/>
          <w:lang w:eastAsia="fr-FR"/>
        </w:rPr>
        <w:t xml:space="preserve">Bon, alors écoute : toi, tu n’es pas moi… Moi, je suis un serviteur </w:t>
      </w:r>
      <w:proofErr w:type="gramStart"/>
      <w:r w:rsidRPr="007937F2">
        <w:rPr>
          <w:iCs w:val="0"/>
          <w:sz w:val="20"/>
          <w:szCs w:val="20"/>
          <w:lang w:eastAsia="fr-FR"/>
        </w:rPr>
        <w:t>;qui</w:t>
      </w:r>
      <w:proofErr w:type="gramEnd"/>
      <w:r w:rsidRPr="007937F2">
        <w:rPr>
          <w:iCs w:val="0"/>
          <w:sz w:val="20"/>
          <w:szCs w:val="20"/>
          <w:lang w:eastAsia="fr-FR"/>
        </w:rPr>
        <w:t xml:space="preserve"> veut me faire du bien, qu’il soit le bienvenu. Qui vient honorer Sidi-Dahane, doit se rappeler que je suis son serviteur. Mais que celui qui vient à moi pour que je lui glisse l’obole, celui-là devrait s’inquiéter de savoir où il a mis son discernement.</w:t>
      </w:r>
      <w:r w:rsidRPr="007937F2">
        <w:rPr>
          <w:b/>
          <w:iCs w:val="0"/>
          <w:sz w:val="20"/>
          <w:szCs w:val="20"/>
          <w:lang w:eastAsia="fr-FR"/>
        </w:rPr>
        <w:t xml:space="preserve"> </w:t>
      </w:r>
    </w:p>
    <w:p w:rsidR="006A4EED" w:rsidRPr="007937F2" w:rsidRDefault="006A4EED" w:rsidP="00D33978">
      <w:pPr>
        <w:pStyle w:val="Citationintense"/>
        <w:spacing w:before="0" w:after="0"/>
        <w:ind w:left="567" w:right="0"/>
        <w:rPr>
          <w:iCs w:val="0"/>
          <w:sz w:val="20"/>
          <w:szCs w:val="20"/>
          <w:lang w:eastAsia="fr-FR"/>
        </w:rPr>
      </w:pPr>
      <w:r w:rsidRPr="007937F2">
        <w:rPr>
          <w:b/>
          <w:iCs w:val="0"/>
          <w:sz w:val="20"/>
          <w:szCs w:val="20"/>
          <w:lang w:eastAsia="fr-FR"/>
        </w:rPr>
        <w:t xml:space="preserve">SIDI-BOUMÉDIÈNE- </w:t>
      </w:r>
      <w:r w:rsidRPr="007937F2">
        <w:rPr>
          <w:iCs w:val="0"/>
          <w:sz w:val="20"/>
          <w:szCs w:val="20"/>
          <w:lang w:eastAsia="fr-FR"/>
        </w:rPr>
        <w:t>Nous sommes venus à toi pour te demander l’hospitalité au nom de Dieu !</w:t>
      </w:r>
      <w:r w:rsidRPr="007937F2">
        <w:rPr>
          <w:b/>
          <w:iCs w:val="0"/>
          <w:sz w:val="20"/>
          <w:szCs w:val="20"/>
          <w:lang w:eastAsia="fr-FR"/>
        </w:rPr>
        <w:t xml:space="preserve"> </w:t>
      </w:r>
    </w:p>
    <w:p w:rsidR="006A4EED" w:rsidRPr="007937F2" w:rsidRDefault="006A4EED" w:rsidP="00D33978">
      <w:pPr>
        <w:pStyle w:val="Citationintense"/>
        <w:spacing w:before="0" w:after="0"/>
        <w:ind w:left="567" w:right="0"/>
        <w:rPr>
          <w:iCs w:val="0"/>
          <w:sz w:val="20"/>
          <w:szCs w:val="20"/>
          <w:lang w:eastAsia="fr-FR"/>
        </w:rPr>
      </w:pPr>
      <w:r w:rsidRPr="007937F2">
        <w:rPr>
          <w:b/>
          <w:iCs w:val="0"/>
          <w:sz w:val="20"/>
          <w:szCs w:val="20"/>
          <w:lang w:eastAsia="fr-FR"/>
        </w:rPr>
        <w:t xml:space="preserve">SERVANT- </w:t>
      </w:r>
      <w:r w:rsidRPr="007937F2">
        <w:rPr>
          <w:iCs w:val="0"/>
          <w:sz w:val="20"/>
          <w:szCs w:val="20"/>
          <w:lang w:eastAsia="fr-FR"/>
        </w:rPr>
        <w:t>Dieu y pourvoira !</w:t>
      </w:r>
    </w:p>
    <w:p w:rsidR="006A4EED" w:rsidRPr="007937F2" w:rsidRDefault="006A4EED" w:rsidP="00D33978">
      <w:pPr>
        <w:pStyle w:val="Citationintense"/>
        <w:spacing w:before="0" w:after="0"/>
        <w:ind w:left="567" w:right="0"/>
        <w:rPr>
          <w:sz w:val="20"/>
          <w:szCs w:val="20"/>
          <w:lang w:eastAsia="fr-FR"/>
        </w:rPr>
      </w:pPr>
      <w:r w:rsidRPr="007937F2">
        <w:rPr>
          <w:b/>
          <w:iCs w:val="0"/>
          <w:sz w:val="20"/>
          <w:szCs w:val="20"/>
          <w:lang w:eastAsia="fr-FR"/>
        </w:rPr>
        <w:t xml:space="preserve">SLIMANE- </w:t>
      </w:r>
      <w:r w:rsidRPr="007937F2">
        <w:rPr>
          <w:iCs w:val="0"/>
          <w:sz w:val="20"/>
          <w:szCs w:val="20"/>
          <w:lang w:eastAsia="fr-FR"/>
        </w:rPr>
        <w:t xml:space="preserve">Tu joues au chat et à la souris ! Toi, tu fais partie de ceux qui ne réchauffent pas … mais qui ne refroidissent pas non plus ! Allons ! Réponds par oui ou par non et arrêtons les frais </w:t>
      </w:r>
      <w:r w:rsidRPr="007937F2">
        <w:rPr>
          <w:sz w:val="20"/>
          <w:szCs w:val="20"/>
          <w:lang w:eastAsia="fr-FR"/>
        </w:rPr>
        <w:t>!</w:t>
      </w:r>
      <w:r w:rsidR="007937F2" w:rsidRPr="007937F2">
        <w:rPr>
          <w:sz w:val="20"/>
          <w:szCs w:val="20"/>
          <w:lang w:eastAsia="fr-FR"/>
        </w:rPr>
        <w:t xml:space="preserve"> (</w:t>
      </w:r>
      <w:r w:rsidR="00D33978">
        <w:rPr>
          <w:i/>
          <w:iCs w:val="0"/>
          <w:sz w:val="20"/>
          <w:szCs w:val="20"/>
          <w:lang w:eastAsia="fr-FR"/>
        </w:rPr>
        <w:t xml:space="preserve">Ibid, </w:t>
      </w:r>
      <w:r w:rsidR="007937F2" w:rsidRPr="007937F2">
        <w:rPr>
          <w:sz w:val="20"/>
          <w:szCs w:val="20"/>
          <w:lang w:eastAsia="fr-FR"/>
        </w:rPr>
        <w:t>p.31</w:t>
      </w:r>
      <w:r w:rsidR="00D33978">
        <w:rPr>
          <w:sz w:val="20"/>
          <w:szCs w:val="20"/>
          <w:lang w:eastAsia="fr-FR"/>
        </w:rPr>
        <w:t>-</w:t>
      </w:r>
      <w:r w:rsidR="007937F2" w:rsidRPr="007937F2">
        <w:rPr>
          <w:sz w:val="20"/>
          <w:szCs w:val="20"/>
          <w:lang w:eastAsia="fr-FR"/>
        </w:rPr>
        <w:t>33)</w:t>
      </w:r>
      <w:r w:rsidR="00D33978">
        <w:rPr>
          <w:sz w:val="20"/>
          <w:szCs w:val="20"/>
          <w:lang w:eastAsia="fr-FR"/>
        </w:rPr>
        <w:t>.</w:t>
      </w:r>
    </w:p>
    <w:p w:rsidR="007937F2" w:rsidRPr="007937F2" w:rsidRDefault="007937F2" w:rsidP="007937F2">
      <w:pPr>
        <w:rPr>
          <w:lang w:eastAsia="fr-FR"/>
        </w:rPr>
      </w:pPr>
    </w:p>
    <w:p w:rsidR="006A4EED" w:rsidRPr="003B00C8" w:rsidRDefault="006A4EED" w:rsidP="0029254C">
      <w:pPr>
        <w:tabs>
          <w:tab w:val="left" w:pos="8364"/>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color w:val="000000"/>
          <w:sz w:val="24"/>
          <w:szCs w:val="24"/>
          <w:lang w:eastAsia="fr-FR"/>
        </w:rPr>
        <w:t>Le servant est de la catégorie de fidèles qui sont selon l’expression populaire : « un pied dedans et un pied dehors » c’est-à-dire ceux qui ne sont ni chauds ni froids ; ils sont tièdes, et da</w:t>
      </w:r>
      <w:r w:rsidR="00157DE4">
        <w:rPr>
          <w:rFonts w:ascii="Times New Roman" w:eastAsia="Times New Roman" w:hAnsi="Times New Roman"/>
          <w:color w:val="000000"/>
          <w:sz w:val="24"/>
          <w:szCs w:val="24"/>
          <w:lang w:eastAsia="fr-FR"/>
        </w:rPr>
        <w:t>/</w:t>
      </w:r>
      <w:r w:rsidRPr="003B00C8">
        <w:rPr>
          <w:rFonts w:ascii="Times New Roman" w:eastAsia="Times New Roman" w:hAnsi="Times New Roman"/>
          <w:color w:val="000000"/>
          <w:sz w:val="24"/>
          <w:szCs w:val="24"/>
          <w:lang w:eastAsia="fr-FR"/>
        </w:rPr>
        <w:t>ns ce cas ils sont rejetés par Dieu. Somme toute, il n’y a que l’aventure intra-scénique chez l’aveugle Halima qui accédera à la requête des vertueux : objet désiré obtenu. Il app</w:t>
      </w:r>
      <w:r w:rsidR="00B32D90">
        <w:rPr>
          <w:rFonts w:ascii="Times New Roman" w:eastAsia="Times New Roman" w:hAnsi="Times New Roman"/>
          <w:color w:val="000000"/>
          <w:sz w:val="24"/>
          <w:szCs w:val="24"/>
          <w:lang w:eastAsia="fr-FR"/>
        </w:rPr>
        <w:t>a</w:t>
      </w:r>
      <w:r w:rsidRPr="003B00C8">
        <w:rPr>
          <w:rFonts w:ascii="Times New Roman" w:eastAsia="Times New Roman" w:hAnsi="Times New Roman"/>
          <w:color w:val="000000"/>
          <w:sz w:val="24"/>
          <w:szCs w:val="24"/>
          <w:lang w:eastAsia="fr-FR"/>
        </w:rPr>
        <w:t>r</w:t>
      </w:r>
      <w:r w:rsidR="00B32D90">
        <w:rPr>
          <w:rFonts w:ascii="Times New Roman" w:eastAsia="Times New Roman" w:hAnsi="Times New Roman"/>
          <w:color w:val="000000"/>
          <w:sz w:val="24"/>
          <w:szCs w:val="24"/>
          <w:lang w:eastAsia="fr-FR"/>
        </w:rPr>
        <w:t>ai</w:t>
      </w:r>
      <w:r w:rsidRPr="003B00C8">
        <w:rPr>
          <w:rFonts w:ascii="Times New Roman" w:eastAsia="Times New Roman" w:hAnsi="Times New Roman"/>
          <w:color w:val="000000"/>
          <w:sz w:val="24"/>
          <w:szCs w:val="24"/>
          <w:lang w:eastAsia="fr-FR"/>
        </w:rPr>
        <w:t xml:space="preserve">t donc que le corps et l’esprit </w:t>
      </w:r>
      <w:r w:rsidR="00B32D90">
        <w:rPr>
          <w:rFonts w:ascii="Times New Roman" w:eastAsia="Times New Roman" w:hAnsi="Times New Roman"/>
          <w:color w:val="000000"/>
          <w:sz w:val="24"/>
          <w:szCs w:val="24"/>
          <w:lang w:eastAsia="fr-FR"/>
        </w:rPr>
        <w:t>se présentent</w:t>
      </w:r>
      <w:r w:rsidRPr="003B00C8">
        <w:rPr>
          <w:rFonts w:ascii="Times New Roman" w:eastAsia="Times New Roman" w:hAnsi="Times New Roman"/>
          <w:color w:val="000000"/>
          <w:sz w:val="24"/>
          <w:szCs w:val="24"/>
          <w:lang w:eastAsia="fr-FR"/>
        </w:rPr>
        <w:t xml:space="preserve"> comme des valeurs antithétiques pour le musulman. Cependant, la foi islamique plus que plusieurs autres religions sollicite le corps pour l’expression de la piété. L’aumône, l’observation du jeûne, le pèlerinage à la Mecque et surtout les cinq prières quotidiennes sollicitent le corps. Au demeurant, la religion musulmane, telle qu’elle apparait dans le récit de </w:t>
      </w:r>
      <w:r w:rsidRPr="003B00C8">
        <w:rPr>
          <w:rFonts w:ascii="Times New Roman" w:eastAsia="Times New Roman" w:hAnsi="Times New Roman"/>
          <w:sz w:val="24"/>
          <w:szCs w:val="24"/>
          <w:lang w:eastAsia="fr-FR"/>
        </w:rPr>
        <w:t>Kaki semble fondée sur un principe contradictoire : l’affirmation et la négation du corps.</w:t>
      </w:r>
    </w:p>
    <w:p w:rsidR="00A307A9" w:rsidRDefault="00A307A9" w:rsidP="00A307A9">
      <w:pPr>
        <w:pStyle w:val="Titre4"/>
        <w:spacing w:before="0" w:after="0" w:line="360" w:lineRule="auto"/>
        <w:ind w:left="641" w:hanging="357"/>
        <w:jc w:val="both"/>
        <w:rPr>
          <w:rFonts w:ascii="Times New Roman" w:hAnsi="Times New Roman"/>
          <w:i w:val="0"/>
          <w:iCs/>
          <w:lang w:eastAsia="fr-FR"/>
        </w:rPr>
      </w:pPr>
    </w:p>
    <w:p w:rsidR="006A4EED" w:rsidRPr="00F6755B" w:rsidRDefault="00A307A9" w:rsidP="00A307A9">
      <w:pPr>
        <w:pStyle w:val="Titre4"/>
        <w:spacing w:before="0" w:after="0" w:line="360" w:lineRule="auto"/>
        <w:ind w:left="641" w:hanging="357"/>
        <w:jc w:val="both"/>
        <w:rPr>
          <w:rFonts w:ascii="Times New Roman" w:hAnsi="Times New Roman"/>
          <w:i w:val="0"/>
          <w:iCs/>
          <w:lang w:eastAsia="fr-FR"/>
        </w:rPr>
      </w:pPr>
      <w:bookmarkStart w:id="90" w:name="_Toc471484461"/>
      <w:r>
        <w:rPr>
          <w:rFonts w:ascii="Times New Roman" w:hAnsi="Times New Roman"/>
          <w:i w:val="0"/>
          <w:iCs/>
          <w:lang w:eastAsia="fr-FR"/>
        </w:rPr>
        <w:t>2.3.</w:t>
      </w:r>
      <w:r w:rsidRPr="00F6755B">
        <w:rPr>
          <w:rFonts w:ascii="Times New Roman" w:hAnsi="Times New Roman"/>
          <w:i w:val="0"/>
          <w:iCs/>
          <w:lang w:eastAsia="fr-FR"/>
        </w:rPr>
        <w:t xml:space="preserve"> L’aventure</w:t>
      </w:r>
      <w:r w:rsidR="006A4EED" w:rsidRPr="00F6755B">
        <w:rPr>
          <w:rFonts w:ascii="Times New Roman" w:hAnsi="Times New Roman"/>
          <w:i w:val="0"/>
          <w:iCs/>
          <w:lang w:eastAsia="fr-FR"/>
        </w:rPr>
        <w:t xml:space="preserve"> psychologique</w:t>
      </w:r>
      <w:bookmarkEnd w:id="90"/>
    </w:p>
    <w:p w:rsidR="006A4EED" w:rsidRPr="003B00C8" w:rsidRDefault="006A4EED" w:rsidP="00A307A9">
      <w:pPr>
        <w:tabs>
          <w:tab w:val="left" w:pos="8364"/>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Parler d’aventure psychologique, c’est parler précisément des voyages à travers l’imagination. Ce type d’aventure ressortit de la symbolique des personnages aveugles en présence dans le texte du dramaturge. L’emploi de l’item « aveugle » par le dramaturge est à dessein. Il est moins adoucissant que </w:t>
      </w:r>
      <w:r w:rsidRPr="003B00C8">
        <w:rPr>
          <w:rFonts w:ascii="Times New Roman" w:eastAsia="Times New Roman" w:hAnsi="Times New Roman"/>
          <w:i/>
          <w:sz w:val="24"/>
          <w:szCs w:val="24"/>
          <w:lang w:eastAsia="fr-FR"/>
        </w:rPr>
        <w:t>mal-voyant</w:t>
      </w:r>
      <w:r w:rsidRPr="003B00C8">
        <w:rPr>
          <w:rFonts w:ascii="Times New Roman" w:eastAsia="Times New Roman" w:hAnsi="Times New Roman"/>
          <w:sz w:val="24"/>
          <w:szCs w:val="24"/>
          <w:lang w:eastAsia="fr-FR"/>
        </w:rPr>
        <w:t xml:space="preserve">. La charge notionnelle qui accompagne cet item témoigne de la non-fonctionnalité exacerbée des yeux des personnages Halima et l’aveugle proprement dit. Pour ce qui est de l’aveugle, soulignons qu’il est le prototype même du personnage en aventure psychologique. Même si en compagnie de sa femme Aicha ils vont vers de nouveaux horizons, il y a que ce qui est à Aicha une aventure de découverte </w:t>
      </w:r>
      <w:r w:rsidRPr="003B00C8">
        <w:rPr>
          <w:rFonts w:ascii="Times New Roman" w:eastAsia="Times New Roman" w:hAnsi="Times New Roman"/>
          <w:sz w:val="24"/>
          <w:szCs w:val="24"/>
          <w:lang w:eastAsia="fr-FR"/>
        </w:rPr>
        <w:lastRenderedPageBreak/>
        <w:t>physique, palpable, visible et matérielle, est à son Mari-aveugle, un voyage d’imagination.</w:t>
      </w:r>
    </w:p>
    <w:p w:rsidR="00F6755B" w:rsidRPr="008809A8" w:rsidRDefault="00F6755B" w:rsidP="006A4EED">
      <w:pPr>
        <w:tabs>
          <w:tab w:val="left" w:pos="8364"/>
        </w:tabs>
        <w:autoSpaceDE w:val="0"/>
        <w:autoSpaceDN w:val="0"/>
        <w:adjustRightInd w:val="0"/>
        <w:spacing w:after="0" w:line="360" w:lineRule="auto"/>
        <w:jc w:val="both"/>
        <w:rPr>
          <w:rFonts w:ascii="Times New Roman" w:eastAsia="Times New Roman" w:hAnsi="Times New Roman"/>
          <w:sz w:val="14"/>
          <w:szCs w:val="14"/>
          <w:lang w:eastAsia="fr-FR"/>
        </w:rPr>
      </w:pPr>
    </w:p>
    <w:p w:rsidR="006A4EED" w:rsidRPr="003B00C8" w:rsidRDefault="006A4EED" w:rsidP="006A3052">
      <w:pPr>
        <w:tabs>
          <w:tab w:val="left" w:pos="8364"/>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 personnage effectue en compagnie de sa femme un voyage contraignant. Il n’est pas libre de ses mouvements encore moins de ses actions. Il part en temps convenable de son épouse, se repose à son bien vouloir, découvre psychologiquement des terres </w:t>
      </w:r>
      <w:r w:rsidR="00F6755B" w:rsidRPr="003B00C8">
        <w:rPr>
          <w:rFonts w:ascii="Times New Roman" w:eastAsia="Times New Roman" w:hAnsi="Times New Roman"/>
          <w:sz w:val="24"/>
          <w:szCs w:val="24"/>
          <w:lang w:eastAsia="fr-FR"/>
        </w:rPr>
        <w:t xml:space="preserve">choisies </w:t>
      </w:r>
      <w:r w:rsidRPr="003B00C8">
        <w:rPr>
          <w:rFonts w:ascii="Times New Roman" w:eastAsia="Times New Roman" w:hAnsi="Times New Roman"/>
          <w:sz w:val="24"/>
          <w:szCs w:val="24"/>
          <w:lang w:eastAsia="fr-FR"/>
        </w:rPr>
        <w:t>par elle et dont il n’a connaissance qu’à l’évocation des noms. C’est un voyage en réalité qui ne bénéficie qu’à une seule personne : A</w:t>
      </w:r>
      <w:r w:rsidR="006A3052">
        <w:rPr>
          <w:rFonts w:ascii="Times New Roman" w:eastAsia="Times New Roman" w:hAnsi="Times New Roman"/>
          <w:sz w:val="24"/>
          <w:szCs w:val="24"/>
          <w:lang w:eastAsia="fr-FR"/>
        </w:rPr>
        <w:t>ï</w:t>
      </w:r>
      <w:r w:rsidRPr="003B00C8">
        <w:rPr>
          <w:rFonts w:ascii="Times New Roman" w:eastAsia="Times New Roman" w:hAnsi="Times New Roman"/>
          <w:sz w:val="24"/>
          <w:szCs w:val="24"/>
          <w:lang w:eastAsia="fr-FR"/>
        </w:rPr>
        <w:t>cha.</w:t>
      </w:r>
    </w:p>
    <w:p w:rsidR="00F6755B" w:rsidRPr="008809A8" w:rsidRDefault="00F6755B" w:rsidP="006A4EED">
      <w:pPr>
        <w:tabs>
          <w:tab w:val="left" w:pos="8364"/>
        </w:tabs>
        <w:autoSpaceDE w:val="0"/>
        <w:autoSpaceDN w:val="0"/>
        <w:adjustRightInd w:val="0"/>
        <w:spacing w:after="0" w:line="360" w:lineRule="auto"/>
        <w:jc w:val="both"/>
        <w:rPr>
          <w:rFonts w:ascii="Times New Roman" w:eastAsia="Times New Roman" w:hAnsi="Times New Roman"/>
          <w:sz w:val="14"/>
          <w:szCs w:val="14"/>
          <w:lang w:eastAsia="fr-FR"/>
        </w:rPr>
      </w:pPr>
    </w:p>
    <w:p w:rsidR="006A4EED" w:rsidRDefault="006A4EED" w:rsidP="006652DE">
      <w:pPr>
        <w:tabs>
          <w:tab w:val="left" w:pos="8364"/>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Parallèlement, Halima chez qui les trois marabouts vertueux trouveront hospitalité au nom de Dieu</w:t>
      </w:r>
      <w:r w:rsidR="002F0283">
        <w:rPr>
          <w:rFonts w:ascii="Times New Roman" w:eastAsia="Times New Roman" w:hAnsi="Times New Roman"/>
          <w:sz w:val="24"/>
          <w:szCs w:val="24"/>
          <w:lang w:eastAsia="fr-FR"/>
        </w:rPr>
        <w:t>,</w:t>
      </w:r>
      <w:r w:rsidRPr="003B00C8">
        <w:rPr>
          <w:rFonts w:ascii="Times New Roman" w:eastAsia="Times New Roman" w:hAnsi="Times New Roman"/>
          <w:sz w:val="24"/>
          <w:szCs w:val="24"/>
          <w:lang w:eastAsia="fr-FR"/>
        </w:rPr>
        <w:t xml:space="preserve"> </w:t>
      </w:r>
      <w:r w:rsidR="002F0283">
        <w:rPr>
          <w:rFonts w:ascii="Times New Roman" w:eastAsia="Times New Roman" w:hAnsi="Times New Roman"/>
          <w:sz w:val="24"/>
          <w:szCs w:val="24"/>
          <w:lang w:eastAsia="fr-FR"/>
        </w:rPr>
        <w:t xml:space="preserve">cette femme qui </w:t>
      </w:r>
      <w:r w:rsidRPr="003B00C8">
        <w:rPr>
          <w:rFonts w:ascii="Times New Roman" w:eastAsia="Times New Roman" w:hAnsi="Times New Roman"/>
          <w:sz w:val="24"/>
          <w:szCs w:val="24"/>
          <w:lang w:eastAsia="fr-FR"/>
        </w:rPr>
        <w:t>bien qu’aveugle des yeux corporels voit des yeux du cœur, de l’esprit. Rien n’est gratuit dans l’intention de communication du dramaturge. Pourquoi la bénédiction de la contrée entre-t-elle par une femme, aveugle de surcroit ? Pourquoi une femme et pas un homme ? Pourquoi une aveugle et pas un voyant ? La symbolique des personnages aveugles que met en scène le dramaturge trahit le côté spirituel de la pièce de théâtre. Seuls ceux qui ont le cœur pur verront Dieu. Comme pour dire que les yeux charnels même dans le désert brûlant doivent céder la place aux yeux spirituels.</w:t>
      </w:r>
    </w:p>
    <w:p w:rsidR="00757452" w:rsidRPr="003B00C8" w:rsidRDefault="00757452" w:rsidP="006A4EED">
      <w:pPr>
        <w:tabs>
          <w:tab w:val="left" w:pos="8364"/>
        </w:tabs>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6652DE" w:rsidRDefault="006652DE" w:rsidP="006652DE">
      <w:pPr>
        <w:pStyle w:val="Titre3"/>
        <w:spacing w:before="0" w:after="0" w:line="360" w:lineRule="auto"/>
        <w:ind w:left="641" w:hanging="357"/>
        <w:jc w:val="both"/>
        <w:rPr>
          <w:rFonts w:ascii="Times New Roman" w:hAnsi="Times New Roman" w:cs="Times New Roman"/>
          <w:sz w:val="24"/>
          <w:szCs w:val="24"/>
        </w:rPr>
      </w:pPr>
      <w:bookmarkStart w:id="91" w:name="_Toc471484462"/>
      <w:r w:rsidRPr="006652DE">
        <w:rPr>
          <w:rFonts w:ascii="Times New Roman" w:hAnsi="Times New Roman" w:cs="Times New Roman"/>
          <w:sz w:val="24"/>
          <w:szCs w:val="24"/>
        </w:rPr>
        <w:t>3. Fréquence</w:t>
      </w:r>
      <w:r w:rsidR="006A4EED" w:rsidRPr="006652DE">
        <w:rPr>
          <w:rFonts w:ascii="Times New Roman" w:hAnsi="Times New Roman" w:cs="Times New Roman"/>
          <w:sz w:val="24"/>
          <w:szCs w:val="24"/>
        </w:rPr>
        <w:t xml:space="preserve"> et ordre d’apparition des personnages : une lecture actantielle et actorielle</w:t>
      </w:r>
      <w:bookmarkEnd w:id="91"/>
    </w:p>
    <w:p w:rsidR="006A4EED" w:rsidRPr="00757452" w:rsidRDefault="006A4EED" w:rsidP="006A4EED">
      <w:pPr>
        <w:autoSpaceDE w:val="0"/>
        <w:autoSpaceDN w:val="0"/>
        <w:adjustRightInd w:val="0"/>
        <w:spacing w:after="0" w:line="240" w:lineRule="auto"/>
        <w:jc w:val="both"/>
        <w:rPr>
          <w:rFonts w:ascii="Times New Roman" w:eastAsia="Times New Roman" w:hAnsi="Times New Roman"/>
          <w:color w:val="000000"/>
          <w:sz w:val="4"/>
          <w:szCs w:val="4"/>
          <w:lang w:eastAsia="fr-FR"/>
        </w:rPr>
      </w:pPr>
    </w:p>
    <w:p w:rsidR="00460DFD" w:rsidRPr="00460DFD" w:rsidRDefault="00460DFD" w:rsidP="006652DE">
      <w:pPr>
        <w:autoSpaceDE w:val="0"/>
        <w:autoSpaceDN w:val="0"/>
        <w:adjustRightInd w:val="0"/>
        <w:spacing w:after="0" w:line="360" w:lineRule="auto"/>
        <w:ind w:firstLine="284"/>
        <w:jc w:val="both"/>
        <w:rPr>
          <w:rFonts w:ascii="Times New Roman" w:eastAsia="Times New Roman" w:hAnsi="Times New Roman"/>
          <w:color w:val="000000"/>
          <w:sz w:val="12"/>
          <w:szCs w:val="12"/>
          <w:lang w:eastAsia="fr-FR"/>
        </w:rPr>
      </w:pPr>
    </w:p>
    <w:p w:rsidR="00460DFD" w:rsidRDefault="006A4EED" w:rsidP="006652DE">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color w:val="000000"/>
          <w:sz w:val="24"/>
          <w:szCs w:val="24"/>
          <w:lang w:eastAsia="fr-FR"/>
        </w:rPr>
        <w:t>Si tant est que le théâtre se différencie de</w:t>
      </w:r>
      <w:r w:rsidR="007641E7">
        <w:rPr>
          <w:rFonts w:ascii="Times New Roman" w:eastAsia="Times New Roman" w:hAnsi="Times New Roman"/>
          <w:color w:val="000000"/>
          <w:sz w:val="24"/>
          <w:szCs w:val="24"/>
          <w:lang w:eastAsia="fr-FR"/>
        </w:rPr>
        <w:t xml:space="preserve">s autres genres littéraires en </w:t>
      </w:r>
      <w:r w:rsidRPr="003B00C8">
        <w:rPr>
          <w:rFonts w:ascii="Times New Roman" w:eastAsia="Times New Roman" w:hAnsi="Times New Roman"/>
          <w:color w:val="000000"/>
          <w:sz w:val="24"/>
          <w:szCs w:val="24"/>
          <w:lang w:eastAsia="fr-FR"/>
        </w:rPr>
        <w:t>ceci qu’il est conçu pour être représenté sur scène, il faut reconnaitre à la pièce d</w:t>
      </w:r>
      <w:r w:rsidR="007641E7">
        <w:rPr>
          <w:rFonts w:ascii="Times New Roman" w:eastAsia="Times New Roman" w:hAnsi="Times New Roman"/>
          <w:color w:val="000000"/>
          <w:sz w:val="24"/>
          <w:szCs w:val="24"/>
          <w:lang w:eastAsia="fr-FR"/>
        </w:rPr>
        <w:t xml:space="preserve">e Kaki une remarquable présence </w:t>
      </w:r>
      <w:r w:rsidRPr="003B00C8">
        <w:rPr>
          <w:rFonts w:ascii="Times New Roman" w:eastAsia="Times New Roman" w:hAnsi="Times New Roman"/>
          <w:color w:val="000000"/>
          <w:sz w:val="24"/>
          <w:szCs w:val="24"/>
          <w:lang w:eastAsia="fr-FR"/>
        </w:rPr>
        <w:t>de personnages qui en assument le jeu, le rythme, la mise en</w:t>
      </w:r>
      <w:r w:rsidR="006652DE">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scène, bref la représentation. La fréquence et l’ordre de ces personnages dans les trois actes de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trahissent le degré de dévolu que le narrateur jette à tel ou tel autre personnage dans le récit. </w:t>
      </w:r>
    </w:p>
    <w:p w:rsidR="00460DFD" w:rsidRDefault="00460DFD" w:rsidP="006652DE">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p>
    <w:p w:rsidR="006A4EED" w:rsidRDefault="006A4EED" w:rsidP="006652DE">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r w:rsidRPr="003B00C8">
        <w:rPr>
          <w:rFonts w:ascii="Times New Roman" w:eastAsia="Times New Roman" w:hAnsi="Times New Roman"/>
          <w:bCs/>
          <w:iCs/>
          <w:sz w:val="24"/>
          <w:szCs w:val="24"/>
          <w:lang w:eastAsia="fr-FR"/>
        </w:rPr>
        <w:t>Le tableau ci-dessous nous en dit tant :</w:t>
      </w:r>
    </w:p>
    <w:p w:rsidR="00460DFD" w:rsidRDefault="00460DFD" w:rsidP="006652DE">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p>
    <w:p w:rsidR="00460DFD" w:rsidRDefault="00460DFD" w:rsidP="006652DE">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p>
    <w:p w:rsidR="00460DFD" w:rsidRDefault="00460DFD" w:rsidP="006652DE">
      <w:pPr>
        <w:autoSpaceDE w:val="0"/>
        <w:autoSpaceDN w:val="0"/>
        <w:adjustRightInd w:val="0"/>
        <w:spacing w:after="0" w:line="360" w:lineRule="auto"/>
        <w:ind w:firstLine="284"/>
        <w:jc w:val="both"/>
        <w:rPr>
          <w:rFonts w:ascii="Times New Roman" w:eastAsia="Times New Roman" w:hAnsi="Times New Roman"/>
          <w:bCs/>
          <w:iCs/>
          <w:sz w:val="24"/>
          <w:szCs w:val="24"/>
          <w:lang w:eastAsia="fr-FR"/>
        </w:rPr>
      </w:pPr>
    </w:p>
    <w:tbl>
      <w:tblPr>
        <w:tblStyle w:val="Grilleclaire-Accent2"/>
        <w:tblW w:w="7938" w:type="dxa"/>
        <w:tblInd w:w="250" w:type="dxa"/>
        <w:tblLook w:val="04A0"/>
      </w:tblPr>
      <w:tblGrid>
        <w:gridCol w:w="2693"/>
        <w:gridCol w:w="2552"/>
        <w:gridCol w:w="2693"/>
      </w:tblGrid>
      <w:tr w:rsidR="006A4EED" w:rsidRPr="003B00C8" w:rsidTr="006652DE">
        <w:trPr>
          <w:cnfStyle w:val="100000000000"/>
        </w:trPr>
        <w:tc>
          <w:tcPr>
            <w:cnfStyle w:val="001000000000"/>
            <w:tcW w:w="2693" w:type="dxa"/>
          </w:tcPr>
          <w:p w:rsidR="006652DE" w:rsidRPr="006652DE" w:rsidRDefault="006A4EED" w:rsidP="006652DE">
            <w:pPr>
              <w:spacing w:after="0" w:line="240" w:lineRule="auto"/>
              <w:jc w:val="center"/>
              <w:rPr>
                <w:rFonts w:ascii="Times New Roman" w:eastAsia="Times New Roman" w:hAnsi="Times New Roman"/>
                <w:b w:val="0"/>
                <w:color w:val="000000"/>
                <w:sz w:val="24"/>
                <w:szCs w:val="24"/>
                <w:lang w:eastAsia="fr-FR"/>
              </w:rPr>
            </w:pPr>
            <w:r w:rsidRPr="006652DE">
              <w:rPr>
                <w:rFonts w:ascii="Times New Roman" w:eastAsia="Times New Roman" w:hAnsi="Times New Roman"/>
                <w:color w:val="000000"/>
                <w:sz w:val="24"/>
                <w:szCs w:val="24"/>
                <w:lang w:eastAsia="fr-FR"/>
              </w:rPr>
              <w:lastRenderedPageBreak/>
              <w:t>ACTE I</w:t>
            </w:r>
          </w:p>
        </w:tc>
        <w:tc>
          <w:tcPr>
            <w:tcW w:w="2552" w:type="dxa"/>
          </w:tcPr>
          <w:p w:rsidR="006A4EED" w:rsidRPr="006652DE" w:rsidRDefault="006A4EED" w:rsidP="006652DE">
            <w:pPr>
              <w:spacing w:after="0" w:line="240" w:lineRule="auto"/>
              <w:jc w:val="center"/>
              <w:cnfStyle w:val="100000000000"/>
              <w:rPr>
                <w:rFonts w:ascii="Times New Roman" w:eastAsia="Times New Roman" w:hAnsi="Times New Roman"/>
                <w:b w:val="0"/>
                <w:color w:val="000000"/>
                <w:sz w:val="24"/>
                <w:szCs w:val="24"/>
                <w:lang w:eastAsia="fr-FR"/>
              </w:rPr>
            </w:pPr>
            <w:r w:rsidRPr="006652DE">
              <w:rPr>
                <w:rFonts w:ascii="Times New Roman" w:eastAsia="Times New Roman" w:hAnsi="Times New Roman"/>
                <w:color w:val="000000"/>
                <w:sz w:val="24"/>
                <w:szCs w:val="24"/>
                <w:lang w:eastAsia="fr-FR"/>
              </w:rPr>
              <w:t>ACTE II</w:t>
            </w:r>
          </w:p>
        </w:tc>
        <w:tc>
          <w:tcPr>
            <w:tcW w:w="2693" w:type="dxa"/>
          </w:tcPr>
          <w:p w:rsidR="006A4EED" w:rsidRPr="006652DE" w:rsidRDefault="006A4EED" w:rsidP="006652DE">
            <w:pPr>
              <w:spacing w:after="0" w:line="240" w:lineRule="auto"/>
              <w:jc w:val="center"/>
              <w:cnfStyle w:val="100000000000"/>
              <w:rPr>
                <w:rFonts w:ascii="Times New Roman" w:eastAsia="Times New Roman" w:hAnsi="Times New Roman"/>
                <w:b w:val="0"/>
                <w:color w:val="000000"/>
                <w:sz w:val="24"/>
                <w:szCs w:val="24"/>
                <w:lang w:eastAsia="fr-FR"/>
              </w:rPr>
            </w:pPr>
            <w:r w:rsidRPr="006652DE">
              <w:rPr>
                <w:rFonts w:ascii="Times New Roman" w:eastAsia="Times New Roman" w:hAnsi="Times New Roman"/>
                <w:color w:val="000000"/>
                <w:sz w:val="24"/>
                <w:szCs w:val="24"/>
                <w:lang w:eastAsia="fr-FR"/>
              </w:rPr>
              <w:t>ACTE III</w:t>
            </w:r>
          </w:p>
        </w:tc>
      </w:tr>
      <w:tr w:rsidR="006A4EED" w:rsidRPr="003B00C8" w:rsidTr="006652DE">
        <w:trPr>
          <w:cnfStyle w:val="000000100000"/>
        </w:trPr>
        <w:tc>
          <w:tcPr>
            <w:cnfStyle w:val="001000000000"/>
            <w:tcW w:w="2693" w:type="dxa"/>
          </w:tcPr>
          <w:p w:rsidR="006A4EED" w:rsidRPr="006652DE" w:rsidRDefault="007937F2" w:rsidP="009F2DBD">
            <w:pPr>
              <w:spacing w:after="0" w:line="240" w:lineRule="auto"/>
              <w:rPr>
                <w:rFonts w:ascii="Times New Roman" w:eastAsia="Times New Roman" w:hAnsi="Times New Roman"/>
                <w:i/>
                <w:iCs/>
                <w:sz w:val="24"/>
                <w:szCs w:val="24"/>
                <w:lang w:eastAsia="fr-FR"/>
              </w:rPr>
            </w:pPr>
            <w:r w:rsidRPr="006652DE">
              <w:rPr>
                <w:rFonts w:ascii="Times New Roman" w:eastAsia="Times New Roman" w:hAnsi="Times New Roman"/>
                <w:sz w:val="24"/>
                <w:szCs w:val="24"/>
                <w:lang w:eastAsia="fr-FR"/>
              </w:rPr>
              <w:t xml:space="preserve">Choeur-- </w:t>
            </w:r>
          </w:p>
          <w:p w:rsidR="006A4EED" w:rsidRPr="006652DE" w:rsidRDefault="007937F2" w:rsidP="009F2DBD">
            <w:pPr>
              <w:spacing w:after="0" w:line="240" w:lineRule="auto"/>
              <w:rPr>
                <w:rFonts w:ascii="Times New Roman" w:eastAsia="Times New Roman" w:hAnsi="Times New Roman"/>
                <w:i/>
                <w:iCs/>
                <w:sz w:val="24"/>
                <w:szCs w:val="24"/>
                <w:lang w:eastAsia="fr-FR"/>
              </w:rPr>
            </w:pPr>
            <w:r w:rsidRPr="006652DE">
              <w:rPr>
                <w:rFonts w:ascii="Times New Roman" w:eastAsia="Times New Roman" w:hAnsi="Times New Roman"/>
                <w:sz w:val="24"/>
                <w:szCs w:val="24"/>
                <w:lang w:eastAsia="fr-FR"/>
              </w:rPr>
              <w:t xml:space="preserve">Slimane- </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Derviche- </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Choeur--1  </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Choeur--2 </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Choeur--3 </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Conteur-</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 xml:space="preserve">Sidi-Boumédiène- </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Sidi-Abdelkader- </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Sidi-Abderrahmane- </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Aveugle-</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Aïcha-</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Marabout-1 </w:t>
            </w:r>
          </w:p>
          <w:p w:rsidR="006A4EED" w:rsidRPr="006652DE" w:rsidRDefault="007937F2" w:rsidP="009F2DBD">
            <w:pPr>
              <w:spacing w:after="0" w:line="240" w:lineRule="auto"/>
              <w:rPr>
                <w:rFonts w:ascii="Times New Roman" w:eastAsia="Times New Roman" w:hAnsi="Times New Roman"/>
                <w:sz w:val="24"/>
                <w:szCs w:val="24"/>
                <w:lang w:eastAsia="fr-FR"/>
              </w:rPr>
            </w:pPr>
            <w:r w:rsidRPr="006652DE">
              <w:rPr>
                <w:rFonts w:ascii="Times New Roman" w:eastAsia="Times New Roman" w:hAnsi="Times New Roman"/>
                <w:sz w:val="24"/>
                <w:szCs w:val="24"/>
                <w:lang w:eastAsia="fr-FR"/>
              </w:rPr>
              <w:t xml:space="preserve">Marabout-2 </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 xml:space="preserve">Marabout-3 </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Choeur-1 &amp; 2</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Homme-1</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Kaddour-</w:t>
            </w:r>
          </w:p>
          <w:p w:rsidR="006A4EED" w:rsidRPr="006652DE" w:rsidRDefault="007937F2" w:rsidP="009F2DBD">
            <w:pPr>
              <w:spacing w:after="0" w:line="240" w:lineRule="auto"/>
              <w:rPr>
                <w:rFonts w:ascii="Times New Roman" w:eastAsia="Times New Roman" w:hAnsi="Times New Roman"/>
                <w:bCs w:val="0"/>
                <w:sz w:val="24"/>
                <w:szCs w:val="24"/>
                <w:lang w:eastAsia="fr-FR"/>
              </w:rPr>
            </w:pPr>
            <w:r w:rsidRPr="006652DE">
              <w:rPr>
                <w:rFonts w:ascii="Times New Roman" w:eastAsia="Times New Roman" w:hAnsi="Times New Roman"/>
                <w:sz w:val="24"/>
                <w:szCs w:val="24"/>
                <w:lang w:eastAsia="fr-FR"/>
              </w:rPr>
              <w:t>Servant</w:t>
            </w:r>
          </w:p>
          <w:p w:rsidR="006A4EED" w:rsidRPr="006652DE" w:rsidRDefault="006A4EED" w:rsidP="009F2DBD">
            <w:pPr>
              <w:spacing w:after="0" w:line="240" w:lineRule="auto"/>
              <w:rPr>
                <w:rFonts w:ascii="Times New Roman" w:eastAsia="Times New Roman" w:hAnsi="Times New Roman"/>
                <w:color w:val="000000"/>
                <w:sz w:val="24"/>
                <w:szCs w:val="24"/>
                <w:lang w:eastAsia="fr-FR"/>
              </w:rPr>
            </w:pPr>
          </w:p>
        </w:tc>
        <w:tc>
          <w:tcPr>
            <w:tcW w:w="2552" w:type="dxa"/>
          </w:tcPr>
          <w:p w:rsidR="006A4EED" w:rsidRPr="006652DE" w:rsidRDefault="007937F2" w:rsidP="009F2DBD">
            <w:pPr>
              <w:spacing w:after="0" w:line="240" w:lineRule="auto"/>
              <w:cnfStyle w:val="000000100000"/>
              <w:rPr>
                <w:rFonts w:ascii="Times New Roman" w:eastAsia="Times New Roman" w:hAnsi="Times New Roman"/>
                <w:sz w:val="24"/>
                <w:szCs w:val="24"/>
                <w:lang w:eastAsia="fr-FR"/>
              </w:rPr>
            </w:pPr>
            <w:r w:rsidRPr="006652DE">
              <w:rPr>
                <w:rFonts w:ascii="Times New Roman" w:eastAsia="Times New Roman" w:hAnsi="Times New Roman"/>
                <w:bCs/>
                <w:sz w:val="24"/>
                <w:szCs w:val="24"/>
                <w:lang w:eastAsia="fr-FR"/>
              </w:rPr>
              <w:t xml:space="preserve">Aouicha- </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Hashmi-</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Halima</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Les Deux-</w:t>
            </w:r>
          </w:p>
          <w:p w:rsidR="006A4EED" w:rsidRPr="006652DE" w:rsidRDefault="007937F2" w:rsidP="009F2DBD">
            <w:pPr>
              <w:spacing w:after="0" w:line="240" w:lineRule="auto"/>
              <w:cnfStyle w:val="000000100000"/>
              <w:rPr>
                <w:rFonts w:ascii="Times New Roman" w:eastAsia="Times New Roman" w:hAnsi="Times New Roman"/>
                <w:sz w:val="24"/>
                <w:szCs w:val="24"/>
                <w:lang w:eastAsia="fr-FR"/>
              </w:rPr>
            </w:pPr>
            <w:r w:rsidRPr="006652DE">
              <w:rPr>
                <w:rFonts w:ascii="Times New Roman" w:eastAsia="Times New Roman" w:hAnsi="Times New Roman"/>
                <w:bCs/>
                <w:sz w:val="24"/>
                <w:szCs w:val="24"/>
                <w:lang w:eastAsia="fr-FR"/>
              </w:rPr>
              <w:t xml:space="preserve">Sidi-Abdelkader- </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 xml:space="preserve">Slimane- </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 xml:space="preserve">Sidi-Abderrahmane- </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Sidi-Boumédiène</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Les Trois-</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Conteur-</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Voix Off-</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Safi</w:t>
            </w:r>
          </w:p>
          <w:p w:rsidR="006A4EED" w:rsidRPr="006652DE" w:rsidRDefault="007937F2" w:rsidP="009F2DBD">
            <w:pPr>
              <w:spacing w:after="0" w:line="240" w:lineRule="auto"/>
              <w:cnfStyle w:val="000000100000"/>
              <w:rPr>
                <w:rFonts w:ascii="Times New Roman" w:eastAsia="Times New Roman" w:hAnsi="Times New Roman"/>
                <w:sz w:val="24"/>
                <w:szCs w:val="24"/>
                <w:lang w:eastAsia="fr-FR"/>
              </w:rPr>
            </w:pPr>
            <w:r w:rsidRPr="006652DE">
              <w:rPr>
                <w:rFonts w:ascii="Times New Roman" w:eastAsia="Times New Roman" w:hAnsi="Times New Roman"/>
                <w:bCs/>
                <w:sz w:val="24"/>
                <w:szCs w:val="24"/>
                <w:lang w:eastAsia="fr-FR"/>
              </w:rPr>
              <w:t xml:space="preserve">Cadi- </w:t>
            </w:r>
          </w:p>
          <w:p w:rsidR="006A4EED" w:rsidRPr="006652DE" w:rsidRDefault="007937F2" w:rsidP="009F2DBD">
            <w:pPr>
              <w:spacing w:after="0" w:line="240" w:lineRule="auto"/>
              <w:cnfStyle w:val="000000100000"/>
              <w:rPr>
                <w:rFonts w:ascii="Times New Roman" w:eastAsia="Times New Roman" w:hAnsi="Times New Roman"/>
                <w:sz w:val="24"/>
                <w:szCs w:val="24"/>
                <w:lang w:eastAsia="fr-FR"/>
              </w:rPr>
            </w:pPr>
            <w:r w:rsidRPr="006652DE">
              <w:rPr>
                <w:rFonts w:ascii="Times New Roman" w:eastAsia="Times New Roman" w:hAnsi="Times New Roman"/>
                <w:bCs/>
                <w:sz w:val="24"/>
                <w:szCs w:val="24"/>
                <w:lang w:eastAsia="fr-FR"/>
              </w:rPr>
              <w:t xml:space="preserve">Mufti- </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Servant-</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Les Trois-</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Choeur-1</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Choeur-2</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Halima-</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Visiteur-1</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Visiteur-2</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Visiteur-3</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Visiteur-4</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Visiteur-5</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Visiteur-6</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Groupe De Gauche</w:t>
            </w:r>
          </w:p>
          <w:p w:rsidR="006A4EED" w:rsidRPr="006652DE" w:rsidRDefault="007937F2" w:rsidP="009F2DBD">
            <w:pPr>
              <w:spacing w:after="0" w:line="240" w:lineRule="auto"/>
              <w:cnfStyle w:val="000000100000"/>
              <w:rPr>
                <w:rFonts w:ascii="Times New Roman" w:eastAsia="Times New Roman" w:hAnsi="Times New Roman"/>
                <w:bCs/>
                <w:sz w:val="24"/>
                <w:szCs w:val="24"/>
                <w:lang w:eastAsia="fr-FR"/>
              </w:rPr>
            </w:pPr>
            <w:r w:rsidRPr="006652DE">
              <w:rPr>
                <w:rFonts w:ascii="Times New Roman" w:eastAsia="Times New Roman" w:hAnsi="Times New Roman"/>
                <w:bCs/>
                <w:sz w:val="24"/>
                <w:szCs w:val="24"/>
                <w:lang w:eastAsia="fr-FR"/>
              </w:rPr>
              <w:t>Groupe De Droite</w:t>
            </w:r>
          </w:p>
          <w:p w:rsidR="006A4EED" w:rsidRPr="006652DE" w:rsidRDefault="007937F2" w:rsidP="009F2DBD">
            <w:pPr>
              <w:spacing w:after="0" w:line="240" w:lineRule="auto"/>
              <w:cnfStyle w:val="000000100000"/>
              <w:rPr>
                <w:rFonts w:ascii="Times New Roman" w:eastAsia="Times New Roman" w:hAnsi="Times New Roman"/>
                <w:color w:val="000000"/>
                <w:sz w:val="24"/>
                <w:szCs w:val="24"/>
                <w:lang w:eastAsia="fr-FR"/>
              </w:rPr>
            </w:pPr>
            <w:r w:rsidRPr="006652DE">
              <w:rPr>
                <w:rFonts w:ascii="Times New Roman" w:eastAsia="Times New Roman" w:hAnsi="Times New Roman"/>
                <w:bCs/>
                <w:sz w:val="24"/>
                <w:szCs w:val="24"/>
                <w:lang w:eastAsia="fr-FR"/>
              </w:rPr>
              <w:t>Tous-</w:t>
            </w:r>
          </w:p>
        </w:tc>
        <w:tc>
          <w:tcPr>
            <w:tcW w:w="2693" w:type="dxa"/>
          </w:tcPr>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Conteur-</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Caïd-</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Caïd-</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Les Deux</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Cadi-</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Servant-</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Tous-</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Aveugle-</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Femme-</w:t>
            </w:r>
          </w:p>
          <w:p w:rsidR="006A4EED" w:rsidRPr="003B00C8" w:rsidRDefault="007937F2" w:rsidP="009F2DBD">
            <w:pPr>
              <w:spacing w:after="0" w:line="240" w:lineRule="auto"/>
              <w:cnfStyle w:val="000000100000"/>
              <w:rPr>
                <w:rFonts w:ascii="Times New Roman" w:eastAsia="Times New Roman" w:hAnsi="Times New Roman"/>
                <w:bCs/>
                <w:lang w:eastAsia="fr-FR"/>
              </w:rPr>
            </w:pPr>
            <w:r w:rsidRPr="003B00C8">
              <w:rPr>
                <w:rFonts w:ascii="Times New Roman" w:eastAsia="Times New Roman" w:hAnsi="Times New Roman"/>
                <w:bCs/>
                <w:lang w:eastAsia="fr-FR"/>
              </w:rPr>
              <w:t>Slimane-</w:t>
            </w:r>
          </w:p>
          <w:p w:rsidR="006A4EED" w:rsidRPr="003B00C8" w:rsidRDefault="007937F2" w:rsidP="009F2DBD">
            <w:pPr>
              <w:spacing w:after="0" w:line="240" w:lineRule="auto"/>
              <w:cnfStyle w:val="000000100000"/>
              <w:rPr>
                <w:rFonts w:ascii="Times New Roman" w:eastAsia="Times New Roman" w:hAnsi="Times New Roman"/>
                <w:color w:val="000000"/>
                <w:lang w:eastAsia="fr-FR"/>
              </w:rPr>
            </w:pPr>
            <w:r w:rsidRPr="003B00C8">
              <w:rPr>
                <w:rFonts w:ascii="Times New Roman" w:eastAsia="Times New Roman" w:hAnsi="Times New Roman"/>
                <w:bCs/>
                <w:lang w:eastAsia="fr-FR"/>
              </w:rPr>
              <w:t>Derviche-</w:t>
            </w:r>
          </w:p>
        </w:tc>
      </w:tr>
    </w:tbl>
    <w:p w:rsidR="006A4EED" w:rsidRPr="003B00C8" w:rsidRDefault="006A4EED" w:rsidP="006A4EED">
      <w:pPr>
        <w:autoSpaceDE w:val="0"/>
        <w:autoSpaceDN w:val="0"/>
        <w:adjustRightInd w:val="0"/>
        <w:spacing w:after="0" w:line="240" w:lineRule="auto"/>
        <w:rPr>
          <w:rFonts w:ascii="Times New Roman" w:eastAsia="Times New Roman" w:hAnsi="Times New Roman"/>
          <w:color w:val="000000"/>
          <w:sz w:val="24"/>
          <w:szCs w:val="24"/>
          <w:lang w:eastAsia="fr-FR"/>
        </w:rPr>
      </w:pPr>
    </w:p>
    <w:p w:rsidR="006A4EED" w:rsidRPr="006652DE" w:rsidRDefault="006A4EED" w:rsidP="00490920">
      <w:pPr>
        <w:jc w:val="center"/>
        <w:rPr>
          <w:b/>
          <w:bCs/>
        </w:rPr>
      </w:pPr>
      <w:r w:rsidRPr="006652DE">
        <w:rPr>
          <w:rFonts w:ascii="Times New Roman" w:eastAsia="Times New Roman" w:hAnsi="Times New Roman"/>
          <w:b/>
          <w:bCs/>
          <w:color w:val="000000"/>
          <w:sz w:val="24"/>
          <w:szCs w:val="24"/>
          <w:lang w:eastAsia="fr-FR"/>
        </w:rPr>
        <w:t xml:space="preserve">Tableau 1 : fréquence et ordre </w:t>
      </w:r>
      <w:r w:rsidR="00CA2294" w:rsidRPr="006652DE">
        <w:rPr>
          <w:rFonts w:ascii="Times New Roman" w:eastAsia="Times New Roman" w:hAnsi="Times New Roman"/>
          <w:b/>
          <w:bCs/>
          <w:color w:val="000000"/>
          <w:sz w:val="24"/>
          <w:szCs w:val="24"/>
          <w:lang w:eastAsia="fr-FR"/>
        </w:rPr>
        <w:t xml:space="preserve">d’apparition </w:t>
      </w:r>
      <w:r w:rsidRPr="006652DE">
        <w:rPr>
          <w:rFonts w:ascii="Times New Roman" w:eastAsia="Times New Roman" w:hAnsi="Times New Roman"/>
          <w:b/>
          <w:bCs/>
          <w:color w:val="000000"/>
          <w:sz w:val="24"/>
          <w:szCs w:val="24"/>
          <w:lang w:eastAsia="fr-FR"/>
        </w:rPr>
        <w:t>des personnages dans les trois actes</w:t>
      </w:r>
    </w:p>
    <w:p w:rsidR="007937F2" w:rsidRDefault="007937F2" w:rsidP="00490920">
      <w:pPr>
        <w:autoSpaceDE w:val="0"/>
        <w:autoSpaceDN w:val="0"/>
        <w:adjustRightInd w:val="0"/>
        <w:spacing w:after="0" w:line="360" w:lineRule="auto"/>
        <w:jc w:val="both"/>
        <w:rPr>
          <w:rFonts w:ascii="Times New Roman" w:eastAsia="Times New Roman" w:hAnsi="Times New Roman"/>
          <w:color w:val="000000"/>
          <w:sz w:val="24"/>
          <w:szCs w:val="24"/>
          <w:lang w:eastAsia="fr-FR"/>
        </w:rPr>
      </w:pPr>
    </w:p>
    <w:p w:rsidR="00007ADC" w:rsidRDefault="006A4EED" w:rsidP="0050039F">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Dans cette pléthore de personnages, nombreux d’entre eux sont contingents. Ils sont juste évoqués et n’apportent aucune contribution à l’avancement de l’intrigue. Ils habillent simplement le récit. Il s’agit des êtres de papier comme « Chœur ; Chœur 1,2</w:t>
      </w:r>
      <w:r w:rsidR="00007ADC">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et</w:t>
      </w:r>
      <w:r w:rsidR="00007ADC">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3; voix off ; visiteur 1, 2, 3, 4,</w:t>
      </w:r>
      <w:r w:rsidR="00007ADC">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5, et 6 ; groupe de gauche et groupe de droite ». Ils contribuent à créer un </w:t>
      </w:r>
      <w:r w:rsidRPr="00007ADC">
        <w:rPr>
          <w:rFonts w:ascii="Times New Roman" w:eastAsia="Times New Roman" w:hAnsi="Times New Roman"/>
          <w:color w:val="000000"/>
          <w:sz w:val="24"/>
          <w:szCs w:val="24"/>
          <w:lang w:eastAsia="fr-FR"/>
        </w:rPr>
        <w:t>effet de réel</w:t>
      </w:r>
      <w:r w:rsidRPr="003B00C8">
        <w:rPr>
          <w:rFonts w:ascii="Times New Roman" w:eastAsia="Times New Roman" w:hAnsi="Times New Roman"/>
          <w:i/>
          <w:iCs/>
          <w:color w:val="000000"/>
          <w:sz w:val="24"/>
          <w:szCs w:val="24"/>
          <w:lang w:eastAsia="fr-FR"/>
        </w:rPr>
        <w:t xml:space="preserve"> </w:t>
      </w:r>
      <w:r w:rsidRPr="003B00C8">
        <w:rPr>
          <w:rFonts w:ascii="Times New Roman" w:eastAsia="Times New Roman" w:hAnsi="Times New Roman"/>
          <w:color w:val="000000"/>
          <w:sz w:val="24"/>
          <w:szCs w:val="24"/>
          <w:lang w:eastAsia="fr-FR"/>
        </w:rPr>
        <w:t>à donner au récit fictif une vraisemblance.</w:t>
      </w:r>
    </w:p>
    <w:p w:rsidR="00007ADC" w:rsidRPr="00490920" w:rsidRDefault="006A4EED" w:rsidP="00B256E3">
      <w:pPr>
        <w:autoSpaceDE w:val="0"/>
        <w:autoSpaceDN w:val="0"/>
        <w:adjustRightInd w:val="0"/>
        <w:spacing w:after="0" w:line="360" w:lineRule="auto"/>
        <w:ind w:firstLine="284"/>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Le personnage n’a de pertinence que grâce à sa fonctionnalité ou mieux, selon le mot de Barthes:</w:t>
      </w:r>
      <w:r w:rsidR="00B256E3">
        <w:rPr>
          <w:rFonts w:ascii="Times New Roman" w:eastAsia="Times New Roman" w:hAnsi="Times New Roman"/>
          <w:color w:val="000000"/>
          <w:sz w:val="24"/>
          <w:szCs w:val="24"/>
          <w:lang w:eastAsia="fr-FR"/>
        </w:rPr>
        <w:t xml:space="preserve"> </w:t>
      </w:r>
      <w:r w:rsidR="00B256E3" w:rsidRPr="00B256E3">
        <w:rPr>
          <w:rFonts w:ascii="Times New Roman" w:eastAsia="Times New Roman" w:hAnsi="Times New Roman"/>
          <w:color w:val="000000"/>
          <w:sz w:val="24"/>
          <w:szCs w:val="24"/>
          <w:lang w:eastAsia="fr-FR"/>
        </w:rPr>
        <w:t>« </w:t>
      </w:r>
      <w:r w:rsidRPr="00B256E3">
        <w:rPr>
          <w:rFonts w:ascii="Times New Roman" w:eastAsia="Times New Roman" w:hAnsi="Times New Roman"/>
          <w:color w:val="000000"/>
          <w:sz w:val="24"/>
          <w:szCs w:val="24"/>
          <w:lang w:eastAsia="fr-FR"/>
        </w:rPr>
        <w:t xml:space="preserve">(sa) participation à une sphère d’action. </w:t>
      </w:r>
      <w:r w:rsidR="00B256E3">
        <w:rPr>
          <w:rFonts w:ascii="Times New Roman" w:eastAsia="Times New Roman" w:hAnsi="Times New Roman"/>
          <w:color w:val="000000"/>
          <w:sz w:val="24"/>
          <w:szCs w:val="24"/>
          <w:lang w:eastAsia="fr-FR"/>
        </w:rPr>
        <w:t>[</w:t>
      </w:r>
      <w:r w:rsidRPr="00B256E3">
        <w:rPr>
          <w:rFonts w:ascii="Times New Roman" w:eastAsia="Times New Roman" w:hAnsi="Times New Roman"/>
          <w:color w:val="000000"/>
          <w:sz w:val="24"/>
          <w:szCs w:val="24"/>
          <w:lang w:eastAsia="fr-FR"/>
        </w:rPr>
        <w:t>...</w:t>
      </w:r>
      <w:r w:rsidR="00B256E3">
        <w:rPr>
          <w:rFonts w:ascii="Times New Roman" w:eastAsia="Times New Roman" w:hAnsi="Times New Roman"/>
          <w:color w:val="000000"/>
          <w:sz w:val="24"/>
          <w:szCs w:val="24"/>
          <w:lang w:eastAsia="fr-FR"/>
        </w:rPr>
        <w:t>]</w:t>
      </w:r>
      <w:r w:rsidRPr="00B256E3">
        <w:rPr>
          <w:rFonts w:ascii="Times New Roman" w:eastAsia="Times New Roman" w:hAnsi="Times New Roman"/>
          <w:color w:val="000000"/>
          <w:sz w:val="24"/>
          <w:szCs w:val="24"/>
          <w:lang w:eastAsia="fr-FR"/>
        </w:rPr>
        <w:t xml:space="preserve"> le mot ne doit donc pas s’entendre ici au sens des menus actes qui forment le tissu du premier </w:t>
      </w:r>
      <w:r w:rsidRPr="00B256E3">
        <w:rPr>
          <w:rFonts w:ascii="Times New Roman" w:eastAsia="Times New Roman" w:hAnsi="Times New Roman"/>
          <w:color w:val="000000"/>
          <w:sz w:val="24"/>
          <w:szCs w:val="24"/>
          <w:lang w:eastAsia="fr-FR"/>
        </w:rPr>
        <w:lastRenderedPageBreak/>
        <w:t>niveau, mais au sens des grandes articulations de la praxis (désirer, communiquer, lutter</w:t>
      </w:r>
      <w:r w:rsidR="00B256E3">
        <w:rPr>
          <w:rFonts w:ascii="Times New Roman" w:eastAsia="Times New Roman" w:hAnsi="Times New Roman"/>
          <w:color w:val="000000"/>
          <w:sz w:val="24"/>
          <w:szCs w:val="24"/>
          <w:lang w:eastAsia="fr-FR"/>
        </w:rPr>
        <w:t> »</w:t>
      </w:r>
      <w:r w:rsidRPr="00B256E3">
        <w:rPr>
          <w:rFonts w:ascii="Times New Roman" w:eastAsia="Times New Roman" w:hAnsi="Times New Roman"/>
          <w:color w:val="000000"/>
          <w:sz w:val="24"/>
          <w:szCs w:val="24"/>
          <w:vertAlign w:val="superscript"/>
          <w:lang w:eastAsia="fr-FR"/>
        </w:rPr>
        <w:footnoteReference w:id="161"/>
      </w:r>
      <w:r w:rsidRPr="00B256E3">
        <w:rPr>
          <w:rFonts w:ascii="Times New Roman" w:eastAsia="Times New Roman" w:hAnsi="Times New Roman"/>
          <w:color w:val="000000"/>
          <w:sz w:val="24"/>
          <w:szCs w:val="24"/>
          <w:lang w:eastAsia="fr-FR"/>
        </w:rPr>
        <w:t>.</w:t>
      </w:r>
    </w:p>
    <w:p w:rsidR="006A4EED" w:rsidRPr="003B00C8" w:rsidRDefault="006A4EED" w:rsidP="003E08DA">
      <w:pPr>
        <w:autoSpaceDE w:val="0"/>
        <w:autoSpaceDN w:val="0"/>
        <w:adjustRightInd w:val="0"/>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color w:val="000000"/>
          <w:sz w:val="24"/>
          <w:szCs w:val="24"/>
          <w:lang w:eastAsia="fr-FR"/>
        </w:rPr>
        <w:t>Il sera donc question de prendre en compte, chez les personnages, leur qualité de sujet du faire. À cet effet, nous retenons Slimane, les trois marabouts vertueux (</w:t>
      </w:r>
      <w:r w:rsidRPr="00007ADC">
        <w:rPr>
          <w:rFonts w:ascii="Times New Roman" w:eastAsia="Times New Roman" w:hAnsi="Times New Roman"/>
          <w:sz w:val="24"/>
          <w:szCs w:val="24"/>
          <w:lang w:eastAsia="fr-FR"/>
        </w:rPr>
        <w:t>S</w:t>
      </w:r>
      <w:r w:rsidR="003E08DA">
        <w:rPr>
          <w:rFonts w:ascii="Times New Roman" w:eastAsia="Times New Roman" w:hAnsi="Times New Roman"/>
          <w:sz w:val="24"/>
          <w:szCs w:val="24"/>
          <w:lang w:eastAsia="fr-FR"/>
        </w:rPr>
        <w:t>idi</w:t>
      </w:r>
      <w:r w:rsidRPr="00007ADC">
        <w:rPr>
          <w:rFonts w:ascii="Times New Roman" w:eastAsia="Times New Roman" w:hAnsi="Times New Roman"/>
          <w:sz w:val="24"/>
          <w:szCs w:val="24"/>
          <w:lang w:eastAsia="fr-FR"/>
        </w:rPr>
        <w:t>-</w:t>
      </w:r>
      <w:r w:rsidR="007937F2">
        <w:rPr>
          <w:rFonts w:ascii="Times New Roman" w:eastAsia="Times New Roman" w:hAnsi="Times New Roman"/>
          <w:sz w:val="24"/>
          <w:szCs w:val="24"/>
          <w:lang w:eastAsia="fr-FR"/>
        </w:rPr>
        <w:t>Boumédiène</w:t>
      </w:r>
      <w:r w:rsidR="003E08DA">
        <w:rPr>
          <w:rFonts w:ascii="Times New Roman" w:eastAsia="Times New Roman" w:hAnsi="Times New Roman"/>
          <w:sz w:val="24"/>
          <w:szCs w:val="24"/>
          <w:lang w:eastAsia="fr-FR"/>
        </w:rPr>
        <w:t xml:space="preserve">, </w:t>
      </w:r>
      <w:r w:rsidR="007937F2">
        <w:rPr>
          <w:rFonts w:ascii="Times New Roman" w:eastAsia="Times New Roman" w:hAnsi="Times New Roman"/>
          <w:sz w:val="24"/>
          <w:szCs w:val="24"/>
          <w:lang w:eastAsia="fr-FR"/>
        </w:rPr>
        <w:t>Sidi-Abdelkader</w:t>
      </w:r>
      <w:r w:rsidR="003E08DA">
        <w:rPr>
          <w:rFonts w:ascii="Times New Roman" w:eastAsia="Times New Roman" w:hAnsi="Times New Roman"/>
          <w:sz w:val="24"/>
          <w:szCs w:val="24"/>
          <w:lang w:eastAsia="fr-FR"/>
        </w:rPr>
        <w:t xml:space="preserve"> </w:t>
      </w:r>
      <w:r w:rsidR="007937F2">
        <w:rPr>
          <w:rFonts w:ascii="Times New Roman" w:eastAsia="Times New Roman" w:hAnsi="Times New Roman"/>
          <w:sz w:val="24"/>
          <w:szCs w:val="24"/>
          <w:lang w:eastAsia="fr-FR"/>
        </w:rPr>
        <w:t>e</w:t>
      </w:r>
      <w:r w:rsidR="007937F2" w:rsidRPr="00007ADC">
        <w:rPr>
          <w:rFonts w:ascii="Times New Roman" w:eastAsia="Times New Roman" w:hAnsi="Times New Roman"/>
          <w:sz w:val="24"/>
          <w:szCs w:val="24"/>
          <w:lang w:eastAsia="fr-FR"/>
        </w:rPr>
        <w:t>t Sidi-Abderrahmane</w:t>
      </w:r>
      <w:r w:rsidRPr="00007ADC">
        <w:rPr>
          <w:rFonts w:ascii="Times New Roman" w:eastAsia="Times New Roman" w:hAnsi="Times New Roman"/>
          <w:sz w:val="24"/>
          <w:szCs w:val="24"/>
          <w:lang w:eastAsia="fr-FR"/>
        </w:rPr>
        <w:t>)</w:t>
      </w:r>
      <w:r w:rsidRPr="003B00C8">
        <w:rPr>
          <w:rFonts w:ascii="Times New Roman" w:eastAsia="Times New Roman" w:hAnsi="Times New Roman"/>
          <w:b/>
          <w:bCs/>
          <w:sz w:val="24"/>
          <w:szCs w:val="24"/>
          <w:lang w:eastAsia="fr-FR"/>
        </w:rPr>
        <w:t xml:space="preserve">, </w:t>
      </w:r>
      <w:r w:rsidRPr="003B00C8">
        <w:rPr>
          <w:rFonts w:ascii="Times New Roman" w:eastAsia="Times New Roman" w:hAnsi="Times New Roman"/>
          <w:bCs/>
          <w:sz w:val="24"/>
          <w:szCs w:val="24"/>
          <w:lang w:eastAsia="fr-FR"/>
        </w:rPr>
        <w:t>Halima et Safi.</w:t>
      </w:r>
      <w:r w:rsidRPr="003B00C8">
        <w:rPr>
          <w:rFonts w:ascii="Times New Roman" w:eastAsia="Times New Roman" w:hAnsi="Times New Roman"/>
          <w:color w:val="000000"/>
          <w:sz w:val="24"/>
          <w:szCs w:val="24"/>
          <w:lang w:eastAsia="fr-FR"/>
        </w:rPr>
        <w:t xml:space="preserve"> Ces protagonistes seront étudiés en définitive selon leurs dimensions actantielle et actorielle.</w:t>
      </w:r>
    </w:p>
    <w:p w:rsidR="0009311F" w:rsidRDefault="0009311F" w:rsidP="00E43977">
      <w:pPr>
        <w:pStyle w:val="Titre4"/>
        <w:spacing w:before="0" w:after="0" w:line="360" w:lineRule="auto"/>
        <w:ind w:left="641" w:hanging="357"/>
        <w:jc w:val="both"/>
        <w:rPr>
          <w:rFonts w:ascii="Times New Roman" w:hAnsi="Times New Roman"/>
          <w:i w:val="0"/>
          <w:iCs/>
          <w:lang w:eastAsia="fr-FR"/>
        </w:rPr>
      </w:pPr>
    </w:p>
    <w:p w:rsidR="006A4EED" w:rsidRPr="00007ADC" w:rsidRDefault="00E43977" w:rsidP="00E43977">
      <w:pPr>
        <w:pStyle w:val="Titre4"/>
        <w:spacing w:before="0" w:after="0" w:line="360" w:lineRule="auto"/>
        <w:ind w:left="641" w:hanging="357"/>
        <w:jc w:val="both"/>
        <w:rPr>
          <w:rFonts w:ascii="Times New Roman" w:hAnsi="Times New Roman"/>
          <w:i w:val="0"/>
          <w:iCs/>
          <w:lang w:eastAsia="fr-FR"/>
        </w:rPr>
      </w:pPr>
      <w:bookmarkStart w:id="92" w:name="_Toc471484463"/>
      <w:r>
        <w:rPr>
          <w:rFonts w:ascii="Times New Roman" w:hAnsi="Times New Roman"/>
          <w:i w:val="0"/>
          <w:iCs/>
          <w:lang w:eastAsia="fr-FR"/>
        </w:rPr>
        <w:t>3.1.</w:t>
      </w:r>
      <w:r w:rsidRPr="00007ADC">
        <w:rPr>
          <w:rFonts w:ascii="Times New Roman" w:hAnsi="Times New Roman"/>
          <w:i w:val="0"/>
          <w:iCs/>
          <w:lang w:eastAsia="fr-FR"/>
        </w:rPr>
        <w:t xml:space="preserve"> Dimension</w:t>
      </w:r>
      <w:r w:rsidR="006A4EED" w:rsidRPr="00007ADC">
        <w:rPr>
          <w:rFonts w:ascii="Times New Roman" w:hAnsi="Times New Roman"/>
          <w:i w:val="0"/>
          <w:iCs/>
          <w:lang w:eastAsia="fr-FR"/>
        </w:rPr>
        <w:t xml:space="preserve"> actorielle</w:t>
      </w:r>
      <w:bookmarkEnd w:id="92"/>
    </w:p>
    <w:p w:rsidR="006A4EED" w:rsidRPr="003B00C8" w:rsidRDefault="006A4EED" w:rsidP="00E43977">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Pour Anne Ubersfeld, l’acteur </w:t>
      </w:r>
      <w:r w:rsidR="00E43977" w:rsidRPr="00E43977">
        <w:rPr>
          <w:rFonts w:ascii="Times New Roman" w:eastAsia="Times New Roman" w:hAnsi="Times New Roman"/>
          <w:color w:val="000000"/>
          <w:sz w:val="24"/>
          <w:szCs w:val="24"/>
          <w:lang w:eastAsia="fr-FR"/>
        </w:rPr>
        <w:t>« </w:t>
      </w:r>
      <w:r w:rsidRPr="00E43977">
        <w:rPr>
          <w:rFonts w:ascii="Times New Roman" w:eastAsia="Times New Roman" w:hAnsi="Times New Roman"/>
          <w:color w:val="000000"/>
          <w:sz w:val="24"/>
          <w:szCs w:val="24"/>
          <w:lang w:eastAsia="fr-FR"/>
        </w:rPr>
        <w:t>est une unité lexicalisée</w:t>
      </w:r>
      <w:r w:rsidR="00E43977" w:rsidRPr="00E43977">
        <w:rPr>
          <w:rFonts w:ascii="Times New Roman" w:eastAsia="Times New Roman" w:hAnsi="Times New Roman"/>
          <w:color w:val="000000"/>
          <w:sz w:val="24"/>
          <w:szCs w:val="24"/>
          <w:lang w:eastAsia="fr-FR"/>
        </w:rPr>
        <w:t> »</w:t>
      </w:r>
      <w:r w:rsidRPr="00E43977">
        <w:rPr>
          <w:rFonts w:ascii="Times New Roman" w:eastAsia="Times New Roman" w:hAnsi="Times New Roman"/>
          <w:color w:val="000000"/>
          <w:sz w:val="24"/>
          <w:szCs w:val="24"/>
          <w:vertAlign w:val="superscript"/>
          <w:lang w:eastAsia="fr-FR"/>
        </w:rPr>
        <w:footnoteReference w:id="162"/>
      </w:r>
      <w:r w:rsidRPr="003B00C8">
        <w:rPr>
          <w:rFonts w:ascii="Times New Roman" w:eastAsia="Times New Roman" w:hAnsi="Times New Roman"/>
          <w:i/>
          <w:iCs/>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c’est à dire </w:t>
      </w:r>
      <w:r w:rsidR="00E43977" w:rsidRPr="00E43977">
        <w:rPr>
          <w:rFonts w:ascii="Times New Roman" w:eastAsia="Times New Roman" w:hAnsi="Times New Roman"/>
          <w:color w:val="000000"/>
          <w:sz w:val="24"/>
          <w:szCs w:val="24"/>
          <w:lang w:eastAsia="fr-FR"/>
        </w:rPr>
        <w:t>« </w:t>
      </w:r>
      <w:r w:rsidRPr="00E43977">
        <w:rPr>
          <w:rFonts w:ascii="Times New Roman" w:eastAsia="Times New Roman" w:hAnsi="Times New Roman"/>
          <w:color w:val="000000"/>
          <w:sz w:val="24"/>
          <w:szCs w:val="24"/>
          <w:lang w:eastAsia="fr-FR"/>
        </w:rPr>
        <w:t>un élément animé caractérisé par un fonctionnement identique, au besoin sous divers noms et dans différentes situations</w:t>
      </w:r>
      <w:r w:rsidR="00E43977" w:rsidRPr="00E43977">
        <w:rPr>
          <w:rFonts w:ascii="Times New Roman" w:eastAsia="Times New Roman" w:hAnsi="Times New Roman"/>
          <w:color w:val="000000"/>
          <w:sz w:val="24"/>
          <w:szCs w:val="24"/>
          <w:lang w:eastAsia="fr-FR"/>
        </w:rPr>
        <w:t> »</w:t>
      </w:r>
      <w:r w:rsidRPr="00E43977">
        <w:rPr>
          <w:rFonts w:ascii="Times New Roman" w:eastAsia="Times New Roman" w:hAnsi="Times New Roman"/>
          <w:color w:val="000000"/>
          <w:sz w:val="24"/>
          <w:szCs w:val="24"/>
          <w:vertAlign w:val="superscript"/>
          <w:lang w:eastAsia="fr-FR"/>
        </w:rPr>
        <w:footnoteReference w:id="163"/>
      </w:r>
      <w:r w:rsidRPr="00E43977">
        <w:rPr>
          <w:rFonts w:ascii="Times New Roman" w:eastAsia="Times New Roman" w:hAnsi="Times New Roman"/>
          <w:color w:val="000000"/>
          <w:sz w:val="24"/>
          <w:szCs w:val="24"/>
          <w:lang w:eastAsia="fr-FR"/>
        </w:rPr>
        <w:t xml:space="preserve"> dans un récit. Son rôle est de ce fait </w:t>
      </w:r>
      <w:r w:rsidRPr="003B00C8">
        <w:rPr>
          <w:rFonts w:ascii="Times New Roman" w:eastAsia="Times New Roman" w:hAnsi="Times New Roman"/>
          <w:color w:val="000000"/>
          <w:sz w:val="24"/>
          <w:szCs w:val="24"/>
          <w:lang w:eastAsia="fr-FR"/>
        </w:rPr>
        <w:t>déterminé par les rôles thématiques et discursifs à lui attribu</w:t>
      </w:r>
      <w:r w:rsidR="00007ADC">
        <w:rPr>
          <w:rFonts w:ascii="Times New Roman" w:eastAsia="Times New Roman" w:hAnsi="Times New Roman"/>
          <w:color w:val="000000"/>
          <w:sz w:val="24"/>
          <w:szCs w:val="24"/>
          <w:lang w:eastAsia="fr-FR"/>
        </w:rPr>
        <w:t>er</w:t>
      </w:r>
      <w:r w:rsidRPr="003B00C8">
        <w:rPr>
          <w:rFonts w:ascii="Times New Roman" w:eastAsia="Times New Roman" w:hAnsi="Times New Roman"/>
          <w:color w:val="000000"/>
          <w:sz w:val="24"/>
          <w:szCs w:val="24"/>
          <w:lang w:eastAsia="fr-FR"/>
        </w:rPr>
        <w:t xml:space="preserve"> par l’écrivain. Il convient donc de s’appesantir sur les </w:t>
      </w:r>
      <w:r w:rsidR="00E43977" w:rsidRPr="00E43977">
        <w:rPr>
          <w:rFonts w:ascii="Times New Roman" w:eastAsia="Times New Roman" w:hAnsi="Times New Roman"/>
          <w:color w:val="000000"/>
          <w:sz w:val="24"/>
          <w:szCs w:val="24"/>
          <w:lang w:eastAsia="fr-FR"/>
        </w:rPr>
        <w:t>« </w:t>
      </w:r>
      <w:r w:rsidRPr="00E43977">
        <w:rPr>
          <w:rFonts w:ascii="Times New Roman" w:eastAsia="Times New Roman" w:hAnsi="Times New Roman"/>
          <w:color w:val="000000"/>
          <w:sz w:val="24"/>
          <w:szCs w:val="24"/>
          <w:lang w:eastAsia="fr-FR"/>
        </w:rPr>
        <w:t>qualifications des êtres que ces actions mettent en cause</w:t>
      </w:r>
      <w:r w:rsidR="00E43977" w:rsidRPr="00E43977">
        <w:rPr>
          <w:rFonts w:ascii="Times New Roman" w:eastAsia="Times New Roman" w:hAnsi="Times New Roman"/>
          <w:color w:val="000000"/>
          <w:sz w:val="24"/>
          <w:szCs w:val="24"/>
          <w:lang w:eastAsia="fr-FR"/>
        </w:rPr>
        <w:t> »</w:t>
      </w:r>
      <w:r w:rsidRPr="00E43977">
        <w:rPr>
          <w:rFonts w:ascii="Times New Roman" w:eastAsia="Times New Roman" w:hAnsi="Times New Roman"/>
          <w:color w:val="000000"/>
          <w:sz w:val="24"/>
          <w:szCs w:val="24"/>
          <w:vertAlign w:val="superscript"/>
          <w:lang w:eastAsia="fr-FR"/>
        </w:rPr>
        <w:footnoteReference w:id="164"/>
      </w:r>
      <w:r w:rsidRPr="00E43977">
        <w:rPr>
          <w:rFonts w:ascii="Times New Roman" w:eastAsia="Times New Roman" w:hAnsi="Times New Roman"/>
          <w:color w:val="000000"/>
          <w:sz w:val="24"/>
          <w:szCs w:val="24"/>
          <w:lang w:eastAsia="fr-FR"/>
        </w:rPr>
        <w:t xml:space="preserve"> ; la qualification étant une relation attributive qui donne à une entité une qualité</w:t>
      </w:r>
      <w:r w:rsidRPr="003B00C8">
        <w:rPr>
          <w:rFonts w:ascii="Times New Roman" w:eastAsia="Times New Roman" w:hAnsi="Times New Roman"/>
          <w:color w:val="000000"/>
          <w:sz w:val="24"/>
          <w:szCs w:val="24"/>
          <w:lang w:eastAsia="fr-FR"/>
        </w:rPr>
        <w:t xml:space="preserve"> ou un comportement.</w:t>
      </w:r>
    </w:p>
    <w:p w:rsidR="006A4EED" w:rsidRPr="003B00C8" w:rsidRDefault="006A4EED" w:rsidP="00F24F78">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Ainsi, nous distinguerons:</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1- La caractérisation définitionnelle</w:t>
      </w:r>
      <w:r w:rsidRPr="003B00C8">
        <w:rPr>
          <w:rFonts w:ascii="Times New Roman" w:eastAsia="Times New Roman" w:hAnsi="Times New Roman"/>
          <w:color w:val="000000"/>
          <w:sz w:val="24"/>
          <w:szCs w:val="24"/>
          <w:vertAlign w:val="superscript"/>
          <w:lang w:eastAsia="fr-FR"/>
        </w:rPr>
        <w:footnoteReference w:id="165"/>
      </w:r>
      <w:r w:rsidRPr="003B00C8">
        <w:rPr>
          <w:rFonts w:ascii="Times New Roman" w:eastAsia="Times New Roman" w:hAnsi="Times New Roman"/>
          <w:color w:val="000000"/>
          <w:sz w:val="24"/>
          <w:szCs w:val="24"/>
          <w:lang w:eastAsia="fr-FR"/>
        </w:rPr>
        <w:t xml:space="preserve">: l’être </w:t>
      </w:r>
      <w:r w:rsidRPr="003B00C8">
        <w:rPr>
          <w:rFonts w:ascii="Times New Roman" w:eastAsia="Times New Roman" w:hAnsi="Times New Roman"/>
          <w:i/>
          <w:iCs/>
          <w:color w:val="000000"/>
          <w:sz w:val="24"/>
          <w:szCs w:val="24"/>
          <w:lang w:eastAsia="fr-FR"/>
        </w:rPr>
        <w:t>est quelque chose</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2- La caractérisation descriptive comportementale: l’être </w:t>
      </w:r>
      <w:r w:rsidRPr="003B00C8">
        <w:rPr>
          <w:rFonts w:ascii="Times New Roman" w:eastAsia="Times New Roman" w:hAnsi="Times New Roman"/>
          <w:i/>
          <w:iCs/>
          <w:color w:val="000000"/>
          <w:sz w:val="24"/>
          <w:szCs w:val="24"/>
          <w:lang w:eastAsia="fr-FR"/>
        </w:rPr>
        <w:t>est faisant quelque chose</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3- La caractérisation d’appartenance: l’être </w:t>
      </w:r>
      <w:r w:rsidRPr="003B00C8">
        <w:rPr>
          <w:rFonts w:ascii="Times New Roman" w:eastAsia="Times New Roman" w:hAnsi="Times New Roman"/>
          <w:i/>
          <w:iCs/>
          <w:color w:val="000000"/>
          <w:sz w:val="24"/>
          <w:szCs w:val="24"/>
          <w:lang w:eastAsia="fr-FR"/>
        </w:rPr>
        <w:t>est ayant quelque chose</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4- La caractérisation situative: l’être </w:t>
      </w:r>
      <w:r w:rsidRPr="003B00C8">
        <w:rPr>
          <w:rFonts w:ascii="Times New Roman" w:eastAsia="Times New Roman" w:hAnsi="Times New Roman"/>
          <w:i/>
          <w:iCs/>
          <w:color w:val="000000"/>
          <w:sz w:val="24"/>
          <w:szCs w:val="24"/>
          <w:lang w:eastAsia="fr-FR"/>
        </w:rPr>
        <w:t>est étant quelque part</w:t>
      </w:r>
    </w:p>
    <w:p w:rsidR="00007ADC" w:rsidRPr="00490920"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5- La caractérisation descriptive statique: l’être </w:t>
      </w:r>
      <w:r w:rsidRPr="003B00C8">
        <w:rPr>
          <w:rFonts w:ascii="Times New Roman" w:eastAsia="Times New Roman" w:hAnsi="Times New Roman"/>
          <w:i/>
          <w:iCs/>
          <w:color w:val="000000"/>
          <w:sz w:val="24"/>
          <w:szCs w:val="24"/>
          <w:lang w:eastAsia="fr-FR"/>
        </w:rPr>
        <w:t>est étant quelque chose</w:t>
      </w:r>
    </w:p>
    <w:p w:rsidR="00007ADC" w:rsidRPr="007937F2" w:rsidRDefault="006A4EED" w:rsidP="00F24F78">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7937F2">
        <w:rPr>
          <w:rFonts w:ascii="Times New Roman" w:eastAsia="Times New Roman" w:hAnsi="Times New Roman"/>
          <w:color w:val="000000"/>
          <w:sz w:val="24"/>
          <w:szCs w:val="24"/>
          <w:lang w:eastAsia="fr-FR"/>
        </w:rPr>
        <w:t xml:space="preserve">Appliquées aux quatre personnages </w:t>
      </w:r>
      <w:r w:rsidR="00007ADC" w:rsidRPr="007937F2">
        <w:rPr>
          <w:rFonts w:ascii="Times New Roman" w:eastAsia="Times New Roman" w:hAnsi="Times New Roman"/>
          <w:color w:val="000000"/>
          <w:sz w:val="24"/>
          <w:szCs w:val="24"/>
          <w:lang w:eastAsia="fr-FR"/>
        </w:rPr>
        <w:t xml:space="preserve">que nous avons </w:t>
      </w:r>
      <w:r w:rsidRPr="007937F2">
        <w:rPr>
          <w:rFonts w:ascii="Times New Roman" w:eastAsia="Times New Roman" w:hAnsi="Times New Roman"/>
          <w:color w:val="000000"/>
          <w:sz w:val="24"/>
          <w:szCs w:val="24"/>
          <w:lang w:eastAsia="fr-FR"/>
        </w:rPr>
        <w:t>retenus</w:t>
      </w:r>
      <w:r w:rsidR="00007ADC" w:rsidRPr="007937F2">
        <w:rPr>
          <w:rFonts w:ascii="Times New Roman" w:eastAsia="Times New Roman" w:hAnsi="Times New Roman"/>
          <w:color w:val="000000"/>
          <w:sz w:val="24"/>
          <w:szCs w:val="24"/>
          <w:lang w:eastAsia="fr-FR"/>
        </w:rPr>
        <w:t xml:space="preserve"> ci-haut</w:t>
      </w:r>
      <w:r w:rsidRPr="007937F2">
        <w:rPr>
          <w:rFonts w:ascii="Times New Roman" w:eastAsia="Times New Roman" w:hAnsi="Times New Roman"/>
          <w:color w:val="000000"/>
          <w:sz w:val="24"/>
          <w:szCs w:val="24"/>
          <w:lang w:eastAsia="fr-FR"/>
        </w:rPr>
        <w:t>, ces caractérisations donnent pour Slimane, les renseignements suivants:</w:t>
      </w:r>
    </w:p>
    <w:p w:rsidR="006A4EED" w:rsidRPr="00503BF1" w:rsidRDefault="006A4EED" w:rsidP="007937F2">
      <w:pPr>
        <w:autoSpaceDE w:val="0"/>
        <w:autoSpaceDN w:val="0"/>
        <w:adjustRightInd w:val="0"/>
        <w:spacing w:after="0" w:line="360" w:lineRule="auto"/>
        <w:ind w:left="708"/>
        <w:jc w:val="both"/>
        <w:rPr>
          <w:rFonts w:ascii="Times New Roman" w:eastAsia="Times New Roman" w:hAnsi="Times New Roman"/>
          <w:color w:val="000000"/>
          <w:sz w:val="24"/>
          <w:szCs w:val="24"/>
          <w:lang w:eastAsia="fr-FR"/>
        </w:rPr>
      </w:pPr>
      <w:r w:rsidRPr="00503BF1">
        <w:rPr>
          <w:rFonts w:ascii="Times New Roman" w:eastAsia="Times New Roman" w:hAnsi="Times New Roman"/>
          <w:color w:val="000000"/>
          <w:sz w:val="24"/>
          <w:szCs w:val="24"/>
          <w:lang w:eastAsia="fr-FR"/>
        </w:rPr>
        <w:t>1- Le principal des principaux personnages de l’œuvre. Il est le témoin oculaire des vertueux</w:t>
      </w:r>
    </w:p>
    <w:p w:rsidR="006A4EED" w:rsidRPr="00503BF1" w:rsidRDefault="006A4EED" w:rsidP="007937F2">
      <w:pPr>
        <w:autoSpaceDE w:val="0"/>
        <w:autoSpaceDN w:val="0"/>
        <w:adjustRightInd w:val="0"/>
        <w:spacing w:after="0" w:line="360" w:lineRule="auto"/>
        <w:ind w:left="708"/>
        <w:jc w:val="both"/>
        <w:rPr>
          <w:rFonts w:ascii="Times New Roman" w:eastAsia="Times New Roman" w:hAnsi="Times New Roman"/>
          <w:color w:val="000000"/>
          <w:sz w:val="24"/>
          <w:szCs w:val="24"/>
          <w:lang w:eastAsia="fr-FR"/>
        </w:rPr>
      </w:pPr>
      <w:r w:rsidRPr="00503BF1">
        <w:rPr>
          <w:rFonts w:ascii="Times New Roman" w:eastAsia="Times New Roman" w:hAnsi="Times New Roman"/>
          <w:color w:val="000000"/>
          <w:sz w:val="24"/>
          <w:szCs w:val="24"/>
          <w:lang w:eastAsia="fr-FR"/>
        </w:rPr>
        <w:lastRenderedPageBreak/>
        <w:t>2- Il s’était imposé la philosophie du Kaddour à savoir que « pour manger, il faut travailler ; le paresseux n’a pas droit au pain » afin que la famine qui frappait le pays n’ait pas raison de lui</w:t>
      </w:r>
    </w:p>
    <w:p w:rsidR="006A4EED" w:rsidRPr="00503BF1" w:rsidRDefault="006A4EED" w:rsidP="007937F2">
      <w:pPr>
        <w:autoSpaceDE w:val="0"/>
        <w:autoSpaceDN w:val="0"/>
        <w:adjustRightInd w:val="0"/>
        <w:spacing w:after="0" w:line="360" w:lineRule="auto"/>
        <w:ind w:left="708"/>
        <w:jc w:val="both"/>
        <w:rPr>
          <w:rFonts w:ascii="Times New Roman" w:eastAsia="Times New Roman" w:hAnsi="Times New Roman"/>
          <w:color w:val="000000"/>
          <w:sz w:val="24"/>
          <w:szCs w:val="24"/>
          <w:lang w:eastAsia="fr-FR"/>
        </w:rPr>
      </w:pPr>
      <w:r w:rsidRPr="00503BF1">
        <w:rPr>
          <w:rFonts w:ascii="Times New Roman" w:eastAsia="Times New Roman" w:hAnsi="Times New Roman"/>
          <w:color w:val="000000"/>
          <w:sz w:val="24"/>
          <w:szCs w:val="24"/>
          <w:lang w:eastAsia="fr-FR"/>
        </w:rPr>
        <w:t>3- Il ne possédait rien, il était un indigent et n’avait pour seul héritage que son eau portée et vendue</w:t>
      </w:r>
    </w:p>
    <w:p w:rsidR="006A4EED" w:rsidRPr="00503BF1" w:rsidRDefault="006A4EED" w:rsidP="007937F2">
      <w:pPr>
        <w:autoSpaceDE w:val="0"/>
        <w:autoSpaceDN w:val="0"/>
        <w:adjustRightInd w:val="0"/>
        <w:spacing w:after="0" w:line="360" w:lineRule="auto"/>
        <w:ind w:left="708"/>
        <w:jc w:val="both"/>
        <w:rPr>
          <w:rFonts w:ascii="Times New Roman" w:eastAsia="Times New Roman" w:hAnsi="Times New Roman"/>
          <w:color w:val="000000"/>
          <w:sz w:val="24"/>
          <w:szCs w:val="24"/>
          <w:lang w:eastAsia="fr-FR"/>
        </w:rPr>
      </w:pPr>
      <w:r w:rsidRPr="00503BF1">
        <w:rPr>
          <w:rFonts w:ascii="Times New Roman" w:eastAsia="Times New Roman" w:hAnsi="Times New Roman"/>
          <w:color w:val="000000"/>
          <w:sz w:val="24"/>
          <w:szCs w:val="24"/>
          <w:lang w:eastAsia="fr-FR"/>
        </w:rPr>
        <w:t>4- Sa destinée ne se trouvait nulle part ailleurs qu’à Béni-Dahane aux côtés des vertueux</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color w:val="000000"/>
          <w:sz w:val="24"/>
          <w:szCs w:val="24"/>
          <w:lang w:eastAsia="fr-FR"/>
        </w:rPr>
      </w:pPr>
      <w:r w:rsidRPr="00503BF1">
        <w:rPr>
          <w:rFonts w:ascii="Times New Roman" w:eastAsia="Times New Roman" w:hAnsi="Times New Roman"/>
          <w:color w:val="000000"/>
          <w:sz w:val="24"/>
          <w:szCs w:val="24"/>
          <w:lang w:eastAsia="fr-FR"/>
        </w:rPr>
        <w:t xml:space="preserve">5- c’est un personnage à la personnalité douteuse peu certaine. C’est quelqu’un qui ne juge qu’à ce qu’il voit même s’il parait respectueux de l’identité des vertueux venus à lui de manière assez drôle. </w:t>
      </w:r>
    </w:p>
    <w:p w:rsidR="006A4EED" w:rsidRPr="003B00C8" w:rsidRDefault="006A4EED" w:rsidP="004C7F06">
      <w:pPr>
        <w:autoSpaceDE w:val="0"/>
        <w:autoSpaceDN w:val="0"/>
        <w:adjustRightInd w:val="0"/>
        <w:spacing w:after="0" w:line="360" w:lineRule="auto"/>
        <w:ind w:firstLine="284"/>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Ce relevé des rôles discursifs nous permet de noter une dévotion notoire de Slimane pour son commerce et aux trois marabouts vertueux. Cela est matière suffisante à son épanouissement. </w:t>
      </w:r>
    </w:p>
    <w:p w:rsidR="006A4EED" w:rsidRPr="003B00C8" w:rsidRDefault="006A4EED" w:rsidP="004C7F06">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D’un autre côté, il s’agit de considérer le faire de Slimane ; pour cela, nous aurons selon Charaudeau:</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1- le faire </w:t>
      </w:r>
      <w:r w:rsidRPr="003B00C8">
        <w:rPr>
          <w:rFonts w:ascii="Times New Roman" w:eastAsia="Times New Roman" w:hAnsi="Times New Roman"/>
          <w:i/>
          <w:iCs/>
          <w:color w:val="000000"/>
          <w:sz w:val="24"/>
          <w:szCs w:val="24"/>
          <w:lang w:eastAsia="fr-FR"/>
        </w:rPr>
        <w:t>agissant</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2- le faire </w:t>
      </w:r>
      <w:r w:rsidRPr="003B00C8">
        <w:rPr>
          <w:rFonts w:ascii="Times New Roman" w:eastAsia="Times New Roman" w:hAnsi="Times New Roman"/>
          <w:i/>
          <w:iCs/>
          <w:color w:val="000000"/>
          <w:sz w:val="24"/>
          <w:szCs w:val="24"/>
          <w:lang w:eastAsia="fr-FR"/>
        </w:rPr>
        <w:t>agissant sur quelque chose</w:t>
      </w:r>
    </w:p>
    <w:p w:rsidR="006A4EED" w:rsidRPr="003B00C8"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3- le faire </w:t>
      </w:r>
      <w:r w:rsidRPr="003B00C8">
        <w:rPr>
          <w:rFonts w:ascii="Times New Roman" w:eastAsia="Times New Roman" w:hAnsi="Times New Roman"/>
          <w:i/>
          <w:iCs/>
          <w:color w:val="000000"/>
          <w:sz w:val="24"/>
          <w:szCs w:val="24"/>
          <w:lang w:eastAsia="fr-FR"/>
        </w:rPr>
        <w:t>agissant pour quelqu’un</w:t>
      </w:r>
    </w:p>
    <w:p w:rsidR="006A4EED" w:rsidRDefault="006A4EED" w:rsidP="007937F2">
      <w:pPr>
        <w:autoSpaceDE w:val="0"/>
        <w:autoSpaceDN w:val="0"/>
        <w:adjustRightInd w:val="0"/>
        <w:spacing w:after="0" w:line="360" w:lineRule="auto"/>
        <w:ind w:left="708"/>
        <w:jc w:val="both"/>
        <w:rPr>
          <w:rFonts w:ascii="Times New Roman" w:eastAsia="Times New Roman" w:hAnsi="Times New Roman"/>
          <w:i/>
          <w:iCs/>
          <w:color w:val="000000"/>
          <w:sz w:val="24"/>
          <w:szCs w:val="24"/>
          <w:lang w:eastAsia="fr-FR"/>
        </w:rPr>
      </w:pPr>
      <w:r w:rsidRPr="003B00C8">
        <w:rPr>
          <w:rFonts w:ascii="Times New Roman" w:eastAsia="Times New Roman" w:hAnsi="Times New Roman"/>
          <w:color w:val="000000"/>
          <w:sz w:val="24"/>
          <w:szCs w:val="24"/>
          <w:lang w:eastAsia="fr-FR"/>
        </w:rPr>
        <w:t xml:space="preserve">4- le faire </w:t>
      </w:r>
      <w:r w:rsidRPr="003B00C8">
        <w:rPr>
          <w:rFonts w:ascii="Times New Roman" w:eastAsia="Times New Roman" w:hAnsi="Times New Roman"/>
          <w:i/>
          <w:iCs/>
          <w:color w:val="000000"/>
          <w:sz w:val="24"/>
          <w:szCs w:val="24"/>
          <w:lang w:eastAsia="fr-FR"/>
        </w:rPr>
        <w:t>agissant avec/contre quelqu’un/quelque chose.</w:t>
      </w:r>
    </w:p>
    <w:p w:rsidR="006A4EED" w:rsidRPr="003B00C8" w:rsidRDefault="004C7F06" w:rsidP="004C7F06">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Pr>
          <w:rFonts w:ascii="Times New Roman" w:eastAsia="Times New Roman" w:hAnsi="Times New Roman"/>
          <w:color w:val="000000"/>
          <w:sz w:val="24"/>
          <w:szCs w:val="24"/>
          <w:lang w:eastAsia="fr-FR"/>
        </w:rPr>
        <w:t>À</w:t>
      </w:r>
      <w:r w:rsidR="006A4EED" w:rsidRPr="003B00C8">
        <w:rPr>
          <w:rFonts w:ascii="Times New Roman" w:eastAsia="Times New Roman" w:hAnsi="Times New Roman"/>
          <w:color w:val="000000"/>
          <w:sz w:val="24"/>
          <w:szCs w:val="24"/>
          <w:lang w:eastAsia="fr-FR"/>
        </w:rPr>
        <w:t xml:space="preserve"> un moment du récit, Slimane ne se définit que par et pour les marabouts vertueux d’où le renoncement à ses propres aspirations vérifié dans la grande majorité de l’acte premier ; tout le deuxième acte et la première moitié du dernier acte: la logique des séquences. </w:t>
      </w:r>
    </w:p>
    <w:p w:rsidR="006A4EED" w:rsidRPr="003B00C8" w:rsidRDefault="006A4EED" w:rsidP="004C7F06">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De plus, sa sollicitude quasi </w:t>
      </w:r>
      <w:r w:rsidR="00007ADC" w:rsidRPr="003B00C8">
        <w:rPr>
          <w:rFonts w:ascii="Times New Roman" w:eastAsia="Times New Roman" w:hAnsi="Times New Roman"/>
          <w:color w:val="000000"/>
          <w:sz w:val="24"/>
          <w:szCs w:val="24"/>
          <w:lang w:eastAsia="fr-FR"/>
        </w:rPr>
        <w:t>existentielle</w:t>
      </w:r>
      <w:r w:rsidRPr="003B00C8">
        <w:rPr>
          <w:rFonts w:ascii="Times New Roman" w:eastAsia="Times New Roman" w:hAnsi="Times New Roman"/>
          <w:color w:val="000000"/>
          <w:sz w:val="24"/>
          <w:szCs w:val="24"/>
          <w:lang w:eastAsia="fr-FR"/>
        </w:rPr>
        <w:t xml:space="preserve"> eu égard au confort matériel nous le schématise comme un personnage errant, errant sous prétexte de porter et de vendre de l’eau -. L’aventure intra-scénique qu’entreprend ce personnage en quête d’hospitalité pour les trois marabouts vertueux </w:t>
      </w:r>
      <w:r w:rsidRPr="00007ADC">
        <w:rPr>
          <w:rFonts w:ascii="Times New Roman" w:eastAsia="Times New Roman" w:hAnsi="Times New Roman"/>
          <w:color w:val="000000"/>
          <w:sz w:val="24"/>
          <w:szCs w:val="24"/>
          <w:lang w:eastAsia="fr-FR"/>
        </w:rPr>
        <w:t>(</w:t>
      </w:r>
      <w:r w:rsidR="007937F2" w:rsidRPr="00007ADC">
        <w:rPr>
          <w:rFonts w:ascii="Times New Roman" w:eastAsia="Times New Roman" w:hAnsi="Times New Roman"/>
          <w:sz w:val="24"/>
          <w:szCs w:val="24"/>
          <w:lang w:eastAsia="fr-FR"/>
        </w:rPr>
        <w:t>Si</w:t>
      </w:r>
      <w:r w:rsidR="007937F2">
        <w:rPr>
          <w:rFonts w:ascii="Times New Roman" w:eastAsia="Times New Roman" w:hAnsi="Times New Roman"/>
          <w:sz w:val="24"/>
          <w:szCs w:val="24"/>
          <w:lang w:eastAsia="fr-FR"/>
        </w:rPr>
        <w:t>di-Boumédiène- Sidi-Abdelkader e</w:t>
      </w:r>
      <w:r w:rsidR="007937F2" w:rsidRPr="00007ADC">
        <w:rPr>
          <w:rFonts w:ascii="Times New Roman" w:eastAsia="Times New Roman" w:hAnsi="Times New Roman"/>
          <w:sz w:val="24"/>
          <w:szCs w:val="24"/>
          <w:lang w:eastAsia="fr-FR"/>
        </w:rPr>
        <w:t>t Sidi-Abderrahmane</w:t>
      </w:r>
      <w:r w:rsidRPr="00007ADC">
        <w:rPr>
          <w:rFonts w:ascii="Times New Roman" w:eastAsia="Times New Roman" w:hAnsi="Times New Roman"/>
          <w:sz w:val="24"/>
          <w:szCs w:val="24"/>
          <w:lang w:eastAsia="fr-FR"/>
        </w:rPr>
        <w:t>),</w:t>
      </w:r>
      <w:r w:rsidRPr="003B00C8">
        <w:rPr>
          <w:rFonts w:ascii="Times New Roman" w:eastAsia="Times New Roman" w:hAnsi="Times New Roman"/>
          <w:b/>
          <w:bCs/>
          <w:sz w:val="24"/>
          <w:szCs w:val="24"/>
          <w:lang w:eastAsia="fr-FR"/>
        </w:rPr>
        <w:t xml:space="preserve"> </w:t>
      </w:r>
      <w:r w:rsidRPr="003B00C8">
        <w:rPr>
          <w:rFonts w:ascii="Times New Roman" w:eastAsia="Times New Roman" w:hAnsi="Times New Roman"/>
          <w:bCs/>
          <w:sz w:val="24"/>
          <w:szCs w:val="24"/>
          <w:lang w:eastAsia="fr-FR"/>
        </w:rPr>
        <w:t xml:space="preserve">fait de lui, un personnage qui subit. Il subit les affres de la colère de ceux à qui ils vont demander du gite et du couvert. Il subit l’humiliation de certains. Il subit le sarcasme des autres. Il subit la pression spirituelle de ceux dont il est le guide : les trois marabouts vertueux. Il subit le lourd poids des longues journées de marche interrompant son gagne-pain, activité rémunératrice. </w:t>
      </w:r>
    </w:p>
    <w:p w:rsidR="006A4EED" w:rsidRPr="003B00C8" w:rsidRDefault="006A4EED" w:rsidP="004C7F06">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lastRenderedPageBreak/>
        <w:t xml:space="preserve">Slimane  devient le souffre-douleur des autres, l’objet vers lequel ils libèrent leurs pulsions belliqueuses. C’est ce qui explique l’impression d’apathie qu’il suggère au lecteur. Slimane est en somme: </w:t>
      </w:r>
    </w:p>
    <w:p w:rsidR="006A4EED" w:rsidRPr="003B00C8" w:rsidRDefault="006A4EED" w:rsidP="00230C65">
      <w:pPr>
        <w:numPr>
          <w:ilvl w:val="0"/>
          <w:numId w:val="11"/>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A1 = porteur et vendeur d’eau.  </w:t>
      </w:r>
    </w:p>
    <w:p w:rsidR="006A4EED" w:rsidRPr="003B00C8" w:rsidRDefault="006A4EED" w:rsidP="00230C65">
      <w:pPr>
        <w:numPr>
          <w:ilvl w:val="0"/>
          <w:numId w:val="11"/>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A2 = souffre – douleur</w:t>
      </w:r>
    </w:p>
    <w:p w:rsidR="006A4EED" w:rsidRPr="003B00C8" w:rsidRDefault="006A4EED" w:rsidP="00230C65">
      <w:pPr>
        <w:numPr>
          <w:ilvl w:val="0"/>
          <w:numId w:val="11"/>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A3= Témoin oculaire du passage des anges (trois vertueux) sur la terre.</w:t>
      </w:r>
    </w:p>
    <w:p w:rsidR="006A4EED" w:rsidRPr="004C7F06" w:rsidRDefault="006A4EED" w:rsidP="00230C65">
      <w:pPr>
        <w:pStyle w:val="Paragraphedeliste"/>
        <w:numPr>
          <w:ilvl w:val="0"/>
          <w:numId w:val="70"/>
        </w:numPr>
        <w:autoSpaceDE w:val="0"/>
        <w:autoSpaceDN w:val="0"/>
        <w:adjustRightInd w:val="0"/>
        <w:spacing w:after="0" w:line="360" w:lineRule="auto"/>
        <w:jc w:val="both"/>
        <w:rPr>
          <w:rFonts w:ascii="Times New Roman" w:eastAsia="Times New Roman" w:hAnsi="Times New Roman"/>
          <w:b/>
          <w:color w:val="000000"/>
          <w:sz w:val="24"/>
          <w:szCs w:val="24"/>
          <w:lang w:eastAsia="fr-FR"/>
        </w:rPr>
      </w:pPr>
      <w:r w:rsidRPr="004C7F06">
        <w:rPr>
          <w:rFonts w:ascii="Times New Roman" w:eastAsia="Times New Roman" w:hAnsi="Times New Roman"/>
          <w:b/>
          <w:color w:val="000000"/>
          <w:sz w:val="24"/>
          <w:szCs w:val="24"/>
          <w:lang w:eastAsia="fr-FR"/>
        </w:rPr>
        <w:t>Pour ce qui est des trois marabouts vertueux </w:t>
      </w:r>
    </w:p>
    <w:p w:rsidR="00007ADC" w:rsidRPr="00007ADC" w:rsidRDefault="00007ADC" w:rsidP="006A4EED">
      <w:pPr>
        <w:autoSpaceDE w:val="0"/>
        <w:autoSpaceDN w:val="0"/>
        <w:adjustRightInd w:val="0"/>
        <w:spacing w:after="0" w:line="360" w:lineRule="auto"/>
        <w:jc w:val="both"/>
        <w:rPr>
          <w:rFonts w:ascii="Times New Roman" w:eastAsia="Times New Roman" w:hAnsi="Times New Roman"/>
          <w:b/>
          <w:color w:val="000000"/>
          <w:sz w:val="14"/>
          <w:szCs w:val="14"/>
          <w:lang w:eastAsia="fr-FR"/>
        </w:rPr>
      </w:pPr>
    </w:p>
    <w:p w:rsidR="006A4EED" w:rsidRPr="004C7F06" w:rsidRDefault="006A4EED" w:rsidP="00230C65">
      <w:pPr>
        <w:pStyle w:val="Paragraphedeliste"/>
        <w:numPr>
          <w:ilvl w:val="0"/>
          <w:numId w:val="73"/>
        </w:numPr>
        <w:autoSpaceDE w:val="0"/>
        <w:autoSpaceDN w:val="0"/>
        <w:adjustRightInd w:val="0"/>
        <w:spacing w:after="0" w:line="360" w:lineRule="auto"/>
        <w:jc w:val="both"/>
        <w:rPr>
          <w:rFonts w:ascii="Times New Roman" w:eastAsia="Times New Roman" w:hAnsi="Times New Roman"/>
          <w:color w:val="000000"/>
          <w:sz w:val="24"/>
          <w:szCs w:val="24"/>
          <w:lang w:eastAsia="fr-FR"/>
        </w:rPr>
      </w:pPr>
      <w:r w:rsidRPr="004C7F06">
        <w:rPr>
          <w:rFonts w:ascii="Times New Roman" w:eastAsia="Times New Roman" w:hAnsi="Times New Roman"/>
          <w:color w:val="000000"/>
          <w:sz w:val="24"/>
          <w:szCs w:val="24"/>
          <w:lang w:eastAsia="fr-FR"/>
        </w:rPr>
        <w:t>La caractérisation définitionnelle : C’est</w:t>
      </w:r>
      <w:r w:rsidRPr="004C7F06">
        <w:rPr>
          <w:rFonts w:ascii="Times New Roman" w:eastAsia="Times New Roman" w:hAnsi="Times New Roman"/>
          <w:i/>
          <w:iCs/>
          <w:color w:val="000000"/>
          <w:sz w:val="24"/>
          <w:szCs w:val="24"/>
          <w:lang w:eastAsia="fr-FR"/>
        </w:rPr>
        <w:t xml:space="preserve"> une appellation africaniste au mieux africanisante des « anges »</w:t>
      </w:r>
      <w:r w:rsidRPr="004C7F06">
        <w:rPr>
          <w:rFonts w:ascii="Times New Roman" w:eastAsia="Times New Roman" w:hAnsi="Times New Roman"/>
          <w:color w:val="000000"/>
          <w:sz w:val="24"/>
          <w:szCs w:val="24"/>
          <w:lang w:eastAsia="fr-FR"/>
        </w:rPr>
        <w:t>. Le qualificatif « vertueux » antéposé donne au substantif « marabouts » toute son objectivité pragmatico-sémantique en sorte que le lecteur fasse une nette distinction entre « marabouts et marabouts vertueux ».</w:t>
      </w:r>
    </w:p>
    <w:p w:rsidR="006A4EED" w:rsidRPr="004C7F06" w:rsidRDefault="006A4EED" w:rsidP="00230C65">
      <w:pPr>
        <w:pStyle w:val="Paragraphedeliste"/>
        <w:numPr>
          <w:ilvl w:val="0"/>
          <w:numId w:val="73"/>
        </w:numPr>
        <w:autoSpaceDE w:val="0"/>
        <w:autoSpaceDN w:val="0"/>
        <w:adjustRightInd w:val="0"/>
        <w:spacing w:after="0" w:line="360" w:lineRule="auto"/>
        <w:jc w:val="both"/>
        <w:rPr>
          <w:rFonts w:ascii="Times New Roman" w:eastAsia="Times New Roman" w:hAnsi="Times New Roman"/>
          <w:color w:val="000000"/>
          <w:sz w:val="24"/>
          <w:szCs w:val="24"/>
          <w:lang w:eastAsia="fr-FR"/>
        </w:rPr>
      </w:pPr>
      <w:r w:rsidRPr="004C7F06">
        <w:rPr>
          <w:rFonts w:ascii="Times New Roman" w:eastAsia="Times New Roman" w:hAnsi="Times New Roman"/>
          <w:color w:val="000000"/>
          <w:sz w:val="24"/>
          <w:szCs w:val="24"/>
          <w:lang w:eastAsia="fr-FR"/>
        </w:rPr>
        <w:t>La caractérisation descriptive comportementale: Ces vertueux à la manière des anges ont un ordre de mission bien connu : une visite inopinée sur la terre des hommes dont les cris, les lamentations, les gémissements, les pleurs, les misères sont montés vers Dieu et il en a pris pitié. Se rendre donc sur la terre des hommes pour donner des palliatifs à condition de trouver un Homme droit, juste et intègre.</w:t>
      </w:r>
    </w:p>
    <w:p w:rsidR="006A4EED" w:rsidRPr="004C7F06" w:rsidRDefault="006A4EED" w:rsidP="00230C65">
      <w:pPr>
        <w:pStyle w:val="Paragraphedeliste"/>
        <w:numPr>
          <w:ilvl w:val="0"/>
          <w:numId w:val="73"/>
        </w:num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4C7F06">
        <w:rPr>
          <w:rFonts w:ascii="Times New Roman" w:eastAsia="Times New Roman" w:hAnsi="Times New Roman"/>
          <w:color w:val="000000"/>
          <w:sz w:val="24"/>
          <w:szCs w:val="24"/>
          <w:lang w:eastAsia="fr-FR"/>
        </w:rPr>
        <w:t>La caractérisation d’appartenance : Ils sont nantis de pouvoirs surnaturels leur permettant d’agir conformément aux instructions du Chef Suprême : Dieu. Ils ont avec eux des conteneurs de bénédiction pour la contrée frappée de disette.</w:t>
      </w:r>
    </w:p>
    <w:p w:rsidR="006A4EED" w:rsidRPr="004C7F06" w:rsidRDefault="006A4EED" w:rsidP="00230C65">
      <w:pPr>
        <w:pStyle w:val="Paragraphedeliste"/>
        <w:numPr>
          <w:ilvl w:val="0"/>
          <w:numId w:val="73"/>
        </w:numPr>
        <w:autoSpaceDE w:val="0"/>
        <w:autoSpaceDN w:val="0"/>
        <w:adjustRightInd w:val="0"/>
        <w:spacing w:after="0" w:line="360" w:lineRule="auto"/>
        <w:jc w:val="both"/>
        <w:rPr>
          <w:rFonts w:ascii="Times New Roman" w:eastAsia="Times New Roman" w:hAnsi="Times New Roman"/>
          <w:color w:val="000000"/>
          <w:sz w:val="24"/>
          <w:szCs w:val="24"/>
          <w:lang w:eastAsia="fr-FR"/>
        </w:rPr>
      </w:pPr>
      <w:r w:rsidRPr="004C7F06">
        <w:rPr>
          <w:rFonts w:ascii="Times New Roman" w:eastAsia="Times New Roman" w:hAnsi="Times New Roman"/>
          <w:color w:val="000000"/>
          <w:sz w:val="24"/>
          <w:szCs w:val="24"/>
          <w:lang w:eastAsia="fr-FR"/>
        </w:rPr>
        <w:t>La caractérisation situative: Ils viennent du ciel pour la terre. Leur destination est Béni-Dahane dans le pays de Slimane, le porteur et vendeur d’eau. En compagnie de leur guide, ils s’engagent dans des aventures intra-scéniques en quête d’un gite et d’un couvert. Ayant été repoussés par Kaddour et le Servant même, ils trouveront refuge chez un</w:t>
      </w:r>
      <w:r w:rsidR="001E1A14" w:rsidRPr="004C7F06">
        <w:rPr>
          <w:rFonts w:ascii="Times New Roman" w:eastAsia="Times New Roman" w:hAnsi="Times New Roman"/>
          <w:color w:val="000000"/>
          <w:sz w:val="24"/>
          <w:szCs w:val="24"/>
          <w:lang w:eastAsia="fr-FR"/>
        </w:rPr>
        <w:t>e</w:t>
      </w:r>
      <w:r w:rsidRPr="004C7F06">
        <w:rPr>
          <w:rFonts w:ascii="Times New Roman" w:eastAsia="Times New Roman" w:hAnsi="Times New Roman"/>
          <w:color w:val="000000"/>
          <w:sz w:val="24"/>
          <w:szCs w:val="24"/>
          <w:lang w:eastAsia="fr-FR"/>
        </w:rPr>
        <w:t xml:space="preserve"> aveugle : Halima.</w:t>
      </w:r>
    </w:p>
    <w:p w:rsidR="001E1A14" w:rsidRPr="004C7F06" w:rsidRDefault="006A4EED" w:rsidP="00230C65">
      <w:pPr>
        <w:pStyle w:val="Paragraphedeliste"/>
        <w:numPr>
          <w:ilvl w:val="0"/>
          <w:numId w:val="73"/>
        </w:numPr>
        <w:autoSpaceDE w:val="0"/>
        <w:autoSpaceDN w:val="0"/>
        <w:adjustRightInd w:val="0"/>
        <w:spacing w:after="0" w:line="360" w:lineRule="auto"/>
        <w:jc w:val="both"/>
        <w:rPr>
          <w:rFonts w:ascii="Times New Roman" w:eastAsia="Times New Roman" w:hAnsi="Times New Roman"/>
          <w:color w:val="000000"/>
          <w:sz w:val="24"/>
          <w:szCs w:val="24"/>
          <w:lang w:eastAsia="fr-FR"/>
        </w:rPr>
      </w:pPr>
      <w:r w:rsidRPr="004C7F06">
        <w:rPr>
          <w:rFonts w:ascii="Times New Roman" w:eastAsia="Times New Roman" w:hAnsi="Times New Roman"/>
          <w:color w:val="000000"/>
          <w:sz w:val="24"/>
          <w:szCs w:val="24"/>
          <w:lang w:eastAsia="fr-FR"/>
        </w:rPr>
        <w:t>La caractérisation descriptive statique: ils sont les envoyés de Dieu sur la terre.</w:t>
      </w:r>
    </w:p>
    <w:p w:rsidR="006A4EED" w:rsidRPr="003B00C8" w:rsidRDefault="006A4EED" w:rsidP="004C7F06">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Pour les trois vertueux,  il s’établit donc le profil suivant :</w:t>
      </w:r>
    </w:p>
    <w:p w:rsidR="006A4EED" w:rsidRPr="004C7F06" w:rsidRDefault="006A4EED" w:rsidP="00230C65">
      <w:pPr>
        <w:pStyle w:val="Paragraphedeliste"/>
        <w:numPr>
          <w:ilvl w:val="0"/>
          <w:numId w:val="74"/>
        </w:numPr>
        <w:autoSpaceDE w:val="0"/>
        <w:autoSpaceDN w:val="0"/>
        <w:adjustRightInd w:val="0"/>
        <w:spacing w:after="0" w:line="360" w:lineRule="auto"/>
        <w:jc w:val="both"/>
        <w:rPr>
          <w:rFonts w:ascii="Times New Roman" w:eastAsia="Times New Roman" w:hAnsi="Times New Roman"/>
          <w:sz w:val="24"/>
          <w:szCs w:val="24"/>
          <w:lang w:eastAsia="fr-FR"/>
        </w:rPr>
      </w:pPr>
      <w:r w:rsidRPr="004C7F06">
        <w:rPr>
          <w:rFonts w:ascii="Times New Roman" w:eastAsia="Times New Roman" w:hAnsi="Times New Roman"/>
          <w:sz w:val="24"/>
          <w:szCs w:val="24"/>
          <w:lang w:eastAsia="fr-FR"/>
        </w:rPr>
        <w:lastRenderedPageBreak/>
        <w:t>A1 : Ce sont de simples Vertueux habilités à dépenser les richesses divines, mais pas celles des humains !</w:t>
      </w:r>
    </w:p>
    <w:p w:rsidR="006A4EED" w:rsidRPr="004C7F06" w:rsidRDefault="006A4EED" w:rsidP="00230C65">
      <w:pPr>
        <w:pStyle w:val="Paragraphedeliste"/>
        <w:numPr>
          <w:ilvl w:val="0"/>
          <w:numId w:val="74"/>
        </w:numPr>
        <w:autoSpaceDE w:val="0"/>
        <w:autoSpaceDN w:val="0"/>
        <w:adjustRightInd w:val="0"/>
        <w:spacing w:after="0" w:line="360" w:lineRule="auto"/>
        <w:jc w:val="both"/>
        <w:rPr>
          <w:rFonts w:ascii="Times New Roman" w:eastAsia="Times New Roman" w:hAnsi="Times New Roman"/>
          <w:sz w:val="24"/>
          <w:szCs w:val="24"/>
          <w:lang w:eastAsia="fr-FR"/>
        </w:rPr>
      </w:pPr>
      <w:r w:rsidRPr="004C7F06">
        <w:rPr>
          <w:rFonts w:ascii="Times New Roman" w:eastAsia="Times New Roman" w:hAnsi="Times New Roman"/>
          <w:sz w:val="24"/>
          <w:szCs w:val="24"/>
          <w:lang w:eastAsia="fr-FR"/>
        </w:rPr>
        <w:t>A2 : Celui de droite c’est Abdelkader El Ghilani patron de Baghdad</w:t>
      </w:r>
    </w:p>
    <w:p w:rsidR="006A4EED" w:rsidRPr="004C7F06" w:rsidRDefault="006A4EED" w:rsidP="00230C65">
      <w:pPr>
        <w:pStyle w:val="Paragraphedeliste"/>
        <w:numPr>
          <w:ilvl w:val="0"/>
          <w:numId w:val="74"/>
        </w:numPr>
        <w:autoSpaceDE w:val="0"/>
        <w:autoSpaceDN w:val="0"/>
        <w:adjustRightInd w:val="0"/>
        <w:spacing w:after="0" w:line="360" w:lineRule="auto"/>
        <w:jc w:val="both"/>
        <w:rPr>
          <w:rFonts w:ascii="Times New Roman" w:eastAsia="Times New Roman" w:hAnsi="Times New Roman"/>
          <w:sz w:val="24"/>
          <w:szCs w:val="24"/>
          <w:lang w:eastAsia="fr-FR"/>
        </w:rPr>
      </w:pPr>
      <w:r w:rsidRPr="004C7F06">
        <w:rPr>
          <w:rFonts w:ascii="Times New Roman" w:eastAsia="Times New Roman" w:hAnsi="Times New Roman"/>
          <w:sz w:val="24"/>
          <w:szCs w:val="24"/>
          <w:lang w:eastAsia="fr-FR"/>
        </w:rPr>
        <w:t>A3 : Celui qui est de l’autre côté à gauche c’est Sidi-Boumédiène et celui qui est entre les deux c’est Sidi-Abderrahmane</w:t>
      </w:r>
    </w:p>
    <w:p w:rsidR="006A4EED" w:rsidRPr="004C7F06" w:rsidRDefault="006A4EED" w:rsidP="00230C65">
      <w:pPr>
        <w:pStyle w:val="Paragraphedeliste"/>
        <w:numPr>
          <w:ilvl w:val="0"/>
          <w:numId w:val="74"/>
        </w:numPr>
        <w:autoSpaceDE w:val="0"/>
        <w:autoSpaceDN w:val="0"/>
        <w:adjustRightInd w:val="0"/>
        <w:spacing w:after="0" w:line="360" w:lineRule="auto"/>
        <w:jc w:val="both"/>
        <w:rPr>
          <w:rFonts w:ascii="Times New Roman" w:eastAsia="Times New Roman" w:hAnsi="Times New Roman"/>
          <w:sz w:val="24"/>
          <w:szCs w:val="24"/>
          <w:lang w:eastAsia="fr-FR"/>
        </w:rPr>
      </w:pPr>
      <w:r w:rsidRPr="004C7F06">
        <w:rPr>
          <w:rFonts w:ascii="Times New Roman" w:eastAsia="Times New Roman" w:hAnsi="Times New Roman"/>
          <w:sz w:val="24"/>
          <w:szCs w:val="24"/>
          <w:lang w:eastAsia="fr-FR"/>
        </w:rPr>
        <w:t>A4 : Sidi-Abdelkader l’Oriental</w:t>
      </w:r>
    </w:p>
    <w:p w:rsidR="006A4EED" w:rsidRPr="004C7F06" w:rsidRDefault="006A4EED" w:rsidP="00230C65">
      <w:pPr>
        <w:pStyle w:val="Paragraphedeliste"/>
        <w:numPr>
          <w:ilvl w:val="0"/>
          <w:numId w:val="74"/>
        </w:numPr>
        <w:autoSpaceDE w:val="0"/>
        <w:autoSpaceDN w:val="0"/>
        <w:adjustRightInd w:val="0"/>
        <w:spacing w:after="0" w:line="360" w:lineRule="auto"/>
        <w:jc w:val="both"/>
        <w:rPr>
          <w:rFonts w:ascii="Times New Roman" w:eastAsia="Times New Roman" w:hAnsi="Times New Roman"/>
          <w:sz w:val="24"/>
          <w:szCs w:val="24"/>
          <w:lang w:eastAsia="fr-FR"/>
        </w:rPr>
      </w:pPr>
      <w:r w:rsidRPr="004C7F06">
        <w:rPr>
          <w:rFonts w:ascii="Times New Roman" w:eastAsia="Times New Roman" w:hAnsi="Times New Roman"/>
          <w:sz w:val="24"/>
          <w:szCs w:val="24"/>
          <w:lang w:eastAsia="fr-FR"/>
        </w:rPr>
        <w:t>A5 : Sidi-Boumédiène l’Occidental</w:t>
      </w:r>
    </w:p>
    <w:p w:rsidR="006A4EED" w:rsidRPr="004C7F06" w:rsidRDefault="006A4EED" w:rsidP="00230C65">
      <w:pPr>
        <w:pStyle w:val="Paragraphedeliste"/>
        <w:numPr>
          <w:ilvl w:val="0"/>
          <w:numId w:val="74"/>
        </w:numPr>
        <w:autoSpaceDE w:val="0"/>
        <w:autoSpaceDN w:val="0"/>
        <w:adjustRightInd w:val="0"/>
        <w:spacing w:after="0" w:line="360" w:lineRule="auto"/>
        <w:jc w:val="both"/>
        <w:rPr>
          <w:rFonts w:ascii="Times New Roman" w:eastAsia="Times New Roman" w:hAnsi="Times New Roman"/>
          <w:sz w:val="24"/>
          <w:szCs w:val="24"/>
          <w:lang w:eastAsia="fr-FR"/>
        </w:rPr>
      </w:pPr>
      <w:r w:rsidRPr="004C7F06">
        <w:rPr>
          <w:rFonts w:ascii="Times New Roman" w:eastAsia="Times New Roman" w:hAnsi="Times New Roman"/>
          <w:sz w:val="24"/>
          <w:szCs w:val="24"/>
          <w:lang w:eastAsia="fr-FR"/>
        </w:rPr>
        <w:t>A6 : Tous trois ont quitté le jardin d’Eden ; ils viennent rendre visite aux humains d’ici</w:t>
      </w:r>
      <w:r w:rsidR="001E1A14" w:rsidRPr="004C7F06">
        <w:rPr>
          <w:rFonts w:ascii="Times New Roman" w:eastAsia="Times New Roman" w:hAnsi="Times New Roman"/>
          <w:sz w:val="24"/>
          <w:szCs w:val="24"/>
          <w:lang w:eastAsia="fr-FR"/>
        </w:rPr>
        <w:t>-</w:t>
      </w:r>
      <w:r w:rsidRPr="004C7F06">
        <w:rPr>
          <w:rFonts w:ascii="Times New Roman" w:eastAsia="Times New Roman" w:hAnsi="Times New Roman"/>
          <w:sz w:val="24"/>
          <w:szCs w:val="24"/>
          <w:lang w:eastAsia="fr-FR"/>
        </w:rPr>
        <w:t>bas.</w:t>
      </w:r>
    </w:p>
    <w:p w:rsidR="007937F2" w:rsidRPr="00490920" w:rsidRDefault="007937F2" w:rsidP="00C04BD4">
      <w:pPr>
        <w:autoSpaceDE w:val="0"/>
        <w:autoSpaceDN w:val="0"/>
        <w:adjustRightInd w:val="0"/>
        <w:spacing w:after="0" w:line="360" w:lineRule="auto"/>
        <w:contextualSpacing/>
        <w:jc w:val="both"/>
        <w:rPr>
          <w:rFonts w:ascii="Times New Roman" w:eastAsia="Times New Roman" w:hAnsi="Times New Roman"/>
          <w:sz w:val="24"/>
          <w:szCs w:val="24"/>
          <w:lang w:eastAsia="fr-FR"/>
        </w:rPr>
      </w:pPr>
    </w:p>
    <w:p w:rsidR="006A4EED" w:rsidRPr="00441911" w:rsidRDefault="00C04BD4" w:rsidP="00230C65">
      <w:pPr>
        <w:pStyle w:val="Paragraphedeliste"/>
        <w:numPr>
          <w:ilvl w:val="0"/>
          <w:numId w:val="70"/>
        </w:numPr>
        <w:autoSpaceDE w:val="0"/>
        <w:autoSpaceDN w:val="0"/>
        <w:adjustRightInd w:val="0"/>
        <w:spacing w:after="0" w:line="360" w:lineRule="auto"/>
        <w:jc w:val="both"/>
        <w:rPr>
          <w:rFonts w:ascii="Times New Roman" w:eastAsia="Times New Roman" w:hAnsi="Times New Roman"/>
          <w:color w:val="000000"/>
          <w:sz w:val="24"/>
          <w:szCs w:val="24"/>
          <w:lang w:eastAsia="fr-FR"/>
        </w:rPr>
      </w:pPr>
      <w:r w:rsidRPr="00441911">
        <w:rPr>
          <w:rFonts w:ascii="Times New Roman" w:eastAsia="Times New Roman" w:hAnsi="Times New Roman"/>
          <w:b/>
          <w:bCs/>
          <w:color w:val="000000"/>
          <w:sz w:val="24"/>
          <w:szCs w:val="24"/>
          <w:lang w:eastAsia="fr-FR"/>
        </w:rPr>
        <w:t>En parlant maintenant de H</w:t>
      </w:r>
      <w:r w:rsidR="006A4EED" w:rsidRPr="00441911">
        <w:rPr>
          <w:rFonts w:ascii="Times New Roman" w:eastAsia="Times New Roman" w:hAnsi="Times New Roman"/>
          <w:b/>
          <w:bCs/>
          <w:color w:val="000000"/>
          <w:sz w:val="24"/>
          <w:szCs w:val="24"/>
          <w:lang w:eastAsia="fr-FR"/>
        </w:rPr>
        <w:t>alima</w:t>
      </w:r>
      <w:r w:rsidR="006A4EED" w:rsidRPr="00441911">
        <w:rPr>
          <w:rFonts w:ascii="Times New Roman" w:eastAsia="Times New Roman" w:hAnsi="Times New Roman"/>
          <w:color w:val="000000"/>
          <w:sz w:val="24"/>
          <w:szCs w:val="24"/>
          <w:lang w:eastAsia="fr-FR"/>
        </w:rPr>
        <w:t>, elle  apparaît dans ses qualifications comme une personne gentille, ouverte, accueillante, au mieux très hospitalière.</w:t>
      </w:r>
    </w:p>
    <w:p w:rsidR="006A4EED" w:rsidRPr="00441911" w:rsidRDefault="006A4EED" w:rsidP="00230C65">
      <w:pPr>
        <w:pStyle w:val="Paragraphedeliste"/>
        <w:numPr>
          <w:ilvl w:val="0"/>
          <w:numId w:val="75"/>
        </w:num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441911">
        <w:rPr>
          <w:rFonts w:ascii="Times New Roman" w:eastAsia="Times New Roman" w:hAnsi="Times New Roman"/>
          <w:color w:val="000000"/>
          <w:sz w:val="24"/>
          <w:szCs w:val="24"/>
          <w:lang w:eastAsia="fr-FR"/>
        </w:rPr>
        <w:t>La caractérisation définitionnelle: Halima est une aveugle à qui il ne reste que le strict minimum pour pouvoir survivre avec ses voisins les plus proches</w:t>
      </w:r>
    </w:p>
    <w:p w:rsidR="006A4EED" w:rsidRPr="00441911" w:rsidRDefault="006A4EED" w:rsidP="00230C65">
      <w:pPr>
        <w:pStyle w:val="Paragraphedeliste"/>
        <w:numPr>
          <w:ilvl w:val="0"/>
          <w:numId w:val="75"/>
        </w:num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441911">
        <w:rPr>
          <w:rFonts w:ascii="Times New Roman" w:eastAsia="Times New Roman" w:hAnsi="Times New Roman"/>
          <w:color w:val="000000"/>
          <w:sz w:val="24"/>
          <w:szCs w:val="24"/>
          <w:lang w:eastAsia="fr-FR"/>
        </w:rPr>
        <w:t>La caractérisation descriptive comportementale: le plus souvent, elle s’occupe à de petites tâches ménagères et passe la majorité de son temps au service du bien et conséquemment de Dieu</w:t>
      </w:r>
    </w:p>
    <w:p w:rsidR="006A4EED" w:rsidRPr="00441911" w:rsidRDefault="006A4EED" w:rsidP="00230C65">
      <w:pPr>
        <w:pStyle w:val="Paragraphedeliste"/>
        <w:numPr>
          <w:ilvl w:val="0"/>
          <w:numId w:val="75"/>
        </w:num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441911">
        <w:rPr>
          <w:rFonts w:ascii="Times New Roman" w:eastAsia="Times New Roman" w:hAnsi="Times New Roman"/>
          <w:color w:val="000000"/>
          <w:sz w:val="24"/>
          <w:szCs w:val="24"/>
          <w:lang w:eastAsia="fr-FR"/>
        </w:rPr>
        <w:t>La caractérisation d’appartenance: Halima n’a rien de plus fameux que Kaddour ou que le Servant en matière de richesse terrestre ; ce qui la particularise, c’est son esprit de partage :</w:t>
      </w:r>
      <w:r w:rsidR="009B6C3D" w:rsidRPr="00441911">
        <w:rPr>
          <w:rFonts w:ascii="Times New Roman" w:eastAsia="Times New Roman" w:hAnsi="Times New Roman"/>
          <w:color w:val="000000"/>
          <w:sz w:val="24"/>
          <w:szCs w:val="24"/>
          <w:lang w:eastAsia="fr-FR"/>
        </w:rPr>
        <w:t xml:space="preserve"> </w:t>
      </w:r>
      <w:r w:rsidRPr="00441911">
        <w:rPr>
          <w:rFonts w:ascii="Times New Roman" w:eastAsia="Times New Roman" w:hAnsi="Times New Roman"/>
          <w:color w:val="000000"/>
          <w:sz w:val="24"/>
          <w:szCs w:val="24"/>
          <w:lang w:eastAsia="fr-FR"/>
        </w:rPr>
        <w:t>elle en fut fortement bénie</w:t>
      </w:r>
      <w:r w:rsidR="009B6C3D" w:rsidRPr="00441911">
        <w:rPr>
          <w:rFonts w:ascii="Times New Roman" w:eastAsia="Times New Roman" w:hAnsi="Times New Roman"/>
          <w:color w:val="000000"/>
          <w:sz w:val="24"/>
          <w:szCs w:val="24"/>
          <w:lang w:eastAsia="fr-FR"/>
        </w:rPr>
        <w:t>,</w:t>
      </w:r>
      <w:r w:rsidRPr="00441911">
        <w:rPr>
          <w:rFonts w:ascii="Times New Roman" w:eastAsia="Times New Roman" w:hAnsi="Times New Roman"/>
          <w:color w:val="000000"/>
          <w:sz w:val="24"/>
          <w:szCs w:val="24"/>
          <w:lang w:eastAsia="fr-FR"/>
        </w:rPr>
        <w:t> tel est le cas de Halima.</w:t>
      </w:r>
    </w:p>
    <w:p w:rsidR="006A4EED" w:rsidRPr="00441911" w:rsidRDefault="006A4EED" w:rsidP="00230C65">
      <w:pPr>
        <w:pStyle w:val="Paragraphedeliste"/>
        <w:numPr>
          <w:ilvl w:val="0"/>
          <w:numId w:val="75"/>
        </w:num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441911">
        <w:rPr>
          <w:rFonts w:ascii="Times New Roman" w:eastAsia="Times New Roman" w:hAnsi="Times New Roman"/>
          <w:color w:val="000000"/>
          <w:sz w:val="24"/>
          <w:szCs w:val="24"/>
          <w:lang w:eastAsia="fr-FR"/>
        </w:rPr>
        <w:t>La caractérisation situative: Au même titre que tous les autres personnages du texte, elle vit dans la contrée frappée de disette : Béni-Dahane.</w:t>
      </w:r>
    </w:p>
    <w:p w:rsidR="006A4EED" w:rsidRPr="00441911" w:rsidRDefault="006A4EED" w:rsidP="00230C65">
      <w:pPr>
        <w:pStyle w:val="Paragraphedeliste"/>
        <w:numPr>
          <w:ilvl w:val="0"/>
          <w:numId w:val="75"/>
        </w:numPr>
        <w:autoSpaceDE w:val="0"/>
        <w:autoSpaceDN w:val="0"/>
        <w:adjustRightInd w:val="0"/>
        <w:spacing w:after="0" w:line="360" w:lineRule="auto"/>
        <w:jc w:val="both"/>
        <w:rPr>
          <w:rFonts w:ascii="Times New Roman" w:eastAsia="Times New Roman" w:hAnsi="Times New Roman"/>
          <w:color w:val="000000"/>
          <w:sz w:val="24"/>
          <w:szCs w:val="24"/>
          <w:lang w:eastAsia="fr-FR"/>
        </w:rPr>
      </w:pPr>
      <w:r w:rsidRPr="00441911">
        <w:rPr>
          <w:rFonts w:ascii="Times New Roman" w:eastAsia="Times New Roman" w:hAnsi="Times New Roman"/>
          <w:color w:val="000000"/>
          <w:sz w:val="24"/>
          <w:szCs w:val="24"/>
          <w:lang w:eastAsia="fr-FR"/>
        </w:rPr>
        <w:t>La caractérisation descriptive statique: Halima est le personnage aveugle qui voit avec les yeux du cœur que Dieu a bien voulu lui donnés.</w:t>
      </w:r>
    </w:p>
    <w:p w:rsidR="006A4EED" w:rsidRPr="003B00C8" w:rsidRDefault="006A4EED" w:rsidP="00441911">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Halima est d’une générosité qui laisse sans voix les trois marabouts vertueux. C’est le personnage qui croit en Dieu dans les bons et dans les mauvais moments. C’est celle </w:t>
      </w:r>
      <w:r w:rsidR="001E1A14">
        <w:rPr>
          <w:rFonts w:ascii="Times New Roman" w:eastAsia="Times New Roman" w:hAnsi="Times New Roman"/>
          <w:color w:val="000000"/>
          <w:sz w:val="24"/>
          <w:szCs w:val="24"/>
          <w:lang w:eastAsia="fr-FR"/>
        </w:rPr>
        <w:t xml:space="preserve">qui </w:t>
      </w:r>
      <w:r w:rsidRPr="003B00C8">
        <w:rPr>
          <w:rFonts w:ascii="Times New Roman" w:eastAsia="Times New Roman" w:hAnsi="Times New Roman"/>
          <w:color w:val="000000"/>
          <w:sz w:val="24"/>
          <w:szCs w:val="24"/>
          <w:lang w:eastAsia="fr-FR"/>
        </w:rPr>
        <w:t xml:space="preserve">prie pour le bien-être des autres sans se soucier d’elle-même. Il y a dans la symbolique de ce personnage, une impression de dévouement au sacerdoce </w:t>
      </w:r>
      <w:r w:rsidRPr="003B00C8">
        <w:rPr>
          <w:rFonts w:ascii="Times New Roman" w:eastAsia="Times New Roman" w:hAnsi="Times New Roman"/>
          <w:color w:val="000000"/>
          <w:sz w:val="24"/>
          <w:szCs w:val="24"/>
          <w:lang w:eastAsia="fr-FR"/>
        </w:rPr>
        <w:lastRenderedPageBreak/>
        <w:t>qui vient rompre la réalité islamiste ; à savoir que l’homme est l’unique acteur-présidant le culte (Imam). Considérons le dialogue suivant :</w:t>
      </w:r>
    </w:p>
    <w:p w:rsidR="006A4EED" w:rsidRPr="00441911" w:rsidRDefault="006A4EED" w:rsidP="00441911">
      <w:pPr>
        <w:pStyle w:val="Citationintense"/>
        <w:spacing w:before="0" w:after="0"/>
        <w:ind w:left="567" w:right="0"/>
        <w:rPr>
          <w:iCs w:val="0"/>
          <w:sz w:val="20"/>
          <w:szCs w:val="20"/>
          <w:lang w:eastAsia="fr-FR"/>
        </w:rPr>
      </w:pPr>
      <w:r w:rsidRPr="00441911">
        <w:rPr>
          <w:b/>
          <w:iCs w:val="0"/>
          <w:sz w:val="20"/>
          <w:szCs w:val="20"/>
          <w:lang w:eastAsia="fr-FR"/>
        </w:rPr>
        <w:t xml:space="preserve">SIDI-ABDELKADER- </w:t>
      </w:r>
      <w:r w:rsidRPr="00441911">
        <w:rPr>
          <w:iCs w:val="0"/>
          <w:sz w:val="20"/>
          <w:szCs w:val="20"/>
          <w:lang w:eastAsia="fr-FR"/>
        </w:rPr>
        <w:t>Et tu as l’habitude d’invoquer Dieu ?</w:t>
      </w:r>
    </w:p>
    <w:p w:rsidR="006A4EED" w:rsidRPr="00441911" w:rsidRDefault="006A4EED" w:rsidP="00441911">
      <w:pPr>
        <w:pStyle w:val="Citationintense"/>
        <w:spacing w:before="0" w:after="0"/>
        <w:ind w:left="567" w:right="0"/>
        <w:rPr>
          <w:iCs w:val="0"/>
          <w:sz w:val="20"/>
          <w:szCs w:val="20"/>
          <w:lang w:eastAsia="fr-FR"/>
        </w:rPr>
      </w:pPr>
      <w:r w:rsidRPr="00441911">
        <w:rPr>
          <w:b/>
          <w:iCs w:val="0"/>
          <w:sz w:val="20"/>
          <w:szCs w:val="20"/>
          <w:lang w:eastAsia="fr-FR"/>
        </w:rPr>
        <w:t xml:space="preserve">HALIMA- </w:t>
      </w:r>
      <w:r w:rsidRPr="00441911">
        <w:rPr>
          <w:iCs w:val="0"/>
          <w:sz w:val="20"/>
          <w:szCs w:val="20"/>
          <w:lang w:eastAsia="fr-FR"/>
        </w:rPr>
        <w:t>Oui mes seigneurs ; chaque fois que je fais mes prières.</w:t>
      </w:r>
    </w:p>
    <w:p w:rsidR="006A4EED" w:rsidRPr="00441911" w:rsidRDefault="006A4EED" w:rsidP="00441911">
      <w:pPr>
        <w:pStyle w:val="Citationintense"/>
        <w:spacing w:before="0" w:after="0"/>
        <w:ind w:left="567" w:right="0"/>
        <w:rPr>
          <w:iCs w:val="0"/>
          <w:sz w:val="20"/>
          <w:szCs w:val="20"/>
          <w:lang w:eastAsia="fr-FR"/>
        </w:rPr>
      </w:pPr>
      <w:r w:rsidRPr="00441911">
        <w:rPr>
          <w:b/>
          <w:iCs w:val="0"/>
          <w:sz w:val="20"/>
          <w:szCs w:val="20"/>
          <w:lang w:eastAsia="fr-FR"/>
        </w:rPr>
        <w:t xml:space="preserve">SIDI-ABDELKADER- </w:t>
      </w:r>
      <w:r w:rsidRPr="00441911">
        <w:rPr>
          <w:iCs w:val="0"/>
          <w:sz w:val="20"/>
          <w:szCs w:val="20"/>
          <w:lang w:eastAsia="fr-FR"/>
        </w:rPr>
        <w:t>Et que lui demandes-tu ?</w:t>
      </w:r>
    </w:p>
    <w:p w:rsidR="006A4EED" w:rsidRPr="00441911" w:rsidRDefault="006A4EED" w:rsidP="00441911">
      <w:pPr>
        <w:pStyle w:val="Citationintense"/>
        <w:spacing w:before="0" w:after="0"/>
        <w:ind w:left="567" w:right="0"/>
        <w:rPr>
          <w:iCs w:val="0"/>
          <w:sz w:val="20"/>
          <w:szCs w:val="20"/>
          <w:lang w:eastAsia="fr-FR"/>
        </w:rPr>
      </w:pPr>
      <w:r w:rsidRPr="00441911">
        <w:rPr>
          <w:b/>
          <w:iCs w:val="0"/>
          <w:sz w:val="20"/>
          <w:szCs w:val="20"/>
          <w:lang w:eastAsia="fr-FR"/>
        </w:rPr>
        <w:t xml:space="preserve">HALIMA- </w:t>
      </w:r>
      <w:r w:rsidRPr="00441911">
        <w:rPr>
          <w:iCs w:val="0"/>
          <w:sz w:val="20"/>
          <w:szCs w:val="20"/>
          <w:lang w:eastAsia="fr-FR"/>
        </w:rPr>
        <w:t>Cela dépend. Quand le bébé de Aïcha est malade, je lui demande de lui accorder la guérison ; je lui demande d’aider Hashmi à trouver du travail, de délivrer la contrée de la disette ; de faire que mon cousin Safi revienne…</w:t>
      </w:r>
    </w:p>
    <w:p w:rsidR="006A4EED" w:rsidRPr="00441911" w:rsidRDefault="006A4EED" w:rsidP="00441911">
      <w:pPr>
        <w:pStyle w:val="Citationintense"/>
        <w:spacing w:before="0" w:after="0"/>
        <w:ind w:left="567" w:right="0"/>
        <w:rPr>
          <w:iCs w:val="0"/>
          <w:sz w:val="20"/>
          <w:szCs w:val="20"/>
          <w:lang w:eastAsia="fr-FR"/>
        </w:rPr>
      </w:pPr>
      <w:r w:rsidRPr="00441911">
        <w:rPr>
          <w:b/>
          <w:iCs w:val="0"/>
          <w:sz w:val="20"/>
          <w:szCs w:val="20"/>
          <w:lang w:eastAsia="fr-FR"/>
        </w:rPr>
        <w:t xml:space="preserve">SIDI-ABDELKADER- </w:t>
      </w:r>
      <w:r w:rsidRPr="00441911">
        <w:rPr>
          <w:iCs w:val="0"/>
          <w:sz w:val="20"/>
          <w:szCs w:val="20"/>
          <w:lang w:eastAsia="fr-FR"/>
        </w:rPr>
        <w:t>C’est tout ?</w:t>
      </w:r>
    </w:p>
    <w:p w:rsidR="006A4EED" w:rsidRPr="00441911" w:rsidRDefault="006A4EED" w:rsidP="00441911">
      <w:pPr>
        <w:pStyle w:val="Citationintense"/>
        <w:spacing w:before="0" w:after="0"/>
        <w:ind w:left="567" w:right="0"/>
        <w:rPr>
          <w:iCs w:val="0"/>
          <w:sz w:val="20"/>
          <w:szCs w:val="20"/>
          <w:lang w:eastAsia="fr-FR"/>
        </w:rPr>
      </w:pPr>
      <w:r w:rsidRPr="00441911">
        <w:rPr>
          <w:b/>
          <w:iCs w:val="0"/>
          <w:sz w:val="20"/>
          <w:szCs w:val="20"/>
          <w:lang w:eastAsia="fr-FR"/>
        </w:rPr>
        <w:t xml:space="preserve">HALIMA- </w:t>
      </w:r>
      <w:r w:rsidRPr="00441911">
        <w:rPr>
          <w:iCs w:val="0"/>
          <w:sz w:val="20"/>
          <w:szCs w:val="20"/>
          <w:lang w:eastAsia="fr-FR"/>
        </w:rPr>
        <w:t>Et pourquoi donc voudriez-vous que je l’invoque, mes seigneurs ?</w:t>
      </w:r>
    </w:p>
    <w:p w:rsidR="006A4EED" w:rsidRPr="00441911" w:rsidRDefault="006A4EED" w:rsidP="00441911">
      <w:pPr>
        <w:pStyle w:val="Citationintense"/>
        <w:spacing w:before="0" w:after="0"/>
        <w:ind w:left="567" w:right="0"/>
        <w:rPr>
          <w:iCs w:val="0"/>
          <w:sz w:val="20"/>
          <w:szCs w:val="20"/>
          <w:lang w:eastAsia="fr-FR"/>
        </w:rPr>
      </w:pPr>
      <w:r w:rsidRPr="00441911">
        <w:rPr>
          <w:b/>
          <w:iCs w:val="0"/>
          <w:sz w:val="20"/>
          <w:szCs w:val="20"/>
          <w:lang w:eastAsia="fr-FR"/>
        </w:rPr>
        <w:t xml:space="preserve">SIDI-ABDERRAHMANE- </w:t>
      </w:r>
      <w:r w:rsidRPr="00441911">
        <w:rPr>
          <w:iCs w:val="0"/>
          <w:sz w:val="20"/>
          <w:szCs w:val="20"/>
          <w:lang w:eastAsia="fr-FR"/>
        </w:rPr>
        <w:t>Je ne sais pas … Par exemple qu’il te donne la richesse, la santé… qu’il te redonne la vue…</w:t>
      </w:r>
    </w:p>
    <w:p w:rsidR="006A4EED" w:rsidRPr="00441911" w:rsidRDefault="006A4EED" w:rsidP="00441911">
      <w:pPr>
        <w:pStyle w:val="Citationintense"/>
        <w:spacing w:before="0" w:after="0"/>
        <w:ind w:left="567" w:right="0"/>
        <w:rPr>
          <w:sz w:val="20"/>
          <w:szCs w:val="20"/>
          <w:lang w:eastAsia="fr-FR"/>
        </w:rPr>
      </w:pPr>
      <w:r w:rsidRPr="00441911">
        <w:rPr>
          <w:b/>
          <w:iCs w:val="0"/>
          <w:sz w:val="20"/>
          <w:szCs w:val="20"/>
          <w:lang w:eastAsia="fr-FR"/>
        </w:rPr>
        <w:t xml:space="preserve">HALIMA- </w:t>
      </w:r>
      <w:r w:rsidRPr="00441911">
        <w:rPr>
          <w:iCs w:val="0"/>
          <w:sz w:val="20"/>
          <w:szCs w:val="20"/>
          <w:lang w:eastAsia="fr-FR"/>
        </w:rPr>
        <w:t>Tout cela, Dieu me l’a donné ; pourquoi voudriez-vous que je le lui demande ? Dieu m’a accordé sa miséricorde, et sa miséricorde est puissante ; il m’a enrichi de sa miséricorde ; il m’a donné la santé grâce à laquelle je peux m’activer et faire mes prières ; il m’a donné les yeux du cœur, ceux de la raison et de la foi ; c’est suffisant</w:t>
      </w:r>
      <w:r w:rsidRPr="00441911">
        <w:rPr>
          <w:sz w:val="20"/>
          <w:szCs w:val="20"/>
          <w:lang w:eastAsia="fr-FR"/>
        </w:rPr>
        <w:t>.</w:t>
      </w:r>
      <w:r w:rsidR="007937F2" w:rsidRPr="00441911">
        <w:rPr>
          <w:sz w:val="20"/>
          <w:szCs w:val="20"/>
          <w:lang w:eastAsia="fr-FR"/>
        </w:rPr>
        <w:t xml:space="preserve"> (</w:t>
      </w:r>
      <w:r w:rsidR="00441911" w:rsidRPr="003E4AF0">
        <w:rPr>
          <w:sz w:val="20"/>
          <w:szCs w:val="20"/>
          <w:lang w:eastAsia="fr-FR"/>
        </w:rPr>
        <w:t>(</w:t>
      </w:r>
      <w:r w:rsidR="00441911">
        <w:rPr>
          <w:iCs w:val="0"/>
          <w:sz w:val="20"/>
          <w:szCs w:val="20"/>
          <w:lang w:eastAsia="fr-FR"/>
        </w:rPr>
        <w:t xml:space="preserve">O-A. Kaki, 2003, </w:t>
      </w:r>
      <w:r w:rsidR="007937F2" w:rsidRPr="00441911">
        <w:rPr>
          <w:sz w:val="20"/>
          <w:szCs w:val="20"/>
          <w:lang w:eastAsia="fr-FR"/>
        </w:rPr>
        <w:t>p.49)</w:t>
      </w:r>
    </w:p>
    <w:p w:rsidR="007937F2" w:rsidRPr="007937F2" w:rsidRDefault="007937F2" w:rsidP="007937F2">
      <w:pPr>
        <w:rPr>
          <w:lang w:eastAsia="fr-FR"/>
        </w:rPr>
      </w:pPr>
    </w:p>
    <w:p w:rsidR="006A4EED" w:rsidRDefault="006A4EED" w:rsidP="00CF70F1">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Ce qui est davantage intéressant est la réaction de Dieu eu égard aux demandes de Halima :</w:t>
      </w:r>
    </w:p>
    <w:p w:rsidR="007937F2" w:rsidRPr="003B00C8" w:rsidRDefault="007937F2" w:rsidP="00490920">
      <w:pPr>
        <w:autoSpaceDE w:val="0"/>
        <w:autoSpaceDN w:val="0"/>
        <w:adjustRightInd w:val="0"/>
        <w:spacing w:after="0" w:line="360" w:lineRule="auto"/>
        <w:jc w:val="both"/>
        <w:rPr>
          <w:rFonts w:ascii="Times New Roman" w:eastAsia="Times New Roman" w:hAnsi="Times New Roman"/>
          <w:color w:val="000000"/>
          <w:sz w:val="24"/>
          <w:szCs w:val="24"/>
          <w:lang w:eastAsia="fr-FR"/>
        </w:rPr>
      </w:pPr>
    </w:p>
    <w:p w:rsidR="006A4EED" w:rsidRPr="00CF70F1" w:rsidRDefault="006A4EED" w:rsidP="00CF70F1">
      <w:pPr>
        <w:pStyle w:val="Citationintense"/>
        <w:spacing w:before="0" w:after="0"/>
        <w:ind w:left="567" w:right="0"/>
        <w:rPr>
          <w:iCs w:val="0"/>
          <w:sz w:val="20"/>
          <w:szCs w:val="20"/>
          <w:lang w:eastAsia="fr-FR"/>
        </w:rPr>
      </w:pPr>
      <w:r w:rsidRPr="00CF70F1">
        <w:rPr>
          <w:b/>
          <w:iCs w:val="0"/>
          <w:sz w:val="20"/>
          <w:szCs w:val="20"/>
          <w:lang w:eastAsia="fr-FR"/>
        </w:rPr>
        <w:t>SIDI-BOUMÉDIÈNE-</w:t>
      </w:r>
      <w:r w:rsidR="00E837FC" w:rsidRPr="00CF70F1">
        <w:rPr>
          <w:b/>
          <w:iCs w:val="0"/>
          <w:sz w:val="20"/>
          <w:szCs w:val="20"/>
          <w:lang w:eastAsia="fr-FR"/>
        </w:rPr>
        <w:t xml:space="preserve">  </w:t>
      </w:r>
      <w:r w:rsidRPr="00CF70F1">
        <w:rPr>
          <w:iCs w:val="0"/>
          <w:sz w:val="20"/>
          <w:szCs w:val="20"/>
          <w:lang w:eastAsia="fr-FR"/>
        </w:rPr>
        <w:t xml:space="preserve">Et quand tu invoquais Dieu à propos du bébé, </w:t>
      </w:r>
      <w:r w:rsidR="00E837FC" w:rsidRPr="00CF70F1">
        <w:rPr>
          <w:iCs w:val="0"/>
          <w:sz w:val="20"/>
          <w:szCs w:val="20"/>
          <w:lang w:eastAsia="fr-FR"/>
        </w:rPr>
        <w:t xml:space="preserve"> </w:t>
      </w:r>
      <w:r w:rsidRPr="00CF70F1">
        <w:rPr>
          <w:iCs w:val="0"/>
          <w:sz w:val="20"/>
          <w:szCs w:val="20"/>
          <w:lang w:eastAsia="fr-FR"/>
        </w:rPr>
        <w:t>il guérissait</w:t>
      </w:r>
      <w:r w:rsidR="007937F2" w:rsidRPr="00CF70F1">
        <w:rPr>
          <w:iCs w:val="0"/>
          <w:sz w:val="20"/>
          <w:szCs w:val="20"/>
          <w:lang w:eastAsia="fr-FR"/>
        </w:rPr>
        <w:t xml:space="preserve"> </w:t>
      </w:r>
      <w:r w:rsidRPr="00CF70F1">
        <w:rPr>
          <w:iCs w:val="0"/>
          <w:sz w:val="20"/>
          <w:szCs w:val="20"/>
          <w:lang w:eastAsia="fr-FR"/>
        </w:rPr>
        <w:t>?</w:t>
      </w:r>
    </w:p>
    <w:p w:rsidR="006A4EED" w:rsidRPr="00CF70F1" w:rsidRDefault="006A4EED" w:rsidP="00CF70F1">
      <w:pPr>
        <w:pStyle w:val="Citationintense"/>
        <w:spacing w:before="0" w:after="0"/>
        <w:ind w:left="567" w:right="0"/>
        <w:rPr>
          <w:iCs w:val="0"/>
          <w:sz w:val="20"/>
          <w:szCs w:val="20"/>
          <w:lang w:eastAsia="fr-FR"/>
        </w:rPr>
      </w:pPr>
      <w:r w:rsidRPr="00CF70F1">
        <w:rPr>
          <w:b/>
          <w:iCs w:val="0"/>
          <w:sz w:val="20"/>
          <w:szCs w:val="20"/>
          <w:lang w:eastAsia="fr-FR"/>
        </w:rPr>
        <w:t xml:space="preserve">HALIMA- </w:t>
      </w:r>
      <w:r w:rsidRPr="00CF70F1">
        <w:rPr>
          <w:iCs w:val="0"/>
          <w:sz w:val="20"/>
          <w:szCs w:val="20"/>
          <w:lang w:eastAsia="fr-FR"/>
        </w:rPr>
        <w:t>Plus d’une fois !</w:t>
      </w:r>
    </w:p>
    <w:p w:rsidR="006A4EED" w:rsidRPr="00CF70F1" w:rsidRDefault="006A4EED" w:rsidP="00CF70F1">
      <w:pPr>
        <w:pStyle w:val="Citationintense"/>
        <w:spacing w:before="0" w:after="0"/>
        <w:ind w:left="567" w:right="0"/>
        <w:rPr>
          <w:iCs w:val="0"/>
          <w:sz w:val="20"/>
          <w:szCs w:val="20"/>
          <w:lang w:eastAsia="fr-FR"/>
        </w:rPr>
      </w:pPr>
      <w:r w:rsidRPr="00CF70F1">
        <w:rPr>
          <w:b/>
          <w:iCs w:val="0"/>
          <w:sz w:val="20"/>
          <w:szCs w:val="20"/>
          <w:lang w:eastAsia="fr-FR"/>
        </w:rPr>
        <w:t xml:space="preserve">SIDI-ABDERRAHMANE- </w:t>
      </w:r>
      <w:r w:rsidRPr="00CF70F1">
        <w:rPr>
          <w:iCs w:val="0"/>
          <w:sz w:val="20"/>
          <w:szCs w:val="20"/>
          <w:lang w:eastAsia="fr-FR"/>
        </w:rPr>
        <w:t>Et Hashmi, a-t-il trouvé du travail ?</w:t>
      </w:r>
    </w:p>
    <w:p w:rsidR="006A4EED" w:rsidRPr="00CF70F1" w:rsidRDefault="006A4EED" w:rsidP="00CF70F1">
      <w:pPr>
        <w:pStyle w:val="Citationintense"/>
        <w:spacing w:before="0" w:after="0"/>
        <w:ind w:left="567" w:right="0"/>
        <w:rPr>
          <w:iCs w:val="0"/>
          <w:sz w:val="20"/>
          <w:szCs w:val="20"/>
          <w:lang w:eastAsia="fr-FR"/>
        </w:rPr>
      </w:pPr>
      <w:r w:rsidRPr="00CF70F1">
        <w:rPr>
          <w:b/>
          <w:iCs w:val="0"/>
          <w:sz w:val="20"/>
          <w:szCs w:val="20"/>
          <w:lang w:eastAsia="fr-FR"/>
        </w:rPr>
        <w:t xml:space="preserve">HALIMA- </w:t>
      </w:r>
      <w:r w:rsidRPr="00CF70F1">
        <w:rPr>
          <w:iCs w:val="0"/>
          <w:sz w:val="20"/>
          <w:szCs w:val="20"/>
          <w:lang w:eastAsia="fr-FR"/>
        </w:rPr>
        <w:t>Oui.</w:t>
      </w:r>
    </w:p>
    <w:p w:rsidR="006A4EED" w:rsidRPr="00CF70F1" w:rsidRDefault="006A4EED" w:rsidP="00CF70F1">
      <w:pPr>
        <w:pStyle w:val="Citationintense"/>
        <w:spacing w:before="0" w:after="0"/>
        <w:ind w:left="567" w:right="0"/>
        <w:rPr>
          <w:iCs w:val="0"/>
          <w:sz w:val="20"/>
          <w:szCs w:val="20"/>
          <w:lang w:eastAsia="fr-FR"/>
        </w:rPr>
      </w:pPr>
      <w:r w:rsidRPr="00CF70F1">
        <w:rPr>
          <w:b/>
          <w:iCs w:val="0"/>
          <w:sz w:val="20"/>
          <w:szCs w:val="20"/>
          <w:lang w:eastAsia="fr-FR"/>
        </w:rPr>
        <w:t xml:space="preserve">SIDI-ABDELKADER- </w:t>
      </w:r>
      <w:r w:rsidRPr="00CF70F1">
        <w:rPr>
          <w:iCs w:val="0"/>
          <w:sz w:val="20"/>
          <w:szCs w:val="20"/>
          <w:lang w:eastAsia="fr-FR"/>
        </w:rPr>
        <w:t>Et ton cousin, est-il revenu ?</w:t>
      </w:r>
    </w:p>
    <w:p w:rsidR="006A4EED" w:rsidRPr="00CF70F1" w:rsidRDefault="006A4EED" w:rsidP="00CF70F1">
      <w:pPr>
        <w:pStyle w:val="Citationintense"/>
        <w:spacing w:before="0" w:after="0"/>
        <w:ind w:left="567" w:right="0"/>
        <w:rPr>
          <w:sz w:val="20"/>
          <w:szCs w:val="20"/>
          <w:lang w:eastAsia="fr-FR"/>
        </w:rPr>
      </w:pPr>
      <w:r w:rsidRPr="00CF70F1">
        <w:rPr>
          <w:b/>
          <w:iCs w:val="0"/>
          <w:sz w:val="20"/>
          <w:szCs w:val="20"/>
          <w:lang w:eastAsia="fr-FR"/>
        </w:rPr>
        <w:t xml:space="preserve">HALIMA- </w:t>
      </w:r>
      <w:r w:rsidRPr="00CF70F1">
        <w:rPr>
          <w:iCs w:val="0"/>
          <w:sz w:val="20"/>
          <w:szCs w:val="20"/>
          <w:lang w:eastAsia="fr-FR"/>
        </w:rPr>
        <w:t>Il finira bien par revenir</w:t>
      </w:r>
      <w:r w:rsidRPr="00CF70F1">
        <w:rPr>
          <w:sz w:val="20"/>
          <w:szCs w:val="20"/>
          <w:lang w:eastAsia="fr-FR"/>
        </w:rPr>
        <w:t>.</w:t>
      </w:r>
      <w:r w:rsidR="00CF70F1">
        <w:rPr>
          <w:sz w:val="20"/>
          <w:szCs w:val="20"/>
          <w:lang w:eastAsia="fr-FR"/>
        </w:rPr>
        <w:t xml:space="preserve"> (</w:t>
      </w:r>
      <w:r w:rsidR="00CF70F1">
        <w:rPr>
          <w:i/>
          <w:iCs w:val="0"/>
          <w:sz w:val="20"/>
          <w:szCs w:val="20"/>
          <w:lang w:eastAsia="fr-FR"/>
        </w:rPr>
        <w:t>Ibid</w:t>
      </w:r>
      <w:r w:rsidR="00CF70F1">
        <w:rPr>
          <w:sz w:val="20"/>
          <w:szCs w:val="20"/>
          <w:lang w:eastAsia="fr-FR"/>
        </w:rPr>
        <w:t>).</w:t>
      </w:r>
    </w:p>
    <w:p w:rsidR="007937F2" w:rsidRPr="007937F2" w:rsidRDefault="007937F2" w:rsidP="007937F2">
      <w:pPr>
        <w:rPr>
          <w:lang w:eastAsia="fr-FR"/>
        </w:rPr>
      </w:pPr>
    </w:p>
    <w:p w:rsidR="006A4EED" w:rsidRPr="003B00C8" w:rsidRDefault="006A4EED" w:rsidP="00917A30">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Non seulement Halima ne demandait à Dieu jamais pour elle et toujours pour les autres, mais elle avait l’assentiment de Dieu qui exauçait ses prières. Même si elle continuait à attendre patiemment le retour de son cousin Safi.</w:t>
      </w:r>
    </w:p>
    <w:p w:rsidR="006A4EED" w:rsidRPr="003B00C8" w:rsidRDefault="006A4EED" w:rsidP="00917A30">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De ce fait, il app</w:t>
      </w:r>
      <w:r w:rsidR="001E1A14">
        <w:rPr>
          <w:rFonts w:ascii="Times New Roman" w:eastAsia="Times New Roman" w:hAnsi="Times New Roman"/>
          <w:color w:val="000000"/>
          <w:sz w:val="24"/>
          <w:szCs w:val="24"/>
          <w:lang w:eastAsia="fr-FR"/>
        </w:rPr>
        <w:t>arait</w:t>
      </w:r>
      <w:r w:rsidRPr="003B00C8">
        <w:rPr>
          <w:rFonts w:ascii="Times New Roman" w:eastAsia="Times New Roman" w:hAnsi="Times New Roman"/>
          <w:color w:val="000000"/>
          <w:sz w:val="24"/>
          <w:szCs w:val="24"/>
          <w:lang w:eastAsia="fr-FR"/>
        </w:rPr>
        <w:t xml:space="preserve"> donc que Halima est :</w:t>
      </w:r>
    </w:p>
    <w:p w:rsidR="006A4EED" w:rsidRPr="00E837FC" w:rsidRDefault="006A4EED" w:rsidP="00230C65">
      <w:pPr>
        <w:numPr>
          <w:ilvl w:val="0"/>
          <w:numId w:val="18"/>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A1 : Celle pour qui, la patience finit toujours par payer et Dieu par répondre</w:t>
      </w:r>
    </w:p>
    <w:p w:rsidR="006A4EED" w:rsidRPr="00E837FC" w:rsidRDefault="006A4EED" w:rsidP="00230C65">
      <w:pPr>
        <w:numPr>
          <w:ilvl w:val="0"/>
          <w:numId w:val="18"/>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A2 : Celle que Dieu a choisie pour venir en aide à Aouicha et à son mari Hashmi et aux indigents</w:t>
      </w:r>
    </w:p>
    <w:p w:rsidR="006A4EED" w:rsidRPr="00E837FC" w:rsidRDefault="006A4EED" w:rsidP="00230C65">
      <w:pPr>
        <w:numPr>
          <w:ilvl w:val="0"/>
          <w:numId w:val="18"/>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A3 : Celle chez qui quiconque venant lui rendre visite n’a qu’à pousser la porte et entrer</w:t>
      </w:r>
    </w:p>
    <w:p w:rsidR="006A4EED" w:rsidRPr="00E837FC" w:rsidRDefault="006A4EED" w:rsidP="00230C65">
      <w:pPr>
        <w:numPr>
          <w:ilvl w:val="0"/>
          <w:numId w:val="18"/>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A4 : La seule dans la contrée qui a répondu « Bienvenue » à « Hospitalité au nom de Dieu » demandée par les trois marabouts vertueux</w:t>
      </w:r>
    </w:p>
    <w:p w:rsidR="006A4EED" w:rsidRPr="00490920" w:rsidRDefault="006A4EED" w:rsidP="00230C65">
      <w:pPr>
        <w:numPr>
          <w:ilvl w:val="0"/>
          <w:numId w:val="18"/>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lastRenderedPageBreak/>
        <w:t>A5 : Celle qui se souci des autres sans jamais se soucier d’elle-même. Elle ne considère pas ses yeux comme un handicap, tout au contraire, elle entérine le bon vouloir de Dieu. Et vante le mérite des yeux de son cœur.</w:t>
      </w:r>
    </w:p>
    <w:p w:rsidR="00E837FC" w:rsidRPr="00917A30" w:rsidRDefault="006A4EED" w:rsidP="00230C65">
      <w:pPr>
        <w:pStyle w:val="Paragraphedeliste"/>
        <w:numPr>
          <w:ilvl w:val="0"/>
          <w:numId w:val="70"/>
        </w:numPr>
        <w:autoSpaceDE w:val="0"/>
        <w:autoSpaceDN w:val="0"/>
        <w:adjustRightInd w:val="0"/>
        <w:spacing w:after="0" w:line="360" w:lineRule="auto"/>
        <w:jc w:val="both"/>
        <w:rPr>
          <w:rFonts w:ascii="Times New Roman" w:eastAsia="Times New Roman" w:hAnsi="Times New Roman"/>
          <w:b/>
          <w:bCs/>
          <w:color w:val="000000"/>
          <w:sz w:val="24"/>
          <w:szCs w:val="24"/>
          <w:lang w:eastAsia="fr-FR"/>
        </w:rPr>
      </w:pPr>
      <w:r w:rsidRPr="00917A30">
        <w:rPr>
          <w:rFonts w:ascii="Times New Roman" w:eastAsia="Times New Roman" w:hAnsi="Times New Roman"/>
          <w:b/>
          <w:bCs/>
          <w:color w:val="000000"/>
          <w:sz w:val="24"/>
          <w:szCs w:val="24"/>
          <w:lang w:eastAsia="fr-FR"/>
        </w:rPr>
        <w:t>Quant à Safi</w:t>
      </w:r>
      <w:r w:rsidR="00917A30">
        <w:rPr>
          <w:rFonts w:ascii="Times New Roman" w:eastAsia="Times New Roman" w:hAnsi="Times New Roman"/>
          <w:b/>
          <w:bCs/>
          <w:color w:val="000000"/>
          <w:sz w:val="24"/>
          <w:szCs w:val="24"/>
          <w:lang w:eastAsia="fr-FR"/>
        </w:rPr>
        <w:t xml:space="preserve">, </w:t>
      </w:r>
    </w:p>
    <w:p w:rsidR="006A4EED" w:rsidRPr="00917A30" w:rsidRDefault="006A4EED" w:rsidP="00230C65">
      <w:pPr>
        <w:pStyle w:val="Paragraphedeliste"/>
        <w:numPr>
          <w:ilvl w:val="0"/>
          <w:numId w:val="76"/>
        </w:numPr>
        <w:autoSpaceDE w:val="0"/>
        <w:autoSpaceDN w:val="0"/>
        <w:adjustRightInd w:val="0"/>
        <w:spacing w:after="0" w:line="360" w:lineRule="auto"/>
        <w:jc w:val="both"/>
        <w:rPr>
          <w:rFonts w:ascii="Times New Roman" w:eastAsia="Times New Roman" w:hAnsi="Times New Roman"/>
          <w:sz w:val="24"/>
          <w:szCs w:val="24"/>
          <w:lang w:eastAsia="fr-FR"/>
        </w:rPr>
      </w:pPr>
      <w:r w:rsidRPr="00917A30">
        <w:rPr>
          <w:rFonts w:ascii="Times New Roman" w:eastAsia="Times New Roman" w:hAnsi="Times New Roman"/>
          <w:color w:val="000000"/>
          <w:sz w:val="24"/>
          <w:szCs w:val="24"/>
          <w:lang w:eastAsia="fr-FR"/>
        </w:rPr>
        <w:t xml:space="preserve">La caractérisation définitionnelle: </w:t>
      </w:r>
      <w:r w:rsidRPr="00917A30">
        <w:rPr>
          <w:rFonts w:ascii="Times New Roman" w:eastAsia="Times New Roman" w:hAnsi="Times New Roman"/>
          <w:sz w:val="24"/>
          <w:szCs w:val="24"/>
          <w:lang w:eastAsia="fr-FR"/>
        </w:rPr>
        <w:t xml:space="preserve">Safi est le cousin germain de Halima. Il a été banni de cette ville il y a dix ans, parce qu’il avait tué quelqu’un. Le jour du jugement, Safi a déclaré avoir agi en état de légitime défense. Mais les proches de la victime sont des gens fortunés, ayant de solides appuis. Ils ont acheté le tribunal et ont même trouvé des faux témoins. L’avocat de Safi a montré que l’arme du crime appartenait à la victime. </w:t>
      </w:r>
      <w:r w:rsidRPr="00917A30">
        <w:rPr>
          <w:rFonts w:ascii="Times New Roman" w:eastAsia="Times New Roman" w:hAnsi="Times New Roman"/>
          <w:i/>
          <w:iCs/>
          <w:sz w:val="24"/>
          <w:szCs w:val="24"/>
          <w:lang w:eastAsia="fr-FR"/>
        </w:rPr>
        <w:t>Comment l’accusé a-t-il pu utiliser cette arme si la</w:t>
      </w:r>
      <w:r w:rsidRPr="00917A30">
        <w:rPr>
          <w:rFonts w:ascii="Times New Roman" w:eastAsia="Times New Roman" w:hAnsi="Times New Roman"/>
          <w:sz w:val="24"/>
          <w:szCs w:val="24"/>
          <w:lang w:eastAsia="fr-FR"/>
        </w:rPr>
        <w:t xml:space="preserve"> </w:t>
      </w:r>
      <w:r w:rsidRPr="00917A30">
        <w:rPr>
          <w:rFonts w:ascii="Times New Roman" w:eastAsia="Times New Roman" w:hAnsi="Times New Roman"/>
          <w:i/>
          <w:iCs/>
          <w:sz w:val="24"/>
          <w:szCs w:val="24"/>
          <w:lang w:eastAsia="fr-FR"/>
        </w:rPr>
        <w:t xml:space="preserve">victime ne l’avait pas au préalable brandie ? </w:t>
      </w:r>
      <w:r w:rsidRPr="00917A30">
        <w:rPr>
          <w:rFonts w:ascii="Times New Roman" w:eastAsia="Times New Roman" w:hAnsi="Times New Roman"/>
          <w:sz w:val="24"/>
          <w:szCs w:val="24"/>
          <w:lang w:eastAsia="fr-FR"/>
        </w:rPr>
        <w:t>Le président n’a rien pu rétorquer ; le procureur a injurié Safi et l’avocat général n’a rien dit. En désespoir de cause, le tribunal l’a condamné au bannissement définitif ; condamné pour le reste de sa vie à ne pas revoir son village. Depuis lors, il n’a plus donné signe de vie et Halima ne sait pas ce qu’il a pu devenir, si même il était encore en vie.</w:t>
      </w:r>
    </w:p>
    <w:p w:rsidR="006A4EED" w:rsidRPr="00917A30" w:rsidRDefault="006A4EED" w:rsidP="00230C65">
      <w:pPr>
        <w:pStyle w:val="Paragraphedeliste"/>
        <w:numPr>
          <w:ilvl w:val="0"/>
          <w:numId w:val="76"/>
        </w:num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917A30">
        <w:rPr>
          <w:rFonts w:ascii="Times New Roman" w:eastAsia="Times New Roman" w:hAnsi="Times New Roman"/>
          <w:color w:val="000000"/>
          <w:sz w:val="24"/>
          <w:szCs w:val="24"/>
          <w:lang w:eastAsia="fr-FR"/>
        </w:rPr>
        <w:t>La caractérisation descriptive comportementale: De son retour selon qu’avaient prié les trois vertueux et Halima, Safi se mettra au service du bien aux côtés de sa cousine devenue voyante.</w:t>
      </w:r>
    </w:p>
    <w:p w:rsidR="006A4EED" w:rsidRPr="00917A30" w:rsidRDefault="006A4EED" w:rsidP="00230C65">
      <w:pPr>
        <w:pStyle w:val="Paragraphedeliste"/>
        <w:numPr>
          <w:ilvl w:val="0"/>
          <w:numId w:val="76"/>
        </w:num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917A30">
        <w:rPr>
          <w:rFonts w:ascii="Times New Roman" w:eastAsia="Times New Roman" w:hAnsi="Times New Roman"/>
          <w:color w:val="000000"/>
          <w:sz w:val="24"/>
          <w:szCs w:val="24"/>
          <w:lang w:eastAsia="fr-FR"/>
        </w:rPr>
        <w:t xml:space="preserve">La caractérisation d’appartenance: Il est l’homme placé aux côtés de la femme de bien pour accomplir un engagement, un vœu fait. Le lecteur de la pièce de théâtre de </w:t>
      </w:r>
      <w:r w:rsidRPr="00917A30">
        <w:rPr>
          <w:rFonts w:ascii="Times New Roman" w:eastAsia="Times New Roman" w:hAnsi="Times New Roman"/>
          <w:sz w:val="24"/>
          <w:szCs w:val="24"/>
          <w:lang w:eastAsia="fr-FR"/>
        </w:rPr>
        <w:t xml:space="preserve">Ould Abderrahmane </w:t>
      </w:r>
      <w:r w:rsidR="00E837FC" w:rsidRPr="00917A30">
        <w:rPr>
          <w:rFonts w:ascii="Times New Roman" w:eastAsia="Times New Roman" w:hAnsi="Times New Roman"/>
          <w:sz w:val="24"/>
          <w:szCs w:val="24"/>
          <w:lang w:eastAsia="fr-FR"/>
        </w:rPr>
        <w:t xml:space="preserve">Kaki </w:t>
      </w:r>
      <w:r w:rsidRPr="00917A30">
        <w:rPr>
          <w:rFonts w:ascii="Times New Roman" w:eastAsia="Times New Roman" w:hAnsi="Times New Roman"/>
          <w:sz w:val="24"/>
          <w:szCs w:val="24"/>
          <w:lang w:eastAsia="fr-FR"/>
        </w:rPr>
        <w:t>serait tenté de croire que le séjour de Safi loin de sa terre natale lui aurait donné de gagner en sagesse.</w:t>
      </w:r>
    </w:p>
    <w:p w:rsidR="006A4EED" w:rsidRPr="00917A30" w:rsidRDefault="006A4EED" w:rsidP="00230C65">
      <w:pPr>
        <w:pStyle w:val="Paragraphedeliste"/>
        <w:numPr>
          <w:ilvl w:val="0"/>
          <w:numId w:val="76"/>
        </w:numPr>
        <w:autoSpaceDE w:val="0"/>
        <w:autoSpaceDN w:val="0"/>
        <w:adjustRightInd w:val="0"/>
        <w:spacing w:after="0" w:line="360" w:lineRule="auto"/>
        <w:jc w:val="both"/>
        <w:rPr>
          <w:rFonts w:ascii="Times New Roman" w:eastAsia="Times New Roman" w:hAnsi="Times New Roman"/>
          <w:iCs/>
          <w:color w:val="000000"/>
          <w:sz w:val="24"/>
          <w:szCs w:val="24"/>
          <w:lang w:eastAsia="fr-FR"/>
        </w:rPr>
      </w:pPr>
      <w:r w:rsidRPr="00917A30">
        <w:rPr>
          <w:rFonts w:ascii="Times New Roman" w:eastAsia="Times New Roman" w:hAnsi="Times New Roman"/>
          <w:color w:val="000000"/>
          <w:sz w:val="24"/>
          <w:szCs w:val="24"/>
          <w:lang w:eastAsia="fr-FR"/>
        </w:rPr>
        <w:t xml:space="preserve">La caractérisation situative : Le thème de l’aventure abordé en sus trouve sa substance dans l’itinéraire de ce personnage. Il est la preuve qu’il y a dans le texte du dramaturge une aventure d’un autre genre : l’aventure forcée. Si tant est que le narrateur de </w:t>
      </w:r>
      <w:r w:rsidRPr="00917A30">
        <w:rPr>
          <w:rFonts w:ascii="Times New Roman" w:eastAsia="Times New Roman" w:hAnsi="Times New Roman"/>
          <w:i/>
          <w:sz w:val="24"/>
          <w:szCs w:val="24"/>
          <w:lang w:eastAsia="fr-FR"/>
        </w:rPr>
        <w:t>L</w:t>
      </w:r>
      <w:r w:rsidRPr="00917A30">
        <w:rPr>
          <w:rFonts w:ascii="Times New Roman" w:eastAsia="Times New Roman" w:hAnsi="Times New Roman"/>
          <w:bCs/>
          <w:i/>
          <w:iCs/>
          <w:sz w:val="24"/>
          <w:szCs w:val="24"/>
          <w:lang w:eastAsia="fr-FR"/>
        </w:rPr>
        <w:t xml:space="preserve">e porteur d'eau et les marabouts </w:t>
      </w:r>
      <w:r w:rsidRPr="00917A30">
        <w:rPr>
          <w:rFonts w:ascii="Times New Roman" w:eastAsia="Times New Roman" w:hAnsi="Times New Roman"/>
          <w:bCs/>
          <w:iCs/>
          <w:sz w:val="24"/>
          <w:szCs w:val="24"/>
          <w:lang w:eastAsia="fr-FR"/>
        </w:rPr>
        <w:t>a la fâcheuse habitude d’annoncer le départ des personnages aventuriers sans pour autant nommer leur destination, il reste que Safi banni du village ira vers une destination qui reste cachée au lecteur. C’est la question de son retour dans sa terre natale qui réveille les attentions de son départ.</w:t>
      </w:r>
    </w:p>
    <w:p w:rsidR="006A4EED" w:rsidRPr="00917A30" w:rsidRDefault="006A4EED" w:rsidP="00230C65">
      <w:pPr>
        <w:pStyle w:val="Paragraphedeliste"/>
        <w:numPr>
          <w:ilvl w:val="0"/>
          <w:numId w:val="76"/>
        </w:numPr>
        <w:autoSpaceDE w:val="0"/>
        <w:autoSpaceDN w:val="0"/>
        <w:adjustRightInd w:val="0"/>
        <w:spacing w:after="0" w:line="360" w:lineRule="auto"/>
        <w:jc w:val="both"/>
        <w:rPr>
          <w:rFonts w:ascii="Times New Roman" w:eastAsia="Times New Roman" w:hAnsi="Times New Roman"/>
          <w:color w:val="000000"/>
          <w:sz w:val="24"/>
          <w:szCs w:val="24"/>
          <w:lang w:eastAsia="fr-FR"/>
        </w:rPr>
      </w:pPr>
      <w:r w:rsidRPr="00917A30">
        <w:rPr>
          <w:rFonts w:ascii="Times New Roman" w:eastAsia="Times New Roman" w:hAnsi="Times New Roman"/>
          <w:color w:val="000000"/>
          <w:sz w:val="24"/>
          <w:szCs w:val="24"/>
          <w:lang w:eastAsia="fr-FR"/>
        </w:rPr>
        <w:lastRenderedPageBreak/>
        <w:t>La caractérisation descriptive statique: Il est pour Halima un conseiller pétri d’expériences, parce</w:t>
      </w:r>
      <w:r w:rsidR="00E837FC" w:rsidRPr="00917A30">
        <w:rPr>
          <w:rFonts w:ascii="Times New Roman" w:eastAsia="Times New Roman" w:hAnsi="Times New Roman"/>
          <w:color w:val="000000"/>
          <w:sz w:val="24"/>
          <w:szCs w:val="24"/>
          <w:lang w:eastAsia="fr-FR"/>
        </w:rPr>
        <w:t xml:space="preserve"> </w:t>
      </w:r>
      <w:r w:rsidRPr="00917A30">
        <w:rPr>
          <w:rFonts w:ascii="Times New Roman" w:eastAsia="Times New Roman" w:hAnsi="Times New Roman"/>
          <w:color w:val="000000"/>
          <w:sz w:val="24"/>
          <w:szCs w:val="24"/>
          <w:lang w:eastAsia="fr-FR"/>
        </w:rPr>
        <w:t>que sage et doté d’une grande vision de développement pour Béni-Dahane.</w:t>
      </w:r>
    </w:p>
    <w:p w:rsidR="006A4EED" w:rsidRPr="003B00C8" w:rsidRDefault="006A4EED" w:rsidP="00917A30">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ab/>
        <w:t>On retient donc que :</w:t>
      </w:r>
    </w:p>
    <w:p w:rsidR="006A4EED" w:rsidRPr="00E837FC" w:rsidRDefault="006A4EED" w:rsidP="00230C65">
      <w:pPr>
        <w:numPr>
          <w:ilvl w:val="0"/>
          <w:numId w:val="12"/>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A1 : Safi est l’enfant chassé de la terre natale qui finit par y revenir</w:t>
      </w:r>
    </w:p>
    <w:p w:rsidR="006A4EED" w:rsidRPr="00E837FC" w:rsidRDefault="006A4EED" w:rsidP="00230C65">
      <w:pPr>
        <w:numPr>
          <w:ilvl w:val="0"/>
          <w:numId w:val="12"/>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A2 : Safi est celui qui se fait appelé Fassi</w:t>
      </w:r>
    </w:p>
    <w:p w:rsidR="006A4EED" w:rsidRPr="00E837FC" w:rsidRDefault="006A4EED" w:rsidP="00230C65">
      <w:pPr>
        <w:numPr>
          <w:ilvl w:val="0"/>
          <w:numId w:val="12"/>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A3 : Safi est bon conseiller pour Halima</w:t>
      </w:r>
    </w:p>
    <w:p w:rsidR="006A4EED" w:rsidRPr="00490920" w:rsidRDefault="006A4EED" w:rsidP="00230C65">
      <w:pPr>
        <w:numPr>
          <w:ilvl w:val="0"/>
          <w:numId w:val="12"/>
        </w:numPr>
        <w:autoSpaceDE w:val="0"/>
        <w:autoSpaceDN w:val="0"/>
        <w:adjustRightInd w:val="0"/>
        <w:spacing w:after="0" w:line="360" w:lineRule="auto"/>
        <w:contextualSpacing/>
        <w:jc w:val="both"/>
        <w:rPr>
          <w:rFonts w:ascii="Times New Roman" w:eastAsia="Times New Roman" w:hAnsi="Times New Roman"/>
          <w:color w:val="000000"/>
          <w:sz w:val="24"/>
          <w:szCs w:val="24"/>
          <w:lang w:eastAsia="fr-FR"/>
        </w:rPr>
      </w:pPr>
      <w:r w:rsidRPr="00E837FC">
        <w:rPr>
          <w:rFonts w:ascii="Times New Roman" w:eastAsia="Times New Roman" w:hAnsi="Times New Roman"/>
          <w:color w:val="000000"/>
          <w:sz w:val="24"/>
          <w:szCs w:val="24"/>
          <w:lang w:eastAsia="fr-FR"/>
        </w:rPr>
        <w:t>A4 : Safi est l’homme placé par Dieu aux côtés de la femme pour lui venir en aide</w:t>
      </w:r>
    </w:p>
    <w:p w:rsidR="006A4EED" w:rsidRPr="003B00C8" w:rsidRDefault="00917A30" w:rsidP="00D75AAC">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Pr>
          <w:rFonts w:ascii="Times New Roman" w:eastAsia="Times New Roman" w:hAnsi="Times New Roman"/>
          <w:iCs/>
          <w:color w:val="000000"/>
          <w:sz w:val="24"/>
          <w:szCs w:val="24"/>
          <w:lang w:eastAsia="fr-FR"/>
        </w:rPr>
        <w:t>À</w:t>
      </w:r>
      <w:r w:rsidR="006A4EED" w:rsidRPr="003B00C8">
        <w:rPr>
          <w:rFonts w:ascii="Times New Roman" w:eastAsia="Times New Roman" w:hAnsi="Times New Roman"/>
          <w:iCs/>
          <w:color w:val="000000"/>
          <w:sz w:val="24"/>
          <w:szCs w:val="24"/>
          <w:lang w:eastAsia="fr-FR"/>
        </w:rPr>
        <w:t xml:space="preserve"> la fin de la pièce, le narrateur-conteur pose une question essentielle et fondamentale : «</w:t>
      </w:r>
      <w:r w:rsidR="006A4EED" w:rsidRPr="009D620C">
        <w:rPr>
          <w:rFonts w:ascii="Times New Roman" w:eastAsia="Times New Roman" w:hAnsi="Times New Roman"/>
          <w:i/>
          <w:iCs/>
          <w:color w:val="000000"/>
          <w:sz w:val="24"/>
          <w:szCs w:val="24"/>
          <w:lang w:eastAsia="fr-FR"/>
        </w:rPr>
        <w:t>Le Fassi qui n'est pas de Fès. Le cousin de Halima l'aveugle s'appelle en réalité Safi. Le Pur car il est juste et bon. Et ni le caïd ni le mufti ni le cadi n'y verront d'objection. Où est le bien véritable celui qu'a fait Halima, ou celui qu'a commencé à faire Safi?</w:t>
      </w:r>
      <w:r w:rsidR="006A4EED" w:rsidRPr="003B00C8">
        <w:rPr>
          <w:rFonts w:ascii="Times New Roman" w:eastAsia="Times New Roman" w:hAnsi="Times New Roman"/>
          <w:color w:val="000000"/>
          <w:sz w:val="24"/>
          <w:szCs w:val="24"/>
          <w:lang w:eastAsia="fr-FR"/>
        </w:rPr>
        <w:t>»</w:t>
      </w:r>
      <w:r>
        <w:rPr>
          <w:rFonts w:ascii="Times New Roman" w:eastAsia="Times New Roman" w:hAnsi="Times New Roman"/>
          <w:color w:val="000000"/>
          <w:sz w:val="24"/>
          <w:szCs w:val="24"/>
          <w:lang w:eastAsia="fr-FR"/>
        </w:rPr>
        <w:t xml:space="preserve"> (</w:t>
      </w:r>
      <w:r>
        <w:rPr>
          <w:rFonts w:ascii="Times New Roman" w:eastAsia="Times New Roman" w:hAnsi="Times New Roman"/>
          <w:i/>
          <w:iCs/>
          <w:color w:val="000000"/>
          <w:sz w:val="24"/>
          <w:szCs w:val="24"/>
          <w:lang w:eastAsia="fr-FR"/>
        </w:rPr>
        <w:t>Ibid</w:t>
      </w:r>
      <w:r>
        <w:rPr>
          <w:rFonts w:ascii="Times New Roman" w:eastAsia="Times New Roman" w:hAnsi="Times New Roman"/>
          <w:color w:val="000000"/>
          <w:sz w:val="24"/>
          <w:szCs w:val="24"/>
          <w:lang w:eastAsia="fr-FR"/>
        </w:rPr>
        <w:t>, p.81).</w:t>
      </w:r>
    </w:p>
    <w:p w:rsidR="006A4EED" w:rsidRPr="003B00C8" w:rsidRDefault="006A4EED" w:rsidP="00917A30">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De fait, à la fin de cette considération actorielle des personnages-actants de cette pièce de </w:t>
      </w:r>
      <w:r w:rsidR="00E837FC">
        <w:rPr>
          <w:rFonts w:ascii="Times New Roman" w:eastAsia="Times New Roman" w:hAnsi="Times New Roman"/>
          <w:color w:val="000000"/>
          <w:sz w:val="24"/>
          <w:szCs w:val="24"/>
          <w:lang w:eastAsia="fr-FR"/>
        </w:rPr>
        <w:t>Kaki</w:t>
      </w:r>
      <w:r w:rsidRPr="003B00C8">
        <w:rPr>
          <w:rFonts w:ascii="Times New Roman" w:eastAsia="Times New Roman" w:hAnsi="Times New Roman"/>
          <w:color w:val="000000"/>
          <w:sz w:val="24"/>
          <w:szCs w:val="24"/>
          <w:lang w:eastAsia="fr-FR"/>
        </w:rPr>
        <w:t xml:space="preserve">, il convient de souligner qu’elle nous a permis aussi de voir la position de ces acteurs dans </w:t>
      </w:r>
      <w:r w:rsidRPr="003B00C8">
        <w:rPr>
          <w:rFonts w:ascii="Times New Roman" w:eastAsia="Times New Roman" w:hAnsi="Times New Roman"/>
          <w:i/>
          <w:iCs/>
          <w:color w:val="000000"/>
          <w:sz w:val="24"/>
          <w:szCs w:val="24"/>
          <w:lang w:eastAsia="fr-FR"/>
        </w:rPr>
        <w:t>la grande syntagmatique</w:t>
      </w:r>
      <w:r w:rsidRPr="003B00C8">
        <w:rPr>
          <w:rFonts w:ascii="Times New Roman" w:eastAsia="Times New Roman" w:hAnsi="Times New Roman"/>
          <w:i/>
          <w:iCs/>
          <w:color w:val="000000"/>
          <w:sz w:val="24"/>
          <w:szCs w:val="24"/>
          <w:vertAlign w:val="superscript"/>
          <w:lang w:eastAsia="fr-FR"/>
        </w:rPr>
        <w:footnoteReference w:id="166"/>
      </w:r>
      <w:r w:rsidRPr="003B00C8">
        <w:rPr>
          <w:rFonts w:ascii="Times New Roman" w:eastAsia="Times New Roman" w:hAnsi="Times New Roman"/>
          <w:color w:val="000000"/>
          <w:sz w:val="24"/>
          <w:szCs w:val="24"/>
          <w:lang w:eastAsia="fr-FR"/>
        </w:rPr>
        <w:t xml:space="preserve"> du récit d’où la prochaine articulation de notre analyse des personnages selon la dimension actantielle.</w:t>
      </w:r>
    </w:p>
    <w:p w:rsidR="00963FCE" w:rsidRDefault="00963FCE" w:rsidP="00963FCE">
      <w:pPr>
        <w:pStyle w:val="Titre4"/>
        <w:spacing w:before="0" w:after="0" w:line="360" w:lineRule="auto"/>
        <w:ind w:left="641" w:hanging="357"/>
        <w:jc w:val="both"/>
        <w:rPr>
          <w:rFonts w:ascii="Times New Roman" w:hAnsi="Times New Roman"/>
          <w:i w:val="0"/>
          <w:iCs/>
          <w:lang w:eastAsia="fr-FR"/>
        </w:rPr>
      </w:pPr>
    </w:p>
    <w:p w:rsidR="006A4EED" w:rsidRPr="00963FCE" w:rsidRDefault="00963FCE" w:rsidP="00963FCE">
      <w:pPr>
        <w:pStyle w:val="Titre4"/>
        <w:spacing w:before="0" w:after="0" w:line="360" w:lineRule="auto"/>
        <w:ind w:left="641" w:hanging="357"/>
        <w:jc w:val="both"/>
        <w:rPr>
          <w:rFonts w:ascii="Times New Roman" w:hAnsi="Times New Roman"/>
          <w:i w:val="0"/>
          <w:iCs/>
          <w:lang w:eastAsia="fr-FR"/>
        </w:rPr>
      </w:pPr>
      <w:bookmarkStart w:id="93" w:name="_Toc471484464"/>
      <w:r w:rsidRPr="00963FCE">
        <w:rPr>
          <w:rFonts w:ascii="Times New Roman" w:hAnsi="Times New Roman"/>
          <w:i w:val="0"/>
          <w:iCs/>
          <w:lang w:eastAsia="fr-FR"/>
        </w:rPr>
        <w:t>3.2. Dimension</w:t>
      </w:r>
      <w:r w:rsidR="006A4EED" w:rsidRPr="00963FCE">
        <w:rPr>
          <w:rFonts w:ascii="Times New Roman" w:hAnsi="Times New Roman"/>
          <w:i w:val="0"/>
          <w:iCs/>
          <w:lang w:eastAsia="fr-FR"/>
        </w:rPr>
        <w:t xml:space="preserve"> actantielle</w:t>
      </w:r>
      <w:bookmarkEnd w:id="93"/>
    </w:p>
    <w:p w:rsidR="00E837FC" w:rsidRPr="00490920" w:rsidRDefault="006A4EED" w:rsidP="00100CF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color w:val="000000"/>
          <w:sz w:val="24"/>
          <w:szCs w:val="24"/>
          <w:lang w:eastAsia="fr-FR"/>
        </w:rPr>
        <w:t>Si tant est que les acteurs relèvent du niveau discursif, les actants quant à eux sont des éléments de la syntaxe narrative et se distribuent en couples positionnels : sujet/objet,</w:t>
      </w:r>
      <w:r w:rsidR="00E837FC">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destinateur/destinataire, adjuvant/opposant. Ils sont selon les termes de Greimas </w:t>
      </w:r>
      <w:r w:rsidR="00963FCE" w:rsidRPr="00963FCE">
        <w:rPr>
          <w:rFonts w:ascii="Times New Roman" w:eastAsia="Times New Roman" w:hAnsi="Times New Roman"/>
          <w:color w:val="000000"/>
          <w:sz w:val="24"/>
          <w:szCs w:val="24"/>
          <w:lang w:eastAsia="fr-FR"/>
        </w:rPr>
        <w:t>« </w:t>
      </w:r>
      <w:r w:rsidRPr="00963FCE">
        <w:rPr>
          <w:rFonts w:ascii="Times New Roman" w:eastAsia="Times New Roman" w:hAnsi="Times New Roman"/>
          <w:color w:val="000000"/>
          <w:sz w:val="24"/>
          <w:szCs w:val="24"/>
          <w:lang w:eastAsia="fr-FR"/>
        </w:rPr>
        <w:t>les positions formelles permettant l’éclosion et l’articulation du sens</w:t>
      </w:r>
      <w:r w:rsidR="00963FCE" w:rsidRPr="00963FCE">
        <w:rPr>
          <w:rFonts w:ascii="Times New Roman" w:eastAsia="Times New Roman" w:hAnsi="Times New Roman"/>
          <w:color w:val="000000"/>
          <w:sz w:val="24"/>
          <w:szCs w:val="24"/>
          <w:lang w:eastAsia="fr-FR"/>
        </w:rPr>
        <w:t> »</w:t>
      </w:r>
      <w:r w:rsidRPr="00963FCE">
        <w:rPr>
          <w:rFonts w:ascii="Times New Roman" w:eastAsia="Times New Roman" w:hAnsi="Times New Roman"/>
          <w:color w:val="000000"/>
          <w:sz w:val="24"/>
          <w:szCs w:val="24"/>
          <w:vertAlign w:val="superscript"/>
          <w:lang w:eastAsia="fr-FR"/>
        </w:rPr>
        <w:footnoteReference w:id="167"/>
      </w:r>
      <w:r w:rsidR="00963FCE" w:rsidRPr="00963FCE">
        <w:rPr>
          <w:rFonts w:ascii="Times New Roman" w:eastAsia="Times New Roman" w:hAnsi="Times New Roman"/>
          <w:color w:val="000000"/>
          <w:sz w:val="24"/>
          <w:szCs w:val="24"/>
          <w:lang w:eastAsia="fr-FR"/>
        </w:rPr>
        <w:t>.</w:t>
      </w:r>
      <w:r w:rsidR="00100CF1">
        <w:rPr>
          <w:rFonts w:ascii="Times New Roman" w:eastAsia="Times New Roman" w:hAnsi="Times New Roman"/>
          <w:color w:val="000000"/>
          <w:sz w:val="24"/>
          <w:szCs w:val="24"/>
          <w:lang w:eastAsia="fr-FR"/>
        </w:rPr>
        <w:t xml:space="preserve"> </w:t>
      </w:r>
      <w:r w:rsidRPr="003B00C8">
        <w:rPr>
          <w:rFonts w:ascii="Times New Roman" w:eastAsia="Times New Roman" w:hAnsi="Times New Roman"/>
          <w:sz w:val="24"/>
          <w:szCs w:val="24"/>
          <w:lang w:eastAsia="fr-FR"/>
        </w:rPr>
        <w:t>Le modèle actantiel</w:t>
      </w:r>
      <w:r w:rsidRPr="003B00C8">
        <w:rPr>
          <w:rFonts w:ascii="Times New Roman" w:eastAsia="Times New Roman" w:hAnsi="Times New Roman"/>
          <w:sz w:val="24"/>
          <w:szCs w:val="24"/>
          <w:vertAlign w:val="superscript"/>
          <w:lang w:eastAsia="fr-FR"/>
        </w:rPr>
        <w:footnoteReference w:id="168"/>
      </w:r>
      <w:r w:rsidRPr="003B00C8">
        <w:rPr>
          <w:rFonts w:ascii="Times New Roman" w:eastAsia="Times New Roman" w:hAnsi="Times New Roman"/>
          <w:sz w:val="24"/>
          <w:szCs w:val="24"/>
          <w:lang w:eastAsia="fr-FR"/>
        </w:rPr>
        <w:t xml:space="preserve"> depuis Propp</w:t>
      </w:r>
      <w:r w:rsidRPr="003B00C8">
        <w:rPr>
          <w:rFonts w:ascii="Times New Roman" w:eastAsia="Times New Roman" w:hAnsi="Times New Roman"/>
          <w:sz w:val="24"/>
          <w:szCs w:val="24"/>
          <w:vertAlign w:val="superscript"/>
          <w:lang w:eastAsia="fr-FR"/>
        </w:rPr>
        <w:footnoteReference w:id="169"/>
      </w:r>
      <w:r w:rsidRPr="003B00C8">
        <w:rPr>
          <w:rFonts w:ascii="Times New Roman" w:eastAsia="Times New Roman" w:hAnsi="Times New Roman"/>
          <w:sz w:val="24"/>
          <w:szCs w:val="24"/>
          <w:lang w:eastAsia="fr-FR"/>
        </w:rPr>
        <w:t xml:space="preserve"> est un dispositif permettant, en principe, d’analyser toute action réelle ou thématisée (en particulier, celles dépeintes dans les textes littéraires ou les images). Dans le modèle actantiel, une </w:t>
      </w:r>
      <w:r w:rsidRPr="003B00C8">
        <w:rPr>
          <w:rFonts w:ascii="Times New Roman" w:eastAsia="Times New Roman" w:hAnsi="Times New Roman"/>
          <w:sz w:val="24"/>
          <w:szCs w:val="24"/>
          <w:lang w:eastAsia="fr-FR"/>
        </w:rPr>
        <w:lastRenderedPageBreak/>
        <w:t>action se laisse analyser en six composantes, nommées actants. L’analyse actantielle consiste à classer les éléments de l’action à décrire dans l’une ou l’autre de ces classes actantielles.</w:t>
      </w:r>
    </w:p>
    <w:p w:rsidR="006A4EED" w:rsidRPr="003B00C8" w:rsidRDefault="006A4EED" w:rsidP="00100CF1">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La structure actantielle devient ainsi </w:t>
      </w:r>
      <w:r w:rsidRPr="00E837FC">
        <w:rPr>
          <w:rFonts w:ascii="Times New Roman" w:eastAsia="Times New Roman" w:hAnsi="Times New Roman"/>
          <w:color w:val="000000"/>
          <w:sz w:val="24"/>
          <w:szCs w:val="24"/>
          <w:lang w:eastAsia="fr-FR"/>
        </w:rPr>
        <w:t>susceptible de rendre compte de l’organisation de l’imaginaire humain, projection tout aussi bien d’univers collectifs qu’individuels</w:t>
      </w:r>
      <w:r w:rsidRPr="003B00C8">
        <w:rPr>
          <w:rFonts w:ascii="Times New Roman" w:eastAsia="Times New Roman" w:hAnsi="Times New Roman"/>
          <w:i/>
          <w:iCs/>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 et en tant que telle est un élément de la structure profonde d’un texte narratif.</w:t>
      </w:r>
    </w:p>
    <w:p w:rsidR="00A46CF4" w:rsidRDefault="00A46CF4" w:rsidP="006A4EED">
      <w:pPr>
        <w:spacing w:after="0" w:line="360" w:lineRule="auto"/>
        <w:jc w:val="both"/>
        <w:rPr>
          <w:rFonts w:ascii="Times New Roman" w:eastAsia="Times New Roman" w:hAnsi="Times New Roman"/>
          <w:sz w:val="24"/>
          <w:szCs w:val="24"/>
          <w:lang w:eastAsia="fr-FR"/>
        </w:rPr>
      </w:pPr>
    </w:p>
    <w:p w:rsidR="006A4EED" w:rsidRPr="003B00C8" w:rsidRDefault="006A4EED" w:rsidP="00100CF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Les six actants sont regroupés en trois oppositions formant chacune un axe de la description:</w:t>
      </w:r>
    </w:p>
    <w:p w:rsidR="006A4EED" w:rsidRPr="003B00C8" w:rsidRDefault="006A4EED" w:rsidP="00230C65">
      <w:pPr>
        <w:numPr>
          <w:ilvl w:val="0"/>
          <w:numId w:val="13"/>
        </w:numPr>
        <w:spacing w:after="0" w:line="360" w:lineRule="auto"/>
        <w:contextualSpacing/>
        <w:jc w:val="both"/>
        <w:rPr>
          <w:rFonts w:ascii="Times New Roman" w:eastAsia="Times New Roman" w:hAnsi="Times New Roman"/>
          <w:sz w:val="24"/>
          <w:szCs w:val="24"/>
          <w:lang w:eastAsia="fr-FR"/>
        </w:rPr>
      </w:pPr>
      <w:r w:rsidRPr="003B00C8">
        <w:rPr>
          <w:rFonts w:ascii="Times New Roman" w:eastAsia="Times New Roman" w:hAnsi="Times New Roman"/>
          <w:b/>
          <w:bCs/>
          <w:sz w:val="24"/>
          <w:szCs w:val="24"/>
          <w:lang w:eastAsia="fr-FR"/>
        </w:rPr>
        <w:t>Axe du vouloir</w:t>
      </w:r>
      <w:r w:rsidRPr="003B00C8">
        <w:rPr>
          <w:rFonts w:ascii="Times New Roman" w:eastAsia="Times New Roman" w:hAnsi="Times New Roman"/>
          <w:sz w:val="24"/>
          <w:szCs w:val="24"/>
          <w:lang w:eastAsia="fr-FR"/>
        </w:rPr>
        <w:t xml:space="preserve"> (désir): (1) </w:t>
      </w:r>
      <w:r w:rsidRPr="003B00C8">
        <w:rPr>
          <w:rFonts w:ascii="Times New Roman" w:eastAsia="Times New Roman" w:hAnsi="Times New Roman"/>
          <w:b/>
          <w:bCs/>
          <w:sz w:val="24"/>
          <w:szCs w:val="24"/>
          <w:lang w:eastAsia="fr-FR"/>
        </w:rPr>
        <w:t>sujet</w:t>
      </w:r>
      <w:r w:rsidRPr="003B00C8">
        <w:rPr>
          <w:rFonts w:ascii="Times New Roman" w:eastAsia="Times New Roman" w:hAnsi="Times New Roman"/>
          <w:sz w:val="24"/>
          <w:szCs w:val="24"/>
          <w:lang w:eastAsia="fr-FR"/>
        </w:rPr>
        <w:t xml:space="preserve"> / (2) </w:t>
      </w:r>
      <w:r w:rsidRPr="003B00C8">
        <w:rPr>
          <w:rFonts w:ascii="Times New Roman" w:eastAsia="Times New Roman" w:hAnsi="Times New Roman"/>
          <w:b/>
          <w:bCs/>
          <w:sz w:val="24"/>
          <w:szCs w:val="24"/>
          <w:lang w:eastAsia="fr-FR"/>
        </w:rPr>
        <w:t>objet</w:t>
      </w:r>
      <w:r w:rsidRPr="003B00C8">
        <w:rPr>
          <w:rFonts w:ascii="Times New Roman" w:eastAsia="Times New Roman" w:hAnsi="Times New Roman"/>
          <w:sz w:val="24"/>
          <w:szCs w:val="24"/>
          <w:lang w:eastAsia="fr-FR"/>
        </w:rPr>
        <w:t xml:space="preserve">. Le sujet est ce qui est orienté vers un objet. La relation établie entre le sujet et l’objet s’appelle </w:t>
      </w:r>
      <w:r w:rsidRPr="00A46CF4">
        <w:rPr>
          <w:rFonts w:ascii="Times New Roman" w:eastAsia="Times New Roman" w:hAnsi="Times New Roman"/>
          <w:sz w:val="24"/>
          <w:szCs w:val="24"/>
          <w:lang w:eastAsia="fr-FR"/>
        </w:rPr>
        <w:t>jonction</w:t>
      </w:r>
      <w:r w:rsidRPr="003B00C8">
        <w:rPr>
          <w:rFonts w:ascii="Times New Roman" w:eastAsia="Times New Roman" w:hAnsi="Times New Roman"/>
          <w:sz w:val="24"/>
          <w:szCs w:val="24"/>
          <w:lang w:eastAsia="fr-FR"/>
        </w:rPr>
        <w:t>. Selon que l’objet est conjoint au sujet ou lui est disjoint, on parlera, respectivement, de conjonction et de disjonction.</w:t>
      </w:r>
    </w:p>
    <w:p w:rsidR="006A4EED" w:rsidRPr="003B00C8" w:rsidRDefault="006A4EED" w:rsidP="00230C65">
      <w:pPr>
        <w:numPr>
          <w:ilvl w:val="0"/>
          <w:numId w:val="13"/>
        </w:numPr>
        <w:spacing w:after="0" w:line="360" w:lineRule="auto"/>
        <w:contextualSpacing/>
        <w:jc w:val="both"/>
        <w:rPr>
          <w:rFonts w:ascii="Times New Roman" w:eastAsia="Times New Roman" w:hAnsi="Times New Roman"/>
          <w:sz w:val="24"/>
          <w:szCs w:val="24"/>
          <w:lang w:eastAsia="fr-FR"/>
        </w:rPr>
      </w:pPr>
      <w:r w:rsidRPr="003B00C8">
        <w:rPr>
          <w:rFonts w:ascii="Times New Roman" w:eastAsia="Times New Roman" w:hAnsi="Times New Roman"/>
          <w:b/>
          <w:bCs/>
          <w:sz w:val="24"/>
          <w:szCs w:val="24"/>
          <w:lang w:eastAsia="fr-FR"/>
        </w:rPr>
        <w:t>Axe du pouvoir</w:t>
      </w:r>
      <w:r w:rsidRPr="003B00C8">
        <w:rPr>
          <w:rFonts w:ascii="Times New Roman" w:eastAsia="Times New Roman" w:hAnsi="Times New Roman"/>
          <w:sz w:val="24"/>
          <w:szCs w:val="24"/>
          <w:lang w:eastAsia="fr-FR"/>
        </w:rPr>
        <w:t xml:space="preserve">: (3) </w:t>
      </w:r>
      <w:r w:rsidRPr="003B00C8">
        <w:rPr>
          <w:rFonts w:ascii="Times New Roman" w:eastAsia="Times New Roman" w:hAnsi="Times New Roman"/>
          <w:b/>
          <w:bCs/>
          <w:sz w:val="24"/>
          <w:szCs w:val="24"/>
          <w:lang w:eastAsia="fr-FR"/>
        </w:rPr>
        <w:t>adjuvant</w:t>
      </w:r>
      <w:r w:rsidRPr="003B00C8">
        <w:rPr>
          <w:rFonts w:ascii="Times New Roman" w:eastAsia="Times New Roman" w:hAnsi="Times New Roman"/>
          <w:sz w:val="24"/>
          <w:szCs w:val="24"/>
          <w:lang w:eastAsia="fr-FR"/>
        </w:rPr>
        <w:t xml:space="preserve"> / (4) </w:t>
      </w:r>
      <w:r w:rsidRPr="003B00C8">
        <w:rPr>
          <w:rFonts w:ascii="Times New Roman" w:eastAsia="Times New Roman" w:hAnsi="Times New Roman"/>
          <w:b/>
          <w:bCs/>
          <w:sz w:val="24"/>
          <w:szCs w:val="24"/>
          <w:lang w:eastAsia="fr-FR"/>
        </w:rPr>
        <w:t>opposant</w:t>
      </w:r>
      <w:r w:rsidRPr="003B00C8">
        <w:rPr>
          <w:rFonts w:ascii="Times New Roman" w:eastAsia="Times New Roman" w:hAnsi="Times New Roman"/>
          <w:sz w:val="24"/>
          <w:szCs w:val="24"/>
          <w:lang w:eastAsia="fr-FR"/>
        </w:rPr>
        <w:t>. L'adjuvant aide à la réalisation de la jonction souhaitée entre le sujet et l’objet, l'opposant y nuit.</w:t>
      </w:r>
    </w:p>
    <w:p w:rsidR="006A4EED" w:rsidRPr="00490920" w:rsidRDefault="006A4EED" w:rsidP="00230C65">
      <w:pPr>
        <w:numPr>
          <w:ilvl w:val="0"/>
          <w:numId w:val="13"/>
        </w:numPr>
        <w:autoSpaceDE w:val="0"/>
        <w:autoSpaceDN w:val="0"/>
        <w:adjustRightInd w:val="0"/>
        <w:spacing w:after="0" w:line="360" w:lineRule="auto"/>
        <w:contextualSpacing/>
        <w:jc w:val="both"/>
        <w:rPr>
          <w:rFonts w:ascii="Times New Roman" w:eastAsia="Times New Roman" w:hAnsi="Times New Roman"/>
          <w:iCs/>
          <w:color w:val="000000"/>
          <w:sz w:val="24"/>
          <w:szCs w:val="24"/>
          <w:lang w:eastAsia="fr-FR"/>
        </w:rPr>
      </w:pPr>
      <w:r w:rsidRPr="003B00C8">
        <w:rPr>
          <w:rFonts w:ascii="Times New Roman" w:eastAsia="Times New Roman" w:hAnsi="Times New Roman"/>
          <w:b/>
          <w:bCs/>
          <w:sz w:val="24"/>
          <w:szCs w:val="24"/>
          <w:lang w:eastAsia="fr-FR"/>
        </w:rPr>
        <w:t>Axe de la transmission</w:t>
      </w:r>
      <w:r w:rsidRPr="003B00C8">
        <w:rPr>
          <w:rFonts w:ascii="Times New Roman" w:eastAsia="Times New Roman" w:hAnsi="Times New Roman"/>
          <w:sz w:val="24"/>
          <w:szCs w:val="24"/>
          <w:lang w:eastAsia="fr-FR"/>
        </w:rPr>
        <w:t xml:space="preserve"> (axe du savoir, selon Greimas): (5) </w:t>
      </w:r>
      <w:r w:rsidRPr="003B00C8">
        <w:rPr>
          <w:rFonts w:ascii="Times New Roman" w:eastAsia="Times New Roman" w:hAnsi="Times New Roman"/>
          <w:b/>
          <w:bCs/>
          <w:sz w:val="24"/>
          <w:szCs w:val="24"/>
          <w:lang w:eastAsia="fr-FR"/>
        </w:rPr>
        <w:t>destinateur</w:t>
      </w:r>
      <w:r w:rsidRPr="003B00C8">
        <w:rPr>
          <w:rFonts w:ascii="Times New Roman" w:eastAsia="Times New Roman" w:hAnsi="Times New Roman"/>
          <w:sz w:val="24"/>
          <w:szCs w:val="24"/>
          <w:lang w:eastAsia="fr-FR"/>
        </w:rPr>
        <w:t xml:space="preserve"> / (6) </w:t>
      </w:r>
      <w:r w:rsidRPr="003B00C8">
        <w:rPr>
          <w:rFonts w:ascii="Times New Roman" w:eastAsia="Times New Roman" w:hAnsi="Times New Roman"/>
          <w:b/>
          <w:bCs/>
          <w:sz w:val="24"/>
          <w:szCs w:val="24"/>
          <w:lang w:eastAsia="fr-FR"/>
        </w:rPr>
        <w:t>destinataire</w:t>
      </w:r>
      <w:r w:rsidRPr="003B00C8">
        <w:rPr>
          <w:rFonts w:ascii="Times New Roman" w:eastAsia="Times New Roman" w:hAnsi="Times New Roman"/>
          <w:sz w:val="24"/>
          <w:szCs w:val="24"/>
          <w:lang w:eastAsia="fr-FR"/>
        </w:rPr>
        <w:t xml:space="preserve">. Le destinateur est ce qui demande que la jonction entre le sujet et l’objet soit établie (par exemple, Dieu demande aux vertueux de sauver Béni-Dahane de la misère). Le destinataire est ce pour qui la quête est réalisée. En simplifiant, interprétons le destinataire (ou destinataire-bénéficiaire) comme ce qui bénéficiera de la réalisation de la jonction entre le sujet et l’objet. </w:t>
      </w:r>
    </w:p>
    <w:p w:rsidR="006A4EED" w:rsidRPr="00F66B8E" w:rsidRDefault="006A4EED" w:rsidP="00F66B8E">
      <w:pPr>
        <w:autoSpaceDE w:val="0"/>
        <w:autoSpaceDN w:val="0"/>
        <w:adjustRightInd w:val="0"/>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 xml:space="preserve">De ce fait, en ce qui concerne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color w:val="000000"/>
          <w:sz w:val="24"/>
          <w:szCs w:val="24"/>
          <w:lang w:eastAsia="fr-FR"/>
        </w:rPr>
        <w:t>, nous avons recensé précédemment quatre personnages selon leur fonctionnalité, c’est à dire ceux qui influencent,</w:t>
      </w:r>
      <w:r w:rsidR="00A46CF4">
        <w:rPr>
          <w:rFonts w:ascii="Times New Roman" w:eastAsia="Times New Roman" w:hAnsi="Times New Roman"/>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guident, orientent le récit par </w:t>
      </w:r>
      <w:r w:rsidR="00F66B8E" w:rsidRPr="00F66B8E">
        <w:rPr>
          <w:rFonts w:ascii="Times New Roman" w:eastAsia="Times New Roman" w:hAnsi="Times New Roman"/>
          <w:color w:val="000000"/>
          <w:sz w:val="24"/>
          <w:szCs w:val="24"/>
          <w:lang w:eastAsia="fr-FR"/>
        </w:rPr>
        <w:t>« </w:t>
      </w:r>
      <w:r w:rsidRPr="00F66B8E">
        <w:rPr>
          <w:rFonts w:ascii="Times New Roman" w:eastAsia="Times New Roman" w:hAnsi="Times New Roman"/>
          <w:color w:val="000000"/>
          <w:sz w:val="24"/>
          <w:szCs w:val="24"/>
          <w:lang w:eastAsia="fr-FR"/>
        </w:rPr>
        <w:t>leur participation à une sphère d’actions</w:t>
      </w:r>
      <w:r w:rsidR="00F66B8E" w:rsidRPr="00F66B8E">
        <w:rPr>
          <w:rFonts w:ascii="Times New Roman" w:eastAsia="Times New Roman" w:hAnsi="Times New Roman"/>
          <w:color w:val="000000"/>
          <w:sz w:val="24"/>
          <w:szCs w:val="24"/>
          <w:lang w:eastAsia="fr-FR"/>
        </w:rPr>
        <w:t> »</w:t>
      </w:r>
      <w:r w:rsidRPr="00F66B8E">
        <w:rPr>
          <w:rFonts w:ascii="Times New Roman" w:eastAsia="Times New Roman" w:hAnsi="Times New Roman"/>
          <w:color w:val="000000"/>
          <w:sz w:val="24"/>
          <w:szCs w:val="24"/>
          <w:vertAlign w:val="superscript"/>
          <w:lang w:eastAsia="fr-FR"/>
        </w:rPr>
        <w:footnoteReference w:id="170"/>
      </w:r>
      <w:r w:rsidRPr="00F66B8E">
        <w:rPr>
          <w:rFonts w:ascii="Times New Roman" w:eastAsia="Times New Roman" w:hAnsi="Times New Roman"/>
          <w:color w:val="000000"/>
          <w:sz w:val="24"/>
          <w:szCs w:val="24"/>
          <w:lang w:eastAsia="fr-FR"/>
        </w:rPr>
        <w:t>,</w:t>
      </w:r>
      <w:r w:rsidRPr="003B00C8">
        <w:rPr>
          <w:rFonts w:ascii="Times New Roman" w:eastAsia="Times New Roman" w:hAnsi="Times New Roman"/>
          <w:i/>
          <w:iCs/>
          <w:color w:val="000000"/>
          <w:sz w:val="24"/>
          <w:szCs w:val="24"/>
          <w:lang w:eastAsia="fr-FR"/>
        </w:rPr>
        <w:t xml:space="preserve"> </w:t>
      </w:r>
      <w:r w:rsidRPr="003B00C8">
        <w:rPr>
          <w:rFonts w:ascii="Times New Roman" w:eastAsia="Times New Roman" w:hAnsi="Times New Roman"/>
          <w:color w:val="000000"/>
          <w:sz w:val="24"/>
          <w:szCs w:val="24"/>
          <w:lang w:eastAsia="fr-FR"/>
        </w:rPr>
        <w:t xml:space="preserve">celles-ci étant entendues comme </w:t>
      </w:r>
      <w:r w:rsidR="00F66B8E" w:rsidRPr="00F66B8E">
        <w:rPr>
          <w:rFonts w:ascii="Times New Roman" w:eastAsia="Times New Roman" w:hAnsi="Times New Roman"/>
          <w:color w:val="000000"/>
          <w:sz w:val="24"/>
          <w:szCs w:val="24"/>
          <w:lang w:eastAsia="fr-FR"/>
        </w:rPr>
        <w:t>« </w:t>
      </w:r>
      <w:r w:rsidRPr="00F66B8E">
        <w:rPr>
          <w:rFonts w:ascii="Times New Roman" w:eastAsia="Times New Roman" w:hAnsi="Times New Roman"/>
          <w:color w:val="000000"/>
          <w:sz w:val="24"/>
          <w:szCs w:val="24"/>
          <w:lang w:eastAsia="fr-FR"/>
        </w:rPr>
        <w:t>les grandes articulations de la praxis</w:t>
      </w:r>
      <w:r w:rsidR="00F66B8E" w:rsidRPr="00F66B8E">
        <w:rPr>
          <w:rFonts w:ascii="Times New Roman" w:eastAsia="Times New Roman" w:hAnsi="Times New Roman"/>
          <w:color w:val="000000"/>
          <w:sz w:val="24"/>
          <w:szCs w:val="24"/>
          <w:lang w:eastAsia="fr-FR"/>
        </w:rPr>
        <w:t> »</w:t>
      </w:r>
      <w:r w:rsidRPr="00F66B8E">
        <w:rPr>
          <w:rFonts w:ascii="Times New Roman" w:eastAsia="Times New Roman" w:hAnsi="Times New Roman"/>
          <w:color w:val="000000"/>
          <w:sz w:val="24"/>
          <w:szCs w:val="24"/>
          <w:vertAlign w:val="superscript"/>
          <w:lang w:eastAsia="fr-FR"/>
        </w:rPr>
        <w:footnoteReference w:id="171"/>
      </w:r>
      <w:r w:rsidRPr="00F66B8E">
        <w:rPr>
          <w:rFonts w:ascii="Times New Roman" w:eastAsia="Times New Roman" w:hAnsi="Times New Roman"/>
          <w:color w:val="000000"/>
          <w:sz w:val="24"/>
          <w:szCs w:val="24"/>
          <w:lang w:eastAsia="fr-FR"/>
        </w:rPr>
        <w:t>.</w:t>
      </w:r>
    </w:p>
    <w:p w:rsidR="00460DFD" w:rsidRDefault="00460DFD" w:rsidP="00F66B8E">
      <w:pPr>
        <w:autoSpaceDE w:val="0"/>
        <w:autoSpaceDN w:val="0"/>
        <w:adjustRightInd w:val="0"/>
        <w:spacing w:after="0" w:line="360" w:lineRule="auto"/>
        <w:ind w:firstLine="284"/>
        <w:jc w:val="both"/>
        <w:rPr>
          <w:rFonts w:ascii="Times New Roman" w:eastAsia="Times New Roman" w:hAnsi="Times New Roman"/>
          <w:iCs/>
          <w:color w:val="000000"/>
          <w:sz w:val="24"/>
          <w:szCs w:val="24"/>
          <w:lang w:eastAsia="fr-FR"/>
        </w:rPr>
      </w:pPr>
    </w:p>
    <w:p w:rsidR="006A4EED" w:rsidRPr="00F66B8E" w:rsidRDefault="006A4EED" w:rsidP="00F66B8E">
      <w:pPr>
        <w:autoSpaceDE w:val="0"/>
        <w:autoSpaceDN w:val="0"/>
        <w:adjustRightInd w:val="0"/>
        <w:spacing w:after="0" w:line="360" w:lineRule="auto"/>
        <w:ind w:firstLine="284"/>
        <w:jc w:val="both"/>
        <w:rPr>
          <w:rFonts w:ascii="Times New Roman" w:eastAsia="Times New Roman" w:hAnsi="Times New Roman"/>
          <w:iCs/>
          <w:color w:val="000000"/>
          <w:sz w:val="24"/>
          <w:szCs w:val="24"/>
          <w:lang w:eastAsia="fr-FR"/>
        </w:rPr>
      </w:pPr>
      <w:r w:rsidRPr="00F66B8E">
        <w:rPr>
          <w:rFonts w:ascii="Times New Roman" w:eastAsia="Times New Roman" w:hAnsi="Times New Roman"/>
          <w:iCs/>
          <w:color w:val="000000"/>
          <w:sz w:val="24"/>
          <w:szCs w:val="24"/>
          <w:lang w:eastAsia="fr-FR"/>
        </w:rPr>
        <w:lastRenderedPageBreak/>
        <w:t>Pour l’Actant-Slimane, nous aurons le schéma suivant :</w:t>
      </w:r>
    </w:p>
    <w:p w:rsidR="006A4EED" w:rsidRPr="003B00C8" w:rsidRDefault="00D27910" w:rsidP="006A4EED">
      <w:pPr>
        <w:autoSpaceDE w:val="0"/>
        <w:autoSpaceDN w:val="0"/>
        <w:adjustRightInd w:val="0"/>
        <w:spacing w:after="0" w:line="360" w:lineRule="auto"/>
        <w:jc w:val="both"/>
        <w:rPr>
          <w:rFonts w:ascii="Times New Roman" w:eastAsia="Times New Roman" w:hAnsi="Times New Roman"/>
          <w:i/>
          <w:iCs/>
          <w:color w:val="000000"/>
          <w:sz w:val="24"/>
          <w:szCs w:val="24"/>
          <w:lang w:eastAsia="fr-FR"/>
        </w:rPr>
      </w:pPr>
      <w:r w:rsidRPr="00D27910">
        <w:rPr>
          <w:rFonts w:ascii="Times New Roman" w:hAnsi="Times New Roman"/>
          <w:noProof/>
        </w:rPr>
        <w:pict>
          <v:rect id="Rectangle 9" o:spid="_x0000_s1036" style="position:absolute;left:0;text-align:left;margin-left:319.75pt;margin-top:16.55pt;width:99.5pt;height:46.2pt;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" strokecolor="white">
            <v:textbox style="mso-next-textbox:#Rectangle 9">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D2</w:t>
                  </w:r>
                </w:p>
                <w:p w:rsidR="006C092A" w:rsidRPr="00A41447" w:rsidRDefault="006C092A" w:rsidP="006A4EED">
                  <w:pPr>
                    <w:spacing w:after="0" w:line="240" w:lineRule="auto"/>
                    <w:jc w:val="center"/>
                    <w:rPr>
                      <w:rFonts w:asciiTheme="majorBidi" w:hAnsiTheme="majorBidi" w:cstheme="majorBidi"/>
                      <w:sz w:val="24"/>
                      <w:szCs w:val="24"/>
                    </w:rPr>
                  </w:pPr>
                  <w:r w:rsidRPr="00A41447">
                    <w:rPr>
                      <w:rFonts w:asciiTheme="majorBidi" w:hAnsiTheme="majorBidi" w:cstheme="majorBidi"/>
                      <w:sz w:val="24"/>
                      <w:szCs w:val="24"/>
                    </w:rPr>
                    <w:t>Slimane</w:t>
                  </w:r>
                </w:p>
              </w:txbxContent>
            </v:textbox>
          </v:rect>
        </w:pict>
      </w:r>
      <w:r w:rsidRPr="00D27910">
        <w:rPr>
          <w:rFonts w:ascii="Times New Roman" w:hAnsi="Times New Roman"/>
          <w:noProof/>
        </w:rPr>
        <w:pict>
          <v:rect id="Rectangle 8" o:spid="_x0000_s1035" style="position:absolute;left:0;text-align:left;margin-left:167.6pt;margin-top:6.15pt;width:94.35pt;height:39.05pt;z-index:251620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" strokecolor="white">
            <v:textbox style="mso-next-textbox:#Rectangle 8">
              <w:txbxContent>
                <w:p w:rsidR="006C092A" w:rsidRPr="00A41447" w:rsidRDefault="006C092A" w:rsidP="006A4EED">
                  <w:pPr>
                    <w:spacing w:after="0" w:line="240" w:lineRule="auto"/>
                    <w:jc w:val="center"/>
                    <w:rPr>
                      <w:rFonts w:asciiTheme="majorBidi" w:hAnsiTheme="majorBidi" w:cstheme="majorBidi"/>
                      <w:b/>
                      <w:sz w:val="24"/>
                      <w:szCs w:val="24"/>
                    </w:rPr>
                  </w:pPr>
                  <w:r w:rsidRPr="00590BF7">
                    <w:rPr>
                      <w:rFonts w:ascii="Bookman Old Style" w:hAnsi="Bookman Old Style"/>
                      <w:b/>
                      <w:sz w:val="20"/>
                      <w:szCs w:val="20"/>
                    </w:rPr>
                    <w:t xml:space="preserve">    </w:t>
                  </w:r>
                  <w:r w:rsidRPr="00A41447">
                    <w:rPr>
                      <w:rFonts w:asciiTheme="majorBidi" w:hAnsiTheme="majorBidi" w:cstheme="majorBidi"/>
                      <w:b/>
                      <w:sz w:val="24"/>
                      <w:szCs w:val="24"/>
                    </w:rPr>
                    <w:t>O</w:t>
                  </w:r>
                </w:p>
                <w:p w:rsidR="006C092A" w:rsidRPr="00A41447" w:rsidRDefault="006C092A" w:rsidP="006A4EED">
                  <w:pPr>
                    <w:spacing w:after="0" w:line="240" w:lineRule="auto"/>
                    <w:jc w:val="center"/>
                    <w:rPr>
                      <w:rFonts w:asciiTheme="majorBidi" w:hAnsiTheme="majorBidi" w:cstheme="majorBidi"/>
                      <w:sz w:val="24"/>
                      <w:szCs w:val="24"/>
                    </w:rPr>
                  </w:pPr>
                  <w:r w:rsidRPr="00A41447">
                    <w:rPr>
                      <w:rFonts w:asciiTheme="majorBidi" w:hAnsiTheme="majorBidi" w:cstheme="majorBidi"/>
                      <w:sz w:val="24"/>
                      <w:szCs w:val="24"/>
                    </w:rPr>
                    <w:t xml:space="preserve">Pain quotidien </w:t>
                  </w:r>
                </w:p>
              </w:txbxContent>
            </v:textbox>
          </v:rect>
        </w:pict>
      </w:r>
      <w:r w:rsidRPr="00D27910">
        <w:rPr>
          <w:rFonts w:ascii="Times New Roman" w:hAnsi="Times New Roman"/>
          <w:noProof/>
        </w:rPr>
        <w:pict>
          <v:shapetype id="_x0000_t202" coordsize="21600,21600" o:spt="202" path="m,l,21600r21600,l21600,xe">
            <v:stroke joinstyle="miter"/>
            <v:path gradientshapeok="t" o:connecttype="rect"/>
          </v:shapetype>
          <v:shape id="Text Box 7" o:spid="_x0000_s1034" type="#_x0000_t202" style="position:absolute;left:0;text-align:left;margin-left:3.7pt;margin-top:10.5pt;width:109.75pt;height:31.45pt;z-index:25161932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" strokecolor="white">
            <v:textbox style="mso-next-textbox:#Text Box 7;mso-fit-shape-to-text:t">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D1</w:t>
                  </w:r>
                </w:p>
                <w:p w:rsidR="006C092A" w:rsidRPr="00A41447" w:rsidRDefault="006C092A" w:rsidP="006A4EED">
                  <w:pPr>
                    <w:spacing w:after="0" w:line="240" w:lineRule="auto"/>
                    <w:jc w:val="center"/>
                    <w:rPr>
                      <w:rFonts w:asciiTheme="majorBidi" w:hAnsiTheme="majorBidi" w:cstheme="majorBidi"/>
                      <w:sz w:val="24"/>
                      <w:szCs w:val="24"/>
                    </w:rPr>
                  </w:pPr>
                  <w:r w:rsidRPr="00A41447">
                    <w:rPr>
                      <w:rFonts w:asciiTheme="majorBidi" w:hAnsiTheme="majorBidi" w:cstheme="majorBidi"/>
                      <w:sz w:val="24"/>
                      <w:szCs w:val="24"/>
                    </w:rPr>
                    <w:t>Misère/Disette</w:t>
                  </w:r>
                </w:p>
              </w:txbxContent>
            </v:textbox>
          </v:shape>
        </w:pict>
      </w:r>
    </w:p>
    <w:p w:rsidR="006A4EED" w:rsidRPr="003B00C8" w:rsidRDefault="00D27910" w:rsidP="00080424">
      <w:pPr>
        <w:autoSpaceDE w:val="0"/>
        <w:autoSpaceDN w:val="0"/>
        <w:adjustRightInd w:val="0"/>
        <w:spacing w:after="0" w:line="360" w:lineRule="auto"/>
        <w:jc w:val="both"/>
        <w:rPr>
          <w:rFonts w:ascii="Times New Roman" w:eastAsia="Times New Roman" w:hAnsi="Times New Roman"/>
          <w:i/>
          <w:iCs/>
          <w:color w:val="000000"/>
          <w:sz w:val="28"/>
          <w:szCs w:val="28"/>
          <w:lang w:eastAsia="fr-FR"/>
        </w:rPr>
      </w:pPr>
      <w:r w:rsidRPr="00D27910">
        <w:rPr>
          <w:rFonts w:ascii="Times New Roman" w:hAnsi="Times New Roman"/>
          <w:noProof/>
        </w:rPr>
        <w:pict>
          <v:shapetype id="_x0000_t32" coordsize="21600,21600" o:spt="32" o:oned="t" path="m,l21600,21600e" filled="f">
            <v:path arrowok="t" fillok="f" o:connecttype="none"/>
            <o:lock v:ext="edit" shapetype="t"/>
          </v:shapetype>
          <v:shape id="AutoShape 14" o:spid="_x0000_s1040" type="#_x0000_t32" style="position:absolute;left:0;text-align:left;margin-left:198.9pt;margin-top:41.6pt;width:42.75pt;height:0;rotation:270;z-index:251625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" adj="-161457,-1,-161457">
            <v:stroke endarrow="block"/>
          </v:shape>
        </w:pict>
      </w:r>
      <w:r w:rsidRPr="00D27910">
        <w:rPr>
          <w:rFonts w:ascii="Times New Roman" w:hAnsi="Times New Roman"/>
          <w:noProof/>
          <w:lang w:eastAsia="fr-FR"/>
        </w:rPr>
        <w:pict>
          <v:shape id="_x0000_s1116" type="#_x0000_t32" style="position:absolute;left:0;text-align:left;margin-left:107.95pt;margin-top:13.5pt;width:48pt;height:0;z-index:251698176" o:connectortype="straight">
            <v:stroke endarrow="block"/>
          </v:shape>
        </w:pict>
      </w:r>
      <w:r w:rsidRPr="00D27910">
        <w:rPr>
          <w:rFonts w:ascii="Times New Roman" w:hAnsi="Times New Roman"/>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1" o:spid="_x0000_s1038" type="#_x0000_t34" style="position:absolute;left:0;text-align:left;margin-left:273.75pt;margin-top:8.2pt;width:71.85pt;height:.05pt;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" adj="10792,-141480000,-119138">
            <v:stroke endarrow="block"/>
          </v:shape>
        </w:pict>
      </w:r>
      <w:r w:rsidR="00F66B8E">
        <w:rPr>
          <w:rFonts w:ascii="Times New Roman" w:eastAsia="Times New Roman" w:hAnsi="Times New Roman"/>
          <w:iCs/>
          <w:color w:val="000000"/>
          <w:sz w:val="24"/>
          <w:szCs w:val="24"/>
          <w:lang w:eastAsia="fr-FR"/>
        </w:rPr>
        <w:t xml:space="preserve">                                                      </w:t>
      </w:r>
    </w:p>
    <w:p w:rsidR="006A4EED" w:rsidRPr="003B00C8" w:rsidRDefault="006A4EED" w:rsidP="006A4EED">
      <w:pPr>
        <w:autoSpaceDE w:val="0"/>
        <w:autoSpaceDN w:val="0"/>
        <w:adjustRightInd w:val="0"/>
        <w:spacing w:after="0" w:line="240" w:lineRule="auto"/>
        <w:rPr>
          <w:rFonts w:ascii="Times New Roman" w:eastAsia="Times New Roman" w:hAnsi="Times New Roman"/>
          <w:i/>
          <w:iCs/>
          <w:color w:val="000000"/>
          <w:sz w:val="28"/>
          <w:szCs w:val="28"/>
          <w:lang w:eastAsia="fr-FR"/>
        </w:rPr>
      </w:pPr>
    </w:p>
    <w:p w:rsidR="006A4EED" w:rsidRPr="003B00C8" w:rsidRDefault="00D27910" w:rsidP="006A4EED">
      <w:pPr>
        <w:autoSpaceDE w:val="0"/>
        <w:autoSpaceDN w:val="0"/>
        <w:adjustRightInd w:val="0"/>
        <w:spacing w:after="0" w:line="240" w:lineRule="auto"/>
        <w:rPr>
          <w:rFonts w:ascii="Times New Roman" w:eastAsia="Times New Roman" w:hAnsi="Times New Roman"/>
          <w:i/>
          <w:iCs/>
          <w:color w:val="000000"/>
          <w:sz w:val="28"/>
          <w:szCs w:val="28"/>
          <w:lang w:eastAsia="fr-FR"/>
        </w:rPr>
      </w:pPr>
      <w:r w:rsidRPr="00D27910">
        <w:rPr>
          <w:rFonts w:ascii="Times New Roman" w:hAnsi="Times New Roman"/>
          <w:noProof/>
        </w:rPr>
        <w:pict>
          <v:rect id="Rectangle 19" o:spid="_x0000_s1044" style="position:absolute;margin-left:313.9pt;margin-top:1.8pt;width:110.2pt;height:111.65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" strokecolor="white">
            <v:textbox style="mso-next-textbox:#Rectangle 19">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A</w:t>
                  </w:r>
                </w:p>
                <w:p w:rsidR="006C092A" w:rsidRPr="00A41447" w:rsidRDefault="006C092A" w:rsidP="006A4EED">
                  <w:pPr>
                    <w:spacing w:after="0" w:line="240" w:lineRule="auto"/>
                    <w:jc w:val="center"/>
                    <w:rPr>
                      <w:rFonts w:asciiTheme="majorBidi" w:hAnsiTheme="majorBidi" w:cstheme="majorBidi"/>
                    </w:rPr>
                  </w:pPr>
                  <w:r w:rsidRPr="00A41447">
                    <w:rPr>
                      <w:rFonts w:asciiTheme="majorBidi" w:hAnsiTheme="majorBidi" w:cstheme="majorBidi"/>
                    </w:rPr>
                    <w:t>Kaddour</w:t>
                  </w:r>
                </w:p>
                <w:p w:rsidR="006C092A" w:rsidRPr="00A41447" w:rsidRDefault="006C092A" w:rsidP="00FE0763">
                  <w:pPr>
                    <w:spacing w:after="0" w:line="240" w:lineRule="auto"/>
                    <w:jc w:val="center"/>
                    <w:rPr>
                      <w:rFonts w:asciiTheme="majorBidi" w:hAnsiTheme="majorBidi" w:cstheme="majorBidi"/>
                    </w:rPr>
                  </w:pPr>
                  <w:r w:rsidRPr="00A41447">
                    <w:rPr>
                      <w:rFonts w:asciiTheme="majorBidi" w:hAnsiTheme="majorBidi" w:cstheme="majorBidi"/>
                      <w:bCs/>
                    </w:rPr>
                    <w:t>SIDI-BOUMÉDIÈNE SIDI-ABDELKADER et SIDI-ABDERRAHMANE</w:t>
                  </w:r>
                </w:p>
                <w:p w:rsidR="006C092A" w:rsidRPr="006F6894" w:rsidRDefault="006C092A" w:rsidP="006A4EED">
                  <w:pPr>
                    <w:spacing w:after="0"/>
                    <w:rPr>
                      <w:rFonts w:ascii="Times New Roman" w:hAnsi="Times New Roman"/>
                      <w:sz w:val="28"/>
                      <w:szCs w:val="28"/>
                    </w:rPr>
                  </w:pPr>
                </w:p>
              </w:txbxContent>
            </v:textbox>
          </v:rect>
        </w:pict>
      </w:r>
      <w:r w:rsidRPr="00D27910">
        <w:rPr>
          <w:rFonts w:ascii="Times New Roman" w:hAnsi="Times New Roman"/>
          <w:noProof/>
        </w:rPr>
        <w:pict>
          <v:rect id="Rectangle 17" o:spid="_x0000_s1042" style="position:absolute;margin-left:9.6pt;margin-top:1.8pt;width:98.35pt;height:79.4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" strokecolor="white">
            <v:textbox style="mso-next-textbox:#Rectangle 17">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O</w:t>
                  </w:r>
                </w:p>
                <w:p w:rsidR="006C092A" w:rsidRPr="00A41447" w:rsidRDefault="006C092A" w:rsidP="006A4EED">
                  <w:pPr>
                    <w:spacing w:after="0" w:line="240" w:lineRule="auto"/>
                    <w:jc w:val="center"/>
                    <w:rPr>
                      <w:rFonts w:asciiTheme="majorBidi" w:hAnsiTheme="majorBidi" w:cstheme="majorBidi"/>
                      <w:sz w:val="24"/>
                      <w:szCs w:val="24"/>
                    </w:rPr>
                  </w:pPr>
                  <w:r w:rsidRPr="00A41447">
                    <w:rPr>
                      <w:rFonts w:asciiTheme="majorBidi" w:hAnsiTheme="majorBidi" w:cstheme="majorBidi"/>
                      <w:sz w:val="24"/>
                      <w:szCs w:val="24"/>
                    </w:rPr>
                    <w:t>Cadi</w:t>
                  </w:r>
                </w:p>
                <w:p w:rsidR="006C092A" w:rsidRPr="00A41447" w:rsidRDefault="006C092A" w:rsidP="006A4EED">
                  <w:pPr>
                    <w:spacing w:after="0" w:line="240" w:lineRule="auto"/>
                    <w:jc w:val="center"/>
                    <w:rPr>
                      <w:rFonts w:asciiTheme="majorBidi" w:hAnsiTheme="majorBidi" w:cstheme="majorBidi"/>
                      <w:sz w:val="24"/>
                      <w:szCs w:val="24"/>
                    </w:rPr>
                  </w:pPr>
                  <w:r w:rsidRPr="00A41447">
                    <w:rPr>
                      <w:rFonts w:asciiTheme="majorBidi" w:hAnsiTheme="majorBidi" w:cstheme="majorBidi"/>
                      <w:sz w:val="24"/>
                      <w:szCs w:val="24"/>
                    </w:rPr>
                    <w:t>Mufti</w:t>
                  </w:r>
                </w:p>
                <w:p w:rsidR="006C092A" w:rsidRPr="00A41447" w:rsidRDefault="006C092A" w:rsidP="006A4EED">
                  <w:pPr>
                    <w:spacing w:after="0" w:line="240" w:lineRule="auto"/>
                    <w:jc w:val="center"/>
                    <w:rPr>
                      <w:rFonts w:asciiTheme="majorBidi" w:hAnsiTheme="majorBidi" w:cstheme="majorBidi"/>
                      <w:sz w:val="24"/>
                      <w:szCs w:val="24"/>
                    </w:rPr>
                  </w:pPr>
                  <w:r w:rsidRPr="00A41447">
                    <w:rPr>
                      <w:rFonts w:asciiTheme="majorBidi" w:hAnsiTheme="majorBidi" w:cstheme="majorBidi"/>
                      <w:sz w:val="24"/>
                      <w:szCs w:val="24"/>
                    </w:rPr>
                    <w:t>Servant</w:t>
                  </w:r>
                </w:p>
                <w:p w:rsidR="006C092A" w:rsidRDefault="006C092A" w:rsidP="006A4EED">
                  <w:pPr>
                    <w:spacing w:after="0" w:line="240" w:lineRule="auto"/>
                    <w:jc w:val="center"/>
                    <w:rPr>
                      <w:rFonts w:ascii="Bookman Old Style" w:hAnsi="Bookman Old Style"/>
                      <w:sz w:val="28"/>
                      <w:szCs w:val="28"/>
                    </w:rPr>
                  </w:pPr>
                </w:p>
                <w:p w:rsidR="006C092A" w:rsidRPr="004030A7" w:rsidRDefault="006C092A" w:rsidP="006A4EED">
                  <w:pPr>
                    <w:spacing w:after="0"/>
                    <w:rPr>
                      <w:rFonts w:ascii="Bookman Old Style" w:hAnsi="Bookman Old Style"/>
                      <w:sz w:val="28"/>
                      <w:szCs w:val="28"/>
                    </w:rPr>
                  </w:pPr>
                </w:p>
              </w:txbxContent>
            </v:textbox>
          </v:rect>
        </w:pict>
      </w:r>
      <w:r w:rsidRPr="00D27910">
        <w:rPr>
          <w:rFonts w:ascii="Times New Roman" w:hAnsi="Times New Roman"/>
          <w:noProof/>
        </w:rPr>
        <w:pict>
          <v:rect id="Rectangle 18" o:spid="_x0000_s1043" style="position:absolute;margin-left:182.25pt;margin-top:14.45pt;width:66.65pt;height:47.05pt;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" strokecolor="white">
            <v:textbox style="mso-next-textbox:#Rectangle 18">
              <w:txbxContent>
                <w:p w:rsidR="006C092A" w:rsidRPr="00A41447" w:rsidRDefault="006C092A" w:rsidP="006A4EED">
                  <w:pPr>
                    <w:spacing w:after="0" w:line="240" w:lineRule="auto"/>
                    <w:jc w:val="center"/>
                    <w:rPr>
                      <w:rFonts w:asciiTheme="majorBidi" w:hAnsiTheme="majorBidi" w:cstheme="majorBidi"/>
                      <w:b/>
                      <w:sz w:val="24"/>
                      <w:szCs w:val="24"/>
                    </w:rPr>
                  </w:pPr>
                  <w:r w:rsidRPr="00590BF7">
                    <w:rPr>
                      <w:rFonts w:ascii="Bookman Old Style" w:hAnsi="Bookman Old Style"/>
                      <w:b/>
                      <w:sz w:val="20"/>
                      <w:szCs w:val="20"/>
                    </w:rPr>
                    <w:t xml:space="preserve">    </w:t>
                  </w:r>
                  <w:r w:rsidRPr="00A41447">
                    <w:rPr>
                      <w:rFonts w:asciiTheme="majorBidi" w:hAnsiTheme="majorBidi" w:cstheme="majorBidi"/>
                      <w:b/>
                      <w:sz w:val="24"/>
                      <w:szCs w:val="24"/>
                    </w:rPr>
                    <w:t>S</w:t>
                  </w:r>
                </w:p>
                <w:p w:rsidR="006C092A" w:rsidRPr="00A41447" w:rsidRDefault="006C092A" w:rsidP="006A4EED">
                  <w:pPr>
                    <w:spacing w:after="0" w:line="240" w:lineRule="auto"/>
                    <w:jc w:val="center"/>
                    <w:rPr>
                      <w:rFonts w:asciiTheme="majorBidi" w:hAnsiTheme="majorBidi" w:cstheme="majorBidi"/>
                      <w:sz w:val="24"/>
                      <w:szCs w:val="24"/>
                    </w:rPr>
                  </w:pPr>
                  <w:r w:rsidRPr="00A41447">
                    <w:rPr>
                      <w:rFonts w:asciiTheme="majorBidi" w:hAnsiTheme="majorBidi" w:cstheme="majorBidi"/>
                      <w:sz w:val="24"/>
                      <w:szCs w:val="24"/>
                    </w:rPr>
                    <w:t xml:space="preserve">  Slimane</w:t>
                  </w:r>
                </w:p>
              </w:txbxContent>
            </v:textbox>
          </v:rect>
        </w:pict>
      </w:r>
    </w:p>
    <w:p w:rsidR="006A4EED" w:rsidRPr="003B00C8" w:rsidRDefault="006A4EED" w:rsidP="006A4EED">
      <w:pPr>
        <w:autoSpaceDE w:val="0"/>
        <w:autoSpaceDN w:val="0"/>
        <w:adjustRightInd w:val="0"/>
        <w:spacing w:after="0" w:line="240" w:lineRule="auto"/>
        <w:rPr>
          <w:rFonts w:ascii="Times New Roman" w:eastAsia="Times New Roman" w:hAnsi="Times New Roman"/>
          <w:i/>
          <w:iCs/>
          <w:color w:val="000000"/>
          <w:sz w:val="28"/>
          <w:szCs w:val="28"/>
          <w:lang w:eastAsia="fr-FR"/>
        </w:rPr>
      </w:pPr>
    </w:p>
    <w:p w:rsidR="006A4EED" w:rsidRPr="003B00C8" w:rsidRDefault="00D27910" w:rsidP="006A4EED">
      <w:pPr>
        <w:autoSpaceDE w:val="0"/>
        <w:autoSpaceDN w:val="0"/>
        <w:adjustRightInd w:val="0"/>
        <w:spacing w:after="0" w:line="240" w:lineRule="auto"/>
        <w:rPr>
          <w:rFonts w:ascii="Times New Roman" w:eastAsia="Times New Roman" w:hAnsi="Times New Roman"/>
          <w:i/>
          <w:iCs/>
          <w:color w:val="000000"/>
          <w:sz w:val="28"/>
          <w:szCs w:val="28"/>
          <w:lang w:eastAsia="fr-FR"/>
        </w:rPr>
      </w:pPr>
      <w:r w:rsidRPr="00D27910">
        <w:rPr>
          <w:rFonts w:ascii="Times New Roman" w:hAnsi="Times New Roman"/>
          <w:noProof/>
        </w:rPr>
        <w:pict>
          <v:shape id="AutoShape 16" o:spid="_x0000_s1041" type="#_x0000_t34" style="position:absolute;margin-left:266.1pt;margin-top:4.1pt;width:53.65pt;height:.05pt;rotation:180;flip:y;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" adj="10790,201290400,-160339">
            <v:stroke endarrow="block"/>
          </v:shape>
        </w:pict>
      </w:r>
      <w:r w:rsidRPr="00D27910">
        <w:rPr>
          <w:rFonts w:ascii="Times New Roman" w:hAnsi="Times New Roman"/>
          <w:noProof/>
        </w:rPr>
        <w:pict>
          <v:shape id="AutoShape 13" o:spid="_x0000_s1039" type="#_x0000_t32" style="position:absolute;margin-left:103.75pt;margin-top:1.45pt;width:70pt;height:0;z-index:251624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" adj="-53877,-1,-53877">
            <v:stroke endarrow="block"/>
          </v:shape>
        </w:pict>
      </w:r>
    </w:p>
    <w:p w:rsidR="006A4EED" w:rsidRDefault="006A4EED" w:rsidP="00490920">
      <w:pPr>
        <w:rPr>
          <w:rFonts w:ascii="Times New Roman" w:hAnsi="Times New Roman"/>
          <w:b/>
          <w:bCs/>
          <w:sz w:val="24"/>
          <w:szCs w:val="24"/>
        </w:rPr>
      </w:pPr>
    </w:p>
    <w:p w:rsidR="00FE0763" w:rsidRDefault="00FE0763" w:rsidP="006A4EED">
      <w:pPr>
        <w:jc w:val="center"/>
        <w:rPr>
          <w:rFonts w:ascii="Times New Roman" w:hAnsi="Times New Roman"/>
          <w:b/>
          <w:bCs/>
          <w:sz w:val="24"/>
          <w:szCs w:val="24"/>
        </w:rPr>
      </w:pPr>
    </w:p>
    <w:p w:rsidR="00FE0763" w:rsidRDefault="00FE0763" w:rsidP="006A4EED">
      <w:pPr>
        <w:jc w:val="center"/>
        <w:rPr>
          <w:rFonts w:ascii="Times New Roman" w:hAnsi="Times New Roman"/>
          <w:b/>
          <w:bCs/>
          <w:sz w:val="24"/>
          <w:szCs w:val="24"/>
        </w:rPr>
      </w:pPr>
    </w:p>
    <w:p w:rsidR="006A4EED" w:rsidRPr="00080424" w:rsidRDefault="006A4EED" w:rsidP="006A4EED">
      <w:pPr>
        <w:jc w:val="center"/>
        <w:rPr>
          <w:rFonts w:ascii="Times New Roman" w:hAnsi="Times New Roman"/>
          <w:b/>
          <w:bCs/>
          <w:sz w:val="24"/>
          <w:szCs w:val="24"/>
        </w:rPr>
      </w:pPr>
      <w:r w:rsidRPr="00080424">
        <w:rPr>
          <w:rFonts w:ascii="Times New Roman" w:hAnsi="Times New Roman"/>
          <w:b/>
          <w:bCs/>
          <w:sz w:val="24"/>
          <w:szCs w:val="24"/>
        </w:rPr>
        <w:t>Figure 1 : Schéma pour l’Actant-Slimane</w:t>
      </w:r>
    </w:p>
    <w:p w:rsidR="006A4EED" w:rsidRPr="003B00C8" w:rsidRDefault="006A4EED" w:rsidP="006A4EED">
      <w:pPr>
        <w:autoSpaceDE w:val="0"/>
        <w:autoSpaceDN w:val="0"/>
        <w:adjustRightInd w:val="0"/>
        <w:spacing w:after="0" w:line="240" w:lineRule="auto"/>
        <w:rPr>
          <w:rFonts w:ascii="Times New Roman" w:eastAsia="Times New Roman" w:hAnsi="Times New Roman"/>
          <w:iCs/>
          <w:color w:val="000000"/>
          <w:sz w:val="24"/>
          <w:szCs w:val="24"/>
          <w:lang w:eastAsia="fr-FR"/>
        </w:rPr>
      </w:pPr>
    </w:p>
    <w:p w:rsidR="00460DFD" w:rsidRDefault="00460DFD" w:rsidP="00080424">
      <w:pPr>
        <w:autoSpaceDE w:val="0"/>
        <w:autoSpaceDN w:val="0"/>
        <w:adjustRightInd w:val="0"/>
        <w:spacing w:after="0" w:line="360" w:lineRule="auto"/>
        <w:ind w:firstLine="284"/>
        <w:jc w:val="both"/>
        <w:rPr>
          <w:rFonts w:ascii="Times New Roman" w:eastAsia="Times New Roman" w:hAnsi="Times New Roman"/>
          <w:b/>
          <w:iCs/>
          <w:color w:val="000000"/>
          <w:sz w:val="24"/>
          <w:szCs w:val="24"/>
          <w:lang w:eastAsia="fr-FR"/>
        </w:rPr>
      </w:pPr>
    </w:p>
    <w:p w:rsidR="006A4EED" w:rsidRPr="00080424" w:rsidRDefault="006A4EED" w:rsidP="00080424">
      <w:pPr>
        <w:autoSpaceDE w:val="0"/>
        <w:autoSpaceDN w:val="0"/>
        <w:adjustRightInd w:val="0"/>
        <w:spacing w:after="0" w:line="360" w:lineRule="auto"/>
        <w:ind w:firstLine="284"/>
        <w:jc w:val="both"/>
        <w:rPr>
          <w:rFonts w:ascii="Times New Roman" w:eastAsia="Times New Roman" w:hAnsi="Times New Roman"/>
          <w:b/>
          <w:iCs/>
          <w:color w:val="000000"/>
          <w:sz w:val="24"/>
          <w:szCs w:val="24"/>
          <w:lang w:eastAsia="fr-FR"/>
        </w:rPr>
      </w:pPr>
      <w:r w:rsidRPr="00080424">
        <w:rPr>
          <w:rFonts w:ascii="Times New Roman" w:eastAsia="Times New Roman" w:hAnsi="Times New Roman"/>
          <w:b/>
          <w:iCs/>
          <w:color w:val="000000"/>
          <w:sz w:val="24"/>
          <w:szCs w:val="24"/>
          <w:lang w:eastAsia="fr-FR"/>
        </w:rPr>
        <w:t>Comprendre le schéma </w:t>
      </w:r>
    </w:p>
    <w:p w:rsidR="006A4EED" w:rsidRPr="003B00C8" w:rsidRDefault="006A4EED" w:rsidP="00080424">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i/>
          <w:sz w:val="24"/>
          <w:szCs w:val="24"/>
          <w:lang w:eastAsia="fr-FR"/>
        </w:rPr>
        <w:t>Dans 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Kaki Ould Abderrahmane, Slimane est présenté comme le personnage principal qui conduit le lecteur à la découverte de l’intrigue, des lieux, des espaces et des micro-récits de la pièce de théâtre. Le périple de Slimane n’est pas fantaisiste il est motivé par le désir d’en découdre avec l’épineux problème de pauvreté, de misère, d’indigence, de disette qui le frappe lui au même titre que les habitants de sa contrée.</w:t>
      </w:r>
    </w:p>
    <w:p w:rsidR="00A46CF4" w:rsidRDefault="006A4EED" w:rsidP="00080424">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 quête de ce personnage est singulièrement réfléchie. Dans son entreprise c’est le destinateur (D1 : La misère) qui le pousse à la recherche du pain quotidien (O) ; et dans cette quête il est combattu par l’incompréhension et les paroles belliqueuses des opposants (O : Cadi, Mufti, Servant) ; il est tout aussi aidé par des adjuvants (A : Kaddour et les trois marabouts vertueux). Lui, le sujet (S) de sa quête  s’avère être le bénéficiaire (D2 : Slimane) de toute cette action. Nous réitérons donc que la quête de ce personnage est singulièrement réfléchie.</w:t>
      </w:r>
    </w:p>
    <w:p w:rsidR="00460DFD" w:rsidRDefault="00460DFD" w:rsidP="000145B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460DFD" w:rsidRDefault="00460DFD" w:rsidP="000145B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460DFD" w:rsidRDefault="00460DFD" w:rsidP="000145B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460DFD" w:rsidRDefault="00460DFD" w:rsidP="000145B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460DFD" w:rsidRDefault="00460DFD" w:rsidP="000145B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460DFD" w:rsidRDefault="00460DFD" w:rsidP="000145B1">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6A4EED" w:rsidRPr="000145B1" w:rsidRDefault="006A4EED" w:rsidP="000145B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0145B1">
        <w:rPr>
          <w:rFonts w:ascii="Times New Roman" w:eastAsia="Times New Roman" w:hAnsi="Times New Roman"/>
          <w:sz w:val="24"/>
          <w:szCs w:val="24"/>
          <w:lang w:eastAsia="fr-FR"/>
        </w:rPr>
        <w:lastRenderedPageBreak/>
        <w:t>Pour l’actant-Les trois marabouts vertueux, l’on aura le schéma ci-dessous :</w:t>
      </w:r>
    </w:p>
    <w:p w:rsidR="006A4EED" w:rsidRPr="00990B15" w:rsidRDefault="006A4EED" w:rsidP="006A4EED">
      <w:pPr>
        <w:autoSpaceDE w:val="0"/>
        <w:autoSpaceDN w:val="0"/>
        <w:adjustRightInd w:val="0"/>
        <w:spacing w:after="0" w:line="360" w:lineRule="auto"/>
        <w:jc w:val="both"/>
        <w:rPr>
          <w:rFonts w:ascii="Times New Roman" w:eastAsia="Times New Roman" w:hAnsi="Times New Roman"/>
          <w:iCs/>
          <w:color w:val="000000"/>
          <w:sz w:val="14"/>
          <w:szCs w:val="14"/>
          <w:lang w:eastAsia="fr-FR"/>
        </w:rPr>
      </w:pPr>
    </w:p>
    <w:p w:rsidR="006A4EED" w:rsidRPr="003B00C8" w:rsidRDefault="00D27910" w:rsidP="006A4EED">
      <w:pPr>
        <w:autoSpaceDE w:val="0"/>
        <w:autoSpaceDN w:val="0"/>
        <w:adjustRightInd w:val="0"/>
        <w:spacing w:after="0" w:line="360" w:lineRule="auto"/>
        <w:jc w:val="both"/>
        <w:rPr>
          <w:rFonts w:ascii="Times New Roman" w:eastAsia="Times New Roman" w:hAnsi="Times New Roman"/>
          <w:iCs/>
          <w:color w:val="000000"/>
          <w:sz w:val="20"/>
          <w:szCs w:val="20"/>
          <w:lang w:eastAsia="fr-FR"/>
        </w:rPr>
      </w:pPr>
      <w:r w:rsidRPr="00D27910">
        <w:rPr>
          <w:rFonts w:ascii="Times New Roman" w:hAnsi="Times New Roman"/>
          <w:noProof/>
          <w:sz w:val="20"/>
          <w:szCs w:val="20"/>
        </w:rPr>
        <w:pict>
          <v:rect id="Rectangle 22" o:spid="_x0000_s1047" style="position:absolute;left:0;text-align:left;margin-left:324.5pt;margin-top:1.7pt;width:108pt;height:83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" strokecolor="white">
            <v:textbox style="mso-next-textbox:#Rectangle 22">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D2</w:t>
                  </w:r>
                </w:p>
                <w:p w:rsidR="006C092A" w:rsidRPr="002F418F" w:rsidRDefault="006C092A" w:rsidP="006A4EED">
                  <w:pPr>
                    <w:spacing w:after="0" w:line="240" w:lineRule="auto"/>
                    <w:jc w:val="center"/>
                    <w:rPr>
                      <w:rFonts w:asciiTheme="majorBidi" w:hAnsiTheme="majorBidi" w:cstheme="majorBidi"/>
                      <w:sz w:val="24"/>
                      <w:szCs w:val="24"/>
                    </w:rPr>
                  </w:pPr>
                  <w:r w:rsidRPr="002F418F">
                    <w:rPr>
                      <w:rFonts w:asciiTheme="majorBidi" w:hAnsiTheme="majorBidi" w:cstheme="majorBidi"/>
                      <w:sz w:val="24"/>
                      <w:szCs w:val="24"/>
                    </w:rPr>
                    <w:t>Halima et toute la contrée</w:t>
                  </w:r>
                </w:p>
              </w:txbxContent>
            </v:textbox>
          </v:rect>
        </w:pict>
      </w:r>
      <w:r w:rsidRPr="00D27910">
        <w:rPr>
          <w:rFonts w:ascii="Times New Roman" w:eastAsia="Times New Roman" w:hAnsi="Times New Roman"/>
          <w:i/>
          <w:iCs/>
          <w:noProof/>
          <w:color w:val="000000"/>
          <w:sz w:val="20"/>
          <w:szCs w:val="20"/>
          <w:lang w:eastAsia="fr-FR"/>
        </w:rPr>
        <w:pict>
          <v:shape id="_x0000_s1117" type="#_x0000_t32" style="position:absolute;left:0;text-align:left;margin-left:293.75pt;margin-top:15.05pt;width:55.5pt;height:0;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" adj="-152951,-1,-152951">
            <v:stroke endarrow="block"/>
          </v:shape>
        </w:pict>
      </w:r>
      <w:r w:rsidRPr="00D27910">
        <w:rPr>
          <w:rFonts w:ascii="Times New Roman" w:hAnsi="Times New Roman"/>
          <w:noProof/>
          <w:sz w:val="20"/>
          <w:szCs w:val="20"/>
        </w:rPr>
        <w:pict>
          <v:rect id="Rectangle 21" o:spid="_x0000_s1046" style="position:absolute;left:0;text-align:left;margin-left:164.9pt;margin-top:1.7pt;width:141.1pt;height:96.45pt;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" strokecolor="white">
            <v:textbox style="mso-next-textbox:#Rectangle 21">
              <w:txbxContent>
                <w:p w:rsidR="006C092A" w:rsidRPr="00A41447" w:rsidRDefault="006C092A" w:rsidP="000145B1">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O</w:t>
                  </w:r>
                </w:p>
                <w:p w:rsidR="006C092A" w:rsidRPr="002F418F" w:rsidRDefault="006C092A" w:rsidP="006A4EED">
                  <w:pPr>
                    <w:spacing w:after="0" w:line="240" w:lineRule="auto"/>
                    <w:jc w:val="center"/>
                    <w:rPr>
                      <w:rFonts w:asciiTheme="majorBidi" w:hAnsiTheme="majorBidi" w:cstheme="majorBidi"/>
                      <w:sz w:val="24"/>
                      <w:szCs w:val="24"/>
                    </w:rPr>
                  </w:pPr>
                  <w:r w:rsidRPr="002F418F">
                    <w:rPr>
                      <w:rFonts w:asciiTheme="majorBidi" w:hAnsiTheme="majorBidi" w:cstheme="majorBidi"/>
                      <w:sz w:val="24"/>
                      <w:szCs w:val="24"/>
                    </w:rPr>
                    <w:t>Délivrer cette contrée de la misère : Manne céleste</w:t>
                  </w:r>
                </w:p>
              </w:txbxContent>
            </v:textbox>
          </v:rect>
        </w:pict>
      </w:r>
      <w:r w:rsidRPr="00D27910">
        <w:rPr>
          <w:rFonts w:ascii="Times New Roman" w:hAnsi="Times New Roman"/>
          <w:noProof/>
          <w:sz w:val="20"/>
          <w:szCs w:val="20"/>
        </w:rPr>
        <w:pict>
          <v:shape id="AutoShape 26" o:spid="_x0000_s1054" type="#_x0000_t32" style="position:absolute;left:0;text-align:left;margin-left:83.8pt;margin-top:15.05pt;width:81.1pt;height:0;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" adj="-39325,-1,-39325">
            <v:stroke endarrow="block"/>
          </v:shape>
        </w:pict>
      </w:r>
      <w:r w:rsidRPr="00D27910">
        <w:rPr>
          <w:rFonts w:ascii="Times New Roman" w:hAnsi="Times New Roman"/>
          <w:noProof/>
          <w:sz w:val="20"/>
          <w:szCs w:val="20"/>
        </w:rPr>
        <w:pict>
          <v:rect id="Rectangle 20" o:spid="_x0000_s1045" style="position:absolute;left:0;text-align:left;margin-left:-8.65pt;margin-top:1.7pt;width:94.55pt;height:46.2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" strokecolor="white">
            <v:textbox style="mso-next-textbox:#Rectangle 20">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D1</w:t>
                  </w:r>
                </w:p>
                <w:p w:rsidR="006C092A" w:rsidRPr="002F418F" w:rsidRDefault="006C092A" w:rsidP="006A4EED">
                  <w:pPr>
                    <w:spacing w:after="0" w:line="240" w:lineRule="auto"/>
                    <w:jc w:val="center"/>
                    <w:rPr>
                      <w:rFonts w:asciiTheme="majorBidi" w:hAnsiTheme="majorBidi" w:cstheme="majorBidi"/>
                      <w:sz w:val="24"/>
                      <w:szCs w:val="24"/>
                    </w:rPr>
                  </w:pPr>
                  <w:r w:rsidRPr="002F418F">
                    <w:rPr>
                      <w:rFonts w:asciiTheme="majorBidi" w:hAnsiTheme="majorBidi" w:cstheme="majorBidi"/>
                      <w:sz w:val="24"/>
                      <w:szCs w:val="24"/>
                    </w:rPr>
                    <w:t>Dieu</w:t>
                  </w:r>
                </w:p>
              </w:txbxContent>
            </v:textbox>
          </v:rect>
        </w:pict>
      </w:r>
    </w:p>
    <w:p w:rsidR="006A4EED" w:rsidRPr="003B00C8" w:rsidRDefault="000145B1" w:rsidP="006A4EED">
      <w:pPr>
        <w:autoSpaceDE w:val="0"/>
        <w:autoSpaceDN w:val="0"/>
        <w:adjustRightInd w:val="0"/>
        <w:spacing w:after="0" w:line="240" w:lineRule="auto"/>
        <w:rPr>
          <w:rFonts w:ascii="Times New Roman" w:eastAsia="Times New Roman" w:hAnsi="Times New Roman"/>
          <w:i/>
          <w:iCs/>
          <w:color w:val="000000"/>
          <w:sz w:val="20"/>
          <w:szCs w:val="20"/>
          <w:lang w:eastAsia="fr-FR"/>
        </w:rPr>
      </w:pPr>
      <w:r>
        <w:rPr>
          <w:rFonts w:ascii="Bookman Old Style" w:hAnsi="Bookman Old Style"/>
          <w:b/>
          <w:noProof/>
          <w:sz w:val="28"/>
          <w:szCs w:val="28"/>
          <w:lang w:eastAsia="fr-FR"/>
        </w:rPr>
        <w:drawing>
          <wp:inline distT="0" distB="0" distL="0" distR="0">
            <wp:extent cx="1038225" cy="85725"/>
            <wp:effectExtent l="19050" t="0" r="0" b="0"/>
            <wp:docPr id="1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srcRect/>
                    <a:stretch>
                      <a:fillRect/>
                    </a:stretch>
                  </pic:blipFill>
                  <pic:spPr bwMode="auto">
                    <a:xfrm>
                      <a:off x="0" y="0"/>
                      <a:ext cx="1038225" cy="85725"/>
                    </a:xfrm>
                    <a:prstGeom prst="rect">
                      <a:avLst/>
                    </a:prstGeom>
                    <a:noFill/>
                    <a:ln w="9525">
                      <a:noFill/>
                      <a:miter lim="800000"/>
                      <a:headEnd/>
                      <a:tailEnd/>
                    </a:ln>
                  </pic:spPr>
                </pic:pic>
              </a:graphicData>
            </a:graphic>
          </wp:inline>
        </w:drawing>
      </w:r>
    </w:p>
    <w:p w:rsidR="006A4EED" w:rsidRPr="003B00C8" w:rsidRDefault="006A4EED" w:rsidP="006A4EED">
      <w:pPr>
        <w:autoSpaceDE w:val="0"/>
        <w:autoSpaceDN w:val="0"/>
        <w:adjustRightInd w:val="0"/>
        <w:spacing w:after="0" w:line="240" w:lineRule="auto"/>
        <w:rPr>
          <w:rFonts w:ascii="Times New Roman" w:eastAsia="Times New Roman" w:hAnsi="Times New Roman"/>
          <w:i/>
          <w:iCs/>
          <w:color w:val="000000"/>
          <w:sz w:val="20"/>
          <w:szCs w:val="20"/>
          <w:lang w:eastAsia="fr-FR"/>
        </w:rPr>
      </w:pP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r w:rsidRPr="00D27910">
        <w:rPr>
          <w:rFonts w:ascii="Times New Roman" w:hAnsi="Times New Roman"/>
          <w:noProof/>
          <w:sz w:val="20"/>
          <w:szCs w:val="20"/>
        </w:rPr>
        <w:pict>
          <v:shape id="AutoShape 31" o:spid="_x0000_s1062" type="#_x0000_t34" style="position:absolute;left:0;text-align:left;margin-left:209.55pt;margin-top:39.8pt;width:49.95pt;height:.05pt;rotation:270;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" adj="10789,-145152000,-151568">
            <v:stroke endarrow="block"/>
          </v:shape>
        </w:pict>
      </w: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r w:rsidRPr="00D27910">
        <w:rPr>
          <w:rFonts w:ascii="Times New Roman" w:hAnsi="Times New Roman"/>
          <w:noProof/>
          <w:sz w:val="20"/>
          <w:szCs w:val="20"/>
        </w:rPr>
        <w:pict>
          <v:rect id="_x0000_s1052" style="position:absolute;left:0;text-align:left;margin-left:-49.35pt;margin-top:13.05pt;width:146.75pt;height:88.7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" strokecolor="white">
            <v:textbox style="mso-next-textbox:#_x0000_s1052">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O</w:t>
                  </w:r>
                </w:p>
                <w:p w:rsidR="006C092A" w:rsidRPr="002F418F" w:rsidRDefault="006C092A" w:rsidP="006A4EED">
                  <w:pPr>
                    <w:spacing w:after="0" w:line="240" w:lineRule="auto"/>
                    <w:jc w:val="center"/>
                    <w:rPr>
                      <w:rFonts w:asciiTheme="majorBidi" w:hAnsiTheme="majorBidi" w:cstheme="majorBidi"/>
                      <w:sz w:val="24"/>
                      <w:szCs w:val="24"/>
                    </w:rPr>
                  </w:pPr>
                  <w:r w:rsidRPr="002F418F">
                    <w:rPr>
                      <w:rFonts w:asciiTheme="majorBidi" w:hAnsiTheme="majorBidi" w:cstheme="majorBidi"/>
                      <w:sz w:val="24"/>
                      <w:szCs w:val="24"/>
                    </w:rPr>
                    <w:t>Kaddour</w:t>
                  </w:r>
                </w:p>
                <w:p w:rsidR="006C092A" w:rsidRPr="002F418F" w:rsidRDefault="006C092A" w:rsidP="006A4EED">
                  <w:pPr>
                    <w:spacing w:after="0" w:line="240" w:lineRule="auto"/>
                    <w:jc w:val="center"/>
                    <w:rPr>
                      <w:rFonts w:asciiTheme="majorBidi" w:hAnsiTheme="majorBidi" w:cstheme="majorBidi"/>
                      <w:sz w:val="24"/>
                      <w:szCs w:val="24"/>
                    </w:rPr>
                  </w:pPr>
                  <w:r w:rsidRPr="002F418F">
                    <w:rPr>
                      <w:rFonts w:asciiTheme="majorBidi" w:hAnsiTheme="majorBidi" w:cstheme="majorBidi"/>
                      <w:sz w:val="24"/>
                      <w:szCs w:val="24"/>
                    </w:rPr>
                    <w:t>Le servant</w:t>
                  </w:r>
                </w:p>
                <w:p w:rsidR="006C092A" w:rsidRPr="002F418F" w:rsidRDefault="006C092A" w:rsidP="006A4EED">
                  <w:pPr>
                    <w:spacing w:after="0" w:line="240" w:lineRule="auto"/>
                    <w:jc w:val="center"/>
                    <w:rPr>
                      <w:rFonts w:asciiTheme="majorBidi" w:hAnsiTheme="majorBidi" w:cstheme="majorBidi"/>
                      <w:sz w:val="24"/>
                      <w:szCs w:val="24"/>
                    </w:rPr>
                  </w:pPr>
                  <w:r w:rsidRPr="002F418F">
                    <w:rPr>
                      <w:rFonts w:asciiTheme="majorBidi" w:hAnsiTheme="majorBidi" w:cstheme="majorBidi"/>
                      <w:sz w:val="24"/>
                      <w:szCs w:val="24"/>
                    </w:rPr>
                    <w:t>Cadi</w:t>
                  </w:r>
                </w:p>
                <w:p w:rsidR="006C092A" w:rsidRPr="002F418F" w:rsidRDefault="006C092A" w:rsidP="006A4EED">
                  <w:pPr>
                    <w:spacing w:after="0" w:line="240" w:lineRule="auto"/>
                    <w:jc w:val="center"/>
                    <w:rPr>
                      <w:rFonts w:asciiTheme="majorBidi" w:hAnsiTheme="majorBidi" w:cstheme="majorBidi"/>
                      <w:sz w:val="24"/>
                      <w:szCs w:val="24"/>
                    </w:rPr>
                  </w:pPr>
                  <w:r w:rsidRPr="002F418F">
                    <w:rPr>
                      <w:rFonts w:asciiTheme="majorBidi" w:hAnsiTheme="majorBidi" w:cstheme="majorBidi"/>
                      <w:sz w:val="24"/>
                      <w:szCs w:val="24"/>
                    </w:rPr>
                    <w:t>Mufti</w:t>
                  </w:r>
                </w:p>
              </w:txbxContent>
            </v:textbox>
          </v:rect>
        </w:pict>
      </w: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r w:rsidRPr="00D27910">
        <w:rPr>
          <w:rFonts w:ascii="Times New Roman" w:hAnsi="Times New Roman"/>
          <w:noProof/>
          <w:sz w:val="20"/>
          <w:szCs w:val="20"/>
        </w:rPr>
        <w:pict>
          <v:rect id="Rectangle 24" o:spid="_x0000_s1050" style="position:absolute;left:0;text-align:left;margin-left:164.9pt;margin-top:2.4pt;width:128.5pt;height:75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" strokecolor="white">
            <v:textbox style="mso-next-textbox:#Rectangle 24">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S</w:t>
                  </w:r>
                </w:p>
                <w:p w:rsidR="006C092A" w:rsidRPr="002F418F" w:rsidRDefault="006C092A" w:rsidP="002F418F">
                  <w:pPr>
                    <w:spacing w:after="0" w:line="240" w:lineRule="auto"/>
                    <w:jc w:val="center"/>
                    <w:rPr>
                      <w:rFonts w:asciiTheme="majorBidi" w:hAnsiTheme="majorBidi" w:cstheme="majorBidi"/>
                    </w:rPr>
                  </w:pPr>
                  <w:r w:rsidRPr="002F418F">
                    <w:rPr>
                      <w:rFonts w:asciiTheme="majorBidi" w:hAnsiTheme="majorBidi" w:cstheme="majorBidi"/>
                      <w:bCs/>
                    </w:rPr>
                    <w:t>SIDI-BOUMÉDIÈNE SIDI-ABDELKADER et SIDI-ABDERRAHMANE</w:t>
                  </w:r>
                </w:p>
                <w:p w:rsidR="006C092A" w:rsidRPr="002B62FE" w:rsidRDefault="006C092A" w:rsidP="006A4EED">
                  <w:pPr>
                    <w:spacing w:after="0" w:line="240" w:lineRule="auto"/>
                    <w:jc w:val="center"/>
                    <w:rPr>
                      <w:rFonts w:ascii="Bookman Old Style" w:hAnsi="Bookman Old Style"/>
                      <w:b/>
                    </w:rPr>
                  </w:pPr>
                </w:p>
              </w:txbxContent>
            </v:textbox>
          </v:rect>
        </w:pict>
      </w:r>
      <w:r w:rsidRPr="00D27910">
        <w:rPr>
          <w:rFonts w:ascii="Times New Roman" w:hAnsi="Times New Roman"/>
          <w:noProof/>
          <w:sz w:val="20"/>
          <w:szCs w:val="20"/>
        </w:rPr>
        <w:pict>
          <v:rect id="Rectangle 23" o:spid="_x0000_s1048" style="position:absolute;left:0;text-align:left;margin-left:324.5pt;margin-top:7.8pt;width:146.75pt;height:88.7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" strokecolor="white">
            <v:textbox style="mso-next-textbox:#Rectangle 23">
              <w:txbxContent>
                <w:p w:rsidR="006C092A" w:rsidRPr="00A41447" w:rsidRDefault="006C092A" w:rsidP="006A4EED">
                  <w:pPr>
                    <w:spacing w:after="0" w:line="240" w:lineRule="auto"/>
                    <w:jc w:val="center"/>
                    <w:rPr>
                      <w:rFonts w:asciiTheme="majorBidi" w:hAnsiTheme="majorBidi" w:cstheme="majorBidi"/>
                      <w:b/>
                      <w:sz w:val="24"/>
                      <w:szCs w:val="24"/>
                    </w:rPr>
                  </w:pPr>
                  <w:r w:rsidRPr="00A41447">
                    <w:rPr>
                      <w:rFonts w:asciiTheme="majorBidi" w:hAnsiTheme="majorBidi" w:cstheme="majorBidi"/>
                      <w:b/>
                      <w:sz w:val="24"/>
                      <w:szCs w:val="24"/>
                    </w:rPr>
                    <w:t>A</w:t>
                  </w:r>
                </w:p>
                <w:p w:rsidR="006C092A" w:rsidRPr="002F418F" w:rsidRDefault="006C092A" w:rsidP="006A4EED">
                  <w:pPr>
                    <w:spacing w:after="0" w:line="240" w:lineRule="auto"/>
                    <w:jc w:val="center"/>
                    <w:rPr>
                      <w:rFonts w:asciiTheme="majorBidi" w:hAnsiTheme="majorBidi" w:cstheme="majorBidi"/>
                    </w:rPr>
                  </w:pPr>
                  <w:r w:rsidRPr="002F418F">
                    <w:rPr>
                      <w:rFonts w:asciiTheme="majorBidi" w:hAnsiTheme="majorBidi" w:cstheme="majorBidi"/>
                    </w:rPr>
                    <w:t>Slimane</w:t>
                  </w:r>
                </w:p>
                <w:p w:rsidR="006C092A" w:rsidRPr="002F418F" w:rsidRDefault="006C092A" w:rsidP="006A4EED">
                  <w:pPr>
                    <w:spacing w:after="0" w:line="240" w:lineRule="auto"/>
                    <w:jc w:val="center"/>
                    <w:rPr>
                      <w:rFonts w:asciiTheme="majorBidi" w:hAnsiTheme="majorBidi" w:cstheme="majorBidi"/>
                    </w:rPr>
                  </w:pPr>
                  <w:r w:rsidRPr="002F418F">
                    <w:rPr>
                      <w:rFonts w:asciiTheme="majorBidi" w:hAnsiTheme="majorBidi" w:cstheme="majorBidi"/>
                    </w:rPr>
                    <w:t>Halima</w:t>
                  </w:r>
                </w:p>
                <w:p w:rsidR="006C092A" w:rsidRPr="002F418F" w:rsidRDefault="006C092A" w:rsidP="006A4EED">
                  <w:pPr>
                    <w:spacing w:after="0" w:line="240" w:lineRule="auto"/>
                    <w:jc w:val="center"/>
                    <w:rPr>
                      <w:rFonts w:asciiTheme="majorBidi" w:hAnsiTheme="majorBidi" w:cstheme="majorBidi"/>
                    </w:rPr>
                  </w:pPr>
                  <w:r w:rsidRPr="002F418F">
                    <w:rPr>
                      <w:rFonts w:asciiTheme="majorBidi" w:hAnsiTheme="majorBidi" w:cstheme="majorBidi"/>
                    </w:rPr>
                    <w:t>La puissance de Dieu</w:t>
                  </w:r>
                </w:p>
              </w:txbxContent>
            </v:textbox>
          </v:rect>
        </w:pict>
      </w: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r w:rsidRPr="00D27910">
        <w:rPr>
          <w:rFonts w:ascii="Times New Roman" w:hAnsi="Times New Roman"/>
          <w:noProof/>
          <w:sz w:val="20"/>
          <w:szCs w:val="20"/>
          <w:lang w:eastAsia="fr-FR"/>
        </w:rPr>
        <w:pict>
          <v:shape id="_x0000_s1119" type="#_x0000_t32" style="position:absolute;left:0;text-align:left;margin-left:298.5pt;margin-top:7.8pt;width:72.5pt;height:0;flip:x;z-index:251701248" o:connectortype="straight">
            <v:stroke endarrow="block"/>
          </v:shape>
        </w:pict>
      </w:r>
      <w:r w:rsidRPr="00D27910">
        <w:rPr>
          <w:rFonts w:ascii="Times New Roman" w:hAnsi="Times New Roman"/>
          <w:noProof/>
          <w:sz w:val="20"/>
          <w:szCs w:val="20"/>
          <w:lang w:eastAsia="fr-FR"/>
        </w:rPr>
        <w:pict>
          <v:shape id="_x0000_s1118" type="#_x0000_t32" style="position:absolute;left:0;text-align:left;margin-left:80.05pt;margin-top:7.8pt;width:81.1pt;height:0;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" adj="-39325,-1,-39325">
            <v:stroke endarrow="block"/>
          </v:shape>
        </w:pict>
      </w: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0"/>
          <w:szCs w:val="20"/>
          <w:lang w:eastAsia="fr-FR"/>
        </w:rPr>
      </w:pPr>
    </w:p>
    <w:p w:rsidR="006A4EED" w:rsidRPr="002F418F" w:rsidRDefault="006A4EED" w:rsidP="00935153">
      <w:pPr>
        <w:jc w:val="center"/>
        <w:rPr>
          <w:rFonts w:ascii="Times New Roman" w:eastAsia="Times New Roman" w:hAnsi="Times New Roman"/>
          <w:b/>
          <w:bCs/>
          <w:sz w:val="20"/>
          <w:szCs w:val="20"/>
          <w:u w:val="single"/>
          <w:lang w:eastAsia="fr-FR"/>
        </w:rPr>
      </w:pPr>
      <w:r w:rsidRPr="002F418F">
        <w:rPr>
          <w:rFonts w:ascii="Times New Roman" w:hAnsi="Times New Roman"/>
          <w:b/>
          <w:bCs/>
          <w:sz w:val="24"/>
          <w:szCs w:val="24"/>
        </w:rPr>
        <w:t>Figure 2 : Schéma pour l’Actant-</w:t>
      </w:r>
      <w:r w:rsidRPr="002F418F">
        <w:rPr>
          <w:rFonts w:ascii="Times New Roman" w:eastAsia="Times New Roman" w:hAnsi="Times New Roman"/>
          <w:b/>
          <w:bCs/>
          <w:sz w:val="24"/>
          <w:szCs w:val="24"/>
          <w:lang w:eastAsia="fr-FR"/>
        </w:rPr>
        <w:t xml:space="preserve"> Les trois marabouts vertueux</w:t>
      </w:r>
    </w:p>
    <w:p w:rsidR="007937F2" w:rsidRDefault="007937F2" w:rsidP="006A4EED">
      <w:pPr>
        <w:autoSpaceDE w:val="0"/>
        <w:autoSpaceDN w:val="0"/>
        <w:adjustRightInd w:val="0"/>
        <w:spacing w:after="0" w:line="360" w:lineRule="auto"/>
        <w:ind w:right="283"/>
        <w:jc w:val="both"/>
        <w:rPr>
          <w:rFonts w:ascii="Times New Roman" w:eastAsia="Times New Roman" w:hAnsi="Times New Roman"/>
          <w:b/>
          <w:sz w:val="24"/>
          <w:szCs w:val="24"/>
          <w:u w:val="single"/>
          <w:lang w:eastAsia="fr-FR"/>
        </w:rPr>
      </w:pPr>
    </w:p>
    <w:p w:rsidR="006A4EED" w:rsidRPr="002F418F" w:rsidRDefault="006A4EED" w:rsidP="002F418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2F418F">
        <w:rPr>
          <w:rFonts w:ascii="Times New Roman" w:eastAsia="Times New Roman" w:hAnsi="Times New Roman"/>
          <w:b/>
          <w:sz w:val="24"/>
          <w:szCs w:val="24"/>
          <w:lang w:eastAsia="fr-FR"/>
        </w:rPr>
        <w:t>Comprendre le schéma </w:t>
      </w:r>
    </w:p>
    <w:p w:rsidR="00A46CF4" w:rsidRDefault="006A4EED" w:rsidP="002F418F">
      <w:pPr>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sz w:val="24"/>
          <w:szCs w:val="24"/>
          <w:lang w:eastAsia="fr-FR"/>
        </w:rPr>
        <w:t>Les trois marabouts vertueux (anges) sont envoyés par Dieu sur la terre des humains pour remplir une mission particulière et de haute facture. Béni-Dahane croupit sous le poids de la disette. Les habitants s’en plaignent tellement que leur pleur et leur supplication sont montés vers Dieu et il s’en est souvenu. Venus sur la terre à la manière de</w:t>
      </w:r>
      <w:r w:rsidR="00A46CF4">
        <w:rPr>
          <w:rFonts w:ascii="Times New Roman" w:eastAsia="Times New Roman" w:hAnsi="Times New Roman"/>
          <w:sz w:val="24"/>
          <w:szCs w:val="24"/>
          <w:lang w:eastAsia="fr-FR"/>
        </w:rPr>
        <w:t>s prophètes</w:t>
      </w:r>
      <w:r w:rsidRPr="003B00C8">
        <w:rPr>
          <w:rFonts w:ascii="Times New Roman" w:eastAsia="Times New Roman" w:hAnsi="Times New Roman"/>
          <w:sz w:val="24"/>
          <w:szCs w:val="24"/>
          <w:lang w:eastAsia="fr-FR"/>
        </w:rPr>
        <w:t xml:space="preserve"> pour sauver l’homme du péché ou encore à la manière des trois anges qui visitèrent Abraham routant vers Sodome et Gomorrhe pour sauve</w:t>
      </w:r>
      <w:r w:rsidR="00A46CF4">
        <w:rPr>
          <w:rFonts w:ascii="Times New Roman" w:eastAsia="Times New Roman" w:hAnsi="Times New Roman"/>
          <w:sz w:val="24"/>
          <w:szCs w:val="24"/>
          <w:lang w:eastAsia="fr-FR"/>
        </w:rPr>
        <w:t>r</w:t>
      </w:r>
      <w:r w:rsidRPr="003B00C8">
        <w:rPr>
          <w:rFonts w:ascii="Times New Roman" w:eastAsia="Times New Roman" w:hAnsi="Times New Roman"/>
          <w:sz w:val="24"/>
          <w:szCs w:val="24"/>
          <w:lang w:eastAsia="fr-FR"/>
        </w:rPr>
        <w:t xml:space="preserve"> le juste, </w:t>
      </w:r>
      <w:r w:rsidR="007937F2" w:rsidRPr="003B00C8">
        <w:rPr>
          <w:rFonts w:ascii="Times New Roman" w:eastAsia="Times New Roman" w:hAnsi="Times New Roman"/>
          <w:bCs/>
          <w:sz w:val="24"/>
          <w:szCs w:val="24"/>
          <w:lang w:eastAsia="fr-FR"/>
        </w:rPr>
        <w:t>Si</w:t>
      </w:r>
      <w:r w:rsidR="007937F2">
        <w:rPr>
          <w:rFonts w:ascii="Times New Roman" w:eastAsia="Times New Roman" w:hAnsi="Times New Roman"/>
          <w:bCs/>
          <w:sz w:val="24"/>
          <w:szCs w:val="24"/>
          <w:lang w:eastAsia="fr-FR"/>
        </w:rPr>
        <w:t>di-Boumédiène- Sidi-Abdelkader e</w:t>
      </w:r>
      <w:r w:rsidR="007937F2" w:rsidRPr="003B00C8">
        <w:rPr>
          <w:rFonts w:ascii="Times New Roman" w:eastAsia="Times New Roman" w:hAnsi="Times New Roman"/>
          <w:bCs/>
          <w:sz w:val="24"/>
          <w:szCs w:val="24"/>
          <w:lang w:eastAsia="fr-FR"/>
        </w:rPr>
        <w:t>t Sidi-Abderrahmane</w:t>
      </w:r>
      <w:r w:rsidRPr="003B00C8">
        <w:rPr>
          <w:rFonts w:ascii="Times New Roman" w:eastAsia="Times New Roman" w:hAnsi="Times New Roman"/>
          <w:bCs/>
          <w:sz w:val="24"/>
          <w:szCs w:val="24"/>
          <w:lang w:eastAsia="fr-FR"/>
        </w:rPr>
        <w:t xml:space="preserve"> traverseront de zones de turbulences dues aux incompréhensions des hommes devenus incrédules, avares et méchants du fait des souffrances.</w:t>
      </w:r>
    </w:p>
    <w:p w:rsidR="00A46CF4" w:rsidRDefault="006A4EED" w:rsidP="00794638">
      <w:pPr>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bCs/>
          <w:sz w:val="24"/>
          <w:szCs w:val="24"/>
          <w:lang w:eastAsia="fr-FR"/>
        </w:rPr>
        <w:t>Ces trois sujets en un, soucieux de libérer cette contrée du joug de la famine, seront combattus par (O : Kaddour, Le servant, Cadi, Mufti). Et aidés dans leur mission par (A : Slimane leur fidèle ami, guide et compagnon ; Halima, celle chez qui ils bénéficieront enfin du gite et du couvert ; puis la toute puissance de Dieu dont ils sont dépositaires). Au demeurant, tout est bien qui fini bien pour la contrée. L’objet désiré par les vertueux est obtenu. Le pays de Halima et de Slimane jouit désormais de la manne céleste. Ce changement de situation explique les différents retours du Derviche, de l’Aveugle et de son épouse et aussi du cousin de Halima.</w:t>
      </w:r>
    </w:p>
    <w:p w:rsidR="006A4EED" w:rsidRPr="00794638" w:rsidRDefault="00D27910" w:rsidP="00794638">
      <w:pPr>
        <w:spacing w:after="0" w:line="360" w:lineRule="auto"/>
        <w:ind w:firstLine="284"/>
        <w:jc w:val="both"/>
        <w:rPr>
          <w:rFonts w:ascii="Times New Roman" w:eastAsia="Times New Roman" w:hAnsi="Times New Roman"/>
          <w:bCs/>
          <w:sz w:val="24"/>
          <w:szCs w:val="24"/>
          <w:lang w:eastAsia="fr-FR"/>
        </w:rPr>
      </w:pPr>
      <w:r w:rsidRPr="00D27910">
        <w:rPr>
          <w:rFonts w:ascii="Times New Roman" w:hAnsi="Times New Roman"/>
          <w:noProof/>
        </w:rPr>
        <w:lastRenderedPageBreak/>
        <w:pict>
          <v:rect id="Rectangle 32" o:spid="_x0000_s1064" style="position:absolute;left:0;text-align:left;margin-left:5pt;margin-top:18.6pt;width:117.3pt;height:77.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" strokecolor="white">
            <v:textbox style="mso-next-textbox:#Rectangle 32">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D1</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Générosité</w:t>
                  </w:r>
                </w:p>
                <w:p w:rsidR="006C092A" w:rsidRDefault="006C092A" w:rsidP="006A4EED"/>
              </w:txbxContent>
            </v:textbox>
          </v:rect>
        </w:pict>
      </w:r>
      <w:r w:rsidR="006A4EED" w:rsidRPr="00794638">
        <w:rPr>
          <w:rFonts w:ascii="Times New Roman" w:eastAsia="Times New Roman" w:hAnsi="Times New Roman"/>
          <w:bCs/>
          <w:sz w:val="24"/>
          <w:szCs w:val="24"/>
          <w:lang w:eastAsia="fr-FR"/>
        </w:rPr>
        <w:t>Considérons à présent l’actant-Halima :</w:t>
      </w:r>
    </w:p>
    <w:p w:rsidR="006A4EED" w:rsidRPr="003B00C8" w:rsidRDefault="00D27910" w:rsidP="006A4EED">
      <w:pPr>
        <w:spacing w:after="0" w:line="360" w:lineRule="auto"/>
        <w:jc w:val="both"/>
        <w:rPr>
          <w:rFonts w:ascii="Times New Roman" w:eastAsia="Times New Roman" w:hAnsi="Times New Roman"/>
          <w:sz w:val="24"/>
          <w:szCs w:val="24"/>
          <w:lang w:eastAsia="fr-FR"/>
        </w:rPr>
      </w:pPr>
      <w:r w:rsidRPr="00D27910">
        <w:rPr>
          <w:rFonts w:ascii="Times New Roman" w:hAnsi="Times New Roman"/>
          <w:noProof/>
        </w:rPr>
        <w:pict>
          <v:rect id="Rectangle 37" o:spid="_x0000_s1074" style="position:absolute;left:0;text-align:left;margin-left:344pt;margin-top:10.25pt;width:123pt;height:7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" strokecolor="white">
            <v:textbox style="mso-next-textbox:#Rectangle 37">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D2</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Vertueux</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Halima</w:t>
                  </w:r>
                </w:p>
                <w:p w:rsidR="006C092A" w:rsidRPr="00990B15" w:rsidRDefault="006C092A" w:rsidP="006A4EED">
                  <w:pPr>
                    <w:spacing w:after="0" w:line="240" w:lineRule="auto"/>
                    <w:jc w:val="center"/>
                    <w:rPr>
                      <w:rFonts w:ascii="Bookman Old Style" w:hAnsi="Bookman Old Style"/>
                    </w:rPr>
                  </w:pPr>
                  <w:r w:rsidRPr="004052E0">
                    <w:rPr>
                      <w:rFonts w:asciiTheme="majorBidi" w:hAnsiTheme="majorBidi" w:cstheme="majorBidi"/>
                      <w:sz w:val="24"/>
                      <w:szCs w:val="24"/>
                    </w:rPr>
                    <w:t>La contrée</w:t>
                  </w:r>
                </w:p>
                <w:p w:rsidR="006C092A" w:rsidRDefault="006C092A" w:rsidP="006A4EED">
                  <w:pPr>
                    <w:spacing w:line="240" w:lineRule="auto"/>
                    <w:jc w:val="center"/>
                  </w:pPr>
                </w:p>
              </w:txbxContent>
            </v:textbox>
          </v:rect>
        </w:pict>
      </w:r>
      <w:r w:rsidRPr="00D27910">
        <w:rPr>
          <w:rFonts w:ascii="Times New Roman" w:hAnsi="Times New Roman"/>
          <w:noProof/>
        </w:rPr>
        <w:pict>
          <v:rect id="Rectangle 36" o:spid="_x0000_s1072" style="position:absolute;left:0;text-align:left;margin-left:171.25pt;margin-top:3.85pt;width:2in;height:90.7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" strokecolor="white">
            <v:textbox style="mso-next-textbox:#Rectangle 36">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O</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Hospitalité au nom de Dieu pour les vertueux</w:t>
                  </w:r>
                </w:p>
              </w:txbxContent>
            </v:textbox>
          </v:rect>
        </w:pict>
      </w:r>
    </w:p>
    <w:p w:rsidR="006A4EED" w:rsidRPr="003B00C8" w:rsidRDefault="00D27910" w:rsidP="006A4EED">
      <w:pPr>
        <w:spacing w:after="0" w:line="360" w:lineRule="auto"/>
        <w:jc w:val="both"/>
        <w:rPr>
          <w:rFonts w:ascii="Times New Roman" w:eastAsia="Times New Roman" w:hAnsi="Times New Roman"/>
          <w:b/>
          <w:sz w:val="24"/>
          <w:szCs w:val="24"/>
          <w:lang w:eastAsia="fr-FR"/>
        </w:rPr>
      </w:pPr>
      <w:r w:rsidRPr="00D27910">
        <w:rPr>
          <w:rFonts w:ascii="Times New Roman" w:hAnsi="Times New Roman"/>
          <w:noProof/>
        </w:rPr>
        <w:pict>
          <v:shape id="AutoShape 39" o:spid="_x0000_s1078" type="#_x0000_t34" style="position:absolute;left:0;text-align:left;margin-left:298.25pt;margin-top:5.1pt;width:87.75pt;height:.1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anBNQIAAF8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" adj="10794,-47811600,-97846">
            <v:stroke endarrow="block"/>
          </v:shape>
        </w:pict>
      </w:r>
      <w:r w:rsidRPr="00D27910">
        <w:rPr>
          <w:rFonts w:ascii="Times New Roman" w:hAnsi="Times New Roman"/>
          <w:noProof/>
        </w:rPr>
        <w:pict>
          <v:shape id="AutoShape 38" o:spid="_x0000_s1076" type="#_x0000_t34" style="position:absolute;left:0;text-align:left;margin-left:104.75pt;margin-top:5.05pt;width:75pt;height:.05pt;flip:y;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lnxNgIAAF8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" adj="-360,95666400,-58752">
            <v:stroke endarrow="block"/>
          </v:shape>
        </w:pict>
      </w: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sz w:val="24"/>
          <w:szCs w:val="24"/>
          <w:lang w:eastAsia="fr-FR"/>
        </w:rPr>
      </w:pPr>
      <w:r w:rsidRPr="00D27910">
        <w:rPr>
          <w:rFonts w:ascii="Times New Roman" w:hAnsi="Times New Roman"/>
          <w:noProof/>
        </w:rPr>
        <w:pict>
          <v:shape id="AutoShape 42" o:spid="_x0000_s1084" type="#_x0000_t34" style="position:absolute;left:0;text-align:left;margin-left:210.45pt;margin-top:46.25pt;width:55.25pt;height:.05pt;rotation:270;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" adj="10790,-170100000,-131868">
            <v:stroke endarrow="block"/>
          </v:shape>
        </w:pict>
      </w: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4"/>
          <w:szCs w:val="24"/>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4"/>
          <w:szCs w:val="24"/>
          <w:lang w:eastAsia="fr-FR"/>
        </w:rPr>
      </w:pP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i/>
          <w:sz w:val="24"/>
          <w:szCs w:val="24"/>
          <w:lang w:eastAsia="fr-FR"/>
        </w:rPr>
      </w:pPr>
      <w:r w:rsidRPr="00D27910">
        <w:rPr>
          <w:rFonts w:ascii="Times New Roman" w:hAnsi="Times New Roman"/>
          <w:noProof/>
        </w:rPr>
        <w:pict>
          <v:rect id="Rectangle 35" o:spid="_x0000_s1070" style="position:absolute;left:0;text-align:left;margin-left:14.95pt;margin-top:7.2pt;width:115.5pt;height:83.5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" strokecolor="white">
            <v:textbox style="mso-next-textbox:#Rectangle 35">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O</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Hasmi</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Aouicha</w:t>
                  </w:r>
                </w:p>
              </w:txbxContent>
            </v:textbox>
          </v:rect>
        </w:pict>
      </w:r>
      <w:r w:rsidRPr="00D27910">
        <w:rPr>
          <w:rFonts w:ascii="Times New Roman" w:hAnsi="Times New Roman"/>
          <w:noProof/>
        </w:rPr>
        <w:pict>
          <v:rect id="Rectangle 34" o:spid="_x0000_s1068" style="position:absolute;left:0;text-align:left;margin-left:161.75pt;margin-top:18.55pt;width:2in;height:77.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" strokecolor="white">
            <v:textbox style="mso-next-textbox:#Rectangle 34">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S</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Halima</w:t>
                  </w:r>
                </w:p>
                <w:p w:rsidR="006C092A" w:rsidRDefault="006C092A" w:rsidP="006A4EED"/>
              </w:txbxContent>
            </v:textbox>
          </v:rect>
        </w:pict>
      </w:r>
      <w:r w:rsidRPr="00D27910">
        <w:rPr>
          <w:rFonts w:ascii="Times New Roman" w:hAnsi="Times New Roman"/>
          <w:noProof/>
        </w:rPr>
        <w:pict>
          <v:rect id="Rectangle 33" o:spid="_x0000_s1066" style="position:absolute;left:0;text-align:left;margin-left:344pt;margin-top:11.8pt;width:111pt;height:93.8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" strokecolor="white">
            <v:textbox style="mso-next-textbox:#Rectangle 33">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A</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Vertueux</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Slimane</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Safi/Fassi</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Les yeux du cœur</w:t>
                  </w:r>
                </w:p>
                <w:p w:rsidR="006C092A" w:rsidRPr="004052E0" w:rsidRDefault="006C092A" w:rsidP="006A4EED">
                  <w:pPr>
                    <w:spacing w:after="0" w:line="240" w:lineRule="auto"/>
                    <w:jc w:val="center"/>
                    <w:rPr>
                      <w:rFonts w:asciiTheme="majorBidi" w:hAnsiTheme="majorBidi" w:cstheme="majorBidi"/>
                      <w:sz w:val="24"/>
                      <w:szCs w:val="24"/>
                    </w:rPr>
                  </w:pPr>
                  <w:r w:rsidRPr="004052E0">
                    <w:rPr>
                      <w:rFonts w:asciiTheme="majorBidi" w:hAnsiTheme="majorBidi" w:cstheme="majorBidi"/>
                      <w:sz w:val="24"/>
                      <w:szCs w:val="24"/>
                    </w:rPr>
                    <w:t xml:space="preserve">La foi en Dieu </w:t>
                  </w:r>
                </w:p>
              </w:txbxContent>
            </v:textbox>
          </v:rect>
        </w:pict>
      </w:r>
    </w:p>
    <w:p w:rsidR="006A4EED" w:rsidRPr="003B00C8" w:rsidRDefault="00D27910" w:rsidP="00FE0763">
      <w:pPr>
        <w:autoSpaceDE w:val="0"/>
        <w:autoSpaceDN w:val="0"/>
        <w:adjustRightInd w:val="0"/>
        <w:spacing w:after="0" w:line="360" w:lineRule="auto"/>
        <w:ind w:right="283"/>
        <w:jc w:val="both"/>
        <w:rPr>
          <w:rFonts w:ascii="Times New Roman" w:eastAsia="Times New Roman" w:hAnsi="Times New Roman"/>
          <w:i/>
          <w:sz w:val="24"/>
          <w:szCs w:val="24"/>
          <w:lang w:eastAsia="fr-FR"/>
        </w:rPr>
      </w:pPr>
      <w:r w:rsidRPr="00D27910">
        <w:rPr>
          <w:rFonts w:ascii="Times New Roman" w:hAnsi="Times New Roman"/>
          <w:noProof/>
        </w:rPr>
        <w:pict>
          <v:shape id="AutoShape 41" o:spid="_x0000_s1082" type="#_x0000_t34" style="position:absolute;left:0;text-align:left;margin-left:257pt;margin-top:13.4pt;width:94.5pt;height:.05pt;rotation:180;flip:y;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" adj=",152928000,-108514">
            <v:stroke endarrow="block"/>
          </v:shape>
        </w:pict>
      </w:r>
      <w:r w:rsidRPr="00D27910">
        <w:rPr>
          <w:rFonts w:ascii="Times New Roman" w:hAnsi="Times New Roman"/>
          <w:noProof/>
        </w:rPr>
        <w:pict>
          <v:shape id="AutoShape 40" o:spid="_x0000_s1080" type="#_x0000_t32" style="position:absolute;left:0;text-align:left;margin-left:110pt;margin-top:13.55pt;width:86.25pt;height: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" adj="-52403,-1,-52403">
            <v:stroke endarrow="block"/>
          </v:shape>
        </w:pict>
      </w: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4"/>
          <w:szCs w:val="24"/>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4"/>
          <w:szCs w:val="24"/>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i/>
          <w:sz w:val="24"/>
          <w:szCs w:val="24"/>
          <w:lang w:eastAsia="fr-FR"/>
        </w:rPr>
      </w:pPr>
    </w:p>
    <w:p w:rsidR="006A4EED" w:rsidRPr="007116B4" w:rsidRDefault="006A4EED" w:rsidP="006A4EED">
      <w:pPr>
        <w:jc w:val="center"/>
        <w:rPr>
          <w:rFonts w:ascii="Times New Roman" w:eastAsia="Times New Roman" w:hAnsi="Times New Roman"/>
          <w:b/>
          <w:bCs/>
          <w:sz w:val="20"/>
          <w:szCs w:val="20"/>
          <w:u w:val="single"/>
          <w:lang w:eastAsia="fr-FR"/>
        </w:rPr>
      </w:pPr>
      <w:r w:rsidRPr="007116B4">
        <w:rPr>
          <w:rFonts w:ascii="Times New Roman" w:hAnsi="Times New Roman"/>
          <w:b/>
          <w:bCs/>
          <w:sz w:val="24"/>
          <w:szCs w:val="24"/>
        </w:rPr>
        <w:t>Figure 3 : Schéma pour l’Actant-</w:t>
      </w:r>
      <w:r w:rsidRPr="007116B4">
        <w:rPr>
          <w:rFonts w:ascii="Times New Roman" w:eastAsia="Times New Roman" w:hAnsi="Times New Roman"/>
          <w:b/>
          <w:bCs/>
          <w:sz w:val="24"/>
          <w:szCs w:val="24"/>
          <w:lang w:eastAsia="fr-FR"/>
        </w:rPr>
        <w:t xml:space="preserve"> Halima</w:t>
      </w:r>
    </w:p>
    <w:p w:rsidR="00A46CF4" w:rsidRDefault="00A46CF4" w:rsidP="006A4EED">
      <w:pPr>
        <w:autoSpaceDE w:val="0"/>
        <w:autoSpaceDN w:val="0"/>
        <w:adjustRightInd w:val="0"/>
        <w:spacing w:after="0" w:line="360" w:lineRule="auto"/>
        <w:ind w:right="283"/>
        <w:jc w:val="both"/>
        <w:rPr>
          <w:rFonts w:ascii="Times New Roman" w:eastAsia="Times New Roman" w:hAnsi="Times New Roman"/>
          <w:b/>
          <w:sz w:val="24"/>
          <w:szCs w:val="24"/>
          <w:u w:val="single"/>
          <w:lang w:eastAsia="fr-FR"/>
        </w:rPr>
      </w:pPr>
    </w:p>
    <w:p w:rsidR="006A4EED" w:rsidRPr="007116B4" w:rsidRDefault="006A4EED" w:rsidP="007116B4">
      <w:pPr>
        <w:autoSpaceDE w:val="0"/>
        <w:autoSpaceDN w:val="0"/>
        <w:adjustRightInd w:val="0"/>
        <w:spacing w:after="0" w:line="360" w:lineRule="auto"/>
        <w:ind w:firstLine="284"/>
        <w:jc w:val="both"/>
        <w:rPr>
          <w:rFonts w:ascii="Times New Roman" w:eastAsia="Times New Roman" w:hAnsi="Times New Roman"/>
          <w:b/>
          <w:sz w:val="24"/>
          <w:szCs w:val="24"/>
          <w:lang w:eastAsia="fr-FR"/>
        </w:rPr>
      </w:pPr>
      <w:r w:rsidRPr="007116B4">
        <w:rPr>
          <w:rFonts w:ascii="Times New Roman" w:eastAsia="Times New Roman" w:hAnsi="Times New Roman"/>
          <w:b/>
          <w:sz w:val="24"/>
          <w:szCs w:val="24"/>
          <w:lang w:eastAsia="fr-FR"/>
        </w:rPr>
        <w:t>Comprendre le schéma </w:t>
      </w:r>
    </w:p>
    <w:p w:rsidR="006A4EED" w:rsidRPr="003B00C8" w:rsidRDefault="006A4EED" w:rsidP="00754D19">
      <w:pPr>
        <w:tabs>
          <w:tab w:val="left" w:pos="1110"/>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générosité et l’hospitalité étaient des valeurs qui n’avaient plus de signification pour les habitants de Béni-Dahane. C’était la loi du « Chacun pour soi Dieu pour tous ». La famine réduisait au néant le peu d’humanisme qui leur restait. Ce que disait le livre sacré (Coran) était de peu d’importance même pour les élus. Curieusement, au milieu de ces avares, de ces hommes de peu de foi, de ces supposés croyants dont la foi était ébranlée se trouvait non pas un homme mais une femme en qui Dieu avait pris plaisir. Halima est dans une certaine mesure « la femme selon le cœur de Dieu ». </w:t>
      </w:r>
    </w:p>
    <w:p w:rsidR="006A4EED" w:rsidRPr="003B00C8" w:rsidRDefault="006A4EED" w:rsidP="007116B4">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Soulignons ici qu’un actant ne correspond pas toujours à un personnage, au sens classique du terme. En effet, au point de vue de l’ontologie naïve (qui définit les sortes d’êtres, au sens large, qui forment le réel), un actant peut correspondre à : (1) un être anthropomorphe; (2) un élément inanimé concret, incluant les choses, mais ne s’y limitant pas; (3) un concept. Par ailleurs, il peut être individuel ou collectif.</w:t>
      </w:r>
    </w:p>
    <w:p w:rsidR="006A4EED" w:rsidRPr="00990B15" w:rsidRDefault="006A4EED" w:rsidP="006A4EED">
      <w:pPr>
        <w:autoSpaceDE w:val="0"/>
        <w:autoSpaceDN w:val="0"/>
        <w:adjustRightInd w:val="0"/>
        <w:spacing w:after="0" w:line="360" w:lineRule="auto"/>
        <w:jc w:val="both"/>
        <w:rPr>
          <w:rFonts w:ascii="Times New Roman" w:eastAsia="Times New Roman" w:hAnsi="Times New Roman"/>
          <w:sz w:val="2"/>
          <w:szCs w:val="2"/>
          <w:lang w:eastAsia="fr-FR"/>
        </w:rPr>
      </w:pPr>
    </w:p>
    <w:p w:rsidR="00A46CF4" w:rsidRPr="00935153" w:rsidRDefault="006A4EED" w:rsidP="00717F46">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Il est donc compréhensible que ce soit par générosité (D1) qu’elle (S) aidera les vertueux avec de son gite et de son couvert (O). Même si sa bonne foi et sa générosité, au mieux, son hospitalité restent incomprises de Hasmi et Aouicha qui la quittent parce</w:t>
      </w:r>
      <w:r w:rsidR="00A46CF4">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 xml:space="preserve">que pas d’accord et craignant une fin tragique, le soutien </w:t>
      </w:r>
      <w:r w:rsidRPr="003B00C8">
        <w:rPr>
          <w:rFonts w:ascii="Times New Roman" w:eastAsia="Times New Roman" w:hAnsi="Times New Roman"/>
          <w:sz w:val="24"/>
          <w:szCs w:val="24"/>
          <w:lang w:eastAsia="fr-FR"/>
        </w:rPr>
        <w:lastRenderedPageBreak/>
        <w:t>inconditionnel de Slimane, des vertueux, de Safi/Fassi ; des yeux de son cœur et de sa foi en Dieu lui est d’un grand apport (A). Au final, un acte singulier d’hospitalité à la manière d’Abraham en est venu à sauver la mise à plus d’un dans le pays ; nous dirions même à tout le pays (D2).</w:t>
      </w:r>
      <w:r w:rsidR="00990B15">
        <w:rPr>
          <w:rFonts w:ascii="Times New Roman" w:eastAsia="Times New Roman" w:hAnsi="Times New Roman"/>
          <w:sz w:val="24"/>
          <w:szCs w:val="24"/>
          <w:lang w:eastAsia="fr-FR"/>
        </w:rPr>
        <w:t xml:space="preserve"> </w:t>
      </w:r>
    </w:p>
    <w:p w:rsidR="00990B15" w:rsidRPr="00717F46" w:rsidRDefault="00990B15" w:rsidP="00717F46">
      <w:pPr>
        <w:autoSpaceDE w:val="0"/>
        <w:autoSpaceDN w:val="0"/>
        <w:adjustRightInd w:val="0"/>
        <w:spacing w:after="0" w:line="360" w:lineRule="auto"/>
        <w:ind w:firstLine="284"/>
        <w:rPr>
          <w:rFonts w:ascii="Times New Roman" w:eastAsia="Times New Roman" w:hAnsi="Times New Roman"/>
          <w:sz w:val="24"/>
          <w:szCs w:val="24"/>
          <w:lang w:eastAsia="fr-FR"/>
        </w:rPr>
      </w:pPr>
      <w:r w:rsidRPr="00717F46">
        <w:rPr>
          <w:rFonts w:ascii="Times New Roman" w:eastAsia="Times New Roman" w:hAnsi="Times New Roman"/>
          <w:sz w:val="24"/>
          <w:szCs w:val="24"/>
          <w:lang w:eastAsia="fr-FR"/>
        </w:rPr>
        <w:t>Quant à l’actant-Safi dit Fassi :</w:t>
      </w:r>
    </w:p>
    <w:p w:rsidR="00A46CF4" w:rsidRPr="00A46CF4" w:rsidRDefault="00D27910" w:rsidP="00A46CF4">
      <w:pPr>
        <w:autoSpaceDE w:val="0"/>
        <w:autoSpaceDN w:val="0"/>
        <w:adjustRightInd w:val="0"/>
        <w:spacing w:after="0" w:line="360" w:lineRule="auto"/>
        <w:rPr>
          <w:rFonts w:ascii="Times New Roman" w:eastAsia="Times New Roman" w:hAnsi="Times New Roman"/>
          <w:b/>
          <w:bCs/>
          <w:sz w:val="24"/>
          <w:szCs w:val="24"/>
          <w:lang w:eastAsia="fr-FR"/>
        </w:rPr>
      </w:pPr>
      <w:r w:rsidRPr="00D27910">
        <w:rPr>
          <w:rFonts w:ascii="Times New Roman" w:hAnsi="Times New Roman"/>
          <w:noProof/>
        </w:rPr>
        <w:pict>
          <v:rect id="Rectangle 45" o:spid="_x0000_s1088" style="position:absolute;margin-left:329pt;margin-top:9pt;width:121.5pt;height:70.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" strokecolor="white">
            <v:textbox style="mso-next-textbox:#Rectangle 45">
              <w:txbxContent>
                <w:p w:rsidR="006C092A" w:rsidRPr="00F767A8" w:rsidRDefault="006C092A" w:rsidP="006A4EED">
                  <w:pPr>
                    <w:spacing w:after="0" w:line="240" w:lineRule="auto"/>
                    <w:jc w:val="center"/>
                    <w:rPr>
                      <w:rFonts w:asciiTheme="majorBidi" w:hAnsiTheme="majorBidi" w:cstheme="majorBidi"/>
                      <w:b/>
                      <w:sz w:val="24"/>
                      <w:szCs w:val="24"/>
                    </w:rPr>
                  </w:pPr>
                  <w:r w:rsidRPr="00F767A8">
                    <w:rPr>
                      <w:rFonts w:asciiTheme="majorBidi" w:hAnsiTheme="majorBidi" w:cstheme="majorBidi"/>
                      <w:b/>
                      <w:sz w:val="24"/>
                      <w:szCs w:val="24"/>
                    </w:rPr>
                    <w:t>D2</w:t>
                  </w:r>
                </w:p>
                <w:p w:rsidR="006C092A" w:rsidRPr="00B40695" w:rsidRDefault="006C092A" w:rsidP="006A4EED">
                  <w:pPr>
                    <w:spacing w:after="0" w:line="240" w:lineRule="auto"/>
                    <w:jc w:val="center"/>
                    <w:rPr>
                      <w:rFonts w:ascii="Bookman Old Style" w:hAnsi="Bookman Old Style"/>
                    </w:rPr>
                  </w:pPr>
                  <w:r w:rsidRPr="00F767A8">
                    <w:rPr>
                      <w:rFonts w:asciiTheme="majorBidi" w:hAnsiTheme="majorBidi" w:cstheme="majorBidi"/>
                      <w:sz w:val="24"/>
                      <w:szCs w:val="24"/>
                    </w:rPr>
                    <w:t>Sa terre natale</w:t>
                  </w:r>
                </w:p>
                <w:p w:rsidR="006C092A" w:rsidRDefault="006C092A" w:rsidP="006A4EED"/>
              </w:txbxContent>
            </v:textbox>
          </v:rect>
        </w:pict>
      </w:r>
      <w:r w:rsidRPr="00D27910">
        <w:rPr>
          <w:rFonts w:ascii="Times New Roman" w:hAnsi="Times New Roman"/>
          <w:noProof/>
        </w:rPr>
        <w:pict>
          <v:rect id="Rectangle 44" o:spid="_x0000_s1087" style="position:absolute;margin-left:157.3pt;margin-top:9pt;width:121.5pt;height:90.7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" strokecolor="white">
            <v:textbox style="mso-next-textbox:#Rectangle 44">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O</w:t>
                  </w:r>
                </w:p>
                <w:p w:rsidR="006C092A" w:rsidRPr="00F767A8" w:rsidRDefault="006C092A" w:rsidP="006A4EED">
                  <w:pPr>
                    <w:spacing w:after="0" w:line="240" w:lineRule="auto"/>
                    <w:jc w:val="center"/>
                    <w:rPr>
                      <w:rFonts w:asciiTheme="majorBidi" w:hAnsiTheme="majorBidi" w:cstheme="majorBidi"/>
                      <w:sz w:val="24"/>
                      <w:szCs w:val="24"/>
                    </w:rPr>
                  </w:pPr>
                  <w:r w:rsidRPr="00F767A8">
                    <w:rPr>
                      <w:rFonts w:asciiTheme="majorBidi" w:hAnsiTheme="majorBidi" w:cstheme="majorBidi"/>
                      <w:sz w:val="24"/>
                      <w:szCs w:val="24"/>
                    </w:rPr>
                    <w:t>Rentrer chez soi et développer son village</w:t>
                  </w:r>
                </w:p>
              </w:txbxContent>
            </v:textbox>
          </v:rect>
        </w:pict>
      </w:r>
    </w:p>
    <w:p w:rsidR="00990B15" w:rsidRPr="00990B15" w:rsidRDefault="00D27910" w:rsidP="00990B15">
      <w:pPr>
        <w:autoSpaceDE w:val="0"/>
        <w:autoSpaceDN w:val="0"/>
        <w:adjustRightInd w:val="0"/>
        <w:spacing w:after="0" w:line="360" w:lineRule="auto"/>
        <w:jc w:val="center"/>
        <w:rPr>
          <w:rFonts w:ascii="Times New Roman" w:eastAsia="Times New Roman" w:hAnsi="Times New Roman"/>
          <w:sz w:val="14"/>
          <w:szCs w:val="14"/>
          <w:lang w:eastAsia="fr-FR"/>
        </w:rPr>
      </w:pPr>
      <w:r w:rsidRPr="00D27910">
        <w:rPr>
          <w:rFonts w:ascii="Times New Roman" w:hAnsi="Times New Roman"/>
          <w:noProof/>
        </w:rPr>
        <w:pict>
          <v:shape id="AutoShape 50" o:spid="_x0000_s1093" type="#_x0000_t34" style="position:absolute;left:0;text-align:left;margin-left:274.25pt;margin-top:9.35pt;width:66.75pt;height:.0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" adj="10792,-124329600,-120863">
            <v:stroke endarrow="block"/>
          </v:shape>
        </w:pict>
      </w:r>
    </w:p>
    <w:p w:rsidR="006A4EED" w:rsidRPr="003B00C8" w:rsidRDefault="00D27910" w:rsidP="006A4EED">
      <w:pPr>
        <w:autoSpaceDE w:val="0"/>
        <w:autoSpaceDN w:val="0"/>
        <w:adjustRightInd w:val="0"/>
        <w:spacing w:after="0" w:line="360" w:lineRule="auto"/>
        <w:jc w:val="both"/>
        <w:rPr>
          <w:rFonts w:ascii="Times New Roman" w:eastAsia="Times New Roman" w:hAnsi="Times New Roman"/>
          <w:lang w:eastAsia="fr-FR"/>
        </w:rPr>
      </w:pPr>
      <w:r w:rsidRPr="00D27910">
        <w:rPr>
          <w:rFonts w:ascii="Times New Roman" w:hAnsi="Times New Roman"/>
          <w:noProof/>
        </w:rPr>
        <w:pict>
          <v:shape id="AutoShape 49" o:spid="_x0000_s1092" type="#_x0000_t32" style="position:absolute;left:0;text-align:left;margin-left:101pt;margin-top:.1pt;width:56.3pt;height:0;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x4jNQIAAF8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" adj="-76828,-1,-76828">
            <v:stroke endarrow="block"/>
          </v:shape>
        </w:pict>
      </w:r>
      <w:r w:rsidRPr="00D27910">
        <w:rPr>
          <w:rFonts w:ascii="Times New Roman" w:hAnsi="Times New Roman"/>
          <w:noProof/>
        </w:rPr>
        <w:pict>
          <v:rect id="Rectangle 43" o:spid="_x0000_s1086" style="position:absolute;left:0;text-align:left;margin-left:-25.7pt;margin-top:-17.7pt;width:121.5pt;height:143.4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" strokecolor="white">
            <v:textbox style="mso-next-textbox:#Rectangle 43">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D1</w:t>
                  </w:r>
                </w:p>
                <w:p w:rsidR="006C092A" w:rsidRPr="00F767A8" w:rsidRDefault="006C092A" w:rsidP="006A4EED">
                  <w:pPr>
                    <w:spacing w:after="0" w:line="240" w:lineRule="auto"/>
                    <w:jc w:val="center"/>
                    <w:rPr>
                      <w:rFonts w:asciiTheme="majorBidi" w:hAnsiTheme="majorBidi" w:cstheme="majorBidi"/>
                      <w:sz w:val="24"/>
                      <w:szCs w:val="24"/>
                    </w:rPr>
                  </w:pPr>
                  <w:r w:rsidRPr="00F767A8">
                    <w:rPr>
                      <w:rFonts w:asciiTheme="majorBidi" w:hAnsiTheme="majorBidi" w:cstheme="majorBidi"/>
                      <w:sz w:val="24"/>
                      <w:szCs w:val="24"/>
                    </w:rPr>
                    <w:t>Amour pour sa terre natale et exaucement par Dieu à la prière des vertueux</w:t>
                  </w:r>
                </w:p>
                <w:p w:rsidR="006C092A" w:rsidRDefault="006C092A" w:rsidP="006A4EED"/>
              </w:txbxContent>
            </v:textbox>
          </v:rect>
        </w:pict>
      </w: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lang w:eastAsia="fr-FR"/>
        </w:rPr>
      </w:pP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lang w:eastAsia="fr-FR"/>
        </w:rPr>
      </w:pPr>
      <w:r w:rsidRPr="00D27910">
        <w:rPr>
          <w:rFonts w:ascii="Times New Roman" w:hAnsi="Times New Roman"/>
          <w:noProof/>
        </w:rPr>
        <w:pict>
          <v:shape id="AutoShape 54" o:spid="_x0000_s1096" type="#_x0000_t32" style="position:absolute;left:0;text-align:left;margin-left:186.6pt;margin-top:39pt;width:59.85pt;height:0;rotation:270;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" adj="-113973,-1,-113973">
            <v:stroke endarrow="block"/>
          </v:shape>
        </w:pict>
      </w: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lang w:eastAsia="fr-FR"/>
        </w:rPr>
      </w:pP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lang w:eastAsia="fr-FR"/>
        </w:rPr>
      </w:pPr>
      <w:r w:rsidRPr="00D27910">
        <w:rPr>
          <w:rFonts w:ascii="Times New Roman" w:hAnsi="Times New Roman"/>
          <w:noProof/>
        </w:rPr>
        <w:pict>
          <v:rect id="Rectangle 46" o:spid="_x0000_s1089" style="position:absolute;left:0;text-align:left;margin-left:329pt;margin-top:14.6pt;width:111pt;height:67.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" strokecolor="white">
            <v:textbox style="mso-next-textbox:#Rectangle 46">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A</w:t>
                  </w:r>
                </w:p>
                <w:p w:rsidR="006C092A" w:rsidRPr="002D4D7F" w:rsidRDefault="006C092A" w:rsidP="006A4EED">
                  <w:pPr>
                    <w:spacing w:after="0" w:line="240" w:lineRule="auto"/>
                    <w:jc w:val="center"/>
                    <w:rPr>
                      <w:rFonts w:asciiTheme="majorBidi" w:hAnsiTheme="majorBidi" w:cstheme="majorBidi"/>
                      <w:sz w:val="24"/>
                      <w:szCs w:val="24"/>
                    </w:rPr>
                  </w:pPr>
                  <w:r w:rsidRPr="002D4D7F">
                    <w:rPr>
                      <w:rFonts w:asciiTheme="majorBidi" w:hAnsiTheme="majorBidi" w:cstheme="majorBidi"/>
                      <w:sz w:val="24"/>
                      <w:szCs w:val="24"/>
                    </w:rPr>
                    <w:t>Cadi</w:t>
                  </w:r>
                </w:p>
                <w:p w:rsidR="006C092A" w:rsidRPr="002D4D7F" w:rsidRDefault="006C092A" w:rsidP="006A4EED">
                  <w:pPr>
                    <w:spacing w:after="0" w:line="240" w:lineRule="auto"/>
                    <w:jc w:val="center"/>
                    <w:rPr>
                      <w:rFonts w:asciiTheme="majorBidi" w:hAnsiTheme="majorBidi" w:cstheme="majorBidi"/>
                      <w:sz w:val="24"/>
                      <w:szCs w:val="24"/>
                    </w:rPr>
                  </w:pPr>
                  <w:r w:rsidRPr="002D4D7F">
                    <w:rPr>
                      <w:rFonts w:asciiTheme="majorBidi" w:hAnsiTheme="majorBidi" w:cstheme="majorBidi"/>
                      <w:sz w:val="24"/>
                      <w:szCs w:val="24"/>
                    </w:rPr>
                    <w:t>Mufti</w:t>
                  </w:r>
                </w:p>
                <w:p w:rsidR="006C092A" w:rsidRPr="002D4D7F" w:rsidRDefault="006C092A" w:rsidP="006A4EED">
                  <w:pPr>
                    <w:spacing w:after="0" w:line="240" w:lineRule="auto"/>
                    <w:jc w:val="center"/>
                    <w:rPr>
                      <w:rFonts w:asciiTheme="majorBidi" w:hAnsiTheme="majorBidi" w:cstheme="majorBidi"/>
                      <w:sz w:val="24"/>
                      <w:szCs w:val="24"/>
                    </w:rPr>
                  </w:pPr>
                  <w:r w:rsidRPr="002D4D7F">
                    <w:rPr>
                      <w:rFonts w:asciiTheme="majorBidi" w:hAnsiTheme="majorBidi" w:cstheme="majorBidi"/>
                      <w:sz w:val="24"/>
                      <w:szCs w:val="24"/>
                    </w:rPr>
                    <w:t>Slimane</w:t>
                  </w:r>
                </w:p>
                <w:p w:rsidR="006C092A" w:rsidRPr="00223A88" w:rsidRDefault="006C092A" w:rsidP="006A4EED">
                  <w:pPr>
                    <w:spacing w:after="0" w:line="240" w:lineRule="auto"/>
                    <w:jc w:val="center"/>
                    <w:rPr>
                      <w:rFonts w:ascii="Bookman Old Style" w:hAnsi="Bookman Old Style"/>
                      <w:b/>
                      <w:sz w:val="28"/>
                      <w:szCs w:val="28"/>
                    </w:rPr>
                  </w:pPr>
                </w:p>
                <w:p w:rsidR="006C092A" w:rsidRDefault="006C092A" w:rsidP="006A4EED"/>
              </w:txbxContent>
            </v:textbox>
          </v:rect>
        </w:pict>
      </w:r>
      <w:r w:rsidRPr="00D27910">
        <w:rPr>
          <w:rFonts w:ascii="Times New Roman" w:hAnsi="Times New Roman"/>
          <w:noProof/>
        </w:rPr>
        <w:pict>
          <v:rect id="Rectangle 48" o:spid="_x0000_s1091" style="position:absolute;left:0;text-align:left;margin-left:-30.1pt;margin-top:14.6pt;width:121.5pt;height:90.7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" strokecolor="white">
            <v:textbox style="mso-next-textbox:#Rectangle 48">
              <w:txbxContent>
                <w:p w:rsidR="006C092A" w:rsidRPr="002D4D7F" w:rsidRDefault="006C092A" w:rsidP="006A4EED">
                  <w:pPr>
                    <w:spacing w:after="0" w:line="240" w:lineRule="auto"/>
                    <w:jc w:val="center"/>
                    <w:rPr>
                      <w:rFonts w:asciiTheme="majorBidi" w:hAnsiTheme="majorBidi" w:cstheme="majorBidi"/>
                      <w:b/>
                      <w:sz w:val="24"/>
                      <w:szCs w:val="24"/>
                    </w:rPr>
                  </w:pPr>
                  <w:r w:rsidRPr="002D4D7F">
                    <w:rPr>
                      <w:rFonts w:asciiTheme="majorBidi" w:hAnsiTheme="majorBidi" w:cstheme="majorBidi"/>
                      <w:b/>
                      <w:sz w:val="24"/>
                      <w:szCs w:val="24"/>
                    </w:rPr>
                    <w:t>O</w:t>
                  </w:r>
                </w:p>
                <w:p w:rsidR="006C092A" w:rsidRPr="002D4D7F" w:rsidRDefault="006C092A" w:rsidP="006A4EED">
                  <w:pPr>
                    <w:spacing w:after="0" w:line="240" w:lineRule="auto"/>
                    <w:jc w:val="center"/>
                    <w:rPr>
                      <w:rFonts w:asciiTheme="majorBidi" w:hAnsiTheme="majorBidi" w:cstheme="majorBidi"/>
                      <w:sz w:val="24"/>
                      <w:szCs w:val="24"/>
                    </w:rPr>
                  </w:pPr>
                  <w:r w:rsidRPr="002D4D7F">
                    <w:rPr>
                      <w:rFonts w:asciiTheme="majorBidi" w:hAnsiTheme="majorBidi" w:cstheme="majorBidi"/>
                      <w:sz w:val="24"/>
                      <w:szCs w:val="24"/>
                    </w:rPr>
                    <w:t>Cadi</w:t>
                  </w:r>
                </w:p>
                <w:p w:rsidR="006C092A" w:rsidRPr="002D4D7F" w:rsidRDefault="006C092A" w:rsidP="006A4EED">
                  <w:pPr>
                    <w:spacing w:after="0" w:line="240" w:lineRule="auto"/>
                    <w:jc w:val="center"/>
                    <w:rPr>
                      <w:rFonts w:asciiTheme="majorBidi" w:hAnsiTheme="majorBidi" w:cstheme="majorBidi"/>
                      <w:sz w:val="24"/>
                      <w:szCs w:val="24"/>
                    </w:rPr>
                  </w:pPr>
                  <w:r w:rsidRPr="002D4D7F">
                    <w:rPr>
                      <w:rFonts w:asciiTheme="majorBidi" w:hAnsiTheme="majorBidi" w:cstheme="majorBidi"/>
                      <w:sz w:val="24"/>
                      <w:szCs w:val="24"/>
                    </w:rPr>
                    <w:t>Mufti</w:t>
                  </w:r>
                </w:p>
                <w:p w:rsidR="006C092A" w:rsidRPr="002D4D7F" w:rsidRDefault="006C092A" w:rsidP="006A4EED">
                  <w:pPr>
                    <w:spacing w:after="0" w:line="240" w:lineRule="auto"/>
                    <w:jc w:val="center"/>
                    <w:rPr>
                      <w:rFonts w:asciiTheme="majorBidi" w:hAnsiTheme="majorBidi" w:cstheme="majorBidi"/>
                      <w:sz w:val="24"/>
                      <w:szCs w:val="24"/>
                    </w:rPr>
                  </w:pPr>
                  <w:r w:rsidRPr="002D4D7F">
                    <w:rPr>
                      <w:rFonts w:asciiTheme="majorBidi" w:hAnsiTheme="majorBidi" w:cstheme="majorBidi"/>
                      <w:sz w:val="24"/>
                      <w:szCs w:val="24"/>
                    </w:rPr>
                    <w:t>Slimane</w:t>
                  </w:r>
                </w:p>
                <w:p w:rsidR="006C092A" w:rsidRPr="002D4D7F" w:rsidRDefault="006C092A" w:rsidP="006A4EED">
                  <w:pPr>
                    <w:spacing w:after="0" w:line="240" w:lineRule="auto"/>
                    <w:jc w:val="center"/>
                    <w:rPr>
                      <w:rFonts w:asciiTheme="majorBidi" w:hAnsiTheme="majorBidi" w:cstheme="majorBidi"/>
                      <w:sz w:val="24"/>
                      <w:szCs w:val="24"/>
                    </w:rPr>
                  </w:pPr>
                  <w:r w:rsidRPr="002D4D7F">
                    <w:rPr>
                      <w:rFonts w:asciiTheme="majorBidi" w:hAnsiTheme="majorBidi" w:cstheme="majorBidi"/>
                      <w:sz w:val="24"/>
                      <w:szCs w:val="24"/>
                    </w:rPr>
                    <w:t>Le servant</w:t>
                  </w:r>
                </w:p>
                <w:p w:rsidR="006C092A" w:rsidRDefault="006C092A" w:rsidP="006A4EED"/>
              </w:txbxContent>
            </v:textbox>
          </v:rect>
        </w:pict>
      </w:r>
    </w:p>
    <w:p w:rsidR="006A4EED" w:rsidRPr="003B00C8" w:rsidRDefault="006A4EED" w:rsidP="002D4D7F">
      <w:pPr>
        <w:autoSpaceDE w:val="0"/>
        <w:autoSpaceDN w:val="0"/>
        <w:adjustRightInd w:val="0"/>
        <w:spacing w:after="0" w:line="360" w:lineRule="auto"/>
        <w:ind w:right="283"/>
        <w:jc w:val="both"/>
        <w:rPr>
          <w:rFonts w:ascii="Times New Roman" w:eastAsia="Times New Roman" w:hAnsi="Times New Roman"/>
          <w:lang w:eastAsia="fr-FR"/>
        </w:rPr>
      </w:pPr>
    </w:p>
    <w:p w:rsidR="00990B15" w:rsidRPr="002D4D7F" w:rsidRDefault="00D27910" w:rsidP="00990B15">
      <w:pPr>
        <w:spacing w:after="0" w:line="240" w:lineRule="auto"/>
        <w:jc w:val="center"/>
        <w:rPr>
          <w:rFonts w:ascii="Times New Roman" w:eastAsia="Times New Roman" w:hAnsi="Times New Roman"/>
          <w:b/>
          <w:sz w:val="24"/>
          <w:szCs w:val="24"/>
          <w:lang w:eastAsia="fr-FR"/>
        </w:rPr>
      </w:pPr>
      <w:r w:rsidRPr="00D27910">
        <w:rPr>
          <w:rFonts w:ascii="Times New Roman" w:hAnsi="Times New Roman"/>
          <w:noProof/>
          <w:sz w:val="24"/>
          <w:szCs w:val="24"/>
        </w:rPr>
        <w:pict>
          <v:shape id="AutoShape 53" o:spid="_x0000_s1095" type="#_x0000_t34" style="position:absolute;left:0;text-align:left;margin-left:234.1pt;margin-top:7.35pt;width:106.9pt;height:.05pt;rotation:180;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" adj="191,-177876000,-88956">
            <v:stroke endarrow="block"/>
          </v:shape>
        </w:pict>
      </w:r>
      <w:r w:rsidRPr="00D27910">
        <w:rPr>
          <w:rFonts w:ascii="Times New Roman" w:hAnsi="Times New Roman"/>
          <w:noProof/>
          <w:sz w:val="24"/>
          <w:szCs w:val="24"/>
        </w:rPr>
        <w:pict>
          <v:shape id="AutoShape 51" o:spid="_x0000_s1094" type="#_x0000_t32" style="position:absolute;left:0;text-align:left;margin-left:83.75pt;margin-top:7.4pt;width:102.8pt;height:0;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" adj="-38451,-1,-38451">
            <v:stroke endarrow="block"/>
          </v:shape>
        </w:pict>
      </w:r>
      <w:r w:rsidR="002D4D7F">
        <w:rPr>
          <w:rFonts w:ascii="Times New Roman" w:eastAsia="Times New Roman" w:hAnsi="Times New Roman"/>
          <w:b/>
          <w:sz w:val="24"/>
          <w:szCs w:val="24"/>
          <w:lang w:eastAsia="fr-FR"/>
        </w:rPr>
        <w:t xml:space="preserve">   </w:t>
      </w:r>
      <w:r w:rsidR="00990B15" w:rsidRPr="002D4D7F">
        <w:rPr>
          <w:rFonts w:ascii="Times New Roman" w:eastAsia="Times New Roman" w:hAnsi="Times New Roman"/>
          <w:b/>
          <w:sz w:val="24"/>
          <w:szCs w:val="24"/>
          <w:lang w:eastAsia="fr-FR"/>
        </w:rPr>
        <w:t>S</w:t>
      </w:r>
    </w:p>
    <w:p w:rsidR="00990B15" w:rsidRPr="002D4D7F" w:rsidRDefault="002D4D7F" w:rsidP="00990B15">
      <w:pPr>
        <w:spacing w:after="0" w:line="240" w:lineRule="auto"/>
        <w:jc w:val="center"/>
        <w:rPr>
          <w:rFonts w:ascii="Times New Roman" w:eastAsia="Times New Roman" w:hAnsi="Times New Roman"/>
          <w:sz w:val="24"/>
          <w:szCs w:val="24"/>
          <w:lang w:eastAsia="fr-FR"/>
        </w:rPr>
      </w:pPr>
      <w:r>
        <w:rPr>
          <w:rFonts w:ascii="Times New Roman" w:eastAsia="Times New Roman" w:hAnsi="Times New Roman"/>
          <w:sz w:val="24"/>
          <w:szCs w:val="24"/>
          <w:lang w:eastAsia="fr-FR"/>
        </w:rPr>
        <w:t xml:space="preserve">      </w:t>
      </w:r>
      <w:r w:rsidR="006A4EED" w:rsidRPr="002D4D7F">
        <w:rPr>
          <w:rFonts w:ascii="Times New Roman" w:eastAsia="Times New Roman" w:hAnsi="Times New Roman"/>
          <w:sz w:val="24"/>
          <w:szCs w:val="24"/>
          <w:lang w:eastAsia="fr-FR"/>
        </w:rPr>
        <w:t>Safi/Fassi</w:t>
      </w:r>
    </w:p>
    <w:p w:rsidR="00A46CF4" w:rsidRDefault="00A46CF4" w:rsidP="00990B15">
      <w:pPr>
        <w:autoSpaceDE w:val="0"/>
        <w:autoSpaceDN w:val="0"/>
        <w:adjustRightInd w:val="0"/>
        <w:spacing w:after="0" w:line="360" w:lineRule="auto"/>
        <w:ind w:right="283"/>
        <w:jc w:val="center"/>
        <w:rPr>
          <w:rFonts w:ascii="Times New Roman" w:hAnsi="Times New Roman"/>
          <w:b/>
          <w:bCs/>
          <w:sz w:val="24"/>
          <w:szCs w:val="24"/>
        </w:rPr>
      </w:pPr>
    </w:p>
    <w:p w:rsidR="002D4D7F" w:rsidRDefault="002D4D7F" w:rsidP="00990B15">
      <w:pPr>
        <w:autoSpaceDE w:val="0"/>
        <w:autoSpaceDN w:val="0"/>
        <w:adjustRightInd w:val="0"/>
        <w:spacing w:after="0" w:line="360" w:lineRule="auto"/>
        <w:ind w:right="283"/>
        <w:jc w:val="center"/>
        <w:rPr>
          <w:rFonts w:ascii="Times New Roman" w:hAnsi="Times New Roman"/>
          <w:b/>
          <w:bCs/>
          <w:sz w:val="24"/>
          <w:szCs w:val="24"/>
        </w:rPr>
      </w:pPr>
    </w:p>
    <w:p w:rsidR="006A4EED" w:rsidRPr="00FE0763" w:rsidRDefault="00990B15" w:rsidP="00990B15">
      <w:pPr>
        <w:autoSpaceDE w:val="0"/>
        <w:autoSpaceDN w:val="0"/>
        <w:adjustRightInd w:val="0"/>
        <w:spacing w:after="0" w:line="360" w:lineRule="auto"/>
        <w:ind w:right="283"/>
        <w:jc w:val="center"/>
        <w:rPr>
          <w:rFonts w:ascii="Times New Roman" w:eastAsia="Times New Roman" w:hAnsi="Times New Roman"/>
          <w:b/>
          <w:bCs/>
          <w:lang w:eastAsia="fr-FR"/>
        </w:rPr>
      </w:pPr>
      <w:r w:rsidRPr="00FE0763">
        <w:rPr>
          <w:rFonts w:ascii="Times New Roman" w:hAnsi="Times New Roman"/>
          <w:b/>
          <w:bCs/>
          <w:sz w:val="24"/>
          <w:szCs w:val="24"/>
        </w:rPr>
        <w:t>Figure 4 : Schéma pour l’Actant Safi dit Fassi</w:t>
      </w:r>
    </w:p>
    <w:p w:rsidR="007937F2" w:rsidRDefault="007937F2" w:rsidP="006A4EED">
      <w:pPr>
        <w:autoSpaceDE w:val="0"/>
        <w:autoSpaceDN w:val="0"/>
        <w:adjustRightInd w:val="0"/>
        <w:spacing w:after="0" w:line="360" w:lineRule="auto"/>
        <w:ind w:right="283"/>
        <w:jc w:val="both"/>
        <w:rPr>
          <w:rFonts w:ascii="Times New Roman" w:eastAsia="Times New Roman" w:hAnsi="Times New Roman"/>
          <w:b/>
          <w:sz w:val="24"/>
          <w:szCs w:val="24"/>
          <w:u w:val="single"/>
          <w:lang w:eastAsia="fr-FR"/>
        </w:rPr>
      </w:pPr>
    </w:p>
    <w:p w:rsidR="007937F2" w:rsidRDefault="007937F2" w:rsidP="006A4EED">
      <w:pPr>
        <w:autoSpaceDE w:val="0"/>
        <w:autoSpaceDN w:val="0"/>
        <w:adjustRightInd w:val="0"/>
        <w:spacing w:after="0" w:line="360" w:lineRule="auto"/>
        <w:ind w:right="283"/>
        <w:jc w:val="both"/>
        <w:rPr>
          <w:rFonts w:ascii="Times New Roman" w:eastAsia="Times New Roman" w:hAnsi="Times New Roman"/>
          <w:b/>
          <w:sz w:val="24"/>
          <w:szCs w:val="24"/>
          <w:u w:val="single"/>
          <w:lang w:eastAsia="fr-FR"/>
        </w:rPr>
      </w:pPr>
    </w:p>
    <w:p w:rsidR="006A4EED" w:rsidRPr="00E76C70" w:rsidRDefault="006A4EED" w:rsidP="00E76C70">
      <w:pPr>
        <w:autoSpaceDE w:val="0"/>
        <w:autoSpaceDN w:val="0"/>
        <w:adjustRightInd w:val="0"/>
        <w:spacing w:after="0" w:line="360" w:lineRule="auto"/>
        <w:ind w:firstLine="284"/>
        <w:jc w:val="both"/>
        <w:rPr>
          <w:rFonts w:ascii="Times New Roman" w:eastAsia="Times New Roman" w:hAnsi="Times New Roman"/>
          <w:b/>
          <w:sz w:val="24"/>
          <w:szCs w:val="24"/>
          <w:lang w:eastAsia="fr-FR"/>
        </w:rPr>
      </w:pPr>
      <w:r w:rsidRPr="00E76C70">
        <w:rPr>
          <w:rFonts w:ascii="Times New Roman" w:eastAsia="Times New Roman" w:hAnsi="Times New Roman"/>
          <w:b/>
          <w:sz w:val="24"/>
          <w:szCs w:val="24"/>
          <w:lang w:eastAsia="fr-FR"/>
        </w:rPr>
        <w:t>Comprendre le schéma </w:t>
      </w:r>
    </w:p>
    <w:p w:rsidR="00BD01B9" w:rsidRDefault="006A4EED" w:rsidP="00E76C70">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 sujet (S) Safi qui se fait appeler Fassi, autrefois banni de son village y revient pour aider sa cousine Halima dans la gestion de la richesse conférée </w:t>
      </w:r>
      <w:r w:rsidR="00A46CF4" w:rsidRPr="003B00C8">
        <w:rPr>
          <w:rFonts w:ascii="Times New Roman" w:eastAsia="Times New Roman" w:hAnsi="Times New Roman"/>
          <w:sz w:val="24"/>
          <w:szCs w:val="24"/>
          <w:lang w:eastAsia="fr-FR"/>
        </w:rPr>
        <w:t xml:space="preserve">à elle </w:t>
      </w:r>
      <w:r w:rsidRPr="003B00C8">
        <w:rPr>
          <w:rFonts w:ascii="Times New Roman" w:eastAsia="Times New Roman" w:hAnsi="Times New Roman"/>
          <w:sz w:val="24"/>
          <w:szCs w:val="24"/>
          <w:lang w:eastAsia="fr-FR"/>
        </w:rPr>
        <w:t xml:space="preserve">par les vertueux. Ce qui est opposant pour Safi devient après transformation (moralisation et prise de conscience) adjuvant. A l’exception du Servant emprisonné pour des exactions peu </w:t>
      </w:r>
      <w:r w:rsidR="00CB7B00">
        <w:rPr>
          <w:rFonts w:ascii="Times New Roman" w:eastAsia="Times New Roman" w:hAnsi="Times New Roman"/>
          <w:sz w:val="24"/>
          <w:szCs w:val="24"/>
          <w:lang w:eastAsia="fr-FR"/>
        </w:rPr>
        <w:t>vertueuses</w:t>
      </w:r>
      <w:r w:rsidRPr="003B00C8">
        <w:rPr>
          <w:rFonts w:ascii="Times New Roman" w:eastAsia="Times New Roman" w:hAnsi="Times New Roman"/>
          <w:sz w:val="24"/>
          <w:szCs w:val="24"/>
          <w:lang w:eastAsia="fr-FR"/>
        </w:rPr>
        <w:t xml:space="preserve"> venant d’un responsable de culte comme lui. </w:t>
      </w:r>
    </w:p>
    <w:p w:rsidR="00BD01B9" w:rsidRDefault="006A4EED" w:rsidP="00E76C70">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En principe, toute action réelle ou thématisée (action « imaginaire ») est susceptible d'être décrite par au moins un modèle actantiel. Au sens strict, </w:t>
      </w:r>
      <w:r w:rsidRPr="00BD01B9">
        <w:rPr>
          <w:rFonts w:ascii="Times New Roman" w:eastAsia="Times New Roman" w:hAnsi="Times New Roman"/>
          <w:sz w:val="24"/>
          <w:szCs w:val="24"/>
          <w:lang w:eastAsia="fr-FR"/>
        </w:rPr>
        <w:t>le</w:t>
      </w:r>
      <w:r w:rsidRPr="003B00C8">
        <w:rPr>
          <w:rFonts w:ascii="Times New Roman" w:eastAsia="Times New Roman" w:hAnsi="Times New Roman"/>
          <w:sz w:val="24"/>
          <w:szCs w:val="24"/>
          <w:lang w:eastAsia="fr-FR"/>
        </w:rPr>
        <w:t xml:space="preserve"> modèle actantiel d'un texte n'existe pas: d’une part, il y a autant de modèles qu'il y a d'actions ; d’autre part, une même action peut souvent être vue sous plusieurs angles (par exemple, dans l’œil du sujet et dans celui de l'anti-sujet, son rival).</w:t>
      </w:r>
    </w:p>
    <w:p w:rsidR="006A4EED" w:rsidRPr="003B00C8" w:rsidRDefault="006A4EED" w:rsidP="00C64C70">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Si, en général, on choisit l'action qui résume bien le texte ou à défaut une action-clé, rien n’empêche d’analyser un groupe, une structure de modèles </w:t>
      </w:r>
      <w:r w:rsidRPr="003B00C8">
        <w:rPr>
          <w:rFonts w:ascii="Times New Roman" w:eastAsia="Times New Roman" w:hAnsi="Times New Roman"/>
          <w:sz w:val="24"/>
          <w:szCs w:val="24"/>
          <w:lang w:eastAsia="fr-FR"/>
        </w:rPr>
        <w:lastRenderedPageBreak/>
        <w:t>actantiels. Une structure de modèles actantiels fait intervenir au moins deux modèles actantiels dont on fait état d’au moins une des relations qui les unit. Les relations peuvent être temporelles (simultanéité parfaite ou partielle, succession immédiate ou décalée) et/ou logiques (présupposition par exemple de type cause-effet), exclusion mutuelle (entre actions incompatibles, etc.).</w:t>
      </w:r>
    </w:p>
    <w:p w:rsidR="006A4EED" w:rsidRPr="003B00C8" w:rsidRDefault="00D27910" w:rsidP="00C64C70">
      <w:pPr>
        <w:spacing w:after="0" w:line="360" w:lineRule="auto"/>
        <w:ind w:firstLine="284"/>
        <w:jc w:val="both"/>
        <w:rPr>
          <w:rFonts w:ascii="Times New Roman" w:eastAsia="Times New Roman" w:hAnsi="Times New Roman"/>
          <w:sz w:val="24"/>
          <w:szCs w:val="24"/>
          <w:lang w:eastAsia="fr-FR"/>
        </w:rPr>
      </w:pPr>
      <w:r w:rsidRPr="00D27910">
        <w:rPr>
          <w:rFonts w:ascii="Times New Roman" w:hAnsi="Times New Roman"/>
          <w:noProof/>
        </w:rPr>
        <w:pict>
          <v:rect id="Rectangle 57" o:spid="_x0000_s1098" style="position:absolute;left:0;text-align:left;margin-left:2in;margin-top:32.55pt;width:127.1pt;height:61.7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" strokecolor="white">
            <v:textbox style="mso-next-textbox:#Rectangle 57">
              <w:txbxContent>
                <w:p w:rsidR="006C092A" w:rsidRPr="00C64C70" w:rsidRDefault="006C092A" w:rsidP="006A4EED">
                  <w:pPr>
                    <w:spacing w:after="0" w:line="240" w:lineRule="auto"/>
                    <w:jc w:val="center"/>
                    <w:rPr>
                      <w:rFonts w:asciiTheme="majorBidi" w:hAnsiTheme="majorBidi" w:cstheme="majorBidi"/>
                      <w:b/>
                      <w:sz w:val="24"/>
                      <w:szCs w:val="24"/>
                    </w:rPr>
                  </w:pPr>
                  <w:r w:rsidRPr="00C64C70">
                    <w:rPr>
                      <w:rFonts w:asciiTheme="majorBidi" w:hAnsiTheme="majorBidi" w:cstheme="majorBidi"/>
                      <w:b/>
                      <w:sz w:val="24"/>
                      <w:szCs w:val="24"/>
                    </w:rPr>
                    <w:t>O</w:t>
                  </w:r>
                </w:p>
                <w:p w:rsidR="006C092A" w:rsidRPr="00B209D5" w:rsidRDefault="006C092A" w:rsidP="0044664E">
                  <w:pPr>
                    <w:spacing w:after="0" w:line="240" w:lineRule="auto"/>
                    <w:jc w:val="center"/>
                    <w:rPr>
                      <w:rFonts w:ascii="Bookman Old Style" w:hAnsi="Bookman Old Style"/>
                      <w:sz w:val="28"/>
                      <w:szCs w:val="28"/>
                    </w:rPr>
                  </w:pPr>
                  <w:r w:rsidRPr="00C64C70">
                    <w:rPr>
                      <w:rFonts w:asciiTheme="majorBidi" w:hAnsiTheme="majorBidi" w:cstheme="majorBidi"/>
                      <w:sz w:val="24"/>
                      <w:szCs w:val="24"/>
                    </w:rPr>
                    <w:t>Sortir du joug de la misère, de la disette</w:t>
                  </w:r>
                </w:p>
                <w:p w:rsidR="006C092A" w:rsidRDefault="006C092A" w:rsidP="006A4EED"/>
              </w:txbxContent>
            </v:textbox>
          </v:rect>
        </w:pict>
      </w:r>
      <w:r w:rsidR="006A4EED" w:rsidRPr="003B00C8">
        <w:rPr>
          <w:rFonts w:ascii="Times New Roman" w:eastAsia="Times New Roman" w:hAnsi="Times New Roman"/>
          <w:sz w:val="24"/>
          <w:szCs w:val="24"/>
          <w:lang w:eastAsia="fr-FR"/>
        </w:rPr>
        <w:t>De ces  schémas actantiels précédents se dessine le schéma actantiel global de la pièce de théâtre :</w:t>
      </w:r>
    </w:p>
    <w:p w:rsidR="006A4EED" w:rsidRPr="003B00C8" w:rsidRDefault="00D27910" w:rsidP="006A4EED">
      <w:pPr>
        <w:spacing w:before="100" w:beforeAutospacing="1" w:after="100" w:afterAutospacing="1" w:line="360" w:lineRule="auto"/>
        <w:jc w:val="both"/>
        <w:rPr>
          <w:rFonts w:ascii="Times New Roman" w:eastAsia="Times New Roman" w:hAnsi="Times New Roman"/>
          <w:sz w:val="24"/>
          <w:szCs w:val="24"/>
          <w:lang w:eastAsia="fr-FR"/>
        </w:rPr>
      </w:pPr>
      <w:r w:rsidRPr="00D27910">
        <w:rPr>
          <w:rFonts w:ascii="Times New Roman" w:hAnsi="Times New Roman"/>
          <w:noProof/>
        </w:rPr>
        <w:pict>
          <v:shape id="AutoShape 66" o:spid="_x0000_s1107" type="#_x0000_t34" style="position:absolute;left:0;text-align:left;margin-left:170.35pt;margin-top:76.45pt;width:72.85pt;height:.05pt;rotation:270;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" adj="10793,-186948000,-90729">
            <v:stroke endarrow="block"/>
          </v:shape>
        </w:pict>
      </w:r>
      <w:r w:rsidRPr="00D27910">
        <w:rPr>
          <w:rFonts w:ascii="Times New Roman" w:hAnsi="Times New Roman"/>
          <w:noProof/>
          <w:lang w:eastAsia="fr-FR"/>
        </w:rPr>
        <w:pict>
          <v:shape id="_x0000_s1120" type="#_x0000_t32" style="position:absolute;left:0;text-align:left;margin-left:83.1pt;margin-top:17.6pt;width:65.15pt;height:0;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" adj="-60457,-1,-60457">
            <v:stroke endarrow="block"/>
          </v:shape>
        </w:pict>
      </w:r>
      <w:r w:rsidRPr="00D27910">
        <w:rPr>
          <w:rFonts w:ascii="Times New Roman" w:hAnsi="Times New Roman"/>
          <w:noProof/>
        </w:rPr>
        <w:pict>
          <v:rect id="Rectangle 58" o:spid="_x0000_s1099" style="position:absolute;left:0;text-align:left;margin-left:327.6pt;margin-top:-.45pt;width:115.45pt;height:77.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" strokecolor="white">
            <v:textbox style="mso-next-textbox:#Rectangle 58">
              <w:txbxContent>
                <w:p w:rsidR="006C092A" w:rsidRPr="00C64C70" w:rsidRDefault="006C092A" w:rsidP="006A4EED">
                  <w:pPr>
                    <w:jc w:val="center"/>
                    <w:rPr>
                      <w:rFonts w:asciiTheme="majorBidi" w:hAnsiTheme="majorBidi" w:cstheme="majorBidi"/>
                      <w:b/>
                      <w:sz w:val="24"/>
                      <w:szCs w:val="24"/>
                    </w:rPr>
                  </w:pPr>
                  <w:r w:rsidRPr="00C64C70">
                    <w:rPr>
                      <w:rFonts w:asciiTheme="majorBidi" w:hAnsiTheme="majorBidi" w:cstheme="majorBidi"/>
                      <w:b/>
                      <w:sz w:val="24"/>
                      <w:szCs w:val="24"/>
                    </w:rPr>
                    <w:t>D2</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Béni-Dahane</w:t>
                  </w:r>
                </w:p>
              </w:txbxContent>
            </v:textbox>
          </v:rect>
        </w:pict>
      </w:r>
      <w:r w:rsidRPr="00D27910">
        <w:rPr>
          <w:rFonts w:ascii="Times New Roman" w:hAnsi="Times New Roman"/>
          <w:noProof/>
        </w:rPr>
        <w:pict>
          <v:rect id="Rectangle 56" o:spid="_x0000_s1097" style="position:absolute;left:0;text-align:left;margin-left:-11.75pt;margin-top:-.45pt;width:115.45pt;height:77.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" strokecolor="white">
            <v:textbox style="mso-next-textbox:#Rectangle 56">
              <w:txbxContent>
                <w:p w:rsidR="006C092A" w:rsidRPr="00C64C70" w:rsidRDefault="006C092A" w:rsidP="006A4EED">
                  <w:pPr>
                    <w:spacing w:after="0" w:line="240" w:lineRule="auto"/>
                    <w:jc w:val="center"/>
                    <w:rPr>
                      <w:rFonts w:asciiTheme="majorBidi" w:hAnsiTheme="majorBidi" w:cstheme="majorBidi"/>
                      <w:b/>
                      <w:sz w:val="24"/>
                      <w:szCs w:val="24"/>
                    </w:rPr>
                  </w:pPr>
                  <w:r w:rsidRPr="00C64C70">
                    <w:rPr>
                      <w:rFonts w:asciiTheme="majorBidi" w:hAnsiTheme="majorBidi" w:cstheme="majorBidi"/>
                      <w:b/>
                      <w:sz w:val="24"/>
                      <w:szCs w:val="24"/>
                    </w:rPr>
                    <w:t>D1</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Dieu/Misère</w:t>
                  </w:r>
                </w:p>
                <w:p w:rsidR="006C092A" w:rsidRDefault="006C092A" w:rsidP="006A4EED"/>
              </w:txbxContent>
            </v:textbox>
          </v:rect>
        </w:pict>
      </w:r>
      <w:r w:rsidRPr="00D27910">
        <w:rPr>
          <w:rFonts w:ascii="Times New Roman" w:hAnsi="Times New Roman"/>
          <w:noProof/>
        </w:rPr>
        <w:pict>
          <v:shape id="AutoShape 63" o:spid="_x0000_s1104" type="#_x0000_t32" style="position:absolute;left:0;text-align:left;margin-left:258.35pt;margin-top:17.6pt;width:99.5pt;height:0;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" adj="-71465,-1,-71465">
            <v:stroke endarrow="block"/>
          </v:shape>
        </w:pict>
      </w:r>
    </w:p>
    <w:p w:rsidR="006A4EED" w:rsidRPr="003B00C8" w:rsidRDefault="006A4EED" w:rsidP="006A4EED">
      <w:pPr>
        <w:spacing w:before="100" w:beforeAutospacing="1" w:after="100" w:afterAutospacing="1" w:line="360" w:lineRule="auto"/>
        <w:jc w:val="both"/>
        <w:rPr>
          <w:rFonts w:ascii="Times New Roman" w:eastAsia="Times New Roman" w:hAnsi="Times New Roman"/>
          <w:sz w:val="24"/>
          <w:szCs w:val="24"/>
          <w:lang w:eastAsia="fr-FR"/>
        </w:rPr>
      </w:pPr>
    </w:p>
    <w:p w:rsidR="006A4EED" w:rsidRPr="003B00C8" w:rsidRDefault="006A4EED" w:rsidP="006A4EED">
      <w:pPr>
        <w:autoSpaceDE w:val="0"/>
        <w:autoSpaceDN w:val="0"/>
        <w:adjustRightInd w:val="0"/>
        <w:spacing w:after="0" w:line="360" w:lineRule="auto"/>
        <w:ind w:right="283"/>
        <w:jc w:val="both"/>
        <w:rPr>
          <w:rFonts w:ascii="Times New Roman" w:eastAsia="Times New Roman" w:hAnsi="Times New Roman"/>
          <w:sz w:val="24"/>
          <w:szCs w:val="24"/>
          <w:lang w:eastAsia="fr-FR"/>
        </w:rPr>
      </w:pP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sz w:val="24"/>
          <w:szCs w:val="24"/>
          <w:lang w:eastAsia="fr-FR"/>
        </w:rPr>
      </w:pPr>
      <w:r w:rsidRPr="00D27910">
        <w:rPr>
          <w:rFonts w:ascii="Times New Roman" w:hAnsi="Times New Roman"/>
          <w:noProof/>
        </w:rPr>
        <w:pict>
          <v:rect id="Rectangle 60" o:spid="_x0000_s1101" style="position:absolute;left:0;text-align:left;margin-left:311.75pt;margin-top:8.8pt;width:115.45pt;height:82.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" strokecolor="white">
            <v:textbox style="mso-next-textbox:#Rectangle 60">
              <w:txbxContent>
                <w:p w:rsidR="006C092A" w:rsidRPr="00C64C70" w:rsidRDefault="006C092A" w:rsidP="006A4EED">
                  <w:pPr>
                    <w:spacing w:after="0" w:line="240" w:lineRule="auto"/>
                    <w:jc w:val="center"/>
                    <w:rPr>
                      <w:rFonts w:asciiTheme="majorBidi" w:hAnsiTheme="majorBidi" w:cstheme="majorBidi"/>
                      <w:b/>
                      <w:sz w:val="24"/>
                      <w:szCs w:val="24"/>
                    </w:rPr>
                  </w:pPr>
                  <w:r w:rsidRPr="00C64C70">
                    <w:rPr>
                      <w:rFonts w:asciiTheme="majorBidi" w:hAnsiTheme="majorBidi" w:cstheme="majorBidi"/>
                      <w:b/>
                      <w:sz w:val="24"/>
                      <w:szCs w:val="24"/>
                    </w:rPr>
                    <w:t>A</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La puissance de Dieu</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Halima</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Safi</w:t>
                  </w:r>
                </w:p>
                <w:p w:rsidR="006C092A" w:rsidRPr="00C64C70" w:rsidRDefault="006C092A" w:rsidP="006A4EED">
                  <w:pPr>
                    <w:spacing w:after="0" w:line="240" w:lineRule="auto"/>
                    <w:jc w:val="center"/>
                    <w:rPr>
                      <w:rFonts w:asciiTheme="majorBidi" w:hAnsiTheme="majorBidi" w:cstheme="majorBidi"/>
                      <w:sz w:val="24"/>
                      <w:szCs w:val="24"/>
                    </w:rPr>
                  </w:pPr>
                </w:p>
              </w:txbxContent>
            </v:textbox>
          </v:rect>
        </w:pict>
      </w:r>
      <w:r w:rsidRPr="00D27910">
        <w:rPr>
          <w:rFonts w:ascii="Times New Roman" w:hAnsi="Times New Roman"/>
          <w:noProof/>
        </w:rPr>
        <w:pict>
          <v:shape id="AutoShape 64" o:spid="_x0000_s1105" type="#_x0000_t32" style="position:absolute;left:0;text-align:left;margin-left:77.55pt;margin-top:18.5pt;width:77.9pt;height:0;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8dZOwIAAGM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" adj="-50562,-1,-50562">
            <v:stroke endarrow="block"/>
          </v:shape>
        </w:pict>
      </w:r>
      <w:r w:rsidRPr="00D27910">
        <w:rPr>
          <w:rFonts w:ascii="Times New Roman" w:hAnsi="Times New Roman"/>
          <w:noProof/>
        </w:rPr>
        <w:pict>
          <v:rect id="Rectangle 61" o:spid="_x0000_s1102" style="position:absolute;left:0;text-align:left;margin-left:-19.6pt;margin-top:8.8pt;width:115.45pt;height:112.0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" strokecolor="white">
            <v:textbox style="mso-next-textbox:#Rectangle 61">
              <w:txbxContent>
                <w:p w:rsidR="006C092A" w:rsidRPr="00C64C70" w:rsidRDefault="006C092A" w:rsidP="006A4EED">
                  <w:pPr>
                    <w:spacing w:after="0" w:line="240" w:lineRule="auto"/>
                    <w:jc w:val="center"/>
                    <w:rPr>
                      <w:rFonts w:asciiTheme="majorBidi" w:hAnsiTheme="majorBidi" w:cstheme="majorBidi"/>
                      <w:b/>
                      <w:sz w:val="24"/>
                      <w:szCs w:val="24"/>
                    </w:rPr>
                  </w:pPr>
                  <w:r w:rsidRPr="00C64C70">
                    <w:rPr>
                      <w:rFonts w:asciiTheme="majorBidi" w:hAnsiTheme="majorBidi" w:cstheme="majorBidi"/>
                      <w:b/>
                      <w:sz w:val="24"/>
                      <w:szCs w:val="24"/>
                    </w:rPr>
                    <w:t>O</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Le servant</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Cadi</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Mufti</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Hashmi</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Aouicha</w:t>
                  </w:r>
                </w:p>
                <w:p w:rsidR="006C092A" w:rsidRPr="00C64C70" w:rsidRDefault="006C092A" w:rsidP="006A4EED">
                  <w:pPr>
                    <w:spacing w:after="0" w:line="240" w:lineRule="auto"/>
                    <w:jc w:val="center"/>
                    <w:rPr>
                      <w:rFonts w:asciiTheme="majorBidi" w:hAnsiTheme="majorBidi" w:cstheme="majorBidi"/>
                      <w:sz w:val="24"/>
                      <w:szCs w:val="24"/>
                    </w:rPr>
                  </w:pPr>
                  <w:r w:rsidRPr="00C64C70">
                    <w:rPr>
                      <w:rFonts w:asciiTheme="majorBidi" w:hAnsiTheme="majorBidi" w:cstheme="majorBidi"/>
                      <w:sz w:val="24"/>
                      <w:szCs w:val="24"/>
                    </w:rPr>
                    <w:t>Kaddour</w:t>
                  </w:r>
                </w:p>
                <w:p w:rsidR="006C092A" w:rsidRDefault="006C092A" w:rsidP="006A4EED"/>
              </w:txbxContent>
            </v:textbox>
          </v:rect>
        </w:pict>
      </w:r>
      <w:r w:rsidRPr="00D27910">
        <w:rPr>
          <w:rFonts w:ascii="Times New Roman" w:hAnsi="Times New Roman"/>
          <w:noProof/>
        </w:rPr>
        <w:pict>
          <v:rect id="Rectangle 59" o:spid="_x0000_s1100" style="position:absolute;left:0;text-align:left;margin-left:163.85pt;margin-top:8.8pt;width:94.5pt;height:68.8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" strokecolor="white">
            <v:textbox style="mso-next-textbox:#Rectangle 59">
              <w:txbxContent>
                <w:p w:rsidR="006C092A" w:rsidRPr="00C64C70" w:rsidRDefault="006C092A" w:rsidP="006A4EED">
                  <w:pPr>
                    <w:jc w:val="center"/>
                    <w:rPr>
                      <w:rFonts w:asciiTheme="majorBidi" w:hAnsiTheme="majorBidi" w:cstheme="majorBidi"/>
                      <w:b/>
                      <w:sz w:val="24"/>
                      <w:szCs w:val="24"/>
                    </w:rPr>
                  </w:pPr>
                  <w:r w:rsidRPr="00C64C70">
                    <w:rPr>
                      <w:rFonts w:asciiTheme="majorBidi" w:hAnsiTheme="majorBidi" w:cstheme="majorBidi"/>
                      <w:b/>
                      <w:sz w:val="24"/>
                      <w:szCs w:val="24"/>
                    </w:rPr>
                    <w:t>S</w:t>
                  </w:r>
                </w:p>
                <w:p w:rsidR="006C092A" w:rsidRPr="00C64C70" w:rsidRDefault="006C092A" w:rsidP="006A4EED">
                  <w:pPr>
                    <w:jc w:val="center"/>
                    <w:rPr>
                      <w:rFonts w:asciiTheme="majorBidi" w:hAnsiTheme="majorBidi" w:cstheme="majorBidi"/>
                      <w:sz w:val="24"/>
                      <w:szCs w:val="24"/>
                    </w:rPr>
                  </w:pPr>
                  <w:r w:rsidRPr="00C64C70">
                    <w:rPr>
                      <w:rFonts w:asciiTheme="majorBidi" w:hAnsiTheme="majorBidi" w:cstheme="majorBidi"/>
                      <w:sz w:val="24"/>
                      <w:szCs w:val="24"/>
                    </w:rPr>
                    <w:t>Les marabouts vertueux/Slimane</w:t>
                  </w:r>
                </w:p>
              </w:txbxContent>
            </v:textbox>
          </v:rect>
        </w:pict>
      </w:r>
    </w:p>
    <w:p w:rsidR="006A4EED" w:rsidRPr="003B00C8" w:rsidRDefault="00D27910" w:rsidP="006A4EED">
      <w:pPr>
        <w:autoSpaceDE w:val="0"/>
        <w:autoSpaceDN w:val="0"/>
        <w:adjustRightInd w:val="0"/>
        <w:spacing w:after="0" w:line="360" w:lineRule="auto"/>
        <w:ind w:right="283"/>
        <w:jc w:val="both"/>
        <w:rPr>
          <w:rFonts w:ascii="Times New Roman" w:eastAsia="Times New Roman" w:hAnsi="Times New Roman"/>
          <w:sz w:val="24"/>
          <w:szCs w:val="24"/>
          <w:lang w:eastAsia="fr-FR"/>
        </w:rPr>
      </w:pPr>
      <w:r w:rsidRPr="00D27910">
        <w:rPr>
          <w:rFonts w:ascii="Times New Roman" w:hAnsi="Times New Roman"/>
          <w:noProof/>
        </w:rPr>
        <w:pict>
          <v:shape id="AutoShape 65" o:spid="_x0000_s1106" type="#_x0000_t34" style="position:absolute;left:0;text-align:left;margin-left:253.25pt;margin-top:1.6pt;width:64.5pt;height:.05pt;rotation:180;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" adj="-1256,-206733600,-139647">
            <v:stroke endarrow="block"/>
          </v:shape>
        </w:pict>
      </w:r>
    </w:p>
    <w:p w:rsidR="006A4EED" w:rsidRPr="003B00C8" w:rsidRDefault="006A4EED" w:rsidP="006A4EED">
      <w:pPr>
        <w:autoSpaceDE w:val="0"/>
        <w:autoSpaceDN w:val="0"/>
        <w:adjustRightInd w:val="0"/>
        <w:spacing w:after="0" w:line="360" w:lineRule="auto"/>
        <w:jc w:val="both"/>
        <w:rPr>
          <w:rFonts w:ascii="Times New Roman" w:eastAsia="Times New Roman" w:hAnsi="Times New Roman"/>
          <w:b/>
          <w:bCs/>
          <w:sz w:val="24"/>
          <w:szCs w:val="24"/>
          <w:lang w:eastAsia="fr-FR"/>
        </w:rPr>
      </w:pPr>
    </w:p>
    <w:p w:rsidR="006A4EED" w:rsidRPr="003B00C8" w:rsidRDefault="006A4EED" w:rsidP="006A4EED">
      <w:pPr>
        <w:autoSpaceDE w:val="0"/>
        <w:autoSpaceDN w:val="0"/>
        <w:adjustRightInd w:val="0"/>
        <w:spacing w:after="0" w:line="360" w:lineRule="auto"/>
        <w:jc w:val="both"/>
        <w:rPr>
          <w:rFonts w:ascii="Times New Roman" w:eastAsia="Times New Roman" w:hAnsi="Times New Roman"/>
          <w:b/>
          <w:bCs/>
          <w:sz w:val="24"/>
          <w:szCs w:val="24"/>
          <w:lang w:eastAsia="fr-FR"/>
        </w:rPr>
      </w:pPr>
    </w:p>
    <w:p w:rsidR="006A4EED" w:rsidRPr="003B00C8" w:rsidRDefault="006A4EED" w:rsidP="006A4EED">
      <w:pPr>
        <w:autoSpaceDE w:val="0"/>
        <w:autoSpaceDN w:val="0"/>
        <w:adjustRightInd w:val="0"/>
        <w:spacing w:after="0" w:line="360" w:lineRule="auto"/>
        <w:jc w:val="both"/>
        <w:rPr>
          <w:rFonts w:ascii="Times New Roman" w:eastAsia="Times New Roman" w:hAnsi="Times New Roman"/>
          <w:b/>
          <w:bCs/>
          <w:sz w:val="24"/>
          <w:szCs w:val="24"/>
          <w:lang w:eastAsia="fr-FR"/>
        </w:rPr>
      </w:pPr>
    </w:p>
    <w:p w:rsidR="006A4EED" w:rsidRPr="003B00C8" w:rsidRDefault="006A4EED" w:rsidP="006A4EED">
      <w:pPr>
        <w:autoSpaceDE w:val="0"/>
        <w:autoSpaceDN w:val="0"/>
        <w:adjustRightInd w:val="0"/>
        <w:spacing w:after="0" w:line="360" w:lineRule="auto"/>
        <w:jc w:val="both"/>
        <w:rPr>
          <w:rFonts w:ascii="Times New Roman" w:eastAsia="Times New Roman" w:hAnsi="Times New Roman"/>
          <w:b/>
          <w:bCs/>
          <w:sz w:val="24"/>
          <w:szCs w:val="24"/>
          <w:lang w:eastAsia="fr-FR"/>
        </w:rPr>
      </w:pPr>
    </w:p>
    <w:p w:rsidR="006A4EED" w:rsidRPr="0044664E" w:rsidRDefault="006A4EED" w:rsidP="006A4EED">
      <w:pPr>
        <w:jc w:val="center"/>
        <w:rPr>
          <w:rFonts w:ascii="Times New Roman" w:eastAsia="Times New Roman" w:hAnsi="Times New Roman"/>
          <w:b/>
          <w:bCs/>
          <w:lang w:eastAsia="fr-FR"/>
        </w:rPr>
      </w:pPr>
      <w:r w:rsidRPr="0044664E">
        <w:rPr>
          <w:rFonts w:ascii="Times New Roman" w:hAnsi="Times New Roman"/>
          <w:b/>
          <w:bCs/>
          <w:sz w:val="24"/>
          <w:szCs w:val="24"/>
        </w:rPr>
        <w:t>Figure 5 : Schéma actanciel globa</w:t>
      </w:r>
      <w:r w:rsidRPr="0044664E">
        <w:rPr>
          <w:rFonts w:ascii="Times New Roman" w:eastAsia="Times New Roman" w:hAnsi="Times New Roman"/>
          <w:b/>
          <w:bCs/>
          <w:sz w:val="24"/>
          <w:szCs w:val="24"/>
          <w:lang w:eastAsia="fr-FR"/>
        </w:rPr>
        <w:t>l de la pièce</w:t>
      </w:r>
    </w:p>
    <w:p w:rsidR="0044664E" w:rsidRDefault="0044664E" w:rsidP="0044664E">
      <w:pPr>
        <w:autoSpaceDE w:val="0"/>
        <w:autoSpaceDN w:val="0"/>
        <w:adjustRightInd w:val="0"/>
        <w:spacing w:after="0" w:line="360" w:lineRule="auto"/>
        <w:ind w:firstLine="284"/>
        <w:jc w:val="both"/>
        <w:rPr>
          <w:rFonts w:ascii="Times New Roman" w:eastAsia="Times New Roman" w:hAnsi="Times New Roman"/>
          <w:bCs/>
          <w:sz w:val="24"/>
          <w:szCs w:val="24"/>
          <w:lang w:eastAsia="fr-FR"/>
        </w:rPr>
      </w:pPr>
    </w:p>
    <w:p w:rsidR="00BD01B9" w:rsidRPr="00935153" w:rsidRDefault="006A4EED" w:rsidP="0044664E">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bCs/>
          <w:sz w:val="24"/>
          <w:szCs w:val="24"/>
          <w:lang w:eastAsia="fr-FR"/>
        </w:rPr>
        <w:t xml:space="preserve">Le schéma en sus justifie le titre de la pièce de théâtre </w:t>
      </w:r>
      <w:proofErr w:type="gramStart"/>
      <w:r w:rsidRPr="003B00C8">
        <w:rPr>
          <w:rFonts w:ascii="Times New Roman" w:eastAsia="Times New Roman" w:hAnsi="Times New Roman"/>
          <w:bCs/>
          <w:sz w:val="24"/>
          <w:szCs w:val="24"/>
          <w:lang w:eastAsia="fr-FR"/>
        </w:rPr>
        <w:t xml:space="preserve">de </w:t>
      </w:r>
      <w:r w:rsidRPr="003B00C8">
        <w:rPr>
          <w:rFonts w:ascii="Times New Roman" w:eastAsia="Times New Roman" w:hAnsi="Times New Roman"/>
          <w:sz w:val="24"/>
          <w:szCs w:val="24"/>
          <w:lang w:eastAsia="fr-FR"/>
        </w:rPr>
        <w:t>Ould</w:t>
      </w:r>
      <w:proofErr w:type="gramEnd"/>
      <w:r w:rsidRPr="003B00C8">
        <w:rPr>
          <w:rFonts w:ascii="Times New Roman" w:eastAsia="Times New Roman" w:hAnsi="Times New Roman"/>
          <w:sz w:val="24"/>
          <w:szCs w:val="24"/>
          <w:lang w:eastAsia="fr-FR"/>
        </w:rPr>
        <w:t xml:space="preserve"> Abderrahmane</w:t>
      </w:r>
      <w:r w:rsidR="00BD01B9" w:rsidRPr="00BD01B9">
        <w:rPr>
          <w:rFonts w:ascii="Times New Roman" w:eastAsia="Times New Roman" w:hAnsi="Times New Roman"/>
          <w:sz w:val="24"/>
          <w:szCs w:val="24"/>
          <w:lang w:eastAsia="fr-FR"/>
        </w:rPr>
        <w:t xml:space="preserve"> </w:t>
      </w:r>
      <w:r w:rsidR="00BD01B9" w:rsidRPr="003B00C8">
        <w:rPr>
          <w:rFonts w:ascii="Times New Roman" w:eastAsia="Times New Roman" w:hAnsi="Times New Roman"/>
          <w:sz w:val="24"/>
          <w:szCs w:val="24"/>
          <w:lang w:eastAsia="fr-FR"/>
        </w:rPr>
        <w:t>Kaki</w:t>
      </w:r>
      <w:r w:rsidRPr="003B00C8">
        <w:rPr>
          <w:rFonts w:ascii="Times New Roman" w:eastAsia="Times New Roman" w:hAnsi="Times New Roman"/>
          <w:sz w:val="24"/>
          <w:szCs w:val="24"/>
          <w:lang w:eastAsia="fr-FR"/>
        </w:rPr>
        <w:t>. Il va de soi que les marabouts vertueux en compagnie de Slimane auront tout au long de la pièce de longues et périlleuses aventures. Ces aventures, on le sait bien sont motivées par le désir ardent de souper et de se reposer afin de pouvoir, le ventre plein et les os en forme, accomplir la volonté de Dieu.</w:t>
      </w:r>
    </w:p>
    <w:p w:rsidR="006A4EED" w:rsidRPr="00935153" w:rsidRDefault="006A4EED" w:rsidP="0044664E">
      <w:pPr>
        <w:autoSpaceDE w:val="0"/>
        <w:autoSpaceDN w:val="0"/>
        <w:adjustRightInd w:val="0"/>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 xml:space="preserve">e porteur d'eau et les marabouts </w:t>
      </w:r>
      <w:r w:rsidRPr="003B00C8">
        <w:rPr>
          <w:rFonts w:ascii="Times New Roman" w:eastAsia="Times New Roman" w:hAnsi="Times New Roman"/>
          <w:bCs/>
          <w:iCs/>
          <w:sz w:val="24"/>
          <w:szCs w:val="24"/>
          <w:lang w:eastAsia="fr-FR"/>
        </w:rPr>
        <w:t>prend donc sens de « Slimane et les anges : Missionnaires de Dieu à Béni-Dahane.»</w:t>
      </w:r>
    </w:p>
    <w:p w:rsidR="00D10CBC" w:rsidRDefault="00D10CBC" w:rsidP="00C21500">
      <w:pPr>
        <w:pStyle w:val="Titre3"/>
        <w:spacing w:before="0" w:after="0" w:line="360" w:lineRule="auto"/>
        <w:ind w:left="641" w:hanging="357"/>
        <w:jc w:val="both"/>
        <w:rPr>
          <w:rFonts w:ascii="Times New Roman" w:hAnsi="Times New Roman" w:cs="Times New Roman"/>
          <w:sz w:val="24"/>
          <w:szCs w:val="24"/>
        </w:rPr>
      </w:pPr>
    </w:p>
    <w:p w:rsidR="006A4EED" w:rsidRPr="00C21500" w:rsidRDefault="00C21500" w:rsidP="00C21500">
      <w:pPr>
        <w:pStyle w:val="Titre3"/>
        <w:spacing w:before="0" w:after="0" w:line="360" w:lineRule="auto"/>
        <w:ind w:left="641" w:hanging="357"/>
        <w:jc w:val="both"/>
        <w:rPr>
          <w:rFonts w:ascii="Times New Roman" w:hAnsi="Times New Roman" w:cs="Times New Roman"/>
          <w:sz w:val="24"/>
          <w:szCs w:val="24"/>
        </w:rPr>
      </w:pPr>
      <w:bookmarkStart w:id="94" w:name="_Toc471484465"/>
      <w:r w:rsidRPr="00C21500">
        <w:rPr>
          <w:rFonts w:ascii="Times New Roman" w:hAnsi="Times New Roman" w:cs="Times New Roman"/>
          <w:sz w:val="24"/>
          <w:szCs w:val="24"/>
        </w:rPr>
        <w:t>4. Le</w:t>
      </w:r>
      <w:r w:rsidR="006A4EED" w:rsidRPr="00C21500">
        <w:rPr>
          <w:rFonts w:ascii="Times New Roman" w:hAnsi="Times New Roman" w:cs="Times New Roman"/>
          <w:sz w:val="24"/>
          <w:szCs w:val="24"/>
        </w:rPr>
        <w:t xml:space="preserve"> système verbo-temporel</w:t>
      </w:r>
      <w:bookmarkEnd w:id="94"/>
      <w:r w:rsidR="006A4EED" w:rsidRPr="00C21500">
        <w:rPr>
          <w:rFonts w:ascii="Times New Roman" w:hAnsi="Times New Roman" w:cs="Times New Roman"/>
          <w:sz w:val="24"/>
          <w:szCs w:val="24"/>
        </w:rPr>
        <w:t xml:space="preserve"> </w:t>
      </w:r>
    </w:p>
    <w:p w:rsidR="00BD01B9" w:rsidRDefault="006A4EED" w:rsidP="00C21500">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Grevisse (1990 : 1337) définit le verbe comme </w:t>
      </w:r>
      <w:r w:rsidR="00C21500" w:rsidRPr="00C21500">
        <w:rPr>
          <w:rFonts w:ascii="Times New Roman" w:eastAsia="Times New Roman" w:hAnsi="Times New Roman"/>
          <w:sz w:val="24"/>
          <w:szCs w:val="24"/>
          <w:lang w:eastAsia="fr-FR"/>
        </w:rPr>
        <w:t>«</w:t>
      </w:r>
      <w:r w:rsidRPr="00C21500">
        <w:rPr>
          <w:rFonts w:ascii="Times New Roman" w:eastAsia="Times New Roman" w:hAnsi="Times New Roman"/>
          <w:sz w:val="24"/>
          <w:szCs w:val="24"/>
          <w:lang w:eastAsia="fr-FR"/>
        </w:rPr>
        <w:t>un mot qui exprime soit l’action faite ou subie par le sujet, soit l’existence ou l’état du sujet, soit l’union de l’attribut au sujet</w:t>
      </w:r>
      <w:r w:rsidR="00C21500" w:rsidRPr="00C21500">
        <w:rPr>
          <w:rFonts w:ascii="Times New Roman" w:eastAsia="Times New Roman" w:hAnsi="Times New Roman"/>
          <w:sz w:val="24"/>
          <w:szCs w:val="24"/>
          <w:lang w:eastAsia="fr-FR"/>
        </w:rPr>
        <w:t> »</w:t>
      </w:r>
      <w:r w:rsidRPr="00C21500">
        <w:rPr>
          <w:rFonts w:ascii="Times New Roman" w:eastAsia="Times New Roman" w:hAnsi="Times New Roman"/>
          <w:sz w:val="24"/>
          <w:szCs w:val="24"/>
          <w:lang w:eastAsia="fr-FR"/>
        </w:rPr>
        <w:t>. Selon cette définition, le verbe = mot d</w:t>
      </w:r>
      <w:r w:rsidRPr="003B00C8">
        <w:rPr>
          <w:rFonts w:ascii="Times New Roman" w:eastAsia="Times New Roman" w:hAnsi="Times New Roman"/>
          <w:sz w:val="24"/>
          <w:szCs w:val="24"/>
          <w:lang w:eastAsia="fr-FR"/>
        </w:rPr>
        <w:t xml:space="preserve">’action + mot d’état + </w:t>
      </w:r>
      <w:r w:rsidRPr="003B00C8">
        <w:rPr>
          <w:rFonts w:ascii="Times New Roman" w:eastAsia="Times New Roman" w:hAnsi="Times New Roman"/>
          <w:sz w:val="24"/>
          <w:szCs w:val="24"/>
          <w:lang w:eastAsia="fr-FR"/>
        </w:rPr>
        <w:lastRenderedPageBreak/>
        <w:t xml:space="preserve">mot d’union. Cette énumération est d’ailleurs reprise chez Grevisse sous le chapiteau de procès </w:t>
      </w:r>
      <w:r w:rsidRPr="006A7487">
        <w:rPr>
          <w:rFonts w:ascii="Times New Roman" w:eastAsia="Times New Roman" w:hAnsi="Times New Roman"/>
          <w:sz w:val="24"/>
          <w:szCs w:val="24"/>
          <w:lang w:eastAsia="fr-FR"/>
        </w:rPr>
        <w:t>(ce qui s’avance, ce qui se passe, ce qui se déroule dans le temps. Dans la mesure où u</w:t>
      </w:r>
      <w:r w:rsidRPr="003B00C8">
        <w:rPr>
          <w:rFonts w:ascii="Times New Roman" w:eastAsia="Times New Roman" w:hAnsi="Times New Roman"/>
          <w:sz w:val="24"/>
          <w:szCs w:val="24"/>
          <w:lang w:eastAsia="fr-FR"/>
        </w:rPr>
        <w:t xml:space="preserve">n texte est avant tout un procès de communication qui suppose l’expression du sujet énonciatif tout au long du processus événementiel d’une œuvre, cette définition du verbe nous suggère d’étudier, le jeu des temps et des modes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Kaki.</w:t>
      </w:r>
    </w:p>
    <w:p w:rsidR="00BD01B9" w:rsidRDefault="006A4EED" w:rsidP="0085315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L’item </w:t>
      </w:r>
      <w:r w:rsidRPr="003B00C8">
        <w:rPr>
          <w:rFonts w:ascii="Times New Roman" w:eastAsia="Times New Roman" w:hAnsi="Times New Roman"/>
          <w:i/>
          <w:iCs/>
          <w:sz w:val="24"/>
          <w:szCs w:val="24"/>
          <w:lang w:eastAsia="fr-FR"/>
        </w:rPr>
        <w:t xml:space="preserve">temporalité </w:t>
      </w:r>
      <w:r w:rsidRPr="003B00C8">
        <w:rPr>
          <w:rFonts w:ascii="Times New Roman" w:eastAsia="Times New Roman" w:hAnsi="Times New Roman"/>
          <w:sz w:val="24"/>
          <w:szCs w:val="24"/>
          <w:lang w:eastAsia="fr-FR"/>
        </w:rPr>
        <w:t xml:space="preserve">se rapporte à </w:t>
      </w:r>
      <w:r w:rsidRPr="003B00C8">
        <w:rPr>
          <w:rFonts w:ascii="Times New Roman" w:eastAsia="Times New Roman" w:hAnsi="Times New Roman"/>
          <w:i/>
          <w:iCs/>
          <w:sz w:val="24"/>
          <w:szCs w:val="24"/>
          <w:lang w:eastAsia="fr-FR"/>
        </w:rPr>
        <w:t>temporel</w:t>
      </w:r>
      <w:r w:rsidRPr="003B00C8">
        <w:rPr>
          <w:rFonts w:ascii="Times New Roman" w:eastAsia="Times New Roman" w:hAnsi="Times New Roman"/>
          <w:sz w:val="24"/>
          <w:szCs w:val="24"/>
          <w:lang w:eastAsia="fr-FR"/>
        </w:rPr>
        <w:t xml:space="preserve">, adjectif dérivé du latin </w:t>
      </w:r>
      <w:r w:rsidRPr="003B00C8">
        <w:rPr>
          <w:rFonts w:ascii="Times New Roman" w:eastAsia="Times New Roman" w:hAnsi="Times New Roman"/>
          <w:i/>
          <w:iCs/>
          <w:sz w:val="24"/>
          <w:szCs w:val="24"/>
          <w:lang w:eastAsia="fr-FR"/>
        </w:rPr>
        <w:t xml:space="preserve">temporalis </w:t>
      </w:r>
      <w:r w:rsidRPr="003B00C8">
        <w:rPr>
          <w:rFonts w:ascii="Times New Roman" w:eastAsia="Times New Roman" w:hAnsi="Times New Roman"/>
          <w:sz w:val="24"/>
          <w:szCs w:val="24"/>
          <w:lang w:eastAsia="fr-FR"/>
        </w:rPr>
        <w:t xml:space="preserve">signifiant </w:t>
      </w:r>
      <w:r w:rsidRPr="003B00C8">
        <w:rPr>
          <w:rFonts w:ascii="Times New Roman" w:eastAsia="Times New Roman" w:hAnsi="Times New Roman"/>
          <w:i/>
          <w:iCs/>
          <w:sz w:val="24"/>
          <w:szCs w:val="24"/>
          <w:lang w:eastAsia="fr-FR"/>
        </w:rPr>
        <w:t>qui passe avec le temps</w:t>
      </w:r>
      <w:r w:rsidRPr="003B00C8">
        <w:rPr>
          <w:rFonts w:ascii="Times New Roman" w:eastAsia="Times New Roman" w:hAnsi="Times New Roman"/>
          <w:sz w:val="24"/>
          <w:szCs w:val="24"/>
          <w:lang w:eastAsia="fr-FR"/>
        </w:rPr>
        <w:t xml:space="preserve">, par opposition à </w:t>
      </w:r>
      <w:r w:rsidRPr="003B00C8">
        <w:rPr>
          <w:rFonts w:ascii="Times New Roman" w:eastAsia="Times New Roman" w:hAnsi="Times New Roman"/>
          <w:i/>
          <w:iCs/>
          <w:sz w:val="24"/>
          <w:szCs w:val="24"/>
          <w:lang w:eastAsia="fr-FR"/>
        </w:rPr>
        <w:t>éternel</w:t>
      </w:r>
      <w:r w:rsidRPr="003B00C8">
        <w:rPr>
          <w:rFonts w:ascii="Times New Roman" w:eastAsia="Times New Roman" w:hAnsi="Times New Roman"/>
          <w:sz w:val="24"/>
          <w:szCs w:val="24"/>
          <w:lang w:eastAsia="fr-FR"/>
        </w:rPr>
        <w:t xml:space="preserve">. Ce mot comporte un large spectre de connotations. Au terme </w:t>
      </w:r>
      <w:r w:rsidRPr="003B00C8">
        <w:rPr>
          <w:rFonts w:ascii="Times New Roman" w:eastAsia="Times New Roman" w:hAnsi="Times New Roman"/>
          <w:i/>
          <w:iCs/>
          <w:sz w:val="24"/>
          <w:szCs w:val="24"/>
          <w:lang w:eastAsia="fr-FR"/>
        </w:rPr>
        <w:t>temps</w:t>
      </w:r>
      <w:r w:rsidRPr="003B00C8">
        <w:rPr>
          <w:rFonts w:ascii="Times New Roman" w:eastAsia="Times New Roman" w:hAnsi="Times New Roman"/>
          <w:sz w:val="24"/>
          <w:szCs w:val="24"/>
          <w:lang w:eastAsia="fr-FR"/>
        </w:rPr>
        <w:t xml:space="preserve">, peuvent se rattacher les adjectifs épithètes postposés </w:t>
      </w:r>
      <w:r w:rsidRPr="0085315B">
        <w:rPr>
          <w:rFonts w:ascii="Times New Roman" w:eastAsia="Times New Roman" w:hAnsi="Times New Roman"/>
          <w:sz w:val="24"/>
          <w:szCs w:val="24"/>
          <w:lang w:eastAsia="fr-FR"/>
        </w:rPr>
        <w:t>verbal, météorologique, chronologique, psychologique</w:t>
      </w:r>
      <w:r w:rsidRPr="003B00C8">
        <w:rPr>
          <w:rFonts w:ascii="Times New Roman" w:eastAsia="Times New Roman" w:hAnsi="Times New Roman"/>
          <w:sz w:val="24"/>
          <w:szCs w:val="24"/>
          <w:lang w:eastAsia="fr-FR"/>
        </w:rPr>
        <w:t xml:space="preserve">, etc. Seul le premier qualificatif, à savoir </w:t>
      </w:r>
      <w:r w:rsidRPr="003B00C8">
        <w:rPr>
          <w:rFonts w:ascii="Times New Roman" w:eastAsia="Times New Roman" w:hAnsi="Times New Roman"/>
          <w:i/>
          <w:iCs/>
          <w:sz w:val="24"/>
          <w:szCs w:val="24"/>
          <w:lang w:eastAsia="fr-FR"/>
        </w:rPr>
        <w:t xml:space="preserve">verbal </w:t>
      </w:r>
      <w:r w:rsidRPr="003B00C8">
        <w:rPr>
          <w:rFonts w:ascii="Times New Roman" w:eastAsia="Times New Roman" w:hAnsi="Times New Roman"/>
          <w:sz w:val="24"/>
          <w:szCs w:val="24"/>
          <w:lang w:eastAsia="fr-FR"/>
        </w:rPr>
        <w:t>(temps verbal) fera l’objet de nos préoccupations dans le cadre de cette étude.</w:t>
      </w:r>
    </w:p>
    <w:p w:rsidR="006A4EED" w:rsidRPr="0085315B" w:rsidRDefault="006A4EED" w:rsidP="0085315B">
      <w:pPr>
        <w:spacing w:after="0" w:line="360" w:lineRule="auto"/>
        <w:ind w:firstLine="284"/>
        <w:jc w:val="both"/>
        <w:rPr>
          <w:rFonts w:asciiTheme="majorBidi" w:hAnsiTheme="majorBidi" w:cstheme="majorBidi"/>
          <w:sz w:val="24"/>
          <w:szCs w:val="24"/>
          <w:lang w:eastAsia="fr-FR"/>
        </w:rPr>
      </w:pPr>
      <w:r w:rsidRPr="003B00C8">
        <w:rPr>
          <w:rFonts w:ascii="Times New Roman" w:eastAsia="Times New Roman" w:hAnsi="Times New Roman"/>
          <w:sz w:val="24"/>
          <w:szCs w:val="24"/>
          <w:lang w:eastAsia="fr-FR"/>
        </w:rPr>
        <w:t xml:space="preserve">Parlant de temps verbal, </w:t>
      </w:r>
      <w:r w:rsidRPr="001739B3">
        <w:rPr>
          <w:rFonts w:ascii="Times New Roman" w:hAnsi="Times New Roman"/>
          <w:sz w:val="24"/>
          <w:szCs w:val="24"/>
        </w:rPr>
        <w:t>Louis-Martin Onguéné Essono</w:t>
      </w:r>
      <w:r>
        <w:rPr>
          <w:rFonts w:ascii="Times New Roman" w:hAnsi="Times New Roman"/>
          <w:sz w:val="24"/>
          <w:szCs w:val="24"/>
        </w:rPr>
        <w:t xml:space="preserve"> de la </w:t>
      </w:r>
      <w:r w:rsidRPr="001739B3">
        <w:rPr>
          <w:rFonts w:ascii="Times New Roman" w:hAnsi="Times New Roman"/>
          <w:sz w:val="24"/>
          <w:szCs w:val="24"/>
        </w:rPr>
        <w:t>Faculté des Arts, Lettres et Sciences Humaines Université de Yaoundé 1, Cameroun</w:t>
      </w:r>
      <w:r>
        <w:rPr>
          <w:rFonts w:ascii="Times New Roman" w:hAnsi="Times New Roman"/>
          <w:sz w:val="24"/>
          <w:szCs w:val="24"/>
        </w:rPr>
        <w:t xml:space="preserve">, </w:t>
      </w:r>
      <w:r w:rsidRPr="003B00C8">
        <w:rPr>
          <w:rFonts w:ascii="Times New Roman" w:eastAsia="Times New Roman" w:hAnsi="Times New Roman"/>
          <w:sz w:val="24"/>
          <w:szCs w:val="24"/>
          <w:lang w:eastAsia="fr-FR"/>
        </w:rPr>
        <w:t>observe que </w:t>
      </w:r>
      <w:r w:rsidR="0085315B" w:rsidRPr="0085315B">
        <w:rPr>
          <w:rFonts w:asciiTheme="majorBidi" w:eastAsia="Times New Roman" w:hAnsiTheme="majorBidi" w:cstheme="majorBidi"/>
          <w:sz w:val="24"/>
          <w:szCs w:val="24"/>
          <w:lang w:eastAsia="fr-FR"/>
        </w:rPr>
        <w:t>«</w:t>
      </w:r>
      <w:r w:rsidR="0085315B">
        <w:rPr>
          <w:rFonts w:asciiTheme="majorBidi" w:eastAsia="Times New Roman" w:hAnsiTheme="majorBidi" w:cstheme="majorBidi"/>
          <w:sz w:val="24"/>
          <w:szCs w:val="24"/>
          <w:lang w:eastAsia="fr-FR"/>
        </w:rPr>
        <w:t xml:space="preserve"> p</w:t>
      </w:r>
      <w:r w:rsidRPr="0085315B">
        <w:rPr>
          <w:rFonts w:asciiTheme="majorBidi" w:hAnsiTheme="majorBidi" w:cstheme="majorBidi"/>
          <w:sz w:val="24"/>
          <w:szCs w:val="24"/>
          <w:lang w:eastAsia="fr-FR"/>
        </w:rPr>
        <w:t>our les uns, le temps marque le moment de l’état ou de l’action, pour les autres, il établit entre les actions ou les états, des rapports de simultanéité, d’antériorité ou de postérité (sic), pour d’autres encore, le temps est une époque unique, « intemporelle » en quelque sorte</w:t>
      </w:r>
      <w:r w:rsidR="0085315B" w:rsidRPr="0085315B">
        <w:rPr>
          <w:rFonts w:asciiTheme="majorBidi" w:hAnsiTheme="majorBidi" w:cstheme="majorBidi"/>
          <w:sz w:val="24"/>
          <w:szCs w:val="24"/>
          <w:lang w:eastAsia="fr-FR"/>
        </w:rPr>
        <w:t> »</w:t>
      </w:r>
      <w:r w:rsidRPr="0085315B">
        <w:rPr>
          <w:rStyle w:val="Appelnotedebasdep"/>
          <w:rFonts w:asciiTheme="majorBidi" w:hAnsiTheme="majorBidi" w:cstheme="majorBidi"/>
          <w:sz w:val="24"/>
          <w:szCs w:val="24"/>
          <w:lang w:eastAsia="fr-FR"/>
        </w:rPr>
        <w:footnoteReference w:id="172"/>
      </w:r>
      <w:r w:rsidR="0085315B" w:rsidRPr="0085315B">
        <w:rPr>
          <w:rFonts w:asciiTheme="majorBidi" w:hAnsiTheme="majorBidi" w:cstheme="majorBidi"/>
          <w:sz w:val="24"/>
          <w:szCs w:val="24"/>
          <w:lang w:eastAsia="fr-FR"/>
        </w:rPr>
        <w:t>.</w:t>
      </w:r>
    </w:p>
    <w:p w:rsidR="00BD01B9" w:rsidRDefault="006A4EED" w:rsidP="007C09AA">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Il est une lapalissade : quand on parle de temps de manière globale, l’on perçoit, sur le plan mémoriel, les trois tiroirs temporels ci-après: le passé, le présent et le futur. Pour Grevisse (1975 : 613), le temps désigne </w:t>
      </w:r>
      <w:r w:rsidRPr="007C09AA">
        <w:rPr>
          <w:rFonts w:ascii="Times New Roman" w:eastAsia="Times New Roman" w:hAnsi="Times New Roman"/>
          <w:sz w:val="24"/>
          <w:szCs w:val="24"/>
          <w:lang w:eastAsia="fr-FR"/>
        </w:rPr>
        <w:t>les formes que prend le verbe pour indiquer à quel moment de la durée on situe le fait dont il s’agit.</w:t>
      </w:r>
      <w:r w:rsidRPr="003B00C8">
        <w:rPr>
          <w:rFonts w:ascii="Times New Roman" w:eastAsia="Times New Roman" w:hAnsi="Times New Roman"/>
          <w:i/>
          <w:iCs/>
          <w:sz w:val="24"/>
          <w:szCs w:val="24"/>
          <w:lang w:eastAsia="fr-FR"/>
        </w:rPr>
        <w:t xml:space="preserve"> </w:t>
      </w:r>
      <w:r w:rsidRPr="003B00C8">
        <w:rPr>
          <w:rFonts w:ascii="Times New Roman" w:eastAsia="Times New Roman" w:hAnsi="Times New Roman"/>
          <w:sz w:val="24"/>
          <w:szCs w:val="24"/>
          <w:lang w:eastAsia="fr-FR"/>
        </w:rPr>
        <w:t>Ce qui est important dans cette citation, c’est l’aptitude du verbe - expression du procès - à se situer dans un temps ou dans un moment précis. Cela ne relève pas du hasard. Car, dans un récit, les mouvements se suivent et chaque mouvement qui s’inscrit dans un moment chronologique quelconque donne, à sa manière, un sens et une signification au récit.</w:t>
      </w:r>
    </w:p>
    <w:p w:rsidR="006A4EED" w:rsidRPr="003B00C8" w:rsidRDefault="006A4EED" w:rsidP="00647B84">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Pour étudier la notion de temps tel que définit en sus dans notre corpus, nous comptons ressasser tous les modes en présence dans la pièce de théâtre à partir de </w:t>
      </w:r>
      <w:r w:rsidRPr="003B00C8">
        <w:rPr>
          <w:rFonts w:ascii="Times New Roman" w:eastAsia="Times New Roman" w:hAnsi="Times New Roman"/>
          <w:sz w:val="24"/>
          <w:szCs w:val="24"/>
          <w:lang w:eastAsia="fr-FR"/>
        </w:rPr>
        <w:lastRenderedPageBreak/>
        <w:t xml:space="preserve">leurs différents temps verbaux. Concernant les modes, quatre (04) figurent dans le texte </w:t>
      </w:r>
      <w:proofErr w:type="gramStart"/>
      <w:r w:rsidRPr="003B00C8">
        <w:rPr>
          <w:rFonts w:ascii="Times New Roman" w:eastAsia="Times New Roman" w:hAnsi="Times New Roman"/>
          <w:sz w:val="24"/>
          <w:szCs w:val="24"/>
          <w:lang w:eastAsia="fr-FR"/>
        </w:rPr>
        <w:t>de Ould</w:t>
      </w:r>
      <w:proofErr w:type="gramEnd"/>
      <w:r w:rsidRPr="003B00C8">
        <w:rPr>
          <w:rFonts w:ascii="Times New Roman" w:eastAsia="Times New Roman" w:hAnsi="Times New Roman"/>
          <w:sz w:val="24"/>
          <w:szCs w:val="24"/>
          <w:lang w:eastAsia="fr-FR"/>
        </w:rPr>
        <w:t xml:space="preserve"> Abderrahmane </w:t>
      </w:r>
      <w:r w:rsidR="00BD01B9" w:rsidRPr="003B00C8">
        <w:rPr>
          <w:rFonts w:ascii="Times New Roman" w:eastAsia="Times New Roman" w:hAnsi="Times New Roman"/>
          <w:sz w:val="24"/>
          <w:szCs w:val="24"/>
          <w:lang w:eastAsia="fr-FR"/>
        </w:rPr>
        <w:t xml:space="preserve">Kaki </w:t>
      </w:r>
      <w:r w:rsidRPr="003B00C8">
        <w:rPr>
          <w:rFonts w:ascii="Times New Roman" w:eastAsia="Times New Roman" w:hAnsi="Times New Roman"/>
          <w:sz w:val="24"/>
          <w:szCs w:val="24"/>
          <w:lang w:eastAsia="fr-FR"/>
        </w:rPr>
        <w:t>à savoir :</w:t>
      </w:r>
    </w:p>
    <w:p w:rsidR="006A4EED" w:rsidRPr="003B00C8" w:rsidRDefault="006A4EED" w:rsidP="00230C65">
      <w:pPr>
        <w:pStyle w:val="Paragraphedeliste"/>
        <w:numPr>
          <w:ilvl w:val="0"/>
          <w:numId w:val="19"/>
        </w:numPr>
        <w:autoSpaceDE w:val="0"/>
        <w:autoSpaceDN w:val="0"/>
        <w:adjustRightInd w:val="0"/>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l’impératif</w:t>
      </w:r>
    </w:p>
    <w:p w:rsidR="006A4EED" w:rsidRPr="003B00C8" w:rsidRDefault="006A4EED" w:rsidP="00230C65">
      <w:pPr>
        <w:pStyle w:val="Paragraphedeliste"/>
        <w:numPr>
          <w:ilvl w:val="0"/>
          <w:numId w:val="19"/>
        </w:numPr>
        <w:autoSpaceDE w:val="0"/>
        <w:autoSpaceDN w:val="0"/>
        <w:adjustRightInd w:val="0"/>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l’indicatif</w:t>
      </w:r>
    </w:p>
    <w:p w:rsidR="006A4EED" w:rsidRPr="003B00C8" w:rsidRDefault="006A4EED" w:rsidP="00230C65">
      <w:pPr>
        <w:pStyle w:val="Paragraphedeliste"/>
        <w:numPr>
          <w:ilvl w:val="0"/>
          <w:numId w:val="19"/>
        </w:numPr>
        <w:autoSpaceDE w:val="0"/>
        <w:autoSpaceDN w:val="0"/>
        <w:adjustRightInd w:val="0"/>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 conditionnel</w:t>
      </w:r>
    </w:p>
    <w:p w:rsidR="006A4EED" w:rsidRPr="00935153" w:rsidRDefault="006A4EED" w:rsidP="00230C65">
      <w:pPr>
        <w:pStyle w:val="Paragraphedeliste"/>
        <w:numPr>
          <w:ilvl w:val="0"/>
          <w:numId w:val="19"/>
        </w:numPr>
        <w:autoSpaceDE w:val="0"/>
        <w:autoSpaceDN w:val="0"/>
        <w:adjustRightInd w:val="0"/>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 subjonctif</w:t>
      </w:r>
    </w:p>
    <w:p w:rsidR="006A4EED" w:rsidRPr="003B00C8" w:rsidRDefault="00B52A0B" w:rsidP="00B52A0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À</w:t>
      </w:r>
      <w:r w:rsidR="006A4EED" w:rsidRPr="003B00C8">
        <w:rPr>
          <w:rFonts w:ascii="Times New Roman" w:eastAsia="Times New Roman" w:hAnsi="Times New Roman"/>
          <w:sz w:val="24"/>
          <w:szCs w:val="24"/>
          <w:lang w:eastAsia="fr-FR"/>
        </w:rPr>
        <w:t xml:space="preserve"> ces quatre modes qui déclinent chacun une valeur précise, s’ajoute la valeur gnomique ou de vérité générale dévolue au présent.</w:t>
      </w:r>
    </w:p>
    <w:p w:rsidR="00E3447A" w:rsidRDefault="006A4EED" w:rsidP="00B52A0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L’impératif est généralement perçu comme l’expression de l’ordre, de l’exhortation, de l’invite, du conseil, etc. Du latin « modus imperativus », le mode impératif se retrouve  dans le premier acte du texte où le personnage principal de Kaki, à travers la réplique virile qu’il adresse au Derviche, sollicite de celui-ci une révision de sa position et un discours autre, plus mélioratif sur les porteurs d’eau. Cette invite est prise en charge par les syntagmes </w:t>
      </w:r>
      <w:r w:rsidRPr="003B00C8">
        <w:rPr>
          <w:rFonts w:ascii="Times New Roman" w:eastAsia="Times New Roman" w:hAnsi="Times New Roman"/>
          <w:i/>
          <w:sz w:val="24"/>
          <w:szCs w:val="24"/>
          <w:lang w:eastAsia="fr-FR"/>
        </w:rPr>
        <w:t>Dis à ces gens</w:t>
      </w:r>
      <w:r w:rsidRPr="003B00C8">
        <w:rPr>
          <w:rFonts w:ascii="Times New Roman" w:eastAsia="Times New Roman" w:hAnsi="Times New Roman"/>
          <w:i/>
          <w:iCs/>
          <w:sz w:val="24"/>
          <w:szCs w:val="24"/>
          <w:lang w:eastAsia="fr-FR"/>
        </w:rPr>
        <w:t xml:space="preserve"> </w:t>
      </w:r>
      <w:r w:rsidRPr="003B00C8">
        <w:rPr>
          <w:rFonts w:ascii="Times New Roman" w:eastAsia="Times New Roman" w:hAnsi="Times New Roman"/>
          <w:sz w:val="24"/>
          <w:szCs w:val="24"/>
          <w:lang w:eastAsia="fr-FR"/>
        </w:rPr>
        <w:t>(2 fois) p.04. Ces occurrences représentent en fait soit des suppliques fortes que Slimane intime afin d’amener celui à qui il s’adresse à adhérer à la thèse de l’utilité de ce métier qui n’est pour autant pas sot, soit une expression servant à relancer le récit en introduisant un dialogue avec le narrataire auquel il s’adresse.</w:t>
      </w:r>
    </w:p>
    <w:p w:rsidR="00E3447A" w:rsidRDefault="006A4EED" w:rsidP="00B52A0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L’indicatif est le mode par excellence de la réalité. A travers lui, le procès est situé dans un temps chronologique précis. C’est le mode du réel.</w:t>
      </w:r>
    </w:p>
    <w:p w:rsidR="006A4EED" w:rsidRPr="003B00C8" w:rsidRDefault="006A4EED" w:rsidP="00B52A0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 conditionnel que certaines grammaires modernes considèrent comme le futur du passé est le mode du souhait, de la volition.</w:t>
      </w:r>
    </w:p>
    <w:p w:rsidR="00E3447A" w:rsidRDefault="006A4EED" w:rsidP="008F068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 subjonctif, quant à lui, apparaît comme le mode de l’irréel, de la virtualité. Le procès ici est situé sur un plan intentionnel.</w:t>
      </w:r>
    </w:p>
    <w:p w:rsidR="008F0682" w:rsidRDefault="006A4EED" w:rsidP="008F068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Pour ce qui est des temps verbaux, il nous semble judicieux de nous appuyer sur cette dichotomie séduisante entre monde raconté et monde commenté proposé par Weinrich que nous reprenons (2006 :199). Nous avons ici une distribution en deux listes des principaux temps du français : les commentatifs (passé composé, présent, futur) et les narratifs (plus-que-parfait, passé antérieur, imparfait, passé simple, conditionnel). </w:t>
      </w:r>
    </w:p>
    <w:p w:rsidR="00460DFD" w:rsidRDefault="00460DFD" w:rsidP="008F0682">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460DFD" w:rsidRDefault="00460DFD" w:rsidP="008F0682">
      <w:pPr>
        <w:autoSpaceDE w:val="0"/>
        <w:autoSpaceDN w:val="0"/>
        <w:adjustRightInd w:val="0"/>
        <w:spacing w:after="0" w:line="360" w:lineRule="auto"/>
        <w:ind w:firstLine="284"/>
        <w:jc w:val="both"/>
        <w:rPr>
          <w:rFonts w:ascii="Times New Roman" w:eastAsia="Times New Roman" w:hAnsi="Times New Roman"/>
          <w:sz w:val="24"/>
          <w:szCs w:val="24"/>
          <w:lang w:eastAsia="fr-FR"/>
        </w:rPr>
      </w:pPr>
    </w:p>
    <w:p w:rsidR="006A4EED" w:rsidRDefault="006A4EED" w:rsidP="008F068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Examinons maintenant de près l’usage que Kaki en fait dans son texte théâtral.</w:t>
      </w:r>
    </w:p>
    <w:tbl>
      <w:tblPr>
        <w:tblStyle w:val="Grilleclaire-Accent2"/>
        <w:tblW w:w="0" w:type="auto"/>
        <w:tblLook w:val="04A0"/>
      </w:tblPr>
      <w:tblGrid>
        <w:gridCol w:w="2759"/>
        <w:gridCol w:w="2752"/>
        <w:gridCol w:w="2699"/>
      </w:tblGrid>
      <w:tr w:rsidR="006A4EED" w:rsidRPr="00FB3F65" w:rsidTr="00460DFD">
        <w:trPr>
          <w:cnfStyle w:val="100000000000"/>
        </w:trPr>
        <w:tc>
          <w:tcPr>
            <w:cnfStyle w:val="001000000000"/>
            <w:tcW w:w="2759" w:type="dxa"/>
          </w:tcPr>
          <w:p w:rsidR="006A4EED" w:rsidRPr="00F803CE" w:rsidRDefault="00256E37" w:rsidP="00FB3F65">
            <w:pPr>
              <w:spacing w:after="0" w:line="360" w:lineRule="auto"/>
              <w:ind w:right="283"/>
              <w:jc w:val="center"/>
              <w:rPr>
                <w:rFonts w:asciiTheme="majorBidi" w:eastAsia="Times New Roman" w:hAnsiTheme="majorBidi" w:cstheme="majorBidi"/>
                <w:bCs w:val="0"/>
                <w:lang w:eastAsia="fr-FR"/>
              </w:rPr>
            </w:pPr>
            <w:r w:rsidRPr="00F803CE">
              <w:rPr>
                <w:rFonts w:asciiTheme="majorBidi" w:eastAsia="Times New Roman" w:hAnsiTheme="majorBidi" w:cstheme="majorBidi"/>
                <w:bCs w:val="0"/>
                <w:lang w:eastAsia="fr-FR"/>
              </w:rPr>
              <w:t>Modes</w:t>
            </w:r>
          </w:p>
        </w:tc>
        <w:tc>
          <w:tcPr>
            <w:tcW w:w="2752" w:type="dxa"/>
          </w:tcPr>
          <w:p w:rsidR="006A4EED" w:rsidRPr="00F803CE" w:rsidRDefault="00256E37" w:rsidP="00FB3F65">
            <w:pPr>
              <w:spacing w:after="0" w:line="360" w:lineRule="auto"/>
              <w:ind w:right="283"/>
              <w:jc w:val="center"/>
              <w:cnfStyle w:val="100000000000"/>
              <w:rPr>
                <w:rFonts w:asciiTheme="majorBidi" w:eastAsia="Times New Roman" w:hAnsiTheme="majorBidi" w:cstheme="majorBidi"/>
                <w:bCs w:val="0"/>
                <w:lang w:eastAsia="fr-FR"/>
              </w:rPr>
            </w:pPr>
            <w:r w:rsidRPr="00F803CE">
              <w:rPr>
                <w:rFonts w:asciiTheme="majorBidi" w:eastAsia="Times New Roman" w:hAnsiTheme="majorBidi" w:cstheme="majorBidi"/>
                <w:bCs w:val="0"/>
                <w:lang w:eastAsia="fr-FR"/>
              </w:rPr>
              <w:t>Temps Verbaux</w:t>
            </w:r>
          </w:p>
        </w:tc>
        <w:tc>
          <w:tcPr>
            <w:tcW w:w="2699" w:type="dxa"/>
          </w:tcPr>
          <w:p w:rsidR="006A4EED" w:rsidRPr="00F803CE" w:rsidRDefault="00256E37" w:rsidP="00FB3F65">
            <w:pPr>
              <w:spacing w:after="0" w:line="360" w:lineRule="auto"/>
              <w:ind w:right="283"/>
              <w:jc w:val="center"/>
              <w:cnfStyle w:val="100000000000"/>
              <w:rPr>
                <w:rFonts w:asciiTheme="majorBidi" w:eastAsia="Times New Roman" w:hAnsiTheme="majorBidi" w:cstheme="majorBidi"/>
                <w:bCs w:val="0"/>
                <w:lang w:eastAsia="fr-FR"/>
              </w:rPr>
            </w:pPr>
            <w:r w:rsidRPr="00F803CE">
              <w:rPr>
                <w:rFonts w:asciiTheme="majorBidi" w:eastAsia="Times New Roman" w:hAnsiTheme="majorBidi" w:cstheme="majorBidi"/>
                <w:bCs w:val="0"/>
                <w:lang w:eastAsia="fr-FR"/>
              </w:rPr>
              <w:t>Indices Textuels</w:t>
            </w:r>
          </w:p>
        </w:tc>
      </w:tr>
      <w:tr w:rsidR="006A4EED" w:rsidRPr="00FB3F65" w:rsidTr="00460DFD">
        <w:trPr>
          <w:cnfStyle w:val="000000100000"/>
        </w:trPr>
        <w:tc>
          <w:tcPr>
            <w:cnfStyle w:val="001000000000"/>
            <w:tcW w:w="2759" w:type="dxa"/>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r w:rsidRPr="00FB3F65">
              <w:rPr>
                <w:rFonts w:asciiTheme="majorBidi" w:eastAsia="Times New Roman" w:hAnsiTheme="majorBidi" w:cstheme="majorBidi"/>
                <w:lang w:eastAsia="fr-FR"/>
              </w:rPr>
              <w:t>IMP</w:t>
            </w:r>
            <w:r w:rsidR="001B71BA">
              <w:rPr>
                <w:rFonts w:asciiTheme="majorBidi" w:eastAsia="Times New Roman" w:hAnsiTheme="majorBidi" w:cstheme="majorBidi"/>
                <w:lang w:eastAsia="fr-FR"/>
              </w:rPr>
              <w:t>É</w:t>
            </w:r>
            <w:r w:rsidRPr="00FB3F65">
              <w:rPr>
                <w:rFonts w:asciiTheme="majorBidi" w:eastAsia="Times New Roman" w:hAnsiTheme="majorBidi" w:cstheme="majorBidi"/>
                <w:lang w:eastAsia="fr-FR"/>
              </w:rPr>
              <w:t>RATIF</w:t>
            </w:r>
          </w:p>
        </w:tc>
        <w:tc>
          <w:tcPr>
            <w:tcW w:w="2752"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Impératif présent</w:t>
            </w:r>
          </w:p>
        </w:tc>
        <w:tc>
          <w:tcPr>
            <w:tcW w:w="2699"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Dis à ces gens p.04</w:t>
            </w:r>
          </w:p>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Va faire un pèlerinage au mausolée de Sidi Hasni p.05 trouve-nous un homme de bien p.20</w:t>
            </w:r>
          </w:p>
        </w:tc>
      </w:tr>
      <w:tr w:rsidR="006A4EED" w:rsidRPr="00FB3F65" w:rsidTr="00460DFD">
        <w:trPr>
          <w:cnfStyle w:val="000000010000"/>
        </w:trPr>
        <w:tc>
          <w:tcPr>
            <w:cnfStyle w:val="001000000000"/>
            <w:tcW w:w="2759" w:type="dxa"/>
            <w:vMerge w:val="restart"/>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p w:rsidR="00FB3F65" w:rsidRPr="00FB3F65" w:rsidRDefault="006A4EED" w:rsidP="001B71BA">
            <w:pPr>
              <w:spacing w:after="0" w:line="360" w:lineRule="auto"/>
              <w:ind w:right="283"/>
              <w:jc w:val="both"/>
              <w:rPr>
                <w:rFonts w:asciiTheme="majorBidi" w:eastAsia="Times New Roman" w:hAnsiTheme="majorBidi" w:cstheme="majorBidi"/>
                <w:lang w:eastAsia="fr-FR"/>
              </w:rPr>
            </w:pPr>
            <w:r w:rsidRPr="00FB3F65">
              <w:rPr>
                <w:rFonts w:asciiTheme="majorBidi" w:eastAsia="Times New Roman" w:hAnsiTheme="majorBidi" w:cstheme="majorBidi"/>
                <w:lang w:eastAsia="fr-FR"/>
              </w:rPr>
              <w:t xml:space="preserve">INDICATIF </w:t>
            </w:r>
          </w:p>
          <w:p w:rsidR="006A4EED" w:rsidRPr="00FB3F65" w:rsidRDefault="006A4EED" w:rsidP="001B71BA">
            <w:pPr>
              <w:spacing w:after="0" w:line="360" w:lineRule="auto"/>
              <w:ind w:right="283"/>
              <w:jc w:val="both"/>
              <w:rPr>
                <w:rFonts w:asciiTheme="majorBidi" w:eastAsia="Times New Roman" w:hAnsiTheme="majorBidi" w:cstheme="majorBidi"/>
                <w:lang w:eastAsia="fr-FR"/>
              </w:rPr>
            </w:pPr>
            <w:r w:rsidRPr="00FB3F65">
              <w:rPr>
                <w:rFonts w:asciiTheme="majorBidi" w:eastAsia="Times New Roman" w:hAnsiTheme="majorBidi" w:cstheme="majorBidi"/>
                <w:lang w:eastAsia="fr-FR"/>
              </w:rPr>
              <w:t>(TEMPS SIMPLES)</w:t>
            </w:r>
          </w:p>
        </w:tc>
        <w:tc>
          <w:tcPr>
            <w:tcW w:w="2752"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Présent de l’indicatif</w:t>
            </w:r>
          </w:p>
        </w:tc>
        <w:tc>
          <w:tcPr>
            <w:tcW w:w="2699"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Il n’est point d’homme sans veulerie p.04</w:t>
            </w:r>
          </w:p>
        </w:tc>
      </w:tr>
      <w:tr w:rsidR="006A4EED" w:rsidRPr="00FB3F65" w:rsidTr="00460DFD">
        <w:trPr>
          <w:cnfStyle w:val="000000100000"/>
        </w:trPr>
        <w:tc>
          <w:tcPr>
            <w:cnfStyle w:val="001000000000"/>
            <w:tcW w:w="2759" w:type="dxa"/>
            <w:vMerge/>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tc>
        <w:tc>
          <w:tcPr>
            <w:tcW w:w="2752"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Imparfait de l’indicatif</w:t>
            </w:r>
          </w:p>
        </w:tc>
        <w:tc>
          <w:tcPr>
            <w:tcW w:w="2699"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J’étais au centre de la marche p.10</w:t>
            </w:r>
          </w:p>
        </w:tc>
      </w:tr>
      <w:tr w:rsidR="006A4EED" w:rsidRPr="00FB3F65" w:rsidTr="00460DFD">
        <w:trPr>
          <w:cnfStyle w:val="000000010000"/>
        </w:trPr>
        <w:tc>
          <w:tcPr>
            <w:cnfStyle w:val="001000000000"/>
            <w:tcW w:w="2759" w:type="dxa"/>
            <w:vMerge/>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tc>
        <w:tc>
          <w:tcPr>
            <w:tcW w:w="2752"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Futur simple de l’indicatif</w:t>
            </w:r>
          </w:p>
        </w:tc>
        <w:tc>
          <w:tcPr>
            <w:tcW w:w="2699"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Le gardien les laissera-t-il sortir ? p.09</w:t>
            </w:r>
          </w:p>
        </w:tc>
      </w:tr>
      <w:tr w:rsidR="006A4EED" w:rsidRPr="00FB3F65" w:rsidTr="00460DFD">
        <w:trPr>
          <w:cnfStyle w:val="000000100000"/>
        </w:trPr>
        <w:tc>
          <w:tcPr>
            <w:cnfStyle w:val="001000000000"/>
            <w:tcW w:w="2759" w:type="dxa"/>
            <w:vMerge/>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tc>
        <w:tc>
          <w:tcPr>
            <w:tcW w:w="2752"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Passé simple de l’indicatif</w:t>
            </w:r>
          </w:p>
        </w:tc>
        <w:tc>
          <w:tcPr>
            <w:tcW w:w="2699"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…ce qu’il arriva p.23</w:t>
            </w:r>
          </w:p>
        </w:tc>
      </w:tr>
      <w:tr w:rsidR="006A4EED" w:rsidRPr="00FB3F65" w:rsidTr="00460DFD">
        <w:trPr>
          <w:cnfStyle w:val="000000010000"/>
        </w:trPr>
        <w:tc>
          <w:tcPr>
            <w:cnfStyle w:val="001000000000"/>
            <w:tcW w:w="2759" w:type="dxa"/>
            <w:vMerge w:val="restart"/>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p w:rsidR="006A4EED" w:rsidRPr="00FB3F65" w:rsidRDefault="006A4EED" w:rsidP="001B71BA">
            <w:pPr>
              <w:spacing w:after="0" w:line="360" w:lineRule="auto"/>
              <w:ind w:right="283"/>
              <w:jc w:val="both"/>
              <w:rPr>
                <w:rFonts w:asciiTheme="majorBidi" w:eastAsia="Times New Roman" w:hAnsiTheme="majorBidi" w:cstheme="majorBidi"/>
                <w:lang w:eastAsia="fr-FR"/>
              </w:rPr>
            </w:pPr>
          </w:p>
          <w:p w:rsidR="00FB3F65" w:rsidRPr="00FB3F65" w:rsidRDefault="006A4EED" w:rsidP="001B71BA">
            <w:pPr>
              <w:spacing w:after="0" w:line="360" w:lineRule="auto"/>
              <w:ind w:right="283"/>
              <w:jc w:val="both"/>
              <w:rPr>
                <w:rFonts w:asciiTheme="majorBidi" w:eastAsia="Times New Roman" w:hAnsiTheme="majorBidi" w:cstheme="majorBidi"/>
                <w:lang w:eastAsia="fr-FR"/>
              </w:rPr>
            </w:pPr>
            <w:r w:rsidRPr="00FB3F65">
              <w:rPr>
                <w:rFonts w:asciiTheme="majorBidi" w:eastAsia="Times New Roman" w:hAnsiTheme="majorBidi" w:cstheme="majorBidi"/>
                <w:lang w:eastAsia="fr-FR"/>
              </w:rPr>
              <w:t xml:space="preserve">INDICATIF </w:t>
            </w:r>
          </w:p>
          <w:p w:rsidR="006A4EED" w:rsidRPr="00FB3F65" w:rsidRDefault="006A4EED" w:rsidP="001B71BA">
            <w:pPr>
              <w:spacing w:after="0" w:line="360" w:lineRule="auto"/>
              <w:ind w:right="283"/>
              <w:jc w:val="both"/>
              <w:rPr>
                <w:rFonts w:asciiTheme="majorBidi" w:eastAsia="Times New Roman" w:hAnsiTheme="majorBidi" w:cstheme="majorBidi"/>
                <w:lang w:eastAsia="fr-FR"/>
              </w:rPr>
            </w:pPr>
            <w:r w:rsidRPr="00FB3F65">
              <w:rPr>
                <w:rFonts w:asciiTheme="majorBidi" w:eastAsia="Times New Roman" w:hAnsiTheme="majorBidi" w:cstheme="majorBidi"/>
                <w:lang w:eastAsia="fr-FR"/>
              </w:rPr>
              <w:t>(TEMPS COMPOS</w:t>
            </w:r>
            <w:r w:rsidR="00FB3F65" w:rsidRPr="00FB3F65">
              <w:rPr>
                <w:rFonts w:asciiTheme="majorBidi" w:eastAsia="Times New Roman" w:hAnsiTheme="majorBidi" w:cstheme="majorBidi"/>
                <w:lang w:eastAsia="fr-FR"/>
              </w:rPr>
              <w:t>É</w:t>
            </w:r>
            <w:r w:rsidRPr="00FB3F65">
              <w:rPr>
                <w:rFonts w:asciiTheme="majorBidi" w:eastAsia="Times New Roman" w:hAnsiTheme="majorBidi" w:cstheme="majorBidi"/>
                <w:lang w:eastAsia="fr-FR"/>
              </w:rPr>
              <w:t>S)</w:t>
            </w:r>
          </w:p>
        </w:tc>
        <w:tc>
          <w:tcPr>
            <w:tcW w:w="2752"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Passé composé de l’indicatif</w:t>
            </w:r>
          </w:p>
        </w:tc>
        <w:tc>
          <w:tcPr>
            <w:tcW w:w="2699"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Qu’ont dit ces gens p.03</w:t>
            </w:r>
          </w:p>
        </w:tc>
      </w:tr>
      <w:tr w:rsidR="006A4EED" w:rsidRPr="00FB3F65" w:rsidTr="00460DFD">
        <w:trPr>
          <w:cnfStyle w:val="000000100000"/>
        </w:trPr>
        <w:tc>
          <w:tcPr>
            <w:cnfStyle w:val="001000000000"/>
            <w:tcW w:w="2759" w:type="dxa"/>
            <w:vMerge/>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tc>
        <w:tc>
          <w:tcPr>
            <w:tcW w:w="2752"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Plus-que-parfait de l’indicatif</w:t>
            </w:r>
          </w:p>
        </w:tc>
        <w:tc>
          <w:tcPr>
            <w:tcW w:w="2699"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..que le patriarche Abraham lui était apparu en songe et lui avait enjoint de sacrifier le bouc le jour de l’Aïd El Kébir…p.11</w:t>
            </w:r>
          </w:p>
        </w:tc>
      </w:tr>
      <w:tr w:rsidR="006A4EED" w:rsidRPr="00FB3F65" w:rsidTr="00460DFD">
        <w:trPr>
          <w:cnfStyle w:val="000000010000"/>
        </w:trPr>
        <w:tc>
          <w:tcPr>
            <w:cnfStyle w:val="001000000000"/>
            <w:tcW w:w="2759" w:type="dxa"/>
            <w:vMerge/>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tc>
        <w:tc>
          <w:tcPr>
            <w:tcW w:w="2752"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Futur antérieur de l’indicatif</w:t>
            </w:r>
          </w:p>
        </w:tc>
        <w:tc>
          <w:tcPr>
            <w:tcW w:w="2699"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Et quand vous serez partis ils me feront payer la chose p.26</w:t>
            </w:r>
          </w:p>
        </w:tc>
      </w:tr>
      <w:tr w:rsidR="006A4EED" w:rsidRPr="00FB3F65" w:rsidTr="00460DFD">
        <w:trPr>
          <w:cnfStyle w:val="000000100000"/>
        </w:trPr>
        <w:tc>
          <w:tcPr>
            <w:cnfStyle w:val="001000000000"/>
            <w:tcW w:w="2759" w:type="dxa"/>
            <w:vMerge w:val="restart"/>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p w:rsidR="006A4EED" w:rsidRPr="00FB3F65" w:rsidRDefault="006A4EED" w:rsidP="001B71BA">
            <w:pPr>
              <w:spacing w:after="0" w:line="360" w:lineRule="auto"/>
              <w:ind w:right="283"/>
              <w:jc w:val="both"/>
              <w:rPr>
                <w:rFonts w:asciiTheme="majorBidi" w:eastAsia="Times New Roman" w:hAnsiTheme="majorBidi" w:cstheme="majorBidi"/>
                <w:lang w:eastAsia="fr-FR"/>
              </w:rPr>
            </w:pPr>
          </w:p>
          <w:p w:rsidR="006A4EED" w:rsidRPr="00FB3F65" w:rsidRDefault="006A4EED" w:rsidP="001B71BA">
            <w:pPr>
              <w:spacing w:after="0" w:line="360" w:lineRule="auto"/>
              <w:ind w:right="283"/>
              <w:jc w:val="both"/>
              <w:rPr>
                <w:rFonts w:asciiTheme="majorBidi" w:eastAsia="Times New Roman" w:hAnsiTheme="majorBidi" w:cstheme="majorBidi"/>
                <w:lang w:eastAsia="fr-FR"/>
              </w:rPr>
            </w:pPr>
            <w:r w:rsidRPr="00FB3F65">
              <w:rPr>
                <w:rFonts w:asciiTheme="majorBidi" w:eastAsia="Times New Roman" w:hAnsiTheme="majorBidi" w:cstheme="majorBidi"/>
                <w:lang w:eastAsia="fr-FR"/>
              </w:rPr>
              <w:t>CONDITIONNEL</w:t>
            </w:r>
          </w:p>
        </w:tc>
        <w:tc>
          <w:tcPr>
            <w:tcW w:w="2752"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Conditionnel présent</w:t>
            </w:r>
          </w:p>
        </w:tc>
        <w:tc>
          <w:tcPr>
            <w:tcW w:w="2699"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On jurerait des capitans p.04</w:t>
            </w:r>
          </w:p>
        </w:tc>
      </w:tr>
      <w:tr w:rsidR="006A4EED" w:rsidRPr="00FB3F65" w:rsidTr="00460DFD">
        <w:trPr>
          <w:cnfStyle w:val="000000010000"/>
        </w:trPr>
        <w:tc>
          <w:tcPr>
            <w:cnfStyle w:val="001000000000"/>
            <w:tcW w:w="2759" w:type="dxa"/>
            <w:vMerge/>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p>
        </w:tc>
        <w:tc>
          <w:tcPr>
            <w:tcW w:w="2752"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Conditionnel passé première forme</w:t>
            </w:r>
          </w:p>
        </w:tc>
        <w:tc>
          <w:tcPr>
            <w:tcW w:w="2699" w:type="dxa"/>
          </w:tcPr>
          <w:p w:rsidR="006A4EED" w:rsidRPr="00FB3F65" w:rsidRDefault="006A4EED" w:rsidP="009F2DBD">
            <w:pPr>
              <w:spacing w:after="0" w:line="360" w:lineRule="auto"/>
              <w:ind w:right="283"/>
              <w:cnfStyle w:val="000000010000"/>
              <w:rPr>
                <w:rFonts w:asciiTheme="majorBidi" w:eastAsia="Times New Roman" w:hAnsiTheme="majorBidi" w:cstheme="majorBidi"/>
                <w:lang w:eastAsia="fr-FR"/>
              </w:rPr>
            </w:pPr>
            <w:r w:rsidRPr="00FB3F65">
              <w:rPr>
                <w:rFonts w:asciiTheme="majorBidi" w:eastAsia="Times New Roman" w:hAnsiTheme="majorBidi" w:cstheme="majorBidi"/>
                <w:lang w:eastAsia="fr-FR"/>
              </w:rPr>
              <w:t>Vous n’auriez pas dû prendre cette peine p.19</w:t>
            </w:r>
          </w:p>
        </w:tc>
      </w:tr>
      <w:tr w:rsidR="006A4EED" w:rsidRPr="00FB3F65" w:rsidTr="00460DFD">
        <w:trPr>
          <w:cnfStyle w:val="000000100000"/>
        </w:trPr>
        <w:tc>
          <w:tcPr>
            <w:cnfStyle w:val="001000000000"/>
            <w:tcW w:w="2759" w:type="dxa"/>
          </w:tcPr>
          <w:p w:rsidR="006A4EED" w:rsidRPr="00FB3F65" w:rsidRDefault="006A4EED" w:rsidP="001B71BA">
            <w:pPr>
              <w:spacing w:after="0" w:line="360" w:lineRule="auto"/>
              <w:ind w:right="283"/>
              <w:jc w:val="both"/>
              <w:rPr>
                <w:rFonts w:asciiTheme="majorBidi" w:eastAsia="Times New Roman" w:hAnsiTheme="majorBidi" w:cstheme="majorBidi"/>
                <w:lang w:eastAsia="fr-FR"/>
              </w:rPr>
            </w:pPr>
            <w:r w:rsidRPr="00FB3F65">
              <w:rPr>
                <w:rFonts w:asciiTheme="majorBidi" w:eastAsia="Times New Roman" w:hAnsiTheme="majorBidi" w:cstheme="majorBidi"/>
                <w:lang w:eastAsia="fr-FR"/>
              </w:rPr>
              <w:t>SUBJONCTIF</w:t>
            </w:r>
          </w:p>
        </w:tc>
        <w:tc>
          <w:tcPr>
            <w:tcW w:w="2752"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Subjonctif présent</w:t>
            </w:r>
          </w:p>
        </w:tc>
        <w:tc>
          <w:tcPr>
            <w:tcW w:w="2699" w:type="dxa"/>
          </w:tcPr>
          <w:p w:rsidR="006A4EED" w:rsidRPr="00FB3F65" w:rsidRDefault="006A4EED" w:rsidP="009F2DBD">
            <w:pPr>
              <w:spacing w:after="0" w:line="360" w:lineRule="auto"/>
              <w:ind w:right="283"/>
              <w:cnfStyle w:val="000000100000"/>
              <w:rPr>
                <w:rFonts w:asciiTheme="majorBidi" w:eastAsia="Times New Roman" w:hAnsiTheme="majorBidi" w:cstheme="majorBidi"/>
                <w:lang w:eastAsia="fr-FR"/>
              </w:rPr>
            </w:pPr>
            <w:r w:rsidRPr="00FB3F65">
              <w:rPr>
                <w:rFonts w:asciiTheme="majorBidi" w:eastAsia="Times New Roman" w:hAnsiTheme="majorBidi" w:cstheme="majorBidi"/>
                <w:lang w:eastAsia="fr-FR"/>
              </w:rPr>
              <w:t>…jusqu’à ce qu’elle durcisse, Slimane ! p.11</w:t>
            </w:r>
          </w:p>
        </w:tc>
      </w:tr>
    </w:tbl>
    <w:p w:rsidR="00D10CBC" w:rsidRDefault="006A4EED" w:rsidP="00D10CBC">
      <w:pPr>
        <w:rPr>
          <w:rFonts w:asciiTheme="majorBidi" w:eastAsia="Times New Roman" w:hAnsiTheme="majorBidi" w:cstheme="majorBidi"/>
          <w:sz w:val="24"/>
          <w:szCs w:val="24"/>
          <w:lang w:eastAsia="fr-FR"/>
        </w:rPr>
      </w:pPr>
      <w:r w:rsidRPr="00FB3F65">
        <w:rPr>
          <w:rFonts w:asciiTheme="majorBidi" w:eastAsia="Times New Roman" w:hAnsiTheme="majorBidi" w:cstheme="majorBidi"/>
          <w:sz w:val="24"/>
          <w:szCs w:val="24"/>
          <w:lang w:eastAsia="fr-FR"/>
        </w:rPr>
        <w:tab/>
        <w:t xml:space="preserve">                   </w:t>
      </w:r>
    </w:p>
    <w:p w:rsidR="006A4EED" w:rsidRPr="001B71BA" w:rsidRDefault="006A4EED" w:rsidP="00D10CBC">
      <w:pPr>
        <w:jc w:val="center"/>
        <w:rPr>
          <w:rFonts w:asciiTheme="majorBidi" w:hAnsiTheme="majorBidi" w:cstheme="majorBidi"/>
          <w:b/>
          <w:bCs/>
          <w:sz w:val="24"/>
          <w:szCs w:val="24"/>
        </w:rPr>
      </w:pPr>
      <w:r w:rsidRPr="001B71BA">
        <w:rPr>
          <w:rFonts w:asciiTheme="majorBidi" w:eastAsia="Times New Roman" w:hAnsiTheme="majorBidi" w:cstheme="majorBidi"/>
          <w:b/>
          <w:bCs/>
          <w:sz w:val="24"/>
          <w:szCs w:val="24"/>
          <w:lang w:eastAsia="fr-FR"/>
        </w:rPr>
        <w:t xml:space="preserve">Tableau 2 : </w:t>
      </w:r>
      <w:r w:rsidR="001B71BA" w:rsidRPr="001B71BA">
        <w:rPr>
          <w:rFonts w:asciiTheme="majorBidi" w:eastAsia="Times New Roman" w:hAnsiTheme="majorBidi" w:cstheme="majorBidi"/>
          <w:b/>
          <w:bCs/>
          <w:sz w:val="24"/>
          <w:szCs w:val="24"/>
          <w:lang w:eastAsia="fr-FR"/>
        </w:rPr>
        <w:t>L</w:t>
      </w:r>
      <w:r w:rsidRPr="001B71BA">
        <w:rPr>
          <w:rFonts w:asciiTheme="majorBidi" w:eastAsia="Times New Roman" w:hAnsiTheme="majorBidi" w:cstheme="majorBidi"/>
          <w:b/>
          <w:bCs/>
          <w:sz w:val="24"/>
          <w:szCs w:val="24"/>
          <w:lang w:eastAsia="fr-FR"/>
        </w:rPr>
        <w:t>’usage des temps verbaux</w:t>
      </w:r>
    </w:p>
    <w:p w:rsidR="00E3447A" w:rsidRDefault="006A4EED" w:rsidP="0071178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 xml:space="preserve">Par ailleurs, au-delà des temps linguistiques en présence dans le corpus, il s’y trouve un temps mythique qui influence de manière significative le déroulement du récit, sa fréquence, sa durée. </w:t>
      </w:r>
      <w:r w:rsidR="00E3447A">
        <w:rPr>
          <w:rFonts w:ascii="Times New Roman" w:eastAsia="Times New Roman" w:hAnsi="Times New Roman"/>
          <w:sz w:val="24"/>
          <w:szCs w:val="24"/>
          <w:lang w:eastAsia="fr-FR"/>
        </w:rPr>
        <w:t>Ce</w:t>
      </w:r>
      <w:r w:rsidRPr="003B00C8">
        <w:rPr>
          <w:rFonts w:ascii="Times New Roman" w:eastAsia="Times New Roman" w:hAnsi="Times New Roman"/>
          <w:sz w:val="24"/>
          <w:szCs w:val="24"/>
          <w:lang w:eastAsia="fr-FR"/>
        </w:rPr>
        <w:t xml:space="preserve"> temps </w:t>
      </w:r>
      <w:r w:rsidR="00E3447A">
        <w:rPr>
          <w:rFonts w:ascii="Times New Roman" w:eastAsia="Times New Roman" w:hAnsi="Times New Roman"/>
          <w:sz w:val="24"/>
          <w:szCs w:val="24"/>
          <w:lang w:eastAsia="fr-FR"/>
        </w:rPr>
        <w:t xml:space="preserve">qui est en fait </w:t>
      </w:r>
      <w:r w:rsidRPr="003B00C8">
        <w:rPr>
          <w:rFonts w:ascii="Times New Roman" w:eastAsia="Times New Roman" w:hAnsi="Times New Roman"/>
          <w:sz w:val="24"/>
          <w:szCs w:val="24"/>
          <w:lang w:eastAsia="fr-FR"/>
        </w:rPr>
        <w:t xml:space="preserve">une donnée hétérogène. Cette conception pluridimensionnelle du temps nous fait distinguer en réalité deux temps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 xml:space="preserve">Kaki: le temps sacré et le temps profane. </w:t>
      </w:r>
      <w:r w:rsidRPr="000E576C">
        <w:rPr>
          <w:rStyle w:val="lev"/>
          <w:rFonts w:ascii="Times New Roman" w:hAnsi="Times New Roman"/>
          <w:b w:val="0"/>
          <w:bCs w:val="0"/>
          <w:color w:val="000000"/>
          <w:sz w:val="24"/>
          <w:szCs w:val="24"/>
          <w:shd w:val="clear" w:color="auto" w:fill="FFFFFF"/>
        </w:rPr>
        <w:t>Sanja</w:t>
      </w:r>
      <w:r w:rsidRPr="000E576C">
        <w:rPr>
          <w:rStyle w:val="apple-converted-space"/>
          <w:rFonts w:ascii="Times New Roman" w:hAnsi="Times New Roman"/>
          <w:color w:val="000000"/>
          <w:sz w:val="24"/>
          <w:szCs w:val="24"/>
          <w:shd w:val="clear" w:color="auto" w:fill="FFFFFF"/>
        </w:rPr>
        <w:t> </w:t>
      </w:r>
      <w:r w:rsidRPr="000E576C">
        <w:rPr>
          <w:rStyle w:val="familyname"/>
          <w:rFonts w:ascii="Times New Roman" w:hAnsi="Times New Roman"/>
          <w:color w:val="000000"/>
          <w:sz w:val="24"/>
          <w:szCs w:val="24"/>
          <w:shd w:val="clear" w:color="auto" w:fill="FFFFFF"/>
        </w:rPr>
        <w:t>B</w:t>
      </w:r>
      <w:r w:rsidR="0071178C">
        <w:rPr>
          <w:rStyle w:val="familyname"/>
          <w:rFonts w:ascii="Times New Roman" w:hAnsi="Times New Roman"/>
          <w:color w:val="000000"/>
          <w:sz w:val="24"/>
          <w:szCs w:val="24"/>
          <w:shd w:val="clear" w:color="auto" w:fill="FFFFFF"/>
        </w:rPr>
        <w:t>oskovic</w:t>
      </w:r>
      <w:r w:rsidRPr="000E576C">
        <w:rPr>
          <w:rFonts w:ascii="Times New Roman" w:eastAsia="Times New Roman" w:hAnsi="Times New Roman"/>
          <w:sz w:val="32"/>
          <w:szCs w:val="32"/>
          <w:vertAlign w:val="superscript"/>
          <w:lang w:eastAsia="fr-FR"/>
        </w:rPr>
        <w:t xml:space="preserve"> </w:t>
      </w:r>
      <w:r w:rsidRPr="003B00C8">
        <w:rPr>
          <w:rFonts w:ascii="Times New Roman" w:eastAsia="Times New Roman" w:hAnsi="Times New Roman"/>
          <w:sz w:val="24"/>
          <w:szCs w:val="24"/>
          <w:vertAlign w:val="superscript"/>
          <w:lang w:eastAsia="fr-FR"/>
        </w:rPr>
        <w:footnoteReference w:id="173"/>
      </w:r>
      <w:r w:rsidRPr="003B00C8">
        <w:rPr>
          <w:rFonts w:ascii="Times New Roman" w:eastAsia="Times New Roman" w:hAnsi="Times New Roman"/>
          <w:sz w:val="24"/>
          <w:szCs w:val="24"/>
          <w:lang w:eastAsia="fr-FR"/>
        </w:rPr>
        <w:t xml:space="preserve"> fait ce commentaire de cette dualité temporelle : </w:t>
      </w:r>
      <w:r w:rsidRPr="0071178C">
        <w:rPr>
          <w:rFonts w:ascii="Times New Roman" w:eastAsia="Times New Roman" w:hAnsi="Times New Roman"/>
          <w:sz w:val="24"/>
          <w:szCs w:val="24"/>
          <w:lang w:eastAsia="fr-FR"/>
        </w:rPr>
        <w:t>« Si le temps profane se fixe dans une chronologie des événements, le temps sacré, mythique, associe éternité et synchronicité »</w:t>
      </w:r>
      <w:r w:rsidRPr="0071178C">
        <w:rPr>
          <w:rFonts w:ascii="Times New Roman" w:eastAsia="Times New Roman" w:hAnsi="Times New Roman"/>
          <w:sz w:val="24"/>
          <w:szCs w:val="24"/>
          <w:vertAlign w:val="superscript"/>
          <w:lang w:eastAsia="fr-FR"/>
        </w:rPr>
        <w:footnoteReference w:id="174"/>
      </w:r>
      <w:r w:rsidRPr="0071178C">
        <w:rPr>
          <w:rFonts w:ascii="Times New Roman" w:eastAsia="Times New Roman" w:hAnsi="Times New Roman"/>
          <w:sz w:val="24"/>
          <w:szCs w:val="24"/>
          <w:lang w:eastAsia="fr-FR"/>
        </w:rPr>
        <w:t>. On peut donc dire que c’est un</w:t>
      </w:r>
      <w:r w:rsidRPr="003B00C8">
        <w:rPr>
          <w:rFonts w:ascii="Times New Roman" w:eastAsia="Times New Roman" w:hAnsi="Times New Roman"/>
          <w:sz w:val="24"/>
          <w:szCs w:val="24"/>
          <w:lang w:eastAsia="fr-FR"/>
        </w:rPr>
        <w:t xml:space="preserve"> temps primordial, un temps originel ou encore, pour paraphraser </w:t>
      </w:r>
      <w:r w:rsidR="00E3447A" w:rsidRPr="003B00C8">
        <w:rPr>
          <w:rFonts w:ascii="Times New Roman" w:eastAsia="Times New Roman" w:hAnsi="Times New Roman"/>
          <w:sz w:val="24"/>
          <w:szCs w:val="24"/>
          <w:lang w:eastAsia="fr-FR"/>
        </w:rPr>
        <w:t xml:space="preserve">l’historien des religions </w:t>
      </w:r>
      <w:r w:rsidRPr="003B00C8">
        <w:rPr>
          <w:rFonts w:ascii="Times New Roman" w:eastAsia="Times New Roman" w:hAnsi="Times New Roman"/>
          <w:sz w:val="24"/>
          <w:szCs w:val="24"/>
          <w:lang w:eastAsia="fr-FR"/>
        </w:rPr>
        <w:t xml:space="preserve">Mircea Eliade, </w:t>
      </w:r>
      <w:r w:rsidR="00E3447A">
        <w:rPr>
          <w:rFonts w:ascii="Times New Roman" w:eastAsia="Times New Roman" w:hAnsi="Times New Roman"/>
          <w:sz w:val="24"/>
          <w:szCs w:val="24"/>
          <w:lang w:eastAsia="fr-FR"/>
        </w:rPr>
        <w:t xml:space="preserve">un temps </w:t>
      </w:r>
      <w:r w:rsidRPr="003B00C8">
        <w:rPr>
          <w:rFonts w:ascii="Times New Roman" w:eastAsia="Times New Roman" w:hAnsi="Times New Roman"/>
          <w:sz w:val="24"/>
          <w:szCs w:val="24"/>
          <w:lang w:eastAsia="fr-FR"/>
        </w:rPr>
        <w:t>qui jaillit tout d’un coup parce</w:t>
      </w:r>
      <w:r>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 xml:space="preserve">que n’étant précédé d’aucun autre temps. A cet effet, </w:t>
      </w:r>
      <w:r w:rsidR="00E3447A">
        <w:rPr>
          <w:rFonts w:ascii="Times New Roman" w:eastAsia="Times New Roman" w:hAnsi="Times New Roman"/>
          <w:sz w:val="24"/>
          <w:szCs w:val="24"/>
          <w:lang w:eastAsia="fr-FR"/>
        </w:rPr>
        <w:t xml:space="preserve">ce dernier </w:t>
      </w:r>
      <w:r w:rsidRPr="003B00C8">
        <w:rPr>
          <w:rFonts w:ascii="Times New Roman" w:eastAsia="Times New Roman" w:hAnsi="Times New Roman"/>
          <w:sz w:val="24"/>
          <w:szCs w:val="24"/>
          <w:lang w:eastAsia="fr-FR"/>
        </w:rPr>
        <w:t xml:space="preserve">le définit comme </w:t>
      </w:r>
      <w:r w:rsidRPr="00CD117F">
        <w:rPr>
          <w:rFonts w:ascii="Times New Roman" w:eastAsia="Times New Roman" w:hAnsi="Times New Roman"/>
          <w:sz w:val="24"/>
          <w:szCs w:val="24"/>
          <w:lang w:eastAsia="fr-FR"/>
        </w:rPr>
        <w:t>« une suite indéfiniment récupérable, indéfiniment repérable. D’un certain point de vue, on pourrait dire de lui qu’il ne « coule » pas, qu’il ne constitue pas une « durée » réversible. C’est un temps ontologique par excellence, « parmédien » : toujours égal à lui-même, il ne change ni ne s’épuise ».</w:t>
      </w:r>
      <w:r w:rsidRPr="00CD117F">
        <w:rPr>
          <w:rFonts w:ascii="Times New Roman" w:eastAsia="Times New Roman" w:hAnsi="Times New Roman"/>
          <w:sz w:val="24"/>
          <w:szCs w:val="24"/>
          <w:vertAlign w:val="superscript"/>
          <w:lang w:eastAsia="fr-FR"/>
        </w:rPr>
        <w:footnoteReference w:id="175"/>
      </w:r>
    </w:p>
    <w:p w:rsidR="006A4EED" w:rsidRPr="003B00C8" w:rsidRDefault="00E3447A" w:rsidP="006A6D49">
      <w:pPr>
        <w:autoSpaceDE w:val="0"/>
        <w:autoSpaceDN w:val="0"/>
        <w:adjustRightInd w:val="0"/>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 xml:space="preserve"> </w:t>
      </w:r>
      <w:r w:rsidR="006A4EED" w:rsidRPr="003B00C8">
        <w:rPr>
          <w:rFonts w:ascii="Times New Roman" w:eastAsia="Times New Roman" w:hAnsi="Times New Roman"/>
          <w:sz w:val="24"/>
          <w:szCs w:val="24"/>
          <w:lang w:eastAsia="fr-FR"/>
        </w:rPr>
        <w:t xml:space="preserve">La question qui se pose est donc </w:t>
      </w:r>
      <w:r>
        <w:rPr>
          <w:rFonts w:ascii="Times New Roman" w:eastAsia="Times New Roman" w:hAnsi="Times New Roman"/>
          <w:sz w:val="24"/>
          <w:szCs w:val="24"/>
          <w:lang w:eastAsia="fr-FR"/>
        </w:rPr>
        <w:t xml:space="preserve">de </w:t>
      </w:r>
      <w:r w:rsidR="006A4EED" w:rsidRPr="003B00C8">
        <w:rPr>
          <w:rFonts w:ascii="Times New Roman" w:eastAsia="Times New Roman" w:hAnsi="Times New Roman"/>
          <w:sz w:val="24"/>
          <w:szCs w:val="24"/>
          <w:lang w:eastAsia="fr-FR"/>
        </w:rPr>
        <w:t xml:space="preserve">savoir ce qui est temps profane et ce qui est temps sacré dans </w:t>
      </w:r>
      <w:r w:rsidR="006A4EED" w:rsidRPr="003B00C8">
        <w:rPr>
          <w:rFonts w:ascii="Times New Roman" w:eastAsia="Times New Roman" w:hAnsi="Times New Roman"/>
          <w:i/>
          <w:sz w:val="24"/>
          <w:szCs w:val="24"/>
          <w:lang w:eastAsia="fr-FR"/>
        </w:rPr>
        <w:t>L</w:t>
      </w:r>
      <w:r w:rsidR="006A4EED" w:rsidRPr="003B00C8">
        <w:rPr>
          <w:rFonts w:ascii="Times New Roman" w:eastAsia="Times New Roman" w:hAnsi="Times New Roman"/>
          <w:bCs/>
          <w:i/>
          <w:iCs/>
          <w:sz w:val="24"/>
          <w:szCs w:val="24"/>
          <w:lang w:eastAsia="fr-FR"/>
        </w:rPr>
        <w:t>e porteur d'eau et les marabouts</w:t>
      </w:r>
      <w:r w:rsidR="006A4EED" w:rsidRPr="003B00C8">
        <w:rPr>
          <w:rFonts w:ascii="Times New Roman" w:eastAsia="Times New Roman" w:hAnsi="Times New Roman"/>
          <w:bCs/>
          <w:iCs/>
          <w:sz w:val="24"/>
          <w:szCs w:val="24"/>
          <w:lang w:eastAsia="fr-FR"/>
        </w:rPr>
        <w:t xml:space="preserve"> </w:t>
      </w:r>
      <w:proofErr w:type="gramStart"/>
      <w:r w:rsidR="006A4EED" w:rsidRPr="003B00C8">
        <w:rPr>
          <w:rFonts w:ascii="Times New Roman" w:eastAsia="Times New Roman" w:hAnsi="Times New Roman"/>
          <w:bCs/>
          <w:iCs/>
          <w:sz w:val="24"/>
          <w:szCs w:val="24"/>
          <w:lang w:eastAsia="fr-FR"/>
        </w:rPr>
        <w:t xml:space="preserve">de </w:t>
      </w:r>
      <w:r w:rsidR="006A4EED" w:rsidRPr="003B00C8">
        <w:rPr>
          <w:rFonts w:ascii="Times New Roman" w:eastAsia="Times New Roman" w:hAnsi="Times New Roman"/>
          <w:sz w:val="24"/>
          <w:szCs w:val="24"/>
          <w:lang w:eastAsia="fr-FR"/>
        </w:rPr>
        <w:t>Ould</w:t>
      </w:r>
      <w:proofErr w:type="gramEnd"/>
      <w:r w:rsidR="006A4EED" w:rsidRPr="003B00C8">
        <w:rPr>
          <w:rFonts w:ascii="Times New Roman" w:eastAsia="Times New Roman" w:hAnsi="Times New Roman"/>
          <w:sz w:val="24"/>
          <w:szCs w:val="24"/>
          <w:lang w:eastAsia="fr-FR"/>
        </w:rPr>
        <w:t xml:space="preserve"> Abderrahmane</w:t>
      </w:r>
      <w:r w:rsidRPr="00E3447A">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Kaki</w:t>
      </w:r>
      <w:r w:rsidR="006A4EED" w:rsidRPr="003B00C8">
        <w:rPr>
          <w:rFonts w:ascii="Times New Roman" w:eastAsia="Times New Roman" w:hAnsi="Times New Roman"/>
          <w:sz w:val="24"/>
          <w:szCs w:val="24"/>
          <w:lang w:eastAsia="fr-FR"/>
        </w:rPr>
        <w:t xml:space="preserve">. Inutile de rappeler que </w:t>
      </w:r>
      <w:r>
        <w:rPr>
          <w:rFonts w:ascii="Times New Roman" w:eastAsia="Times New Roman" w:hAnsi="Times New Roman"/>
          <w:sz w:val="24"/>
          <w:szCs w:val="24"/>
          <w:lang w:eastAsia="fr-FR"/>
        </w:rPr>
        <w:t>cette</w:t>
      </w:r>
      <w:r w:rsidR="006A4EED" w:rsidRPr="003B00C8">
        <w:rPr>
          <w:rFonts w:ascii="Times New Roman" w:eastAsia="Times New Roman" w:hAnsi="Times New Roman"/>
          <w:sz w:val="24"/>
          <w:szCs w:val="24"/>
          <w:lang w:eastAsia="fr-FR"/>
        </w:rPr>
        <w:t xml:space="preserve"> pièce associe récit coranique et récit fictif. Cette association donne </w:t>
      </w:r>
      <w:r w:rsidR="004F5C99">
        <w:rPr>
          <w:rFonts w:ascii="Times New Roman" w:eastAsia="Times New Roman" w:hAnsi="Times New Roman"/>
          <w:sz w:val="24"/>
          <w:szCs w:val="24"/>
          <w:lang w:eastAsia="fr-FR"/>
        </w:rPr>
        <w:t xml:space="preserve">l’apparence </w:t>
      </w:r>
      <w:r w:rsidR="006A4EED" w:rsidRPr="003B00C8">
        <w:rPr>
          <w:rFonts w:ascii="Times New Roman" w:eastAsia="Times New Roman" w:hAnsi="Times New Roman"/>
          <w:sz w:val="24"/>
          <w:szCs w:val="24"/>
          <w:lang w:eastAsia="fr-FR"/>
        </w:rPr>
        <w:t>d’aboutir aux constats suivants :</w:t>
      </w:r>
    </w:p>
    <w:p w:rsidR="006A4EED" w:rsidRPr="003B00C8" w:rsidRDefault="006A4EED" w:rsidP="00230C65">
      <w:pPr>
        <w:numPr>
          <w:ilvl w:val="0"/>
          <w:numId w:val="14"/>
        </w:numPr>
        <w:autoSpaceDE w:val="0"/>
        <w:autoSpaceDN w:val="0"/>
        <w:adjustRightInd w:val="0"/>
        <w:spacing w:after="0" w:line="360" w:lineRule="auto"/>
        <w:contextualSpacing/>
        <w:jc w:val="both"/>
        <w:rPr>
          <w:rFonts w:ascii="Times New Roman" w:eastAsia="Times New Roman" w:hAnsi="Times New Roman"/>
          <w:sz w:val="24"/>
          <w:szCs w:val="24"/>
          <w:lang w:eastAsia="fr-FR"/>
        </w:rPr>
      </w:pPr>
      <w:r w:rsidRPr="00565E95">
        <w:rPr>
          <w:rFonts w:ascii="Times New Roman" w:eastAsia="Times New Roman" w:hAnsi="Times New Roman"/>
          <w:b/>
          <w:iCs/>
          <w:sz w:val="24"/>
          <w:szCs w:val="24"/>
          <w:lang w:eastAsia="fr-FR"/>
        </w:rPr>
        <w:t>Le temps profane</w:t>
      </w:r>
      <w:r w:rsidRPr="003B00C8">
        <w:rPr>
          <w:rFonts w:ascii="Times New Roman" w:eastAsia="Times New Roman" w:hAnsi="Times New Roman"/>
          <w:sz w:val="24"/>
          <w:szCs w:val="24"/>
          <w:lang w:eastAsia="fr-FR"/>
        </w:rPr>
        <w:t xml:space="preserve"> est le temps des yeux de la chair. Il correspond au temps des hommes qui demandent à Dieu (Derviche, Le Servant) de les sortir de la misère sans exaucement. C’est ce temps qui motive le départ (aventure) de certains personnages vers l’ailleurs en quête de ce que leur chair n’a pu obtenir à Béni-Dahane. C’est le temps des efforts personnels des uns et des autres (Slimane, Kaddour, Cadi, Mufti) pour se sortir de la disette. Le temps profane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 xml:space="preserve">Kaki n’est pas en adéquation avec le temps sacré. Le temps profane matérialise les échecs </w:t>
      </w:r>
      <w:r w:rsidRPr="003B00C8">
        <w:rPr>
          <w:rFonts w:ascii="Times New Roman" w:eastAsia="Times New Roman" w:hAnsi="Times New Roman"/>
          <w:sz w:val="24"/>
          <w:szCs w:val="24"/>
          <w:lang w:eastAsia="fr-FR"/>
        </w:rPr>
        <w:lastRenderedPageBreak/>
        <w:t>dans toutes les tentatives entreprises par les personnages pour se tirer d’affaire. Par contre,</w:t>
      </w:r>
    </w:p>
    <w:p w:rsidR="006A4EED" w:rsidRPr="00935153" w:rsidRDefault="006A4EED" w:rsidP="00230C65">
      <w:pPr>
        <w:numPr>
          <w:ilvl w:val="0"/>
          <w:numId w:val="14"/>
        </w:numPr>
        <w:autoSpaceDE w:val="0"/>
        <w:autoSpaceDN w:val="0"/>
        <w:adjustRightInd w:val="0"/>
        <w:spacing w:after="0" w:line="360" w:lineRule="auto"/>
        <w:contextualSpacing/>
        <w:jc w:val="both"/>
        <w:rPr>
          <w:rFonts w:ascii="Times New Roman" w:eastAsia="Times New Roman" w:hAnsi="Times New Roman"/>
          <w:sz w:val="24"/>
          <w:szCs w:val="24"/>
          <w:lang w:eastAsia="fr-FR"/>
        </w:rPr>
      </w:pPr>
      <w:r w:rsidRPr="00565E95">
        <w:rPr>
          <w:rFonts w:ascii="Times New Roman" w:eastAsia="Times New Roman" w:hAnsi="Times New Roman"/>
          <w:b/>
          <w:iCs/>
          <w:sz w:val="24"/>
          <w:szCs w:val="24"/>
          <w:lang w:eastAsia="fr-FR"/>
        </w:rPr>
        <w:t>Le temps sacré</w:t>
      </w:r>
      <w:r w:rsidRPr="003B00C8">
        <w:rPr>
          <w:rFonts w:ascii="Times New Roman" w:eastAsia="Times New Roman" w:hAnsi="Times New Roman"/>
          <w:sz w:val="24"/>
          <w:szCs w:val="24"/>
          <w:lang w:eastAsia="fr-FR"/>
        </w:rPr>
        <w:t xml:space="preserve"> est le temps des yeux de l’esprit (du cœur). Il correspond au temps de l’accomplissement des prodiges dans la vie de Halima et conséquemment dans celle des habitants de toute la contrée. Il app</w:t>
      </w:r>
      <w:r w:rsidR="004F5C99">
        <w:rPr>
          <w:rFonts w:ascii="Times New Roman" w:eastAsia="Times New Roman" w:hAnsi="Times New Roman"/>
          <w:sz w:val="24"/>
          <w:szCs w:val="24"/>
          <w:lang w:eastAsia="fr-FR"/>
        </w:rPr>
        <w:t>arait</w:t>
      </w:r>
      <w:r w:rsidRPr="003B00C8">
        <w:rPr>
          <w:rFonts w:ascii="Times New Roman" w:eastAsia="Times New Roman" w:hAnsi="Times New Roman"/>
          <w:sz w:val="24"/>
          <w:szCs w:val="24"/>
          <w:lang w:eastAsia="fr-FR"/>
        </w:rPr>
        <w:t xml:space="preserve"> donc que Dieu dans son bon vouloir par le biais de ses anges (Marabouts vertueux) avaient prévu pour Béni-Dahane, un temps sacré pour l’accomplissement des miracles. Dans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Kaki, le temps sacré l’emporte sur le temps profane : on comprend pourquoi le dénouement de la pièce est on ne peut plus heureux.</w:t>
      </w:r>
    </w:p>
    <w:p w:rsidR="004F5C99" w:rsidRDefault="006A4EED" w:rsidP="000F1EC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In fine, notre ambition majeure aura été tout au long de ce travail scientifique de  prendre appui sur la narratologie telle que pensée par Gérard Genette pour entrer  dans  l’édifice théâtral  bâti  par  l’auteur  de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sz w:val="24"/>
          <w:szCs w:val="24"/>
          <w:lang w:eastAsia="fr-FR"/>
        </w:rPr>
        <w:t>.  Cette  approche  ne  se  veut  pas  résolument thématique, idéologique ou symbolique. Elle prend appui sur la langue de l’écrivain pour proposer une interprétation de ses idées, de son système narratif.</w:t>
      </w:r>
    </w:p>
    <w:p w:rsidR="004F5C99" w:rsidRDefault="006A4EED" w:rsidP="000F1EC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Sans prétendre à l’exhaustivité, nous ne pensons pas,  avoir  exploré toutes  les pistes narratologiques d’entrée à cette forteresse théâtrale. Moins encore d’avoir fait le tour de toutes les questions, encore moins de tous les arcanes  de  la  forme  et  du  fond  de </w:t>
      </w:r>
      <w:r w:rsidR="004F5C99">
        <w:rPr>
          <w:rFonts w:ascii="Times New Roman" w:eastAsia="Times New Roman" w:hAnsi="Times New Roman"/>
          <w:sz w:val="24"/>
          <w:szCs w:val="24"/>
          <w:lang w:eastAsia="fr-FR"/>
        </w:rPr>
        <w:t xml:space="preserve">cette pièce </w:t>
      </w:r>
      <w:r w:rsidRPr="003B00C8">
        <w:rPr>
          <w:rFonts w:ascii="Times New Roman" w:eastAsia="Times New Roman" w:hAnsi="Times New Roman"/>
          <w:i/>
          <w:sz w:val="24"/>
          <w:szCs w:val="24"/>
          <w:lang w:eastAsia="fr-FR"/>
        </w:rPr>
        <w:t>L</w:t>
      </w:r>
      <w:r w:rsidRPr="003B00C8">
        <w:rPr>
          <w:rFonts w:ascii="Times New Roman" w:eastAsia="Times New Roman" w:hAnsi="Times New Roman"/>
          <w:bCs/>
          <w:i/>
          <w:iCs/>
          <w:sz w:val="24"/>
          <w:szCs w:val="24"/>
          <w:lang w:eastAsia="fr-FR"/>
        </w:rPr>
        <w:t>e porteur d'eau et les marabouts</w:t>
      </w:r>
      <w:r w:rsidRPr="003B00C8">
        <w:rPr>
          <w:rFonts w:ascii="Times New Roman" w:eastAsia="Times New Roman" w:hAnsi="Times New Roman"/>
          <w:bCs/>
          <w:iCs/>
          <w:sz w:val="24"/>
          <w:szCs w:val="24"/>
          <w:lang w:eastAsia="fr-FR"/>
        </w:rPr>
        <w:t xml:space="preserve"> de </w:t>
      </w:r>
      <w:r w:rsidRPr="003B00C8">
        <w:rPr>
          <w:rFonts w:ascii="Times New Roman" w:eastAsia="Times New Roman" w:hAnsi="Times New Roman"/>
          <w:sz w:val="24"/>
          <w:szCs w:val="24"/>
          <w:lang w:eastAsia="fr-FR"/>
        </w:rPr>
        <w:t>Ould Abderrahmane</w:t>
      </w:r>
      <w:r w:rsidR="004F5C99" w:rsidRPr="004F5C99">
        <w:rPr>
          <w:rFonts w:ascii="Times New Roman" w:eastAsia="Times New Roman" w:hAnsi="Times New Roman"/>
          <w:sz w:val="24"/>
          <w:szCs w:val="24"/>
          <w:lang w:eastAsia="fr-FR"/>
        </w:rPr>
        <w:t xml:space="preserve"> </w:t>
      </w:r>
      <w:r w:rsidR="004F5C99" w:rsidRPr="003B00C8">
        <w:rPr>
          <w:rFonts w:ascii="Times New Roman" w:eastAsia="Times New Roman" w:hAnsi="Times New Roman"/>
          <w:sz w:val="24"/>
          <w:szCs w:val="24"/>
          <w:lang w:eastAsia="fr-FR"/>
        </w:rPr>
        <w:t>Kaki</w:t>
      </w:r>
      <w:r w:rsidRPr="003B00C8">
        <w:rPr>
          <w:rFonts w:ascii="Times New Roman" w:eastAsia="Times New Roman" w:hAnsi="Times New Roman"/>
          <w:sz w:val="24"/>
          <w:szCs w:val="24"/>
          <w:lang w:eastAsia="fr-FR"/>
        </w:rPr>
        <w:t xml:space="preserve">.  Tout  n’y  est  pas d’accès  facile : le  texte  </w:t>
      </w:r>
      <w:r w:rsidR="004F5C99">
        <w:rPr>
          <w:rFonts w:ascii="Times New Roman" w:eastAsia="Times New Roman" w:hAnsi="Times New Roman"/>
          <w:sz w:val="24"/>
          <w:szCs w:val="24"/>
          <w:lang w:eastAsia="fr-FR"/>
        </w:rPr>
        <w:t>étant</w:t>
      </w:r>
      <w:r w:rsidRPr="003B00C8">
        <w:rPr>
          <w:rFonts w:ascii="Times New Roman" w:eastAsia="Times New Roman" w:hAnsi="Times New Roman"/>
          <w:sz w:val="24"/>
          <w:szCs w:val="24"/>
          <w:lang w:eastAsia="fr-FR"/>
        </w:rPr>
        <w:t xml:space="preserve">  polysémique.  Il  dégage  une  multitude  de sens ;  le  style  est  d’une  richesse  telle  qu’il  faudrait  plusieurs  livres pour en épuiser les procédés. La pensée est plurielle ; elle est traduite par  une  expression  figurée,  mais  qui  n’est  pas  moins  directe  par  ci</w:t>
      </w:r>
      <w:r w:rsidR="004F5C99">
        <w:rPr>
          <w:rFonts w:ascii="Times New Roman" w:eastAsia="Times New Roman" w:hAnsi="Times New Roman"/>
          <w:sz w:val="24"/>
          <w:szCs w:val="24"/>
          <w:lang w:eastAsia="fr-FR"/>
        </w:rPr>
        <w:t>,</w:t>
      </w:r>
      <w:r w:rsidRPr="003B00C8">
        <w:rPr>
          <w:rFonts w:ascii="Times New Roman" w:eastAsia="Times New Roman" w:hAnsi="Times New Roman"/>
          <w:sz w:val="24"/>
          <w:szCs w:val="24"/>
          <w:lang w:eastAsia="fr-FR"/>
        </w:rPr>
        <w:t xml:space="preserve"> implicite  par  là. La forte prégnance du culturel coranique et algérien qui a rapport lié avec les universaux de réalité du dramaturge donne l’impression d’être en présence d’un théâtre-poème réputé hermétique.</w:t>
      </w:r>
    </w:p>
    <w:p w:rsidR="006A4EED" w:rsidRPr="003B00C8" w:rsidRDefault="006A4EED" w:rsidP="000F1EC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Ces  diverses  étapes  meublent  un  ouvrage  difficile  à  classer  dans un  genre  littéraire  classique  mais  qui  n’apparaît  pas  moins  comme sous-tendu  par  les  traits  caractéristiques  d’un  théâtre-récit  ayant  la facture d’un roman-poème marqué par des épanchements lyriques.  </w:t>
      </w:r>
    </w:p>
    <w:p w:rsidR="006A4EED" w:rsidRPr="003B00C8" w:rsidRDefault="006A4EED" w:rsidP="000F1EC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narratologie, ce logiciel d’analyse dont nous nous sommes servis s’est déployée tout au long de cette étude à démontrer combien il est essentiel de </w:t>
      </w:r>
      <w:r w:rsidRPr="003B00C8">
        <w:rPr>
          <w:rFonts w:ascii="Times New Roman" w:eastAsia="Times New Roman" w:hAnsi="Times New Roman"/>
          <w:sz w:val="24"/>
          <w:szCs w:val="24"/>
          <w:lang w:eastAsia="fr-FR"/>
        </w:rPr>
        <w:lastRenderedPageBreak/>
        <w:t>dépasser les notions de narrateur et de médiation (</w:t>
      </w:r>
      <w:r w:rsidRPr="003B00C8">
        <w:rPr>
          <w:rFonts w:ascii="Times New Roman" w:eastAsia="Times New Roman" w:hAnsi="Times New Roman"/>
          <w:i/>
          <w:iCs/>
          <w:sz w:val="24"/>
          <w:szCs w:val="24"/>
          <w:lang w:eastAsia="fr-FR"/>
        </w:rPr>
        <w:t>mediacy</w:t>
      </w:r>
      <w:r w:rsidRPr="003B00C8">
        <w:rPr>
          <w:rFonts w:ascii="Times New Roman" w:eastAsia="Times New Roman" w:hAnsi="Times New Roman"/>
          <w:sz w:val="24"/>
          <w:szCs w:val="24"/>
          <w:lang w:eastAsia="fr-FR"/>
        </w:rPr>
        <w:t xml:space="preserve">) pour qualifier le discours narratif propre à la performance théâtrale, surtout quand celle-ci n’est pas ou plus spécifiquement soutenue par le langage et le texte dramatique. Nous nous sommes attelés à chercher </w:t>
      </w:r>
      <w:r w:rsidRPr="003B00C8">
        <w:rPr>
          <w:rFonts w:ascii="Times New Roman" w:eastAsia="Times New Roman" w:hAnsi="Times New Roman"/>
          <w:color w:val="000000"/>
          <w:sz w:val="24"/>
          <w:szCs w:val="24"/>
          <w:lang w:eastAsia="fr-FR"/>
        </w:rPr>
        <w:t>dans la structure narrative de</w:t>
      </w:r>
      <w:r w:rsidR="004F5C99">
        <w:rPr>
          <w:rFonts w:ascii="Times New Roman" w:eastAsia="Times New Roman" w:hAnsi="Times New Roman"/>
          <w:color w:val="000000"/>
          <w:sz w:val="24"/>
          <w:szCs w:val="24"/>
          <w:lang w:eastAsia="fr-FR"/>
        </w:rPr>
        <w:t xml:space="preserve"> cette emblématique pièce de</w:t>
      </w:r>
      <w:r w:rsidRPr="003B00C8">
        <w:rPr>
          <w:rFonts w:ascii="Times New Roman" w:eastAsia="Times New Roman" w:hAnsi="Times New Roman"/>
          <w:i/>
          <w:sz w:val="24"/>
          <w:szCs w:val="24"/>
          <w:lang w:eastAsia="fr-FR"/>
        </w:rPr>
        <w:t xml:space="preserve"> </w:t>
      </w:r>
      <w:r w:rsidRPr="003B00C8">
        <w:rPr>
          <w:rFonts w:ascii="Times New Roman" w:eastAsia="Times New Roman" w:hAnsi="Times New Roman"/>
          <w:sz w:val="24"/>
          <w:szCs w:val="24"/>
          <w:lang w:eastAsia="fr-FR"/>
        </w:rPr>
        <w:t>Kaki</w:t>
      </w:r>
      <w:r w:rsidRPr="003B00C8">
        <w:rPr>
          <w:rFonts w:ascii="Times New Roman" w:eastAsia="Times New Roman" w:hAnsi="Times New Roman"/>
          <w:color w:val="000000"/>
          <w:sz w:val="24"/>
          <w:szCs w:val="24"/>
          <w:lang w:eastAsia="fr-FR"/>
        </w:rPr>
        <w:t xml:space="preserve">, </w:t>
      </w:r>
      <w:r w:rsidRPr="004F5C99">
        <w:rPr>
          <w:rFonts w:ascii="Times New Roman" w:eastAsia="Times New Roman" w:hAnsi="Times New Roman"/>
          <w:color w:val="000000"/>
          <w:sz w:val="24"/>
          <w:szCs w:val="24"/>
          <w:lang w:eastAsia="fr-FR"/>
        </w:rPr>
        <w:t>les contraintes logiques</w:t>
      </w:r>
      <w:r w:rsidRPr="003B00C8">
        <w:rPr>
          <w:rFonts w:ascii="Times New Roman" w:eastAsia="Times New Roman" w:hAnsi="Times New Roman"/>
          <w:i/>
          <w:iCs/>
          <w:color w:val="000000"/>
          <w:sz w:val="24"/>
          <w:szCs w:val="24"/>
          <w:lang w:eastAsia="fr-FR"/>
        </w:rPr>
        <w:t xml:space="preserve"> </w:t>
      </w:r>
      <w:r w:rsidRPr="003B00C8">
        <w:rPr>
          <w:rFonts w:ascii="Times New Roman" w:eastAsia="Times New Roman" w:hAnsi="Times New Roman"/>
          <w:color w:val="000000"/>
          <w:sz w:val="24"/>
          <w:szCs w:val="24"/>
          <w:lang w:eastAsia="fr-FR"/>
        </w:rPr>
        <w:t>régissant l’agencement des événements narrés pour aboutir à la préoccupation de l’écrivain.</w:t>
      </w:r>
    </w:p>
    <w:p w:rsidR="006A4EED" w:rsidRPr="003B00C8" w:rsidRDefault="006A4EED" w:rsidP="006A4EED">
      <w:pPr>
        <w:spacing w:after="0" w:line="240" w:lineRule="auto"/>
        <w:rPr>
          <w:rFonts w:ascii="Times New Roman" w:eastAsia="Times New Roman" w:hAnsi="Times New Roman"/>
          <w:b/>
          <w:bCs/>
          <w:i/>
          <w:iCs/>
          <w:sz w:val="28"/>
          <w:szCs w:val="28"/>
          <w:lang w:eastAsia="fr-FR"/>
        </w:rPr>
      </w:pPr>
      <w:r w:rsidRPr="003B00C8">
        <w:rPr>
          <w:rFonts w:ascii="Times New Roman" w:hAnsi="Times New Roman"/>
        </w:rPr>
        <w:br w:type="page"/>
      </w:r>
    </w:p>
    <w:p w:rsidR="006A4EED" w:rsidRPr="00020133" w:rsidRDefault="0019184E" w:rsidP="007B1E00">
      <w:pPr>
        <w:pStyle w:val="Titre2"/>
        <w:spacing w:before="0" w:after="0"/>
        <w:jc w:val="both"/>
        <w:rPr>
          <w:rFonts w:ascii="Times New Roman" w:hAnsi="Times New Roman" w:cs="Times New Roman"/>
          <w:sz w:val="24"/>
          <w:szCs w:val="24"/>
        </w:rPr>
      </w:pPr>
      <w:bookmarkStart w:id="95" w:name="_Toc471484466"/>
      <w:r w:rsidRPr="00020133">
        <w:rPr>
          <w:rFonts w:ascii="Times New Roman" w:hAnsi="Times New Roman" w:cs="Times New Roman"/>
          <w:i w:val="0"/>
          <w:iCs w:val="0"/>
          <w:sz w:val="24"/>
          <w:szCs w:val="24"/>
        </w:rPr>
        <w:lastRenderedPageBreak/>
        <w:t>Chapitre 2</w:t>
      </w:r>
      <w:r w:rsidR="00020133" w:rsidRPr="00020133">
        <w:rPr>
          <w:rFonts w:ascii="Times New Roman" w:hAnsi="Times New Roman" w:cs="Times New Roman"/>
          <w:i w:val="0"/>
          <w:iCs w:val="0"/>
          <w:sz w:val="24"/>
          <w:szCs w:val="24"/>
        </w:rPr>
        <w:t> :</w:t>
      </w:r>
      <w:r w:rsidR="006A4EED" w:rsidRPr="00020133">
        <w:rPr>
          <w:rFonts w:ascii="Times New Roman" w:hAnsi="Times New Roman" w:cs="Times New Roman"/>
          <w:i w:val="0"/>
          <w:iCs w:val="0"/>
          <w:sz w:val="24"/>
          <w:szCs w:val="24"/>
        </w:rPr>
        <w:t xml:space="preserve"> </w:t>
      </w:r>
      <w:r w:rsidR="00256E37" w:rsidRPr="00020133">
        <w:rPr>
          <w:rFonts w:ascii="Times New Roman" w:hAnsi="Times New Roman" w:cs="Times New Roman"/>
          <w:i w:val="0"/>
          <w:iCs w:val="0"/>
          <w:sz w:val="24"/>
          <w:szCs w:val="24"/>
        </w:rPr>
        <w:t xml:space="preserve">Narratologie et </w:t>
      </w:r>
      <w:r w:rsidR="009D05FC" w:rsidRPr="00020133">
        <w:rPr>
          <w:rFonts w:ascii="Times New Roman" w:hAnsi="Times New Roman" w:cs="Times New Roman"/>
          <w:i w:val="0"/>
          <w:iCs w:val="0"/>
          <w:sz w:val="24"/>
          <w:szCs w:val="24"/>
        </w:rPr>
        <w:t>structuration</w:t>
      </w:r>
      <w:r w:rsidR="00256E37" w:rsidRPr="00020133">
        <w:rPr>
          <w:rFonts w:ascii="Times New Roman" w:hAnsi="Times New Roman" w:cs="Times New Roman"/>
          <w:i w:val="0"/>
          <w:iCs w:val="0"/>
          <w:sz w:val="24"/>
          <w:szCs w:val="24"/>
        </w:rPr>
        <w:t xml:space="preserve"> du récit dans </w:t>
      </w:r>
      <w:r w:rsidR="00256E37" w:rsidRPr="00020133">
        <w:rPr>
          <w:rFonts w:ascii="Times New Roman" w:hAnsi="Times New Roman" w:cs="Times New Roman"/>
          <w:sz w:val="24"/>
          <w:szCs w:val="24"/>
        </w:rPr>
        <w:t>Barabbas</w:t>
      </w:r>
      <w:r w:rsidR="00256E37" w:rsidRPr="00020133">
        <w:rPr>
          <w:rFonts w:ascii="Times New Roman" w:hAnsi="Times New Roman" w:cs="Times New Roman"/>
          <w:i w:val="0"/>
          <w:iCs w:val="0"/>
          <w:sz w:val="24"/>
          <w:szCs w:val="24"/>
        </w:rPr>
        <w:t xml:space="preserve"> de Michel </w:t>
      </w:r>
      <w:r w:rsidR="007B1E00">
        <w:rPr>
          <w:rFonts w:ascii="Times New Roman" w:hAnsi="Times New Roman" w:cs="Times New Roman"/>
          <w:i w:val="0"/>
          <w:iCs w:val="0"/>
          <w:sz w:val="24"/>
          <w:szCs w:val="24"/>
        </w:rPr>
        <w:t>d</w:t>
      </w:r>
      <w:r w:rsidR="00256E37" w:rsidRPr="00020133">
        <w:rPr>
          <w:rFonts w:ascii="Times New Roman" w:hAnsi="Times New Roman" w:cs="Times New Roman"/>
          <w:i w:val="0"/>
          <w:iCs w:val="0"/>
          <w:sz w:val="24"/>
          <w:szCs w:val="24"/>
        </w:rPr>
        <w:t>e Ghelderode</w:t>
      </w:r>
      <w:bookmarkEnd w:id="95"/>
    </w:p>
    <w:p w:rsidR="006A4EED" w:rsidRPr="003B00C8" w:rsidRDefault="006A4EED" w:rsidP="006A4EED">
      <w:pPr>
        <w:autoSpaceDE w:val="0"/>
        <w:autoSpaceDN w:val="0"/>
        <w:adjustRightInd w:val="0"/>
        <w:spacing w:after="0" w:line="360" w:lineRule="auto"/>
        <w:jc w:val="both"/>
        <w:rPr>
          <w:rFonts w:ascii="Times New Roman" w:hAnsi="Times New Roman"/>
          <w:sz w:val="24"/>
          <w:szCs w:val="24"/>
        </w:rPr>
      </w:pPr>
    </w:p>
    <w:p w:rsidR="006A4EED" w:rsidRDefault="006A4EED" w:rsidP="00020133">
      <w:pPr>
        <w:autoSpaceDE w:val="0"/>
        <w:autoSpaceDN w:val="0"/>
        <w:adjustRightInd w:val="0"/>
        <w:spacing w:after="0" w:line="360" w:lineRule="auto"/>
        <w:ind w:firstLine="284"/>
        <w:jc w:val="both"/>
        <w:rPr>
          <w:rFonts w:ascii="Times New Roman" w:hAnsi="Times New Roman"/>
        </w:rPr>
      </w:pPr>
      <w:r w:rsidRPr="003B00C8">
        <w:rPr>
          <w:rFonts w:ascii="Times New Roman" w:hAnsi="Times New Roman"/>
          <w:color w:val="000000"/>
          <w:sz w:val="24"/>
          <w:szCs w:val="24"/>
        </w:rPr>
        <w:t xml:space="preserve">Dans le présent chapitre nous analysons la structure de </w:t>
      </w:r>
      <w:r w:rsidRPr="003B00C8">
        <w:rPr>
          <w:rFonts w:ascii="Times New Roman" w:hAnsi="Times New Roman"/>
          <w:i/>
          <w:sz w:val="24"/>
          <w:szCs w:val="24"/>
        </w:rPr>
        <w:t>Bara</w:t>
      </w:r>
      <w:r w:rsidR="00E50047">
        <w:rPr>
          <w:rFonts w:ascii="Times New Roman" w:hAnsi="Times New Roman"/>
          <w:i/>
          <w:sz w:val="24"/>
          <w:szCs w:val="24"/>
        </w:rPr>
        <w:t>b</w:t>
      </w:r>
      <w:r w:rsidRPr="003B00C8">
        <w:rPr>
          <w:rFonts w:ascii="Times New Roman" w:hAnsi="Times New Roman"/>
          <w:i/>
          <w:sz w:val="24"/>
          <w:szCs w:val="24"/>
        </w:rPr>
        <w:t>bas</w:t>
      </w:r>
      <w:r w:rsidRPr="003B00C8">
        <w:rPr>
          <w:rFonts w:ascii="Times New Roman" w:hAnsi="Times New Roman"/>
          <w:sz w:val="24"/>
          <w:szCs w:val="24"/>
        </w:rPr>
        <w:t xml:space="preserve"> de </w:t>
      </w:r>
      <w:r w:rsidRPr="003B00C8">
        <w:rPr>
          <w:rFonts w:ascii="Times New Roman" w:hAnsi="Times New Roman"/>
          <w:iCs/>
          <w:sz w:val="24"/>
          <w:szCs w:val="24"/>
        </w:rPr>
        <w:t>Michel de Ghelderode</w:t>
      </w:r>
      <w:r w:rsidRPr="003B00C8">
        <w:rPr>
          <w:rFonts w:ascii="Times New Roman" w:hAnsi="Times New Roman"/>
          <w:b/>
          <w:bCs/>
          <w:color w:val="000000"/>
          <w:sz w:val="24"/>
          <w:szCs w:val="24"/>
        </w:rPr>
        <w:t xml:space="preserve"> </w:t>
      </w:r>
      <w:r w:rsidRPr="003B00C8">
        <w:rPr>
          <w:rFonts w:ascii="Times New Roman" w:hAnsi="Times New Roman"/>
          <w:color w:val="000000"/>
          <w:sz w:val="24"/>
          <w:szCs w:val="24"/>
        </w:rPr>
        <w:t>afin de décrire, pour cette œuvre, la logique des séquences, le système des personnages et le chronotope. Cela nous permettra de démontrer comment ces composantes rendent compte des volontés et intentions profondes du dramaturge belge</w:t>
      </w:r>
      <w:r w:rsidR="004F66DB" w:rsidRPr="004F66DB">
        <w:rPr>
          <w:rFonts w:ascii="Times New Roman" w:hAnsi="Times New Roman"/>
          <w:sz w:val="24"/>
          <w:szCs w:val="24"/>
        </w:rPr>
        <w:t xml:space="preserve"> Michel de Ghelderode</w:t>
      </w:r>
      <w:r w:rsidRPr="003B00C8">
        <w:rPr>
          <w:rFonts w:ascii="Times New Roman" w:hAnsi="Times New Roman"/>
          <w:color w:val="000000"/>
          <w:sz w:val="24"/>
          <w:szCs w:val="24"/>
        </w:rPr>
        <w:t>. Dans cet ordre d’idées, nous examinerons en première analyse la logique des séquences en déterminant les différentes séquences qui constituent le récit, en seconde analyse, nous découvrirons le système des personnages dont nous envisagerons les dimensions actantielle et actorielle; nous aborderons après le chronotope en considérant successivement l’espace et le temps. Le dernier point de notre travail constituera le cadre interprétatif avec comme principaux points l’interprétation et la contextualisation.</w:t>
      </w:r>
      <w:r w:rsidR="004F66DB" w:rsidRPr="004F66DB">
        <w:rPr>
          <w:rFonts w:ascii="Times New Roman" w:hAnsi="Times New Roman"/>
        </w:rPr>
        <w:t xml:space="preserve"> </w:t>
      </w:r>
    </w:p>
    <w:p w:rsidR="004F66DB" w:rsidRPr="00020133" w:rsidRDefault="006A4EED" w:rsidP="00020133">
      <w:pPr>
        <w:autoSpaceDE w:val="0"/>
        <w:autoSpaceDN w:val="0"/>
        <w:adjustRightInd w:val="0"/>
        <w:spacing w:after="0" w:line="360" w:lineRule="auto"/>
        <w:ind w:firstLine="284"/>
        <w:jc w:val="both"/>
        <w:rPr>
          <w:rFonts w:ascii="Times New Roman" w:hAnsi="Times New Roman"/>
          <w:color w:val="000000"/>
          <w:sz w:val="24"/>
          <w:szCs w:val="24"/>
        </w:rPr>
      </w:pPr>
      <w:r w:rsidRPr="00020133">
        <w:rPr>
          <w:rFonts w:ascii="Times New Roman" w:hAnsi="Times New Roman"/>
          <w:color w:val="000000"/>
          <w:sz w:val="24"/>
          <w:szCs w:val="24"/>
        </w:rPr>
        <w:t xml:space="preserve">Auteur dramatique belge d’expression française, Michel Ghelderode est unique de par son inspiration et son langage. La presque totalité de son œuvre fut écrite pendant la guerre. On ne le découvrit pourtant qu’après 1947. Pendant quelques années, de jeunes metteurs en scène comme André Reybaz ou Roger Planchon montent son œuvre à une telle cadence que l’on parle de « ghelderodite aigüe ». Avant sa mort, il a le temps de préparer cinq des sept volumes de son théâtre complet publié chez Gallimard et d’assister au début de son succès mondial. En 1962, il, est même question de lui attribuer le prix Nobel. </w:t>
      </w:r>
    </w:p>
    <w:p w:rsidR="006A4EED" w:rsidRPr="00020133" w:rsidRDefault="006A4EED" w:rsidP="00020133">
      <w:pPr>
        <w:autoSpaceDE w:val="0"/>
        <w:autoSpaceDN w:val="0"/>
        <w:adjustRightInd w:val="0"/>
        <w:spacing w:after="0" w:line="360" w:lineRule="auto"/>
        <w:ind w:firstLine="284"/>
        <w:jc w:val="both"/>
        <w:rPr>
          <w:rFonts w:ascii="Times New Roman" w:hAnsi="Times New Roman"/>
          <w:color w:val="000000"/>
          <w:sz w:val="24"/>
          <w:szCs w:val="24"/>
        </w:rPr>
      </w:pPr>
      <w:r w:rsidRPr="00020133">
        <w:rPr>
          <w:rFonts w:ascii="Times New Roman" w:hAnsi="Times New Roman"/>
          <w:color w:val="000000"/>
          <w:sz w:val="24"/>
          <w:szCs w:val="24"/>
        </w:rPr>
        <w:t>Le théâtre de Ghelderode peut provoquer chez le spectateur enthousiasme, fureur, sentiment mêlés, mais difficilement de l’indifférence. Son langage lyrique échappe aux normes, tout comme sa dramaturgie s’écarte des modèles reçus.</w:t>
      </w:r>
    </w:p>
    <w:p w:rsidR="006A4EED" w:rsidRPr="00020133" w:rsidRDefault="00F83597" w:rsidP="00020133">
      <w:pPr>
        <w:spacing w:after="0" w:line="360" w:lineRule="auto"/>
        <w:ind w:firstLine="284"/>
        <w:jc w:val="both"/>
        <w:rPr>
          <w:rFonts w:ascii="Times New Roman" w:eastAsia="Times New Roman" w:hAnsi="Times New Roman"/>
          <w:sz w:val="24"/>
          <w:szCs w:val="24"/>
          <w:lang w:eastAsia="fr-FR"/>
        </w:rPr>
      </w:pPr>
      <w:r w:rsidRPr="00020133">
        <w:rPr>
          <w:rFonts w:ascii="Times New Roman" w:eastAsia="Times New Roman" w:hAnsi="Times New Roman"/>
          <w:sz w:val="24"/>
          <w:szCs w:val="24"/>
          <w:lang w:eastAsia="fr-FR"/>
        </w:rPr>
        <w:t>Nous p</w:t>
      </w:r>
      <w:r w:rsidR="006A4EED" w:rsidRPr="00020133">
        <w:rPr>
          <w:rFonts w:ascii="Times New Roman" w:eastAsia="Times New Roman" w:hAnsi="Times New Roman"/>
          <w:sz w:val="24"/>
          <w:szCs w:val="24"/>
          <w:lang w:eastAsia="fr-FR"/>
        </w:rPr>
        <w:t>ropos</w:t>
      </w:r>
      <w:r w:rsidRPr="00020133">
        <w:rPr>
          <w:rFonts w:ascii="Times New Roman" w:eastAsia="Times New Roman" w:hAnsi="Times New Roman"/>
          <w:sz w:val="24"/>
          <w:szCs w:val="24"/>
          <w:lang w:eastAsia="fr-FR"/>
        </w:rPr>
        <w:t>er</w:t>
      </w:r>
      <w:r w:rsidR="006A4EED" w:rsidRPr="00020133">
        <w:rPr>
          <w:rFonts w:ascii="Times New Roman" w:eastAsia="Times New Roman" w:hAnsi="Times New Roman"/>
          <w:sz w:val="24"/>
          <w:szCs w:val="24"/>
          <w:lang w:eastAsia="fr-FR"/>
        </w:rPr>
        <w:t>ons</w:t>
      </w:r>
      <w:r w:rsidR="00565E95" w:rsidRPr="00020133">
        <w:rPr>
          <w:rFonts w:ascii="Times New Roman" w:eastAsia="Times New Roman" w:hAnsi="Times New Roman"/>
          <w:sz w:val="24"/>
          <w:szCs w:val="24"/>
          <w:lang w:eastAsia="fr-FR"/>
        </w:rPr>
        <w:t>, dans</w:t>
      </w:r>
      <w:r w:rsidR="006A4EED" w:rsidRPr="00020133">
        <w:rPr>
          <w:rFonts w:ascii="Times New Roman" w:eastAsia="Times New Roman" w:hAnsi="Times New Roman"/>
          <w:sz w:val="24"/>
          <w:szCs w:val="24"/>
          <w:lang w:eastAsia="fr-FR"/>
        </w:rPr>
        <w:t xml:space="preserve"> un </w:t>
      </w:r>
      <w:r w:rsidR="00565E95" w:rsidRPr="00020133">
        <w:rPr>
          <w:rFonts w:ascii="Times New Roman" w:eastAsia="Times New Roman" w:hAnsi="Times New Roman"/>
          <w:sz w:val="24"/>
          <w:szCs w:val="24"/>
          <w:lang w:eastAsia="fr-FR"/>
        </w:rPr>
        <w:t xml:space="preserve">premier temps, un  </w:t>
      </w:r>
      <w:r w:rsidR="006A4EED" w:rsidRPr="00020133">
        <w:rPr>
          <w:rFonts w:ascii="Times New Roman" w:eastAsia="Times New Roman" w:hAnsi="Times New Roman"/>
          <w:sz w:val="24"/>
          <w:szCs w:val="24"/>
          <w:lang w:eastAsia="fr-FR"/>
        </w:rPr>
        <w:t xml:space="preserve">résumé de Barrabas afin de comprendre l’intrigue. </w:t>
      </w:r>
      <w:r w:rsidR="00565E95" w:rsidRPr="00020133">
        <w:rPr>
          <w:rFonts w:ascii="Times New Roman" w:eastAsia="Times New Roman" w:hAnsi="Times New Roman"/>
          <w:sz w:val="24"/>
          <w:szCs w:val="24"/>
          <w:lang w:eastAsia="fr-FR"/>
        </w:rPr>
        <w:t>Résumé que n</w:t>
      </w:r>
      <w:r w:rsidR="006A4EED" w:rsidRPr="00020133">
        <w:rPr>
          <w:rFonts w:ascii="Times New Roman" w:eastAsia="Times New Roman" w:hAnsi="Times New Roman"/>
          <w:sz w:val="24"/>
          <w:szCs w:val="24"/>
          <w:lang w:eastAsia="fr-FR"/>
        </w:rPr>
        <w:t>ous enrichirons de quelques références à Haubruge et Hannaert qui donnent à explorer une certaine lecture de la pièce</w:t>
      </w:r>
      <w:r w:rsidR="006A4EED" w:rsidRPr="00020133">
        <w:rPr>
          <w:rStyle w:val="Appelnotedebasdep"/>
          <w:rFonts w:ascii="Times New Roman" w:hAnsi="Times New Roman"/>
          <w:sz w:val="24"/>
          <w:szCs w:val="24"/>
          <w:lang w:eastAsia="fr-FR"/>
        </w:rPr>
        <w:footnoteReference w:id="176"/>
      </w:r>
      <w:r w:rsidR="006A4EED" w:rsidRPr="00020133">
        <w:rPr>
          <w:rFonts w:ascii="Times New Roman" w:eastAsia="Times New Roman" w:hAnsi="Times New Roman"/>
          <w:sz w:val="24"/>
          <w:szCs w:val="24"/>
          <w:lang w:eastAsia="fr-FR"/>
        </w:rPr>
        <w:t xml:space="preserve">. </w:t>
      </w:r>
    </w:p>
    <w:p w:rsidR="006A4EED" w:rsidRPr="003B00C8" w:rsidRDefault="006A4EED" w:rsidP="00020133">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Mais qui est donc ce Bara</w:t>
      </w:r>
      <w:r w:rsidR="000E08F0">
        <w:rPr>
          <w:rFonts w:ascii="Times New Roman" w:eastAsia="Times New Roman" w:hAnsi="Times New Roman"/>
          <w:sz w:val="24"/>
          <w:szCs w:val="24"/>
          <w:lang w:eastAsia="fr-FR"/>
        </w:rPr>
        <w:t>b</w:t>
      </w:r>
      <w:r w:rsidRPr="003B00C8">
        <w:rPr>
          <w:rFonts w:ascii="Times New Roman" w:eastAsia="Times New Roman" w:hAnsi="Times New Roman"/>
          <w:sz w:val="24"/>
          <w:szCs w:val="24"/>
          <w:lang w:eastAsia="fr-FR"/>
        </w:rPr>
        <w:t>bas, bandit dont on se rappelle vaguement dans la Bible et dont Ghelderode en fait le héros éponyme de sa pièce? Haubruge et Hannaert précisent :</w:t>
      </w:r>
    </w:p>
    <w:p w:rsidR="006A4EED" w:rsidRPr="009F1F99" w:rsidRDefault="006A4EED" w:rsidP="009F1F99">
      <w:pPr>
        <w:pStyle w:val="Citationintense"/>
        <w:spacing w:before="0" w:after="0"/>
        <w:ind w:left="567" w:right="0"/>
        <w:rPr>
          <w:sz w:val="20"/>
          <w:szCs w:val="20"/>
        </w:rPr>
      </w:pPr>
      <w:r w:rsidRPr="009F1F99">
        <w:rPr>
          <w:sz w:val="20"/>
          <w:szCs w:val="20"/>
        </w:rPr>
        <w:t>Barabbas est l’histoire d’un malfrat qui dénonce l'immonde machinerie du pouvoir terrestre. Dans la Bible, il prononce à peine quelques mots... Michel de Ghelderode fait de lui un héros. Exposé au côté de Jésus le Nazaréen le jour de la Pâque, ce bandit de grand chemin et prince de la racaille est sauvé de la mort et lavé de ses crimes. La foule, imbibée de vin et achetée par les prêtres, choisit en effet de condamner à mort le Christ et de gracier l'assassin. Barabbas est celui qu'on préfère à Jésus, celui qu'on délivre à la place de Jésus. Notre auteur prend donc, comme souvent, un chemin de traverse pour conter l'envers des légendes, des épopées ou,  dans le cas présent, de l'histoire sainte.  Il se terre dans les bas-fonds, pousse du coude les gueux, trinque avec les bandits, afin d'entendre les colères et confidences de l'intrépide Barabbas. Robin des Bois avide de sang, justicier impénitent, le personnage qu'il crée est un magnifique héros</w:t>
      </w:r>
      <w:r w:rsidRPr="009F1F99">
        <w:rPr>
          <w:rStyle w:val="Appelnotedebasdep"/>
          <w:sz w:val="20"/>
          <w:szCs w:val="20"/>
        </w:rPr>
        <w:footnoteReference w:id="177"/>
      </w:r>
      <w:r w:rsidRPr="009F1F99">
        <w:rPr>
          <w:sz w:val="20"/>
          <w:szCs w:val="20"/>
          <w:vertAlign w:val="superscript"/>
        </w:rPr>
        <w:t>.</w:t>
      </w:r>
      <w:r w:rsidRPr="009F1F99">
        <w:rPr>
          <w:sz w:val="20"/>
          <w:szCs w:val="20"/>
        </w:rPr>
        <w:t xml:space="preserve"> </w:t>
      </w:r>
    </w:p>
    <w:p w:rsidR="004F398D" w:rsidRDefault="004F398D" w:rsidP="004F66DB">
      <w:pPr>
        <w:spacing w:line="360" w:lineRule="auto"/>
        <w:ind w:firstLine="708"/>
        <w:jc w:val="both"/>
        <w:rPr>
          <w:rFonts w:ascii="Times New Roman" w:hAnsi="Times New Roman"/>
          <w:sz w:val="24"/>
          <w:szCs w:val="24"/>
        </w:rPr>
      </w:pPr>
    </w:p>
    <w:p w:rsidR="006A4EED" w:rsidRPr="004F398D" w:rsidRDefault="00FC34EE" w:rsidP="004F398D">
      <w:pPr>
        <w:spacing w:after="0" w:line="360" w:lineRule="auto"/>
        <w:ind w:firstLine="284"/>
        <w:jc w:val="both"/>
        <w:rPr>
          <w:rFonts w:asciiTheme="majorBidi" w:hAnsiTheme="majorBidi" w:cstheme="majorBidi"/>
          <w:sz w:val="24"/>
          <w:szCs w:val="24"/>
        </w:rPr>
      </w:pPr>
      <w:r>
        <w:rPr>
          <w:rFonts w:ascii="Times New Roman" w:hAnsi="Times New Roman"/>
          <w:sz w:val="24"/>
          <w:szCs w:val="24"/>
        </w:rPr>
        <w:t xml:space="preserve">En effet, </w:t>
      </w:r>
      <w:r w:rsidR="00256E37">
        <w:rPr>
          <w:rFonts w:ascii="Times New Roman" w:hAnsi="Times New Roman"/>
          <w:sz w:val="24"/>
          <w:szCs w:val="24"/>
        </w:rPr>
        <w:t>u</w:t>
      </w:r>
      <w:r w:rsidR="006A4EED" w:rsidRPr="003B00C8">
        <w:rPr>
          <w:rFonts w:ascii="Times New Roman" w:hAnsi="Times New Roman"/>
          <w:sz w:val="24"/>
          <w:szCs w:val="24"/>
        </w:rPr>
        <w:t>n commentaire s’avère juste </w:t>
      </w:r>
      <w:r w:rsidR="004F398D" w:rsidRPr="004F398D">
        <w:rPr>
          <w:rFonts w:asciiTheme="majorBidi" w:hAnsiTheme="majorBidi" w:cstheme="majorBidi"/>
          <w:sz w:val="24"/>
          <w:szCs w:val="24"/>
        </w:rPr>
        <w:t>« d</w:t>
      </w:r>
      <w:r w:rsidR="006A4EED" w:rsidRPr="004F398D">
        <w:rPr>
          <w:rFonts w:asciiTheme="majorBidi" w:hAnsiTheme="majorBidi" w:cstheme="majorBidi"/>
          <w:sz w:val="24"/>
          <w:szCs w:val="24"/>
        </w:rPr>
        <w:t>ès le premier acte, Barabbas impose la qualité de son jeu. Dans une cage faite de poutres et de grillages suspendus aux restes du plafond de l'abbaye, il tourne en rond et invective les bons et mauvais larrons puis le Christ tremblant, spectral et silencieux</w:t>
      </w:r>
      <w:r w:rsidR="004F398D" w:rsidRPr="004F398D">
        <w:rPr>
          <w:rFonts w:asciiTheme="majorBidi" w:hAnsiTheme="majorBidi" w:cstheme="majorBidi"/>
          <w:sz w:val="24"/>
          <w:szCs w:val="24"/>
        </w:rPr>
        <w:t> »</w:t>
      </w:r>
      <w:r w:rsidR="006A4EED" w:rsidRPr="004F398D">
        <w:rPr>
          <w:rStyle w:val="Appelnotedebasdep"/>
          <w:rFonts w:asciiTheme="majorBidi" w:hAnsiTheme="majorBidi" w:cstheme="majorBidi"/>
          <w:sz w:val="24"/>
          <w:szCs w:val="24"/>
        </w:rPr>
        <w:footnoteReference w:id="178"/>
      </w:r>
      <w:r w:rsidR="006A4EED" w:rsidRPr="004F398D">
        <w:rPr>
          <w:rStyle w:val="Appelnotedebasdep"/>
          <w:rFonts w:asciiTheme="majorBidi" w:hAnsiTheme="majorBidi" w:cstheme="majorBidi"/>
          <w:sz w:val="24"/>
          <w:szCs w:val="24"/>
        </w:rPr>
        <w:t>.</w:t>
      </w:r>
    </w:p>
    <w:p w:rsidR="006A4EED" w:rsidRPr="003B00C8" w:rsidRDefault="006A4EED" w:rsidP="004F398D">
      <w:pPr>
        <w:spacing w:after="0" w:line="360" w:lineRule="auto"/>
        <w:ind w:firstLine="284"/>
        <w:jc w:val="both"/>
        <w:rPr>
          <w:rFonts w:ascii="Times New Roman" w:eastAsia="Times New Roman" w:hAnsi="Times New Roman"/>
          <w:sz w:val="24"/>
          <w:szCs w:val="24"/>
          <w:lang w:eastAsia="fr-FR"/>
        </w:rPr>
      </w:pPr>
      <w:r w:rsidRPr="003B00C8">
        <w:rPr>
          <w:rFonts w:ascii="Times New Roman" w:hAnsi="Times New Roman"/>
          <w:sz w:val="24"/>
          <w:szCs w:val="24"/>
        </w:rPr>
        <w:t xml:space="preserve"> </w:t>
      </w:r>
      <w:r w:rsidRPr="003B00C8">
        <w:rPr>
          <w:rFonts w:ascii="Times New Roman" w:eastAsia="Times New Roman" w:hAnsi="Times New Roman"/>
          <w:sz w:val="24"/>
          <w:szCs w:val="24"/>
          <w:lang w:eastAsia="fr-FR"/>
        </w:rPr>
        <w:t>Bara</w:t>
      </w:r>
      <w:r w:rsidR="000E08F0">
        <w:rPr>
          <w:rFonts w:ascii="Times New Roman" w:eastAsia="Times New Roman" w:hAnsi="Times New Roman"/>
          <w:sz w:val="24"/>
          <w:szCs w:val="24"/>
          <w:lang w:eastAsia="fr-FR"/>
        </w:rPr>
        <w:t>b</w:t>
      </w:r>
      <w:r w:rsidRPr="003B00C8">
        <w:rPr>
          <w:rFonts w:ascii="Times New Roman" w:eastAsia="Times New Roman" w:hAnsi="Times New Roman"/>
          <w:sz w:val="24"/>
          <w:szCs w:val="24"/>
          <w:lang w:eastAsia="fr-FR"/>
        </w:rPr>
        <w:t>bas est à la fois le bourreau, le héros et la victime. Haubruge et Hannaert ne s’y trompent pas lorsqu’ils reconnaissent</w:t>
      </w:r>
      <w:r w:rsidR="00F83597">
        <w:rPr>
          <w:rFonts w:ascii="Times New Roman" w:eastAsia="Times New Roman" w:hAnsi="Times New Roman"/>
          <w:sz w:val="24"/>
          <w:szCs w:val="24"/>
          <w:lang w:eastAsia="fr-FR"/>
        </w:rPr>
        <w:t> :</w:t>
      </w:r>
      <w:r w:rsidRPr="003B00C8">
        <w:rPr>
          <w:rFonts w:ascii="Times New Roman" w:eastAsia="Times New Roman" w:hAnsi="Times New Roman"/>
          <w:sz w:val="24"/>
          <w:szCs w:val="24"/>
          <w:lang w:eastAsia="fr-FR"/>
        </w:rPr>
        <w:t xml:space="preserve"> </w:t>
      </w:r>
    </w:p>
    <w:p w:rsidR="006A4EED" w:rsidRDefault="006A4EED" w:rsidP="004F398D">
      <w:pPr>
        <w:pStyle w:val="Citationintense"/>
        <w:spacing w:before="0" w:after="0"/>
        <w:ind w:left="567" w:right="0"/>
        <w:rPr>
          <w:sz w:val="20"/>
          <w:szCs w:val="20"/>
        </w:rPr>
      </w:pPr>
      <w:r w:rsidRPr="004F398D">
        <w:rPr>
          <w:sz w:val="20"/>
          <w:szCs w:val="20"/>
        </w:rPr>
        <w:t>C'est en fin de compte Barabbas qui porte avec talent la pièce d'un bout à l'autre. Il incarne le héros par excellence. Troublé par la mise à mort de Jésus, il condamne les juges, les chefs d'Etat, les prêtres. Il se fait le porte-parole des revendications de justice et de révolte contre la société. Il est l'intermédiaire furieux de la foule dupée par les grands</w:t>
      </w:r>
      <w:r w:rsidRPr="004F398D">
        <w:rPr>
          <w:rStyle w:val="Appelnotedebasdep"/>
          <w:sz w:val="20"/>
          <w:szCs w:val="20"/>
        </w:rPr>
        <w:footnoteReference w:id="179"/>
      </w:r>
      <w:r w:rsidRPr="004F398D">
        <w:rPr>
          <w:rStyle w:val="Appelnotedebasdep"/>
          <w:sz w:val="20"/>
          <w:szCs w:val="20"/>
        </w:rPr>
        <w:t xml:space="preserve">. </w:t>
      </w:r>
    </w:p>
    <w:p w:rsidR="004F398D" w:rsidRPr="004F398D" w:rsidRDefault="004F398D" w:rsidP="004F398D"/>
    <w:p w:rsidR="006A4EED" w:rsidRPr="003B00C8" w:rsidRDefault="006A4EED" w:rsidP="004F398D">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spectacle offert par Ghelderode est toujours un spectacle de cruauté sous le regard obsédant d'une mort menaçante et souvent imminente. Son œuvre « Barabbas » est l'une des plus controversée, elle marqua un tournant dans le théâtre de l'auteur, de par sa couleur biblique où la Passion du Christ est désacralisée. Barabbas, celui que les Écritures de l'Évangile traite de bandit, de séditieux et de hors la loi va se métamorphoser sous nos yeux, de l'insoumis qu'il est au premier acte de la pièce, il devient à la fin de celle-ci, une conscience qui aspire à l'inversion de l'ordre subi.</w:t>
      </w:r>
    </w:p>
    <w:p w:rsidR="006A4EED" w:rsidRPr="004F398D" w:rsidRDefault="006A4EED" w:rsidP="004F398D">
      <w:pPr>
        <w:pStyle w:val="Citationintense"/>
        <w:spacing w:before="0" w:after="0"/>
        <w:ind w:left="567" w:right="0"/>
        <w:rPr>
          <w:sz w:val="20"/>
          <w:szCs w:val="20"/>
          <w:lang w:eastAsia="fr-FR"/>
        </w:rPr>
      </w:pPr>
      <w:r w:rsidRPr="004F398D">
        <w:rPr>
          <w:iCs w:val="0"/>
          <w:sz w:val="20"/>
          <w:szCs w:val="20"/>
          <w:lang w:eastAsia="fr-FR"/>
        </w:rPr>
        <w:t>Spectacle à grande échelle, Barabbas (le personnage, mais aussi la pièce) s'impose comme un mastodonte de fer au centre duquel crie un humain révolté</w:t>
      </w:r>
      <w:r w:rsidRPr="004F398D">
        <w:rPr>
          <w:rStyle w:val="Appelnotedebasdep"/>
          <w:sz w:val="20"/>
          <w:szCs w:val="20"/>
          <w:lang w:eastAsia="fr-FR"/>
        </w:rPr>
        <w:footnoteReference w:id="180"/>
      </w:r>
      <w:r w:rsidRPr="004F398D">
        <w:rPr>
          <w:sz w:val="20"/>
          <w:szCs w:val="20"/>
          <w:lang w:eastAsia="fr-FR"/>
        </w:rPr>
        <w:t xml:space="preserve"> </w:t>
      </w:r>
    </w:p>
    <w:p w:rsidR="004F398D" w:rsidRDefault="006A4EED" w:rsidP="007D26B9">
      <w:pPr>
        <w:spacing w:after="0" w:line="360" w:lineRule="auto"/>
        <w:jc w:val="both"/>
        <w:rPr>
          <w:rFonts w:ascii="Times New Roman" w:hAnsi="Times New Roman"/>
          <w:sz w:val="24"/>
          <w:szCs w:val="24"/>
        </w:rPr>
      </w:pPr>
      <w:r w:rsidRPr="003B00C8">
        <w:rPr>
          <w:rFonts w:ascii="Times New Roman" w:hAnsi="Times New Roman"/>
          <w:sz w:val="24"/>
          <w:szCs w:val="24"/>
        </w:rPr>
        <w:t xml:space="preserve">      </w:t>
      </w:r>
      <w:r w:rsidRPr="003B00C8">
        <w:rPr>
          <w:rFonts w:ascii="Times New Roman" w:hAnsi="Times New Roman"/>
          <w:sz w:val="24"/>
          <w:szCs w:val="24"/>
        </w:rPr>
        <w:tab/>
      </w:r>
    </w:p>
    <w:p w:rsidR="00F83597" w:rsidRPr="004F398D" w:rsidRDefault="006A4EED" w:rsidP="003347D8">
      <w:pPr>
        <w:spacing w:after="0" w:line="360" w:lineRule="auto"/>
        <w:ind w:firstLine="284"/>
        <w:jc w:val="both"/>
        <w:rPr>
          <w:sz w:val="20"/>
          <w:szCs w:val="20"/>
        </w:rPr>
      </w:pPr>
      <w:r w:rsidRPr="003B00C8">
        <w:rPr>
          <w:rFonts w:ascii="Times New Roman" w:hAnsi="Times New Roman"/>
          <w:sz w:val="24"/>
          <w:szCs w:val="24"/>
        </w:rPr>
        <w:lastRenderedPageBreak/>
        <w:t xml:space="preserve">Dix huit personnages vont ainsi se relayer sur scène afin de nous dresser un univers crépusculaire, où le bien est voulu mais le mal est permanent. Une vision nouvelle de </w:t>
      </w:r>
      <w:smartTag w:uri="urn:schemas-microsoft-com:office:smarttags" w:element="PersonName">
        <w:smartTagPr>
          <w:attr w:name="ProductID" w:val="la Passion"/>
        </w:smartTagPr>
        <w:r w:rsidRPr="003B00C8">
          <w:rPr>
            <w:rFonts w:ascii="Times New Roman" w:hAnsi="Times New Roman"/>
            <w:sz w:val="24"/>
            <w:szCs w:val="24"/>
          </w:rPr>
          <w:t>la Passion</w:t>
        </w:r>
      </w:smartTag>
      <w:r w:rsidRPr="003B00C8">
        <w:rPr>
          <w:rFonts w:ascii="Times New Roman" w:hAnsi="Times New Roman"/>
          <w:sz w:val="24"/>
          <w:szCs w:val="24"/>
        </w:rPr>
        <w:t xml:space="preserve"> s'érige devant nous. Barabbas reprend en charge le mal pour son propre compte </w:t>
      </w:r>
      <w:r w:rsidRPr="004F398D">
        <w:rPr>
          <w:rFonts w:asciiTheme="majorBidi" w:hAnsiTheme="majorBidi" w:cstheme="majorBidi"/>
          <w:sz w:val="24"/>
          <w:szCs w:val="24"/>
        </w:rPr>
        <w:t xml:space="preserve">et revendique un nouveau désordre : </w:t>
      </w:r>
      <w:r w:rsidR="004F398D" w:rsidRPr="004F398D">
        <w:rPr>
          <w:rFonts w:asciiTheme="majorBidi" w:hAnsiTheme="majorBidi" w:cstheme="majorBidi"/>
          <w:sz w:val="24"/>
          <w:szCs w:val="24"/>
        </w:rPr>
        <w:t>« </w:t>
      </w:r>
      <w:r w:rsidRPr="004F398D">
        <w:rPr>
          <w:rFonts w:asciiTheme="majorBidi" w:hAnsiTheme="majorBidi" w:cstheme="majorBidi"/>
          <w:i/>
          <w:iCs/>
          <w:sz w:val="24"/>
          <w:szCs w:val="24"/>
        </w:rPr>
        <w:t>Et que je serve d'exemple! Ayez mon cynisme et ma froide tête, ayez mon mépris de toute justice</w:t>
      </w:r>
      <w:r w:rsidRPr="004F398D">
        <w:rPr>
          <w:rFonts w:asciiTheme="majorBidi" w:hAnsiTheme="majorBidi" w:cstheme="majorBidi"/>
          <w:sz w:val="24"/>
          <w:szCs w:val="24"/>
        </w:rPr>
        <w:t>»</w:t>
      </w:r>
      <w:r w:rsidR="00256E37" w:rsidRPr="004F398D">
        <w:rPr>
          <w:rFonts w:asciiTheme="majorBidi" w:hAnsiTheme="majorBidi" w:cstheme="majorBidi"/>
          <w:sz w:val="24"/>
          <w:szCs w:val="24"/>
        </w:rPr>
        <w:t xml:space="preserve"> (</w:t>
      </w:r>
      <w:r w:rsidR="003347D8">
        <w:rPr>
          <w:rFonts w:asciiTheme="majorBidi" w:hAnsiTheme="majorBidi" w:cstheme="majorBidi"/>
          <w:sz w:val="24"/>
          <w:szCs w:val="24"/>
        </w:rPr>
        <w:t xml:space="preserve">M. De </w:t>
      </w:r>
      <w:r w:rsidR="003347D8" w:rsidRPr="005D3549">
        <w:rPr>
          <w:rFonts w:ascii="Times New Roman" w:hAnsi="Times New Roman"/>
          <w:sz w:val="24"/>
          <w:szCs w:val="24"/>
          <w:lang w:eastAsia="fr-FR"/>
        </w:rPr>
        <w:t>G</w:t>
      </w:r>
      <w:r w:rsidR="003347D8">
        <w:rPr>
          <w:rFonts w:ascii="Times New Roman" w:hAnsi="Times New Roman"/>
          <w:sz w:val="24"/>
          <w:szCs w:val="24"/>
          <w:lang w:eastAsia="fr-FR"/>
        </w:rPr>
        <w:t xml:space="preserve">helderode, 1984, </w:t>
      </w:r>
      <w:r w:rsidR="00256E37" w:rsidRPr="004F398D">
        <w:rPr>
          <w:rFonts w:asciiTheme="majorBidi" w:hAnsiTheme="majorBidi" w:cstheme="majorBidi"/>
          <w:sz w:val="24"/>
          <w:szCs w:val="24"/>
        </w:rPr>
        <w:t>p.35)</w:t>
      </w:r>
      <w:r w:rsidR="00326F4E">
        <w:rPr>
          <w:rFonts w:asciiTheme="majorBidi" w:hAnsiTheme="majorBidi" w:cstheme="majorBidi"/>
          <w:sz w:val="24"/>
          <w:szCs w:val="24"/>
        </w:rPr>
        <w:t>.</w:t>
      </w:r>
      <w:r w:rsidRPr="004F398D">
        <w:rPr>
          <w:sz w:val="20"/>
          <w:szCs w:val="20"/>
        </w:rPr>
        <w:t xml:space="preserve"> </w:t>
      </w:r>
    </w:p>
    <w:p w:rsidR="006A4EED" w:rsidRPr="003B00C8" w:rsidRDefault="006A4EED" w:rsidP="00326F4E">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Notre ambition avec cette exploration consiste à déterminer comment Ghelderode organise son récit pour asseoir ce qui nous semble être son point de vue, à savoir dénoncer l’immonde machinerie du pouvoir terrestre par le biais de son héros Barabbas, le malfrat. </w:t>
      </w:r>
    </w:p>
    <w:p w:rsidR="006A4EED" w:rsidRPr="003B00C8" w:rsidRDefault="006A4EED" w:rsidP="00326F4E">
      <w:pPr>
        <w:spacing w:after="0" w:line="360" w:lineRule="auto"/>
        <w:ind w:firstLine="284"/>
        <w:jc w:val="both"/>
        <w:rPr>
          <w:rFonts w:ascii="Times New Roman" w:hAnsi="Times New Roman"/>
          <w:sz w:val="24"/>
          <w:szCs w:val="24"/>
        </w:rPr>
      </w:pPr>
      <w:r w:rsidRPr="003B00C8">
        <w:rPr>
          <w:rFonts w:ascii="Times New Roman" w:hAnsi="Times New Roman"/>
          <w:color w:val="000000"/>
          <w:sz w:val="24"/>
          <w:szCs w:val="24"/>
        </w:rPr>
        <w:t xml:space="preserve">Il s’agira pour nous de découvrir la structure qui organise la vision de </w:t>
      </w:r>
      <w:r w:rsidRPr="00F83597">
        <w:rPr>
          <w:rFonts w:ascii="Times New Roman" w:hAnsi="Times New Roman"/>
          <w:i/>
          <w:iCs/>
          <w:color w:val="000000"/>
          <w:sz w:val="24"/>
          <w:szCs w:val="24"/>
        </w:rPr>
        <w:t>Barabbas</w:t>
      </w:r>
      <w:r w:rsidRPr="003B00C8">
        <w:rPr>
          <w:rFonts w:ascii="Times New Roman" w:hAnsi="Times New Roman"/>
          <w:b/>
          <w:bCs/>
          <w:color w:val="000000"/>
          <w:sz w:val="24"/>
          <w:szCs w:val="24"/>
        </w:rPr>
        <w:t xml:space="preserve"> </w:t>
      </w:r>
      <w:r w:rsidRPr="003B00C8">
        <w:rPr>
          <w:rFonts w:ascii="Times New Roman" w:hAnsi="Times New Roman"/>
          <w:color w:val="000000"/>
          <w:sz w:val="24"/>
          <w:szCs w:val="24"/>
        </w:rPr>
        <w:t>en nous éclairant, par là même, sur les concepts de la narratologie. Il s’agit également de mettre en évidence les lois qui régissent l’univers raconté ou plus concrètement, selon les termes de Bremond:</w:t>
      </w:r>
    </w:p>
    <w:p w:rsidR="006A4EED" w:rsidRPr="00326F4E" w:rsidRDefault="006A4EED" w:rsidP="00326F4E">
      <w:pPr>
        <w:pStyle w:val="Citationintense"/>
        <w:spacing w:before="0" w:after="0"/>
        <w:ind w:left="567" w:right="0"/>
        <w:rPr>
          <w:sz w:val="20"/>
          <w:szCs w:val="20"/>
          <w:vertAlign w:val="superscript"/>
        </w:rPr>
      </w:pPr>
      <w:r w:rsidRPr="00326F4E">
        <w:rPr>
          <w:sz w:val="20"/>
          <w:szCs w:val="20"/>
        </w:rPr>
        <w:t xml:space="preserve">Les contraintes logiques que toute série d’événements ordonnée en forme de récit doit respecter sous peine d’être inintelligible, </w:t>
      </w:r>
      <w:r w:rsidR="00326F4E">
        <w:rPr>
          <w:sz w:val="20"/>
          <w:szCs w:val="20"/>
        </w:rPr>
        <w:t>[</w:t>
      </w:r>
      <w:r w:rsidRPr="00326F4E">
        <w:rPr>
          <w:sz w:val="20"/>
          <w:szCs w:val="20"/>
        </w:rPr>
        <w:t>...</w:t>
      </w:r>
      <w:r w:rsidR="00326F4E">
        <w:rPr>
          <w:sz w:val="20"/>
          <w:szCs w:val="20"/>
        </w:rPr>
        <w:t>]</w:t>
      </w:r>
      <w:r w:rsidRPr="00326F4E">
        <w:rPr>
          <w:sz w:val="20"/>
          <w:szCs w:val="20"/>
        </w:rPr>
        <w:t xml:space="preserve"> les conventions de leur univers particulier, caractéristique d’une culture, d’une époque d’un genre littéraire, du style d’un conteur ou à la limite de ce seul récit </w:t>
      </w:r>
      <w:r w:rsidRPr="00326F4E">
        <w:rPr>
          <w:sz w:val="20"/>
          <w:szCs w:val="20"/>
          <w:vertAlign w:val="superscript"/>
        </w:rPr>
        <w:footnoteReference w:id="181"/>
      </w:r>
      <w:r w:rsidRPr="00326F4E">
        <w:rPr>
          <w:sz w:val="20"/>
          <w:szCs w:val="20"/>
          <w:vertAlign w:val="superscript"/>
        </w:rPr>
        <w:t>.</w:t>
      </w:r>
    </w:p>
    <w:p w:rsidR="009D05FC" w:rsidRPr="009D05FC" w:rsidRDefault="009D05FC" w:rsidP="009D05FC"/>
    <w:p w:rsidR="006A4EED" w:rsidRPr="00B931CE" w:rsidRDefault="00797CB0" w:rsidP="00797CB0">
      <w:pPr>
        <w:pStyle w:val="Titre3"/>
        <w:spacing w:before="0" w:after="0" w:line="360" w:lineRule="auto"/>
        <w:ind w:left="641" w:hanging="357"/>
        <w:jc w:val="both"/>
        <w:rPr>
          <w:rFonts w:ascii="Times New Roman" w:hAnsi="Times New Roman" w:cs="Times New Roman"/>
          <w:sz w:val="24"/>
          <w:szCs w:val="24"/>
        </w:rPr>
      </w:pPr>
      <w:bookmarkStart w:id="96" w:name="_Toc471484467"/>
      <w:r w:rsidRPr="00B931CE">
        <w:rPr>
          <w:rFonts w:ascii="Times New Roman" w:hAnsi="Times New Roman" w:cs="Times New Roman"/>
          <w:sz w:val="24"/>
          <w:szCs w:val="24"/>
        </w:rPr>
        <w:t>1. Résumé</w:t>
      </w:r>
      <w:r w:rsidR="006A4EED" w:rsidRPr="00B931CE">
        <w:rPr>
          <w:rFonts w:ascii="Times New Roman" w:hAnsi="Times New Roman" w:cs="Times New Roman"/>
          <w:sz w:val="24"/>
          <w:szCs w:val="24"/>
        </w:rPr>
        <w:t xml:space="preserve"> de la pièce</w:t>
      </w:r>
      <w:bookmarkEnd w:id="96"/>
    </w:p>
    <w:p w:rsidR="006A4EED" w:rsidRPr="00797CB0" w:rsidRDefault="006A4EED" w:rsidP="00797CB0">
      <w:pPr>
        <w:spacing w:after="0" w:line="360" w:lineRule="auto"/>
        <w:ind w:firstLine="284"/>
        <w:jc w:val="both"/>
        <w:rPr>
          <w:rFonts w:asciiTheme="majorBidi" w:hAnsiTheme="majorBidi" w:cstheme="majorBidi"/>
          <w:sz w:val="24"/>
          <w:szCs w:val="24"/>
        </w:rPr>
      </w:pPr>
      <w:r w:rsidRPr="00797CB0">
        <w:rPr>
          <w:rFonts w:asciiTheme="majorBidi" w:hAnsiTheme="majorBidi" w:cstheme="majorBidi"/>
          <w:sz w:val="24"/>
          <w:szCs w:val="24"/>
        </w:rPr>
        <w:t xml:space="preserve">Au début du drame, Barabbas, espèce de grand fauve, est enfermé dans une cage de fer en compagnie de deux malfaiteurs dont la médiocrité et la résignation lui inspirent le plus vif mépris. Il est très sûr de lui : </w:t>
      </w:r>
      <w:r w:rsidR="00797CB0" w:rsidRPr="00797CB0">
        <w:rPr>
          <w:rFonts w:asciiTheme="majorBidi" w:hAnsiTheme="majorBidi" w:cstheme="majorBidi"/>
          <w:sz w:val="24"/>
          <w:szCs w:val="24"/>
        </w:rPr>
        <w:t>« </w:t>
      </w:r>
      <w:r w:rsidRPr="00460DFD">
        <w:rPr>
          <w:rFonts w:asciiTheme="majorBidi" w:hAnsiTheme="majorBidi" w:cstheme="majorBidi"/>
          <w:sz w:val="24"/>
          <w:szCs w:val="24"/>
        </w:rPr>
        <w:t>Je mourrai sans me rendre, dans toute la force de ma haine, en blasphémant, et comme je vécus, au-dessus des lois.</w:t>
      </w:r>
      <w:r w:rsidRPr="00797CB0">
        <w:rPr>
          <w:rFonts w:asciiTheme="majorBidi" w:hAnsiTheme="majorBidi" w:cstheme="majorBidi"/>
          <w:sz w:val="24"/>
          <w:szCs w:val="24"/>
        </w:rPr>
        <w:t>»</w:t>
      </w:r>
      <w:r w:rsidR="00256E37" w:rsidRPr="00797CB0">
        <w:rPr>
          <w:rFonts w:asciiTheme="majorBidi" w:hAnsiTheme="majorBidi" w:cstheme="majorBidi"/>
          <w:sz w:val="24"/>
          <w:szCs w:val="24"/>
        </w:rPr>
        <w:t xml:space="preserve"> (</w:t>
      </w:r>
      <w:r w:rsidR="005A3AAC">
        <w:rPr>
          <w:rFonts w:asciiTheme="majorBidi" w:hAnsiTheme="majorBidi" w:cstheme="majorBidi"/>
          <w:sz w:val="24"/>
          <w:szCs w:val="24"/>
        </w:rPr>
        <w:t xml:space="preserve">M. De </w:t>
      </w:r>
      <w:r w:rsidR="005A3AAC" w:rsidRPr="005D3549">
        <w:rPr>
          <w:rFonts w:ascii="Times New Roman" w:hAnsi="Times New Roman"/>
          <w:sz w:val="24"/>
          <w:szCs w:val="24"/>
          <w:lang w:eastAsia="fr-FR"/>
        </w:rPr>
        <w:t>G</w:t>
      </w:r>
      <w:r w:rsidR="005A3AAC">
        <w:rPr>
          <w:rFonts w:ascii="Times New Roman" w:hAnsi="Times New Roman"/>
          <w:sz w:val="24"/>
          <w:szCs w:val="24"/>
          <w:lang w:eastAsia="fr-FR"/>
        </w:rPr>
        <w:t xml:space="preserve">helderode, 1984, </w:t>
      </w:r>
      <w:r w:rsidR="00256E37" w:rsidRPr="00797CB0">
        <w:rPr>
          <w:rFonts w:asciiTheme="majorBidi" w:hAnsiTheme="majorBidi" w:cstheme="majorBidi"/>
          <w:sz w:val="24"/>
          <w:szCs w:val="24"/>
        </w:rPr>
        <w:t>p.36)</w:t>
      </w:r>
      <w:r w:rsidR="005A3AAC">
        <w:rPr>
          <w:rFonts w:asciiTheme="majorBidi" w:hAnsiTheme="majorBidi" w:cstheme="majorBidi"/>
          <w:sz w:val="24"/>
          <w:szCs w:val="24"/>
        </w:rPr>
        <w:t>.</w:t>
      </w:r>
    </w:p>
    <w:p w:rsidR="006A4EED" w:rsidRPr="003B00C8" w:rsidRDefault="006A4EED" w:rsidP="00460DFD">
      <w:pPr>
        <w:spacing w:after="0" w:line="360" w:lineRule="auto"/>
        <w:ind w:firstLine="284"/>
        <w:jc w:val="both"/>
        <w:rPr>
          <w:rFonts w:ascii="Times New Roman" w:hAnsi="Times New Roman"/>
          <w:sz w:val="24"/>
          <w:szCs w:val="24"/>
        </w:rPr>
      </w:pPr>
      <w:r w:rsidRPr="00460DFD">
        <w:rPr>
          <w:rFonts w:ascii="Times New Roman" w:hAnsi="Times New Roman"/>
          <w:sz w:val="24"/>
          <w:szCs w:val="24"/>
        </w:rPr>
        <w:t>Pendant sa «chanson du crime », il aperçoit dans la pénombre de la cage « une proie» étendue sur le sol, mais lorsqu'il veut s'en saisir, il est arrêté par un cri "navrant" qui le bouleverse jusqu'à la moelle. Jésus se dresse, « lentement, mystérieusement ». Barabbas lève le poing, mais se trouve incapable de frapper. «Cet homme n'est pas comme nous», opine le mauvais larron, et Barabbas, partage ce sentiment, Il a la forme d'un homme, l'agonie d'un homme, mais quelle</w:t>
      </w:r>
      <w:r w:rsidR="00460DFD">
        <w:rPr>
          <w:rFonts w:ascii="Times New Roman" w:hAnsi="Times New Roman"/>
          <w:i/>
          <w:iCs/>
          <w:sz w:val="24"/>
          <w:szCs w:val="24"/>
        </w:rPr>
        <w:t xml:space="preserve"> </w:t>
      </w:r>
      <w:r w:rsidRPr="00460DFD">
        <w:rPr>
          <w:rFonts w:ascii="Times New Roman" w:hAnsi="Times New Roman"/>
          <w:sz w:val="24"/>
          <w:szCs w:val="24"/>
        </w:rPr>
        <w:t>est cette lumière qui l'environne, quelle est cette aurore dans nos ténèbres mortelles</w:t>
      </w:r>
      <w:r w:rsidRPr="00CF259E">
        <w:rPr>
          <w:rFonts w:ascii="Times New Roman" w:hAnsi="Times New Roman"/>
          <w:i/>
          <w:iCs/>
          <w:sz w:val="24"/>
          <w:szCs w:val="24"/>
        </w:rPr>
        <w:t xml:space="preserve"> ?</w:t>
      </w:r>
      <w:r w:rsidRPr="003B00C8">
        <w:rPr>
          <w:rFonts w:ascii="Times New Roman" w:hAnsi="Times New Roman"/>
          <w:sz w:val="24"/>
          <w:szCs w:val="24"/>
        </w:rPr>
        <w:t xml:space="preserve"> »</w:t>
      </w:r>
    </w:p>
    <w:p w:rsidR="00256E37" w:rsidRDefault="006A4EED" w:rsidP="00D72133">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Barabbas s'approche de Jésus, qui prie, immobile, «statue de la Douleur»:</w:t>
      </w:r>
    </w:p>
    <w:p w:rsidR="006A4EED" w:rsidRPr="00466863" w:rsidRDefault="006A4EED" w:rsidP="00AA3CBC">
      <w:pPr>
        <w:pStyle w:val="Citationintense"/>
        <w:spacing w:before="0" w:after="0"/>
        <w:ind w:left="567" w:right="0"/>
        <w:rPr>
          <w:sz w:val="20"/>
          <w:szCs w:val="20"/>
        </w:rPr>
      </w:pPr>
      <w:r w:rsidRPr="00613A53">
        <w:rPr>
          <w:sz w:val="20"/>
          <w:szCs w:val="20"/>
        </w:rPr>
        <w:t>Nous n'avons rien pu changer à tout ce que nous trouvions néfaste, révoltant et détestable Et, après notre vaine mort, la Justice ne sera pas encore rendue, et le mensonge régnera non moins souverainement comme il règne depuis qu'il existe des humains. Voilà ce qui désespère cet homme, et voilà ce qui me désespère aussi. [...] Bientôt, plus rien ne restera de ce que nous sommes. I1 n'y a plus qu'à attendre et à se laisser faire, comme lui-même se laisse faire.</w:t>
      </w:r>
      <w:r w:rsidR="00256E37" w:rsidRPr="00613A53">
        <w:rPr>
          <w:sz w:val="20"/>
          <w:szCs w:val="20"/>
        </w:rPr>
        <w:t xml:space="preserve"> (</w:t>
      </w:r>
      <w:r w:rsidR="00466863" w:rsidRPr="00466863">
        <w:rPr>
          <w:rFonts w:asciiTheme="majorBidi" w:hAnsiTheme="majorBidi" w:cstheme="majorBidi"/>
          <w:sz w:val="20"/>
          <w:szCs w:val="20"/>
        </w:rPr>
        <w:t xml:space="preserve">M. De </w:t>
      </w:r>
      <w:r w:rsidR="00466863" w:rsidRPr="00466863">
        <w:rPr>
          <w:sz w:val="20"/>
          <w:szCs w:val="20"/>
          <w:lang w:eastAsia="fr-FR"/>
        </w:rPr>
        <w:t xml:space="preserve">Ghelderode, 1984, </w:t>
      </w:r>
      <w:r w:rsidR="00256E37" w:rsidRPr="00466863">
        <w:rPr>
          <w:sz w:val="20"/>
          <w:szCs w:val="20"/>
        </w:rPr>
        <w:t>p.58)</w:t>
      </w:r>
      <w:r w:rsidR="005B32D7">
        <w:rPr>
          <w:sz w:val="20"/>
          <w:szCs w:val="20"/>
        </w:rPr>
        <w:t>.</w:t>
      </w:r>
    </w:p>
    <w:p w:rsidR="006A4EED" w:rsidRPr="003B00C8" w:rsidRDefault="006A4EED" w:rsidP="005B32D7">
      <w:pPr>
        <w:spacing w:after="0" w:line="360" w:lineRule="auto"/>
        <w:ind w:firstLine="284"/>
        <w:jc w:val="both"/>
        <w:rPr>
          <w:rFonts w:ascii="Times New Roman" w:hAnsi="Times New Roman"/>
          <w:sz w:val="24"/>
          <w:szCs w:val="24"/>
        </w:rPr>
      </w:pPr>
      <w:r w:rsidRPr="003B00C8">
        <w:rPr>
          <w:rFonts w:ascii="Times New Roman" w:hAnsi="Times New Roman"/>
          <w:sz w:val="24"/>
          <w:szCs w:val="24"/>
        </w:rPr>
        <w:t>On ne reconnaît plus le fauve fanfaronnant du début. Jésus, sans prononcer un mot, l'a complètement transformé.</w:t>
      </w:r>
    </w:p>
    <w:p w:rsidR="006A4EED" w:rsidRPr="00A73925" w:rsidRDefault="006A4EED" w:rsidP="00A73925">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 xml:space="preserve">Au deuxième acte, Pilate propose à la foule de choisir entre Jésus et Barabbas. Travaillée par les prêtres, la masse se met à scander le nom du bandit. Pendant qu'on emmène le Christ, Barabbas, comprenant de moins en moins ce qui se passe, fait tout ce que les prêtres lui demandent, pleure, grimace, se montre repenti. Les soldats ramènent le Christ, couronné d'épines, mais la foule ne change pas d'avis et le bandit, à son grand étonnement, est remis en liberté. A la demande de Caïphe, il prononce un petit discours, qui se termine par </w:t>
      </w:r>
      <w:r w:rsidRPr="00A73925">
        <w:rPr>
          <w:rFonts w:asciiTheme="majorBidi" w:hAnsiTheme="majorBidi" w:cstheme="majorBidi"/>
          <w:sz w:val="24"/>
          <w:szCs w:val="24"/>
        </w:rPr>
        <w:t>les mots: «</w:t>
      </w:r>
      <w:r w:rsidRPr="00460DFD">
        <w:rPr>
          <w:rFonts w:asciiTheme="majorBidi" w:hAnsiTheme="majorBidi" w:cstheme="majorBidi"/>
          <w:sz w:val="24"/>
          <w:szCs w:val="24"/>
        </w:rPr>
        <w:t>Je rends grâces à l'Eternel qui créa le monde, le ciel, les étoiles, le soleil, le peuple d'Israël et ses juges intègres. </w:t>
      </w:r>
      <w:r w:rsidRPr="00A73925">
        <w:rPr>
          <w:rFonts w:asciiTheme="majorBidi" w:hAnsiTheme="majorBidi" w:cstheme="majorBidi"/>
          <w:sz w:val="24"/>
          <w:szCs w:val="24"/>
        </w:rPr>
        <w:t>»</w:t>
      </w:r>
      <w:r w:rsidR="00256E37" w:rsidRPr="00A73925">
        <w:rPr>
          <w:rFonts w:asciiTheme="majorBidi" w:hAnsiTheme="majorBidi" w:cstheme="majorBidi"/>
          <w:sz w:val="24"/>
          <w:szCs w:val="24"/>
        </w:rPr>
        <w:t xml:space="preserve"> (</w:t>
      </w:r>
      <w:r w:rsidR="00A73925" w:rsidRPr="00A73925">
        <w:rPr>
          <w:rFonts w:asciiTheme="majorBidi" w:hAnsiTheme="majorBidi" w:cstheme="majorBidi"/>
          <w:i/>
          <w:iCs/>
          <w:sz w:val="24"/>
          <w:szCs w:val="24"/>
        </w:rPr>
        <w:t>Ibid</w:t>
      </w:r>
      <w:r w:rsidR="00A73925">
        <w:rPr>
          <w:rFonts w:asciiTheme="majorBidi" w:hAnsiTheme="majorBidi" w:cstheme="majorBidi"/>
          <w:sz w:val="24"/>
          <w:szCs w:val="24"/>
        </w:rPr>
        <w:t xml:space="preserve">, </w:t>
      </w:r>
      <w:r w:rsidR="00256E37" w:rsidRPr="00A73925">
        <w:rPr>
          <w:rFonts w:asciiTheme="majorBidi" w:hAnsiTheme="majorBidi" w:cstheme="majorBidi"/>
          <w:sz w:val="24"/>
          <w:szCs w:val="24"/>
        </w:rPr>
        <w:t>p.85)</w:t>
      </w:r>
      <w:r w:rsidR="00A73925">
        <w:rPr>
          <w:rFonts w:asciiTheme="majorBidi" w:hAnsiTheme="majorBidi" w:cstheme="majorBidi"/>
          <w:sz w:val="24"/>
          <w:szCs w:val="24"/>
        </w:rPr>
        <w:t>.</w:t>
      </w:r>
    </w:p>
    <w:p w:rsidR="006A4EED" w:rsidRPr="000254E5" w:rsidRDefault="006A4EED" w:rsidP="000254E5">
      <w:pPr>
        <w:spacing w:after="0" w:line="360" w:lineRule="auto"/>
        <w:ind w:firstLine="284"/>
        <w:jc w:val="both"/>
        <w:rPr>
          <w:rFonts w:ascii="Times New Roman" w:hAnsi="Times New Roman"/>
          <w:sz w:val="24"/>
          <w:szCs w:val="24"/>
        </w:rPr>
      </w:pPr>
      <w:r w:rsidRPr="000254E5">
        <w:rPr>
          <w:rFonts w:ascii="Times New Roman" w:hAnsi="Times New Roman"/>
          <w:sz w:val="24"/>
          <w:szCs w:val="24"/>
        </w:rPr>
        <w:t>Mais sitôt qu'il est seul - c'est un des moments culminants du drame -, sa physionomie change complètement. Après avoir supplié "l'Eternel" de l'aider à haïr ceux qui ont essayé de le rendre complice de l'injustice, il s'en va prêcher la révolte.</w:t>
      </w:r>
    </w:p>
    <w:p w:rsidR="006A4EED" w:rsidRPr="000254E5" w:rsidRDefault="006A4EED" w:rsidP="000254E5">
      <w:pPr>
        <w:spacing w:after="0" w:line="360" w:lineRule="auto"/>
        <w:ind w:firstLine="284"/>
        <w:jc w:val="both"/>
        <w:rPr>
          <w:rFonts w:ascii="Times New Roman" w:hAnsi="Times New Roman"/>
          <w:sz w:val="24"/>
          <w:szCs w:val="24"/>
        </w:rPr>
      </w:pPr>
      <w:r w:rsidRPr="000254E5">
        <w:rPr>
          <w:rFonts w:ascii="Times New Roman" w:hAnsi="Times New Roman"/>
          <w:sz w:val="24"/>
          <w:szCs w:val="24"/>
        </w:rPr>
        <w:t xml:space="preserve">  Le dernier acte se passe dans les bas-fonds de Jérusalem, au pied du Calvaire où Jésus agonise sur la croix. L'univers oppressé attend la mort du Christ. Sentant qu'il est suivi, mais décidé à venger son "camarade", Barabbas détruit la baraque foraine où un barnum et un pitre parodient l'agonie du Christ. </w:t>
      </w:r>
      <w:r w:rsidR="000254E5">
        <w:rPr>
          <w:rFonts w:ascii="Times New Roman" w:hAnsi="Times New Roman"/>
          <w:sz w:val="24"/>
          <w:szCs w:val="24"/>
        </w:rPr>
        <w:t>À</w:t>
      </w:r>
      <w:r w:rsidRPr="000254E5">
        <w:rPr>
          <w:rFonts w:ascii="Times New Roman" w:hAnsi="Times New Roman"/>
          <w:sz w:val="24"/>
          <w:szCs w:val="24"/>
        </w:rPr>
        <w:t xml:space="preserve"> Hérode, il confie sa tristesse que le Christ n'ait pas </w:t>
      </w:r>
      <w:proofErr w:type="gramStart"/>
      <w:r w:rsidRPr="000254E5">
        <w:rPr>
          <w:rFonts w:ascii="Times New Roman" w:hAnsi="Times New Roman"/>
          <w:sz w:val="24"/>
          <w:szCs w:val="24"/>
        </w:rPr>
        <w:t>vu</w:t>
      </w:r>
      <w:proofErr w:type="gramEnd"/>
      <w:r w:rsidRPr="000254E5">
        <w:rPr>
          <w:rFonts w:ascii="Times New Roman" w:hAnsi="Times New Roman"/>
          <w:sz w:val="24"/>
          <w:szCs w:val="24"/>
        </w:rPr>
        <w:t xml:space="preserve"> la main qu'il lui tendait.</w:t>
      </w:r>
      <w:r w:rsidR="00256E37" w:rsidRPr="000254E5">
        <w:rPr>
          <w:rFonts w:ascii="Times New Roman" w:hAnsi="Times New Roman"/>
          <w:sz w:val="24"/>
          <w:szCs w:val="24"/>
        </w:rPr>
        <w:t xml:space="preserve"> (</w:t>
      </w:r>
      <w:r w:rsidR="00B8580D" w:rsidRPr="00B8580D">
        <w:rPr>
          <w:rFonts w:ascii="Times New Roman" w:hAnsi="Times New Roman"/>
          <w:i/>
          <w:iCs/>
          <w:sz w:val="24"/>
          <w:szCs w:val="24"/>
        </w:rPr>
        <w:t>Ibid</w:t>
      </w:r>
      <w:r w:rsidR="00B8580D">
        <w:rPr>
          <w:rFonts w:ascii="Times New Roman" w:hAnsi="Times New Roman"/>
          <w:sz w:val="24"/>
          <w:szCs w:val="24"/>
        </w:rPr>
        <w:t xml:space="preserve">, </w:t>
      </w:r>
      <w:r w:rsidR="00256E37" w:rsidRPr="00B8580D">
        <w:rPr>
          <w:rFonts w:ascii="Times New Roman" w:hAnsi="Times New Roman"/>
          <w:sz w:val="24"/>
          <w:szCs w:val="24"/>
        </w:rPr>
        <w:t>p</w:t>
      </w:r>
      <w:r w:rsidR="00256E37" w:rsidRPr="000254E5">
        <w:rPr>
          <w:rFonts w:ascii="Times New Roman" w:hAnsi="Times New Roman"/>
          <w:sz w:val="24"/>
          <w:szCs w:val="24"/>
        </w:rPr>
        <w:t>.116)</w:t>
      </w:r>
      <w:r w:rsidR="002F221F">
        <w:rPr>
          <w:rFonts w:ascii="Times New Roman" w:hAnsi="Times New Roman"/>
          <w:sz w:val="24"/>
          <w:szCs w:val="24"/>
        </w:rPr>
        <w:t>.</w:t>
      </w:r>
    </w:p>
    <w:p w:rsidR="006A4EED" w:rsidRPr="003B00C8" w:rsidRDefault="006A4EED" w:rsidP="002F221F">
      <w:pPr>
        <w:spacing w:after="0" w:line="360" w:lineRule="auto"/>
        <w:ind w:firstLine="284"/>
        <w:jc w:val="both"/>
        <w:rPr>
          <w:rFonts w:ascii="Times New Roman" w:hAnsi="Times New Roman"/>
          <w:sz w:val="24"/>
          <w:szCs w:val="24"/>
        </w:rPr>
      </w:pPr>
      <w:r w:rsidRPr="003B00C8">
        <w:rPr>
          <w:rFonts w:ascii="Times New Roman" w:hAnsi="Times New Roman"/>
          <w:sz w:val="24"/>
          <w:szCs w:val="24"/>
        </w:rPr>
        <w:t>Au moment même où Christ rend l'âme, il s'amène à la tête d'une bande de "gueux", qu'il excite à la violence.</w:t>
      </w:r>
    </w:p>
    <w:p w:rsidR="006A4EED" w:rsidRPr="003B00C8" w:rsidRDefault="006A4EED" w:rsidP="002F221F">
      <w:pPr>
        <w:spacing w:after="0" w:line="360" w:lineRule="auto"/>
        <w:ind w:firstLine="284"/>
        <w:jc w:val="both"/>
        <w:rPr>
          <w:rFonts w:ascii="Times New Roman" w:hAnsi="Times New Roman"/>
          <w:sz w:val="24"/>
          <w:szCs w:val="24"/>
        </w:rPr>
      </w:pPr>
      <w:r w:rsidRPr="003B00C8">
        <w:rPr>
          <w:rFonts w:ascii="Times New Roman" w:hAnsi="Times New Roman"/>
          <w:sz w:val="24"/>
          <w:szCs w:val="24"/>
        </w:rPr>
        <w:t>Madeleine avertit Barabbas qu'on le recherche, mais il est trop tard: le pitre lui enfonce un poignard dans le dos. Le bandit tombe sur les genoux.</w:t>
      </w:r>
      <w:r w:rsidR="002F221F">
        <w:rPr>
          <w:rFonts w:ascii="Times New Roman" w:hAnsi="Times New Roman"/>
          <w:sz w:val="24"/>
          <w:szCs w:val="24"/>
        </w:rPr>
        <w:t xml:space="preserve"> </w:t>
      </w:r>
      <w:r w:rsidRPr="003B00C8">
        <w:rPr>
          <w:rFonts w:ascii="Times New Roman" w:hAnsi="Times New Roman"/>
          <w:sz w:val="24"/>
          <w:szCs w:val="24"/>
        </w:rPr>
        <w:t>Et il meurt, en regardant vers le Calvaire.</w:t>
      </w:r>
    </w:p>
    <w:p w:rsidR="006A4EED" w:rsidRPr="007D26B9" w:rsidRDefault="006A4EED" w:rsidP="002F221F">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pièce se présente sous forme de tableaux, elle est composée de trois actes.</w:t>
      </w:r>
    </w:p>
    <w:p w:rsidR="006A4EED" w:rsidRPr="002F221F" w:rsidRDefault="00961068" w:rsidP="00D72BD0">
      <w:pPr>
        <w:pStyle w:val="Titre3"/>
        <w:spacing w:before="0" w:after="0" w:line="360" w:lineRule="auto"/>
        <w:ind w:left="641" w:hanging="357"/>
        <w:jc w:val="both"/>
        <w:rPr>
          <w:rFonts w:ascii="Times New Roman" w:hAnsi="Times New Roman" w:cs="Times New Roman"/>
          <w:sz w:val="24"/>
          <w:szCs w:val="24"/>
        </w:rPr>
      </w:pPr>
      <w:bookmarkStart w:id="97" w:name="_Toc471484468"/>
      <w:r>
        <w:rPr>
          <w:rFonts w:ascii="Times New Roman" w:hAnsi="Times New Roman" w:cs="Times New Roman"/>
          <w:sz w:val="24"/>
          <w:szCs w:val="24"/>
        </w:rPr>
        <w:lastRenderedPageBreak/>
        <w:t>2.</w:t>
      </w:r>
      <w:r w:rsidRPr="002F221F">
        <w:rPr>
          <w:rFonts w:ascii="Times New Roman" w:hAnsi="Times New Roman" w:cs="Times New Roman"/>
          <w:sz w:val="24"/>
          <w:szCs w:val="24"/>
        </w:rPr>
        <w:t xml:space="preserve"> </w:t>
      </w:r>
      <w:r w:rsidR="00AC78C6">
        <w:rPr>
          <w:rFonts w:ascii="Times New Roman" w:hAnsi="Times New Roman" w:cs="Times New Roman"/>
          <w:sz w:val="24"/>
          <w:szCs w:val="24"/>
        </w:rPr>
        <w:t>A</w:t>
      </w:r>
      <w:r w:rsidR="006A4EED" w:rsidRPr="002F221F">
        <w:rPr>
          <w:rFonts w:ascii="Times New Roman" w:hAnsi="Times New Roman" w:cs="Times New Roman"/>
          <w:sz w:val="24"/>
          <w:szCs w:val="24"/>
        </w:rPr>
        <w:t xml:space="preserve">nalyse symbolique </w:t>
      </w:r>
      <w:r w:rsidR="00D72BD0">
        <w:rPr>
          <w:rFonts w:ascii="Times New Roman" w:hAnsi="Times New Roman" w:cs="Times New Roman"/>
          <w:sz w:val="24"/>
          <w:szCs w:val="24"/>
        </w:rPr>
        <w:t>d</w:t>
      </w:r>
      <w:r w:rsidR="006A4EED" w:rsidRPr="002F221F">
        <w:rPr>
          <w:rFonts w:ascii="Times New Roman" w:hAnsi="Times New Roman" w:cs="Times New Roman"/>
          <w:sz w:val="24"/>
          <w:szCs w:val="24"/>
        </w:rPr>
        <w:t>es personnages</w:t>
      </w:r>
      <w:r w:rsidR="00D72BD0">
        <w:rPr>
          <w:rFonts w:ascii="Times New Roman" w:hAnsi="Times New Roman" w:cs="Times New Roman"/>
          <w:sz w:val="24"/>
          <w:szCs w:val="24"/>
        </w:rPr>
        <w:t xml:space="preserve"> et leurs relations</w:t>
      </w:r>
      <w:bookmarkEnd w:id="97"/>
    </w:p>
    <w:p w:rsidR="006A4EED" w:rsidRPr="002F221F" w:rsidRDefault="001B58C4" w:rsidP="00D72BD0">
      <w:pPr>
        <w:pStyle w:val="Titre4"/>
        <w:spacing w:before="0" w:after="0" w:line="360" w:lineRule="auto"/>
        <w:ind w:left="641" w:hanging="357"/>
        <w:jc w:val="both"/>
        <w:rPr>
          <w:rFonts w:ascii="Times New Roman" w:hAnsi="Times New Roman"/>
          <w:i w:val="0"/>
          <w:iCs/>
          <w:szCs w:val="24"/>
        </w:rPr>
      </w:pPr>
      <w:bookmarkStart w:id="98" w:name="_Toc471484469"/>
      <w:r>
        <w:rPr>
          <w:rFonts w:ascii="Times New Roman" w:hAnsi="Times New Roman"/>
          <w:i w:val="0"/>
          <w:iCs/>
          <w:szCs w:val="24"/>
        </w:rPr>
        <w:t>2.1.</w:t>
      </w:r>
      <w:r w:rsidRPr="002F221F">
        <w:rPr>
          <w:rFonts w:ascii="Times New Roman" w:hAnsi="Times New Roman"/>
          <w:i w:val="0"/>
          <w:iCs/>
          <w:szCs w:val="24"/>
        </w:rPr>
        <w:t xml:space="preserve"> </w:t>
      </w:r>
      <w:r w:rsidR="00D72BD0" w:rsidRPr="00D72BD0">
        <w:rPr>
          <w:rFonts w:ascii="Times New Roman" w:hAnsi="Times New Roman"/>
          <w:i w:val="0"/>
          <w:iCs/>
          <w:szCs w:val="24"/>
        </w:rPr>
        <w:t xml:space="preserve">Analyse </w:t>
      </w:r>
      <w:r w:rsidR="006A4EED" w:rsidRPr="002F221F">
        <w:rPr>
          <w:rFonts w:ascii="Times New Roman" w:hAnsi="Times New Roman"/>
          <w:i w:val="0"/>
          <w:iCs/>
          <w:szCs w:val="24"/>
        </w:rPr>
        <w:t>symbolique des personnages</w:t>
      </w:r>
      <w:bookmarkEnd w:id="98"/>
    </w:p>
    <w:p w:rsidR="006A4EED" w:rsidRPr="003B00C8" w:rsidRDefault="006A4EED" w:rsidP="001B58C4">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Pour Philippe Hamon, la définition du personnage ne peut se limiter uniquement au poids de son rôle dans l’espace scénique mais aussi </w:t>
      </w:r>
    </w:p>
    <w:p w:rsidR="006A4EED" w:rsidRPr="00FD335D" w:rsidRDefault="00FD335D" w:rsidP="00FD335D">
      <w:pPr>
        <w:pStyle w:val="Citationintense"/>
        <w:spacing w:before="0" w:after="0"/>
        <w:ind w:left="567" w:right="0"/>
        <w:rPr>
          <w:sz w:val="20"/>
          <w:szCs w:val="20"/>
        </w:rPr>
      </w:pPr>
      <w:r w:rsidRPr="00FD335D">
        <w:rPr>
          <w:sz w:val="20"/>
          <w:szCs w:val="20"/>
        </w:rPr>
        <w:t>e</w:t>
      </w:r>
      <w:r w:rsidR="006A4EED" w:rsidRPr="00FD335D">
        <w:rPr>
          <w:sz w:val="20"/>
          <w:szCs w:val="20"/>
        </w:rPr>
        <w:t>n tant que concept sémiologique, le personnage peut se définir comme une sorte de morphème doublement articulé, morphème migratoire manifesté par un signifiant discontinu (un certain nombre de marques) renvoyant à un signifié discontinu (le « sens » ou « la valeur » des personnages ; il sera donc défini par un faisceau de relations, de ressemblances, d’opposition, de hiérarchie et d’ordonnancement (sa distribution) qu’il contracte, sur le plan du signifiant et du signifié successivement et/ou simultanément, avec les autres personnages et éléments de l’œuvre, cela en contexte proche (les autres personnages du même roman de la même œuvre) ou en contexte lointain.</w:t>
      </w:r>
      <w:r w:rsidR="006A4EED" w:rsidRPr="00FD335D">
        <w:rPr>
          <w:rStyle w:val="Appelnotedebasdep"/>
          <w:sz w:val="20"/>
          <w:szCs w:val="20"/>
        </w:rPr>
        <w:footnoteReference w:id="182"/>
      </w:r>
    </w:p>
    <w:p w:rsidR="006A4EED" w:rsidRPr="003B00C8" w:rsidRDefault="006A4EED" w:rsidP="006A4EED">
      <w:pPr>
        <w:autoSpaceDE w:val="0"/>
        <w:autoSpaceDN w:val="0"/>
        <w:adjustRightInd w:val="0"/>
        <w:spacing w:after="0" w:line="240" w:lineRule="auto"/>
        <w:ind w:left="1440" w:right="203"/>
        <w:jc w:val="both"/>
        <w:rPr>
          <w:rFonts w:ascii="Times New Roman" w:hAnsi="Times New Roman"/>
          <w:b/>
          <w:bCs/>
          <w:sz w:val="24"/>
          <w:szCs w:val="20"/>
        </w:rPr>
      </w:pPr>
    </w:p>
    <w:p w:rsidR="006A4EED" w:rsidRPr="003B00C8" w:rsidRDefault="006A4EED" w:rsidP="00AA3CBC">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On peut aussi se demander quel est le poids symbolique accordé par chaque personnage à ce </w:t>
      </w:r>
      <w:r w:rsidRPr="006D4A05">
        <w:rPr>
          <w:rStyle w:val="Accentuation"/>
          <w:rFonts w:ascii="Times New Roman" w:hAnsi="Times New Roman"/>
          <w:color w:val="000000"/>
          <w:sz w:val="24"/>
          <w:szCs w:val="24"/>
        </w:rPr>
        <w:t>moment</w:t>
      </w:r>
      <w:r w:rsidRPr="006D4A05">
        <w:rPr>
          <w:rFonts w:ascii="Times New Roman" w:hAnsi="Times New Roman"/>
          <w:color w:val="000000"/>
          <w:sz w:val="24"/>
          <w:szCs w:val="24"/>
        </w:rPr>
        <w:t xml:space="preserve">-ci qu'il vit et à ce </w:t>
      </w:r>
      <w:r w:rsidRPr="006D4A05">
        <w:rPr>
          <w:rStyle w:val="Accentuation"/>
          <w:rFonts w:ascii="Times New Roman" w:hAnsi="Times New Roman"/>
          <w:color w:val="000000"/>
          <w:sz w:val="24"/>
          <w:szCs w:val="24"/>
        </w:rPr>
        <w:t>lieu</w:t>
      </w:r>
      <w:r w:rsidRPr="006D4A05">
        <w:rPr>
          <w:rFonts w:ascii="Times New Roman" w:hAnsi="Times New Roman"/>
          <w:color w:val="000000"/>
          <w:sz w:val="24"/>
          <w:szCs w:val="24"/>
        </w:rPr>
        <w:t>-ci qu'il occupe.</w:t>
      </w:r>
    </w:p>
    <w:p w:rsidR="006A4EED" w:rsidRPr="00AA3CBC" w:rsidRDefault="006A4EED" w:rsidP="00AA3CBC">
      <w:pPr>
        <w:spacing w:after="0" w:line="360" w:lineRule="auto"/>
        <w:ind w:firstLine="284"/>
        <w:jc w:val="both"/>
        <w:rPr>
          <w:rFonts w:asciiTheme="majorBidi" w:hAnsiTheme="majorBidi" w:cstheme="majorBidi"/>
          <w:b/>
          <w:sz w:val="24"/>
          <w:szCs w:val="24"/>
        </w:rPr>
      </w:pPr>
      <w:r w:rsidRPr="00AA3CBC">
        <w:rPr>
          <w:rFonts w:ascii="Times New Roman" w:hAnsi="Times New Roman"/>
          <w:color w:val="000000"/>
          <w:sz w:val="24"/>
          <w:szCs w:val="24"/>
        </w:rPr>
        <w:t xml:space="preserve">Dans la suite de notre analyse nous nous placerons </w:t>
      </w:r>
      <w:r w:rsidRPr="00AA3CBC">
        <w:rPr>
          <w:rFonts w:asciiTheme="majorBidi" w:hAnsiTheme="majorBidi" w:cstheme="majorBidi"/>
          <w:color w:val="000000"/>
          <w:sz w:val="24"/>
          <w:szCs w:val="24"/>
        </w:rPr>
        <w:t>dans</w:t>
      </w:r>
      <w:r w:rsidR="00AA3CBC" w:rsidRPr="00AA3CBC">
        <w:rPr>
          <w:rFonts w:asciiTheme="majorBidi" w:hAnsiTheme="majorBidi" w:cstheme="majorBidi"/>
          <w:color w:val="000000"/>
          <w:sz w:val="24"/>
          <w:szCs w:val="24"/>
        </w:rPr>
        <w:t xml:space="preserve"> </w:t>
      </w:r>
      <w:r w:rsidRPr="00AA3CBC">
        <w:rPr>
          <w:rFonts w:asciiTheme="majorBidi" w:hAnsiTheme="majorBidi" w:cstheme="majorBidi"/>
          <w:color w:val="000000"/>
          <w:sz w:val="24"/>
          <w:szCs w:val="24"/>
        </w:rPr>
        <w:t>« </w:t>
      </w:r>
      <w:r w:rsidRPr="00AA3CBC">
        <w:rPr>
          <w:rFonts w:asciiTheme="majorBidi" w:hAnsiTheme="majorBidi" w:cstheme="majorBidi"/>
          <w:sz w:val="24"/>
          <w:szCs w:val="24"/>
        </w:rPr>
        <w:t>le champ d’une rhétorique sociale, une grammaire symbolique captant les jeux de sens qui régissent la société »</w:t>
      </w:r>
      <w:r w:rsidR="00AA3CBC" w:rsidRPr="00AA3CBC">
        <w:rPr>
          <w:rFonts w:asciiTheme="majorBidi" w:hAnsiTheme="majorBidi" w:cstheme="majorBidi"/>
          <w:sz w:val="24"/>
          <w:szCs w:val="24"/>
        </w:rPr>
        <w:t>. (</w:t>
      </w:r>
      <w:r w:rsidR="00AA3CBC" w:rsidRPr="00AA3CBC">
        <w:rPr>
          <w:rFonts w:ascii="Times New Roman" w:hAnsi="Times New Roman"/>
          <w:sz w:val="24"/>
          <w:szCs w:val="24"/>
        </w:rPr>
        <w:t>André Helbo</w:t>
      </w:r>
      <w:r w:rsidR="00AA3CBC" w:rsidRPr="00AA3CBC">
        <w:rPr>
          <w:rFonts w:asciiTheme="majorBidi" w:hAnsiTheme="majorBidi" w:cstheme="majorBidi"/>
          <w:sz w:val="24"/>
          <w:szCs w:val="24"/>
        </w:rPr>
        <w:t>, 1987, p.6)</w:t>
      </w:r>
    </w:p>
    <w:p w:rsidR="006A4EED" w:rsidRPr="003B00C8" w:rsidRDefault="006A4EED" w:rsidP="00AA3CBC">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 personnage : personne imaginaire de la pièce, qu'on désignait autrefois comme entre-parleur. Celui qui porte le masque et en incarne le caractère, diffère de l'acteur qui remplit le rôle du personnage dans la représentation, et du comédien </w:t>
      </w:r>
    </w:p>
    <w:p w:rsidR="008778BF" w:rsidRDefault="008778BF" w:rsidP="00AA3CBC">
      <w:pPr>
        <w:pStyle w:val="Titre5"/>
        <w:spacing w:before="0" w:after="0"/>
        <w:ind w:left="641" w:hanging="357"/>
        <w:jc w:val="both"/>
        <w:rPr>
          <w:rFonts w:ascii="Times New Roman" w:hAnsi="Times New Roman"/>
          <w:color w:val="auto"/>
        </w:rPr>
      </w:pPr>
    </w:p>
    <w:p w:rsidR="006A4EED" w:rsidRPr="00AA3CBC" w:rsidRDefault="00AA3CBC" w:rsidP="00AA3CBC">
      <w:pPr>
        <w:pStyle w:val="Titre5"/>
        <w:spacing w:before="0" w:after="0"/>
        <w:ind w:left="641" w:hanging="357"/>
        <w:jc w:val="both"/>
        <w:rPr>
          <w:rFonts w:ascii="Times New Roman" w:hAnsi="Times New Roman"/>
          <w:color w:val="auto"/>
        </w:rPr>
      </w:pPr>
      <w:bookmarkStart w:id="99" w:name="_Toc471484470"/>
      <w:r w:rsidRPr="00AA3CBC">
        <w:rPr>
          <w:rFonts w:ascii="Times New Roman" w:hAnsi="Times New Roman"/>
          <w:color w:val="auto"/>
        </w:rPr>
        <w:t>2.1.1</w:t>
      </w:r>
      <w:r w:rsidR="008778BF" w:rsidRPr="00AA3CBC">
        <w:rPr>
          <w:rFonts w:ascii="Times New Roman" w:hAnsi="Times New Roman"/>
          <w:color w:val="auto"/>
        </w:rPr>
        <w:t>. Barabbas</w:t>
      </w:r>
      <w:bookmarkEnd w:id="99"/>
    </w:p>
    <w:p w:rsidR="006A4EED" w:rsidRDefault="006A4EED" w:rsidP="008778BF">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nom Barabbas est d'origine araméenne. Sa construction dérive de Barabbas qui signifie dans cette langue le fils du père, le « s » final est une marque génitive grecque. Dans cette procédure onomastique insolite, le « fils du père » est le titre qui, de façon suréminente et transcendante appartient aussi au Christ protagoniste et enjeu de la pièce.</w:t>
      </w:r>
    </w:p>
    <w:p w:rsidR="00513B5C" w:rsidRPr="003B00C8" w:rsidRDefault="00513B5C" w:rsidP="008778BF">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Pour Roland Barthes, dans S/Z : </w:t>
      </w:r>
    </w:p>
    <w:p w:rsidR="00513B5C" w:rsidRPr="008778BF" w:rsidRDefault="00513B5C" w:rsidP="008778BF">
      <w:pPr>
        <w:pStyle w:val="Citationintense"/>
        <w:spacing w:before="0" w:after="0"/>
        <w:ind w:left="567" w:right="0"/>
        <w:rPr>
          <w:sz w:val="20"/>
          <w:szCs w:val="20"/>
        </w:rPr>
      </w:pPr>
      <w:r w:rsidRPr="008778BF">
        <w:rPr>
          <w:sz w:val="20"/>
          <w:szCs w:val="20"/>
        </w:rPr>
        <w:t>Lorsque des sèmes identiques traversent à plusieurs reprises le même nom propre et semblent s’y fixer, il naît un personnage. Le personnage est donc un produit combinatoire… cette complexité détermine la « personnalité » du personnage… le Nom propre fonctionne comme le champ d’aimantation des sèmes : renvoyant virtuellement à un corps, il entraîne la configuration sémique dans un temps évolutif.</w:t>
      </w:r>
      <w:r w:rsidRPr="008778BF">
        <w:rPr>
          <w:rStyle w:val="Appelnotedebasdep"/>
          <w:sz w:val="20"/>
          <w:szCs w:val="20"/>
        </w:rPr>
        <w:footnoteReference w:id="183"/>
      </w:r>
    </w:p>
    <w:p w:rsidR="008778BF" w:rsidRDefault="006A4EED" w:rsidP="009C4204">
      <w:pPr>
        <w:spacing w:line="360" w:lineRule="auto"/>
        <w:jc w:val="both"/>
        <w:rPr>
          <w:rFonts w:ascii="Times New Roman" w:hAnsi="Times New Roman"/>
          <w:sz w:val="24"/>
          <w:szCs w:val="24"/>
        </w:rPr>
      </w:pPr>
      <w:r w:rsidRPr="003B00C8">
        <w:rPr>
          <w:rFonts w:ascii="Times New Roman" w:hAnsi="Times New Roman"/>
          <w:sz w:val="24"/>
          <w:szCs w:val="24"/>
        </w:rPr>
        <w:t xml:space="preserve">        </w:t>
      </w:r>
    </w:p>
    <w:p w:rsidR="006A4EED" w:rsidRPr="006B031C" w:rsidRDefault="006A4EED" w:rsidP="006B031C">
      <w:pPr>
        <w:spacing w:after="0" w:line="360" w:lineRule="auto"/>
        <w:ind w:firstLine="284"/>
        <w:jc w:val="both"/>
        <w:rPr>
          <w:rFonts w:asciiTheme="majorBidi" w:hAnsiTheme="majorBidi" w:cstheme="majorBidi"/>
          <w:sz w:val="24"/>
          <w:szCs w:val="24"/>
        </w:rPr>
      </w:pPr>
      <w:r w:rsidRPr="00D5236C">
        <w:rPr>
          <w:rFonts w:asciiTheme="majorBidi" w:hAnsiTheme="majorBidi" w:cstheme="majorBidi"/>
          <w:sz w:val="24"/>
          <w:szCs w:val="24"/>
        </w:rPr>
        <w:lastRenderedPageBreak/>
        <w:t xml:space="preserve">Tout le long du premier acte, ce personnage nodal parait un brigand, grand robuste, son cri est rugissement. Il se prend pour un fauve, lutteur et bagarreur comme le démontre le passage: </w:t>
      </w:r>
      <w:r w:rsidRPr="006947F1">
        <w:rPr>
          <w:rFonts w:asciiTheme="majorBidi" w:hAnsiTheme="majorBidi" w:cstheme="majorBidi"/>
          <w:i/>
          <w:iCs/>
          <w:sz w:val="24"/>
          <w:szCs w:val="24"/>
        </w:rPr>
        <w:t>« [...] venez donc avec fourches et torches, le fauve vous attend»</w:t>
      </w:r>
      <w:r w:rsidR="002B2028" w:rsidRPr="006947F1">
        <w:rPr>
          <w:rFonts w:asciiTheme="majorBidi" w:hAnsiTheme="majorBidi" w:cstheme="majorBidi"/>
          <w:sz w:val="24"/>
          <w:szCs w:val="24"/>
        </w:rPr>
        <w:t xml:space="preserve"> (</w:t>
      </w:r>
      <w:r w:rsidR="006947F1" w:rsidRPr="006947F1">
        <w:rPr>
          <w:rFonts w:asciiTheme="majorBidi" w:hAnsiTheme="majorBidi" w:cstheme="majorBidi"/>
          <w:sz w:val="24"/>
          <w:szCs w:val="24"/>
        </w:rPr>
        <w:t xml:space="preserve">M. De </w:t>
      </w:r>
      <w:r w:rsidR="006947F1" w:rsidRPr="006947F1">
        <w:rPr>
          <w:rFonts w:asciiTheme="majorBidi" w:hAnsiTheme="majorBidi" w:cstheme="majorBidi"/>
          <w:sz w:val="24"/>
          <w:szCs w:val="24"/>
          <w:lang w:eastAsia="fr-FR"/>
        </w:rPr>
        <w:t xml:space="preserve">Ghelderode, 1984, </w:t>
      </w:r>
      <w:r w:rsidR="002B2028" w:rsidRPr="006947F1">
        <w:rPr>
          <w:rFonts w:asciiTheme="majorBidi" w:hAnsiTheme="majorBidi" w:cstheme="majorBidi"/>
          <w:sz w:val="24"/>
          <w:szCs w:val="24"/>
        </w:rPr>
        <w:t>p.40)</w:t>
      </w:r>
      <w:r w:rsidR="006947F1">
        <w:rPr>
          <w:rFonts w:asciiTheme="majorBidi" w:hAnsiTheme="majorBidi" w:cstheme="majorBidi"/>
          <w:sz w:val="24"/>
          <w:szCs w:val="24"/>
        </w:rPr>
        <w:t>.</w:t>
      </w:r>
      <w:r w:rsidRPr="006947F1">
        <w:rPr>
          <w:rFonts w:asciiTheme="majorBidi" w:hAnsiTheme="majorBidi" w:cstheme="majorBidi"/>
          <w:i/>
          <w:iCs/>
          <w:sz w:val="24"/>
          <w:szCs w:val="24"/>
        </w:rPr>
        <w:t xml:space="preserve"> </w:t>
      </w:r>
      <w:r w:rsidRPr="003B00C8">
        <w:rPr>
          <w:rFonts w:ascii="Times New Roman" w:hAnsi="Times New Roman"/>
          <w:sz w:val="24"/>
          <w:szCs w:val="24"/>
        </w:rPr>
        <w:t>Il est démoniaque et ivrogne :</w:t>
      </w:r>
      <w:r>
        <w:rPr>
          <w:rFonts w:ascii="Times New Roman" w:hAnsi="Times New Roman"/>
          <w:sz w:val="24"/>
          <w:szCs w:val="24"/>
        </w:rPr>
        <w:t xml:space="preserve"> </w:t>
      </w:r>
      <w:r w:rsidRPr="006B031C">
        <w:rPr>
          <w:rFonts w:asciiTheme="majorBidi" w:hAnsiTheme="majorBidi" w:cstheme="majorBidi"/>
          <w:i/>
          <w:iCs/>
          <w:sz w:val="24"/>
          <w:szCs w:val="24"/>
        </w:rPr>
        <w:t>« [...] ma gueule est fournaise ardente [...]»</w:t>
      </w:r>
      <w:r w:rsidR="006B031C" w:rsidRPr="006B031C">
        <w:rPr>
          <w:rFonts w:asciiTheme="majorBidi" w:hAnsiTheme="majorBidi" w:cstheme="majorBidi"/>
          <w:i/>
          <w:iCs/>
          <w:sz w:val="24"/>
          <w:szCs w:val="24"/>
        </w:rPr>
        <w:t xml:space="preserve"> </w:t>
      </w:r>
      <w:r w:rsidR="002B2028" w:rsidRPr="006B031C">
        <w:rPr>
          <w:rFonts w:asciiTheme="majorBidi" w:hAnsiTheme="majorBidi" w:cstheme="majorBidi"/>
          <w:sz w:val="24"/>
          <w:szCs w:val="24"/>
        </w:rPr>
        <w:t>(</w:t>
      </w:r>
      <w:r w:rsidR="006B031C">
        <w:rPr>
          <w:rFonts w:asciiTheme="majorBidi" w:hAnsiTheme="majorBidi" w:cstheme="majorBidi"/>
          <w:i/>
          <w:iCs/>
          <w:sz w:val="24"/>
          <w:szCs w:val="24"/>
        </w:rPr>
        <w:t xml:space="preserve">Ibid, </w:t>
      </w:r>
      <w:r w:rsidR="002B2028" w:rsidRPr="006B031C">
        <w:rPr>
          <w:rFonts w:asciiTheme="majorBidi" w:hAnsiTheme="majorBidi" w:cstheme="majorBidi"/>
          <w:sz w:val="24"/>
          <w:szCs w:val="24"/>
        </w:rPr>
        <w:t>p.43)</w:t>
      </w:r>
      <w:r w:rsidR="006B031C">
        <w:rPr>
          <w:rFonts w:asciiTheme="majorBidi" w:hAnsiTheme="majorBidi" w:cstheme="majorBidi"/>
          <w:sz w:val="24"/>
          <w:szCs w:val="24"/>
        </w:rPr>
        <w:t xml:space="preserve">. </w:t>
      </w:r>
      <w:r w:rsidRPr="006B031C">
        <w:rPr>
          <w:rFonts w:asciiTheme="majorBidi" w:hAnsiTheme="majorBidi" w:cstheme="majorBidi"/>
          <w:sz w:val="24"/>
          <w:szCs w:val="24"/>
        </w:rPr>
        <w:t xml:space="preserve">Il se fait respecter par la force, selon les dires du mauvais larron : </w:t>
      </w:r>
      <w:r w:rsidRPr="006B031C">
        <w:rPr>
          <w:rFonts w:asciiTheme="majorBidi" w:hAnsiTheme="majorBidi" w:cstheme="majorBidi"/>
          <w:i/>
          <w:iCs/>
          <w:sz w:val="24"/>
          <w:szCs w:val="24"/>
        </w:rPr>
        <w:t>« [...] tu es beau, tu es grand [….]»</w:t>
      </w:r>
      <w:r w:rsidR="002B2028" w:rsidRPr="006B031C">
        <w:rPr>
          <w:rFonts w:asciiTheme="majorBidi" w:hAnsiTheme="majorBidi" w:cstheme="majorBidi"/>
          <w:i/>
          <w:iCs/>
          <w:sz w:val="24"/>
          <w:szCs w:val="24"/>
        </w:rPr>
        <w:t xml:space="preserve"> </w:t>
      </w:r>
      <w:r w:rsidR="002B2028" w:rsidRPr="006B031C">
        <w:rPr>
          <w:rFonts w:asciiTheme="majorBidi" w:hAnsiTheme="majorBidi" w:cstheme="majorBidi"/>
          <w:sz w:val="24"/>
          <w:szCs w:val="24"/>
        </w:rPr>
        <w:t>(</w:t>
      </w:r>
      <w:r w:rsidR="004C0006">
        <w:rPr>
          <w:rFonts w:asciiTheme="majorBidi" w:hAnsiTheme="majorBidi" w:cstheme="majorBidi"/>
          <w:i/>
          <w:iCs/>
          <w:sz w:val="24"/>
          <w:szCs w:val="24"/>
        </w:rPr>
        <w:t xml:space="preserve">Ibid, </w:t>
      </w:r>
      <w:r w:rsidR="002B2028" w:rsidRPr="006B031C">
        <w:rPr>
          <w:rFonts w:asciiTheme="majorBidi" w:hAnsiTheme="majorBidi" w:cstheme="majorBidi"/>
          <w:sz w:val="24"/>
          <w:szCs w:val="24"/>
        </w:rPr>
        <w:t>p.44)</w:t>
      </w:r>
      <w:r w:rsidR="004C0006">
        <w:rPr>
          <w:rFonts w:asciiTheme="majorBidi" w:hAnsiTheme="majorBidi" w:cstheme="majorBidi"/>
          <w:sz w:val="24"/>
          <w:szCs w:val="24"/>
        </w:rPr>
        <w:t>.</w:t>
      </w:r>
    </w:p>
    <w:p w:rsidR="006A4EED" w:rsidRPr="004F5994" w:rsidRDefault="006A4EED" w:rsidP="004F5994">
      <w:pPr>
        <w:spacing w:after="0" w:line="360" w:lineRule="auto"/>
        <w:ind w:firstLine="284"/>
        <w:jc w:val="both"/>
        <w:rPr>
          <w:rFonts w:asciiTheme="majorBidi" w:hAnsiTheme="majorBidi" w:cstheme="majorBidi"/>
          <w:sz w:val="24"/>
          <w:szCs w:val="24"/>
        </w:rPr>
      </w:pPr>
      <w:r w:rsidRPr="004F5994">
        <w:rPr>
          <w:rFonts w:asciiTheme="majorBidi" w:hAnsiTheme="majorBidi" w:cstheme="majorBidi"/>
          <w:sz w:val="24"/>
          <w:szCs w:val="24"/>
        </w:rPr>
        <w:t xml:space="preserve">Barabbas est un festif qui aime  boire et chanter : </w:t>
      </w:r>
      <w:r w:rsidRPr="004F5994">
        <w:rPr>
          <w:rFonts w:asciiTheme="majorBidi" w:hAnsiTheme="majorBidi" w:cstheme="majorBidi"/>
          <w:i/>
          <w:iCs/>
          <w:sz w:val="24"/>
          <w:szCs w:val="24"/>
        </w:rPr>
        <w:t>« [...] ma voix est pareille aux brises des forêts ou à la marche d'une horde barbare, elle est mélodieuse et véhémente».</w:t>
      </w:r>
      <w:r w:rsidR="002B2028" w:rsidRPr="004F5994">
        <w:rPr>
          <w:rFonts w:asciiTheme="majorBidi" w:hAnsiTheme="majorBidi" w:cstheme="majorBidi"/>
          <w:sz w:val="24"/>
          <w:szCs w:val="24"/>
        </w:rPr>
        <w:t xml:space="preserve"> (</w:t>
      </w:r>
      <w:r w:rsidR="004F5994">
        <w:rPr>
          <w:rFonts w:asciiTheme="majorBidi" w:hAnsiTheme="majorBidi" w:cstheme="majorBidi"/>
          <w:i/>
          <w:iCs/>
          <w:sz w:val="24"/>
          <w:szCs w:val="24"/>
        </w:rPr>
        <w:t xml:space="preserve">Ibid, </w:t>
      </w:r>
      <w:r w:rsidR="002B2028" w:rsidRPr="004F5994">
        <w:rPr>
          <w:rFonts w:asciiTheme="majorBidi" w:hAnsiTheme="majorBidi" w:cstheme="majorBidi"/>
          <w:sz w:val="24"/>
          <w:szCs w:val="24"/>
        </w:rPr>
        <w:t>p.46)</w:t>
      </w:r>
      <w:r w:rsidR="004F5994">
        <w:rPr>
          <w:rFonts w:asciiTheme="majorBidi" w:hAnsiTheme="majorBidi" w:cstheme="majorBidi"/>
          <w:sz w:val="24"/>
          <w:szCs w:val="24"/>
        </w:rPr>
        <w:t>.</w:t>
      </w:r>
    </w:p>
    <w:p w:rsidR="006A4EED" w:rsidRPr="00D43C77" w:rsidRDefault="006A4EED" w:rsidP="00D43C77">
      <w:pPr>
        <w:spacing w:line="360" w:lineRule="auto"/>
        <w:jc w:val="both"/>
        <w:rPr>
          <w:rFonts w:asciiTheme="majorBidi" w:hAnsiTheme="majorBidi" w:cstheme="majorBidi"/>
          <w:sz w:val="24"/>
          <w:szCs w:val="24"/>
        </w:rPr>
      </w:pPr>
      <w:r w:rsidRPr="00D43C77">
        <w:rPr>
          <w:rFonts w:asciiTheme="majorBidi" w:hAnsiTheme="majorBidi" w:cstheme="majorBidi"/>
          <w:sz w:val="24"/>
          <w:szCs w:val="24"/>
        </w:rPr>
        <w:t xml:space="preserve">    Et aussi fataliste</w:t>
      </w:r>
      <w:r w:rsidRPr="00D43C77">
        <w:rPr>
          <w:rFonts w:asciiTheme="majorBidi" w:hAnsiTheme="majorBidi" w:cstheme="majorBidi"/>
          <w:color w:val="00B0F0"/>
          <w:sz w:val="24"/>
          <w:szCs w:val="24"/>
        </w:rPr>
        <w:t xml:space="preserve"> </w:t>
      </w:r>
      <w:r w:rsidRPr="00D43C77">
        <w:rPr>
          <w:rFonts w:asciiTheme="majorBidi" w:hAnsiTheme="majorBidi" w:cstheme="majorBidi"/>
          <w:sz w:val="24"/>
          <w:szCs w:val="24"/>
        </w:rPr>
        <w:t xml:space="preserve">comme l’illustre l’extrait ; </w:t>
      </w:r>
      <w:r w:rsidRPr="0030090C">
        <w:rPr>
          <w:rFonts w:asciiTheme="majorBidi" w:hAnsiTheme="majorBidi" w:cstheme="majorBidi"/>
          <w:sz w:val="24"/>
          <w:szCs w:val="24"/>
        </w:rPr>
        <w:t>« Nous sommes trois criminels et nous ne savons pas pourquoi nous sommes des   criminels [….]»</w:t>
      </w:r>
      <w:r w:rsidR="009C4204" w:rsidRPr="0030090C">
        <w:rPr>
          <w:rStyle w:val="Appelnotedebasdep"/>
          <w:rFonts w:asciiTheme="majorBidi" w:hAnsiTheme="majorBidi" w:cstheme="majorBidi"/>
          <w:sz w:val="24"/>
          <w:szCs w:val="24"/>
        </w:rPr>
        <w:footnoteReference w:id="184"/>
      </w:r>
      <w:r w:rsidRPr="00D43C77">
        <w:rPr>
          <w:rFonts w:asciiTheme="majorBidi" w:hAnsiTheme="majorBidi" w:cstheme="majorBidi"/>
          <w:sz w:val="24"/>
          <w:szCs w:val="24"/>
        </w:rPr>
        <w:t xml:space="preserve"> </w:t>
      </w:r>
      <w:r w:rsidR="00D43C77" w:rsidRPr="00D43C77">
        <w:rPr>
          <w:rFonts w:asciiTheme="majorBidi" w:hAnsiTheme="majorBidi" w:cstheme="majorBidi"/>
          <w:sz w:val="24"/>
          <w:szCs w:val="24"/>
        </w:rPr>
        <w:t xml:space="preserve">. </w:t>
      </w:r>
      <w:r w:rsidRPr="00D43C77">
        <w:rPr>
          <w:rFonts w:asciiTheme="majorBidi" w:hAnsiTheme="majorBidi" w:cstheme="majorBidi"/>
          <w:sz w:val="24"/>
          <w:szCs w:val="24"/>
        </w:rPr>
        <w:t xml:space="preserve">Il accumule toutes les caractéristiques du grotesque, ainsi la cruauté se manifeste dans son discours </w:t>
      </w:r>
      <w:r w:rsidRPr="00D43C77">
        <w:rPr>
          <w:rFonts w:asciiTheme="majorBidi" w:hAnsiTheme="majorBidi" w:cstheme="majorBidi"/>
          <w:i/>
          <w:iCs/>
          <w:sz w:val="24"/>
          <w:szCs w:val="24"/>
        </w:rPr>
        <w:t>:</w:t>
      </w:r>
      <w:r w:rsidR="00787DB5" w:rsidRPr="00D43C77">
        <w:rPr>
          <w:rFonts w:asciiTheme="majorBidi" w:hAnsiTheme="majorBidi" w:cstheme="majorBidi"/>
          <w:i/>
          <w:iCs/>
          <w:sz w:val="24"/>
          <w:szCs w:val="24"/>
        </w:rPr>
        <w:t> «</w:t>
      </w:r>
      <w:r w:rsidRPr="00D43C77">
        <w:rPr>
          <w:rFonts w:asciiTheme="majorBidi" w:hAnsiTheme="majorBidi" w:cstheme="majorBidi"/>
          <w:i/>
          <w:iCs/>
          <w:sz w:val="24"/>
          <w:szCs w:val="24"/>
        </w:rPr>
        <w:t> [...] avec calme et douleur, je briserais les vertèbres, je te sucerais la cervelle par le nez [...]»</w:t>
      </w:r>
      <w:r w:rsidR="00787DB5" w:rsidRPr="00D43C77">
        <w:rPr>
          <w:rFonts w:asciiTheme="majorBidi" w:hAnsiTheme="majorBidi" w:cstheme="majorBidi"/>
          <w:i/>
          <w:iCs/>
          <w:sz w:val="24"/>
          <w:szCs w:val="24"/>
        </w:rPr>
        <w:t xml:space="preserve"> </w:t>
      </w:r>
      <w:r w:rsidR="00787DB5" w:rsidRPr="00D43C77">
        <w:rPr>
          <w:rFonts w:asciiTheme="majorBidi" w:hAnsiTheme="majorBidi" w:cstheme="majorBidi"/>
          <w:sz w:val="24"/>
          <w:szCs w:val="24"/>
        </w:rPr>
        <w:t>(</w:t>
      </w:r>
      <w:r w:rsidR="000D71E1" w:rsidRPr="006947F1">
        <w:rPr>
          <w:rFonts w:asciiTheme="majorBidi" w:hAnsiTheme="majorBidi" w:cstheme="majorBidi"/>
          <w:sz w:val="24"/>
          <w:szCs w:val="24"/>
        </w:rPr>
        <w:t xml:space="preserve">M. De </w:t>
      </w:r>
      <w:r w:rsidR="000D71E1" w:rsidRPr="006947F1">
        <w:rPr>
          <w:rFonts w:asciiTheme="majorBidi" w:hAnsiTheme="majorBidi" w:cstheme="majorBidi"/>
          <w:sz w:val="24"/>
          <w:szCs w:val="24"/>
          <w:lang w:eastAsia="fr-FR"/>
        </w:rPr>
        <w:t xml:space="preserve">Ghelderode, 1984, </w:t>
      </w:r>
      <w:r w:rsidR="00787DB5" w:rsidRPr="00D43C77">
        <w:rPr>
          <w:rFonts w:asciiTheme="majorBidi" w:hAnsiTheme="majorBidi" w:cstheme="majorBidi"/>
          <w:sz w:val="24"/>
          <w:szCs w:val="24"/>
        </w:rPr>
        <w:t>p.40)</w:t>
      </w:r>
    </w:p>
    <w:p w:rsidR="006A4EED" w:rsidRPr="0030090C" w:rsidRDefault="006A4EED" w:rsidP="0030090C">
      <w:pPr>
        <w:spacing w:after="0" w:line="360" w:lineRule="auto"/>
        <w:jc w:val="both"/>
        <w:rPr>
          <w:rFonts w:asciiTheme="majorBidi" w:hAnsiTheme="majorBidi" w:cstheme="majorBidi"/>
          <w:sz w:val="24"/>
          <w:szCs w:val="24"/>
        </w:rPr>
      </w:pPr>
      <w:r w:rsidRPr="003B00C8">
        <w:rPr>
          <w:rFonts w:ascii="Times New Roman" w:hAnsi="Times New Roman"/>
          <w:sz w:val="24"/>
          <w:szCs w:val="24"/>
        </w:rPr>
        <w:t xml:space="preserve">Hors la loi, fière, méprise toute justice, égoïste, ostensible et vantard </w:t>
      </w:r>
      <w:r w:rsidRPr="0030090C">
        <w:rPr>
          <w:rFonts w:asciiTheme="majorBidi" w:hAnsiTheme="majorBidi" w:cstheme="majorBidi"/>
          <w:sz w:val="24"/>
          <w:szCs w:val="24"/>
        </w:rPr>
        <w:t xml:space="preserve">: </w:t>
      </w:r>
      <w:r w:rsidRPr="0030090C">
        <w:rPr>
          <w:rFonts w:asciiTheme="majorBidi" w:hAnsiTheme="majorBidi" w:cstheme="majorBidi"/>
          <w:i/>
          <w:iCs/>
          <w:sz w:val="24"/>
          <w:szCs w:val="24"/>
        </w:rPr>
        <w:t>« [...] Trouve moi prêtre, un tueur aux exploits aussi grandioses et nombreux que le mien [...] montre moi ce surhomme.»</w:t>
      </w:r>
      <w:r w:rsidR="00787DB5" w:rsidRPr="0030090C">
        <w:rPr>
          <w:rFonts w:asciiTheme="majorBidi" w:hAnsiTheme="majorBidi" w:cstheme="majorBidi"/>
          <w:sz w:val="24"/>
          <w:szCs w:val="24"/>
        </w:rPr>
        <w:t xml:space="preserve"> (</w:t>
      </w:r>
      <w:r w:rsidR="00E31088">
        <w:rPr>
          <w:rFonts w:asciiTheme="majorBidi" w:hAnsiTheme="majorBidi" w:cstheme="majorBidi"/>
          <w:i/>
          <w:iCs/>
          <w:sz w:val="24"/>
          <w:szCs w:val="24"/>
        </w:rPr>
        <w:t xml:space="preserve">Ibid, </w:t>
      </w:r>
      <w:r w:rsidR="00787DB5" w:rsidRPr="0030090C">
        <w:rPr>
          <w:rFonts w:asciiTheme="majorBidi" w:hAnsiTheme="majorBidi" w:cstheme="majorBidi"/>
          <w:sz w:val="24"/>
          <w:szCs w:val="24"/>
        </w:rPr>
        <w:t>p.54)</w:t>
      </w:r>
      <w:r w:rsidR="00E31088">
        <w:rPr>
          <w:rFonts w:asciiTheme="majorBidi" w:hAnsiTheme="majorBidi" w:cstheme="majorBidi"/>
          <w:sz w:val="24"/>
          <w:szCs w:val="24"/>
        </w:rPr>
        <w:t>.</w:t>
      </w:r>
    </w:p>
    <w:p w:rsidR="006A4EED" w:rsidRPr="00C52D6F" w:rsidRDefault="006A4EED" w:rsidP="00C52D6F">
      <w:pPr>
        <w:spacing w:after="0" w:line="360" w:lineRule="auto"/>
        <w:ind w:firstLine="284"/>
        <w:jc w:val="both"/>
        <w:rPr>
          <w:rFonts w:asciiTheme="majorBidi" w:hAnsiTheme="majorBidi" w:cstheme="majorBidi"/>
          <w:sz w:val="24"/>
          <w:szCs w:val="24"/>
        </w:rPr>
      </w:pPr>
      <w:r w:rsidRPr="00C52D6F">
        <w:rPr>
          <w:rFonts w:asciiTheme="majorBidi" w:hAnsiTheme="majorBidi" w:cstheme="majorBidi"/>
          <w:sz w:val="24"/>
          <w:szCs w:val="24"/>
        </w:rPr>
        <w:t xml:space="preserve">Dans le </w:t>
      </w:r>
      <w:r w:rsidR="00C52D6F" w:rsidRPr="00C52D6F">
        <w:rPr>
          <w:rFonts w:asciiTheme="majorBidi" w:hAnsiTheme="majorBidi" w:cstheme="majorBidi"/>
          <w:sz w:val="24"/>
          <w:szCs w:val="24"/>
        </w:rPr>
        <w:t xml:space="preserve">deuxième </w:t>
      </w:r>
      <w:r w:rsidRPr="00C52D6F">
        <w:rPr>
          <w:rFonts w:asciiTheme="majorBidi" w:hAnsiTheme="majorBidi" w:cstheme="majorBidi"/>
          <w:sz w:val="24"/>
          <w:szCs w:val="24"/>
        </w:rPr>
        <w:t xml:space="preserve">acte Barabbas devient populaire malgré lui .Selon Hérode: </w:t>
      </w:r>
      <w:r w:rsidRPr="00C52D6F">
        <w:rPr>
          <w:rFonts w:asciiTheme="majorBidi" w:hAnsiTheme="majorBidi" w:cstheme="majorBidi"/>
          <w:i/>
          <w:iCs/>
          <w:sz w:val="24"/>
          <w:szCs w:val="24"/>
        </w:rPr>
        <w:t>« Ce Barabbas possède une popularité que j'envie»</w:t>
      </w:r>
      <w:r w:rsidR="00787DB5" w:rsidRPr="00C52D6F">
        <w:rPr>
          <w:rFonts w:asciiTheme="majorBidi" w:hAnsiTheme="majorBidi" w:cstheme="majorBidi"/>
          <w:sz w:val="24"/>
          <w:szCs w:val="24"/>
        </w:rPr>
        <w:t xml:space="preserve"> (</w:t>
      </w:r>
      <w:r w:rsidR="00C52D6F">
        <w:rPr>
          <w:rFonts w:asciiTheme="majorBidi" w:hAnsiTheme="majorBidi" w:cstheme="majorBidi"/>
          <w:i/>
          <w:iCs/>
          <w:sz w:val="24"/>
          <w:szCs w:val="24"/>
        </w:rPr>
        <w:t xml:space="preserve">Ibid, </w:t>
      </w:r>
      <w:r w:rsidR="00787DB5" w:rsidRPr="00C52D6F">
        <w:rPr>
          <w:rFonts w:asciiTheme="majorBidi" w:hAnsiTheme="majorBidi" w:cstheme="majorBidi"/>
          <w:sz w:val="24"/>
          <w:szCs w:val="24"/>
        </w:rPr>
        <w:t>p.83)</w:t>
      </w:r>
      <w:r w:rsidR="00C52D6F">
        <w:rPr>
          <w:rFonts w:asciiTheme="majorBidi" w:hAnsiTheme="majorBidi" w:cstheme="majorBidi"/>
          <w:sz w:val="24"/>
          <w:szCs w:val="24"/>
        </w:rPr>
        <w:t>.</w:t>
      </w:r>
    </w:p>
    <w:p w:rsidR="006A4EED" w:rsidRPr="00C52D6F" w:rsidRDefault="006A4EED" w:rsidP="00C52D6F">
      <w:pPr>
        <w:spacing w:after="0" w:line="360" w:lineRule="auto"/>
        <w:ind w:firstLine="284"/>
        <w:jc w:val="both"/>
        <w:rPr>
          <w:rFonts w:asciiTheme="majorBidi" w:hAnsiTheme="majorBidi" w:cstheme="majorBidi"/>
          <w:sz w:val="24"/>
          <w:szCs w:val="24"/>
        </w:rPr>
      </w:pPr>
      <w:r w:rsidRPr="00C52D6F">
        <w:rPr>
          <w:rFonts w:asciiTheme="majorBidi" w:hAnsiTheme="majorBidi" w:cstheme="majorBidi"/>
          <w:sz w:val="24"/>
          <w:szCs w:val="24"/>
        </w:rPr>
        <w:t>Caïphe dresse un vrai plaidoyer en faveur de Barabbas devant une foule déjà conditionnée. Ce dernier est libéré, il simule le pardon devant ses juges.</w:t>
      </w:r>
    </w:p>
    <w:p w:rsidR="006A4EED" w:rsidRPr="00C52D6F" w:rsidRDefault="006A4EED" w:rsidP="001927B8">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Dans le dernier acte, Barabbas se métamorphose il devient troublant et inquisiteur sur ce qui lui arrive</w:t>
      </w:r>
      <w:r>
        <w:rPr>
          <w:rFonts w:ascii="Times New Roman" w:hAnsi="Times New Roman"/>
          <w:sz w:val="24"/>
          <w:szCs w:val="24"/>
        </w:rPr>
        <w:t>.</w:t>
      </w:r>
      <w:r w:rsidRPr="003E18D7">
        <w:rPr>
          <w:rFonts w:ascii="Times New Roman" w:hAnsi="Times New Roman"/>
          <w:color w:val="00B0F0"/>
          <w:sz w:val="24"/>
          <w:szCs w:val="24"/>
        </w:rPr>
        <w:t xml:space="preserve"> </w:t>
      </w:r>
      <w:r w:rsidRPr="003E18D7">
        <w:rPr>
          <w:rFonts w:ascii="Times New Roman" w:hAnsi="Times New Roman"/>
          <w:sz w:val="24"/>
          <w:szCs w:val="24"/>
        </w:rPr>
        <w:t xml:space="preserve">Tel nous le lisons </w:t>
      </w:r>
      <w:r w:rsidRPr="00C52D6F">
        <w:rPr>
          <w:rFonts w:asciiTheme="majorBidi" w:hAnsiTheme="majorBidi" w:cstheme="majorBidi"/>
          <w:sz w:val="24"/>
          <w:szCs w:val="24"/>
        </w:rPr>
        <w:t xml:space="preserve">dans : </w:t>
      </w:r>
      <w:r w:rsidRPr="00C52D6F">
        <w:rPr>
          <w:rFonts w:asciiTheme="majorBidi" w:hAnsiTheme="majorBidi" w:cstheme="majorBidi"/>
          <w:i/>
          <w:iCs/>
          <w:sz w:val="24"/>
          <w:szCs w:val="24"/>
        </w:rPr>
        <w:t>« [...] Maintenant, je suis libre, épuré. El ça ne va plus. Je ne me reconnais plus. Je ne sais que faire de cette liberté [...] je suis mêlé à un drame effrayant [...]»</w:t>
      </w:r>
      <w:r w:rsidR="00787DB5" w:rsidRPr="00C52D6F">
        <w:rPr>
          <w:rFonts w:asciiTheme="majorBidi" w:hAnsiTheme="majorBidi" w:cstheme="majorBidi"/>
          <w:i/>
          <w:iCs/>
          <w:sz w:val="24"/>
          <w:szCs w:val="24"/>
        </w:rPr>
        <w:t xml:space="preserve"> </w:t>
      </w:r>
      <w:r w:rsidR="00787DB5" w:rsidRPr="00C52D6F">
        <w:rPr>
          <w:rFonts w:asciiTheme="majorBidi" w:hAnsiTheme="majorBidi" w:cstheme="majorBidi"/>
          <w:sz w:val="24"/>
          <w:szCs w:val="24"/>
        </w:rPr>
        <w:t>(</w:t>
      </w:r>
      <w:r w:rsidR="00C52D6F">
        <w:rPr>
          <w:rFonts w:asciiTheme="majorBidi" w:hAnsiTheme="majorBidi" w:cstheme="majorBidi"/>
          <w:i/>
          <w:iCs/>
          <w:sz w:val="24"/>
          <w:szCs w:val="24"/>
        </w:rPr>
        <w:t xml:space="preserve">Ibid, </w:t>
      </w:r>
      <w:r w:rsidR="00787DB5" w:rsidRPr="00C52D6F">
        <w:rPr>
          <w:rFonts w:asciiTheme="majorBidi" w:hAnsiTheme="majorBidi" w:cstheme="majorBidi"/>
          <w:sz w:val="24"/>
          <w:szCs w:val="24"/>
        </w:rPr>
        <w:t>p.106)</w:t>
      </w:r>
      <w:r w:rsidR="00C52D6F">
        <w:rPr>
          <w:rFonts w:asciiTheme="majorBidi" w:hAnsiTheme="majorBidi" w:cstheme="majorBidi"/>
          <w:sz w:val="24"/>
          <w:szCs w:val="24"/>
        </w:rPr>
        <w:t>.</w:t>
      </w:r>
    </w:p>
    <w:p w:rsidR="006A4EED" w:rsidRPr="003B00C8" w:rsidRDefault="006A4EED" w:rsidP="007B07C0">
      <w:pPr>
        <w:spacing w:after="0" w:line="360" w:lineRule="auto"/>
        <w:ind w:firstLine="284"/>
        <w:jc w:val="both"/>
        <w:rPr>
          <w:rFonts w:ascii="Times New Roman" w:hAnsi="Times New Roman"/>
          <w:sz w:val="24"/>
          <w:szCs w:val="24"/>
        </w:rPr>
      </w:pPr>
      <w:r w:rsidRPr="00965E15">
        <w:rPr>
          <w:rFonts w:asciiTheme="majorBidi" w:hAnsiTheme="majorBidi" w:cstheme="majorBidi"/>
          <w:sz w:val="24"/>
          <w:szCs w:val="24"/>
        </w:rPr>
        <w:t xml:space="preserve">Il est pris de remords pour Jésus, à qui il voue admiration sans limites : </w:t>
      </w:r>
      <w:r w:rsidRPr="00965E15">
        <w:rPr>
          <w:rFonts w:asciiTheme="majorBidi" w:hAnsiTheme="majorBidi" w:cstheme="majorBidi"/>
          <w:i/>
          <w:iCs/>
          <w:sz w:val="24"/>
          <w:szCs w:val="24"/>
        </w:rPr>
        <w:t>« [...] Il est prédit que les derniers fléaux viendront [...] puisque le temps est venu que le juste meure en croix, que l'assassin est libre...»</w:t>
      </w:r>
      <w:r w:rsidR="00787DB5" w:rsidRPr="00965E15">
        <w:rPr>
          <w:rFonts w:asciiTheme="majorBidi" w:hAnsiTheme="majorBidi" w:cstheme="majorBidi"/>
          <w:sz w:val="24"/>
          <w:szCs w:val="24"/>
        </w:rPr>
        <w:t xml:space="preserve"> (</w:t>
      </w:r>
      <w:r w:rsidR="00965E15">
        <w:rPr>
          <w:rFonts w:asciiTheme="majorBidi" w:hAnsiTheme="majorBidi" w:cstheme="majorBidi"/>
          <w:i/>
          <w:iCs/>
          <w:sz w:val="24"/>
          <w:szCs w:val="24"/>
        </w:rPr>
        <w:t xml:space="preserve">Ibid, </w:t>
      </w:r>
      <w:r w:rsidR="00787DB5" w:rsidRPr="00965E15">
        <w:rPr>
          <w:rFonts w:asciiTheme="majorBidi" w:hAnsiTheme="majorBidi" w:cstheme="majorBidi"/>
          <w:sz w:val="24"/>
          <w:szCs w:val="24"/>
        </w:rPr>
        <w:t>p.113)</w:t>
      </w:r>
      <w:r w:rsidR="00965E15">
        <w:rPr>
          <w:rFonts w:asciiTheme="majorBidi" w:hAnsiTheme="majorBidi" w:cstheme="majorBidi"/>
          <w:sz w:val="24"/>
          <w:szCs w:val="24"/>
        </w:rPr>
        <w:t xml:space="preserve">. </w:t>
      </w:r>
      <w:r w:rsidRPr="003B00C8">
        <w:rPr>
          <w:rFonts w:ascii="Times New Roman" w:hAnsi="Times New Roman"/>
          <w:sz w:val="24"/>
          <w:szCs w:val="24"/>
        </w:rPr>
        <w:t>Il crie vengeance pour Jésus</w:t>
      </w:r>
      <w:r>
        <w:rPr>
          <w:rFonts w:ascii="Times New Roman" w:hAnsi="Times New Roman"/>
          <w:sz w:val="24"/>
          <w:szCs w:val="24"/>
        </w:rPr>
        <w:t> </w:t>
      </w:r>
      <w:r w:rsidR="00965E15">
        <w:rPr>
          <w:rFonts w:ascii="Times New Roman" w:hAnsi="Times New Roman"/>
          <w:sz w:val="24"/>
          <w:szCs w:val="24"/>
        </w:rPr>
        <w:t xml:space="preserve">: </w:t>
      </w:r>
      <w:r w:rsidR="00965E15" w:rsidRPr="003B00C8">
        <w:rPr>
          <w:rFonts w:ascii="Times New Roman" w:hAnsi="Times New Roman"/>
          <w:sz w:val="24"/>
          <w:szCs w:val="24"/>
        </w:rPr>
        <w:t>«</w:t>
      </w:r>
      <w:r w:rsidR="00965E15" w:rsidRPr="00965E15">
        <w:rPr>
          <w:rFonts w:asciiTheme="majorBidi" w:hAnsiTheme="majorBidi" w:cstheme="majorBidi"/>
          <w:i/>
          <w:iCs/>
          <w:sz w:val="24"/>
          <w:szCs w:val="24"/>
        </w:rPr>
        <w:t xml:space="preserve"> [</w:t>
      </w:r>
      <w:r w:rsidRPr="00965E15">
        <w:rPr>
          <w:rFonts w:asciiTheme="majorBidi" w:hAnsiTheme="majorBidi" w:cstheme="majorBidi"/>
          <w:i/>
          <w:iCs/>
          <w:sz w:val="24"/>
          <w:szCs w:val="24"/>
        </w:rPr>
        <w:t>...] faim et soif de justic</w:t>
      </w:r>
      <w:r w:rsidR="00965E15">
        <w:rPr>
          <w:rFonts w:asciiTheme="majorBidi" w:hAnsiTheme="majorBidi" w:cstheme="majorBidi"/>
          <w:i/>
          <w:iCs/>
          <w:sz w:val="24"/>
          <w:szCs w:val="24"/>
        </w:rPr>
        <w:t>e</w:t>
      </w:r>
      <w:r w:rsidRPr="00965E15">
        <w:rPr>
          <w:rFonts w:asciiTheme="majorBidi" w:hAnsiTheme="majorBidi" w:cstheme="majorBidi"/>
          <w:i/>
          <w:iCs/>
          <w:sz w:val="24"/>
          <w:szCs w:val="24"/>
        </w:rPr>
        <w:t>.»</w:t>
      </w:r>
      <w:r w:rsidR="00787DB5" w:rsidRPr="00965E15">
        <w:rPr>
          <w:rFonts w:asciiTheme="majorBidi" w:hAnsiTheme="majorBidi" w:cstheme="majorBidi"/>
          <w:sz w:val="24"/>
          <w:szCs w:val="24"/>
        </w:rPr>
        <w:t xml:space="preserve"> (</w:t>
      </w:r>
      <w:r w:rsidR="00965E15">
        <w:rPr>
          <w:rFonts w:asciiTheme="majorBidi" w:hAnsiTheme="majorBidi" w:cstheme="majorBidi"/>
          <w:i/>
          <w:iCs/>
          <w:sz w:val="24"/>
          <w:szCs w:val="24"/>
        </w:rPr>
        <w:t xml:space="preserve">Ibid, </w:t>
      </w:r>
      <w:r w:rsidR="00787DB5" w:rsidRPr="00965E15">
        <w:rPr>
          <w:rFonts w:asciiTheme="majorBidi" w:hAnsiTheme="majorBidi" w:cstheme="majorBidi"/>
          <w:sz w:val="24"/>
          <w:szCs w:val="24"/>
        </w:rPr>
        <w:t>p.118)</w:t>
      </w:r>
      <w:r w:rsidR="00965E15">
        <w:rPr>
          <w:rFonts w:asciiTheme="majorBidi" w:hAnsiTheme="majorBidi" w:cstheme="majorBidi"/>
          <w:sz w:val="24"/>
          <w:szCs w:val="24"/>
        </w:rPr>
        <w:t>.</w:t>
      </w:r>
      <w:r w:rsidR="007B07C0">
        <w:rPr>
          <w:rFonts w:asciiTheme="majorBidi" w:hAnsiTheme="majorBidi" w:cstheme="majorBidi"/>
          <w:sz w:val="24"/>
          <w:szCs w:val="24"/>
        </w:rPr>
        <w:t xml:space="preserve"> </w:t>
      </w:r>
      <w:r w:rsidRPr="003B00C8">
        <w:rPr>
          <w:rFonts w:ascii="Times New Roman" w:hAnsi="Times New Roman"/>
          <w:sz w:val="24"/>
          <w:szCs w:val="24"/>
        </w:rPr>
        <w:t xml:space="preserve">Héros central. Il conduit la révolte des gueux et meurt lâchement assassiné par le pitre. </w:t>
      </w:r>
    </w:p>
    <w:p w:rsidR="006A4EED" w:rsidRPr="007D5785" w:rsidRDefault="007D5785" w:rsidP="007D5785">
      <w:pPr>
        <w:pStyle w:val="Titre5"/>
        <w:spacing w:before="0" w:after="0"/>
        <w:ind w:left="641" w:hanging="357"/>
        <w:jc w:val="both"/>
        <w:rPr>
          <w:rFonts w:ascii="Times New Roman" w:hAnsi="Times New Roman"/>
          <w:color w:val="auto"/>
        </w:rPr>
      </w:pPr>
      <w:bookmarkStart w:id="100" w:name="_Toc471484471"/>
      <w:r w:rsidRPr="007D5785">
        <w:rPr>
          <w:rFonts w:ascii="Times New Roman" w:hAnsi="Times New Roman"/>
          <w:color w:val="auto"/>
        </w:rPr>
        <w:lastRenderedPageBreak/>
        <w:t>2.1.2. Jésus</w:t>
      </w:r>
      <w:bookmarkEnd w:id="100"/>
    </w:p>
    <w:p w:rsidR="006A4EED" w:rsidRPr="003C5E68" w:rsidRDefault="006A4EED" w:rsidP="003C5E68">
      <w:pPr>
        <w:spacing w:after="0" w:line="360" w:lineRule="auto"/>
        <w:ind w:firstLine="284"/>
        <w:jc w:val="both"/>
        <w:rPr>
          <w:rFonts w:asciiTheme="majorBidi" w:hAnsiTheme="majorBidi" w:cstheme="majorBidi"/>
          <w:sz w:val="24"/>
          <w:szCs w:val="24"/>
        </w:rPr>
      </w:pPr>
      <w:r w:rsidRPr="003C5E68">
        <w:rPr>
          <w:rFonts w:asciiTheme="majorBidi" w:hAnsiTheme="majorBidi" w:cstheme="majorBidi"/>
          <w:sz w:val="24"/>
          <w:szCs w:val="24"/>
        </w:rPr>
        <w:t>Jésus représente l'enjeu de la pièce. Personnage biblique. Il est tantôt qualifié par les prêtres d’</w:t>
      </w:r>
      <w:r w:rsidRPr="003C5E68">
        <w:rPr>
          <w:rFonts w:asciiTheme="majorBidi" w:hAnsiTheme="majorBidi" w:cstheme="majorBidi"/>
          <w:i/>
          <w:iCs/>
          <w:sz w:val="24"/>
          <w:szCs w:val="24"/>
        </w:rPr>
        <w:t>: « [...] un personnage des plus extraordinaires [...]»</w:t>
      </w:r>
      <w:r w:rsidR="00787DB5" w:rsidRPr="003C5E68">
        <w:rPr>
          <w:rFonts w:asciiTheme="majorBidi" w:hAnsiTheme="majorBidi" w:cstheme="majorBidi"/>
          <w:i/>
          <w:iCs/>
          <w:sz w:val="24"/>
          <w:szCs w:val="24"/>
        </w:rPr>
        <w:t xml:space="preserve"> </w:t>
      </w:r>
      <w:r w:rsidR="00787DB5" w:rsidRPr="003C5E68">
        <w:rPr>
          <w:rFonts w:asciiTheme="majorBidi" w:hAnsiTheme="majorBidi" w:cstheme="majorBidi"/>
          <w:sz w:val="24"/>
          <w:szCs w:val="24"/>
        </w:rPr>
        <w:t>(</w:t>
      </w:r>
      <w:r w:rsidR="003C5E68">
        <w:rPr>
          <w:rFonts w:asciiTheme="majorBidi" w:hAnsiTheme="majorBidi" w:cstheme="majorBidi"/>
          <w:i/>
          <w:iCs/>
          <w:sz w:val="24"/>
          <w:szCs w:val="24"/>
        </w:rPr>
        <w:t xml:space="preserve">Ibid, </w:t>
      </w:r>
      <w:r w:rsidR="00787DB5" w:rsidRPr="003C5E68">
        <w:rPr>
          <w:rFonts w:asciiTheme="majorBidi" w:hAnsiTheme="majorBidi" w:cstheme="majorBidi"/>
          <w:sz w:val="24"/>
          <w:szCs w:val="24"/>
        </w:rPr>
        <w:t>p.54)</w:t>
      </w:r>
      <w:r w:rsidR="003C5E68">
        <w:rPr>
          <w:rFonts w:asciiTheme="majorBidi" w:hAnsiTheme="majorBidi" w:cstheme="majorBidi"/>
          <w:sz w:val="24"/>
          <w:szCs w:val="24"/>
        </w:rPr>
        <w:t>.</w:t>
      </w:r>
    </w:p>
    <w:p w:rsidR="006A4EED" w:rsidRPr="003C5E68" w:rsidRDefault="006A4EED" w:rsidP="003C5E68">
      <w:pPr>
        <w:spacing w:after="0" w:line="360" w:lineRule="auto"/>
        <w:ind w:firstLine="284"/>
        <w:jc w:val="both"/>
        <w:rPr>
          <w:rFonts w:asciiTheme="majorBidi" w:hAnsiTheme="majorBidi" w:cstheme="majorBidi"/>
          <w:sz w:val="24"/>
          <w:szCs w:val="24"/>
        </w:rPr>
      </w:pPr>
      <w:r w:rsidRPr="003C5E68">
        <w:rPr>
          <w:rFonts w:asciiTheme="majorBidi" w:hAnsiTheme="majorBidi" w:cstheme="majorBidi"/>
          <w:sz w:val="24"/>
          <w:szCs w:val="24"/>
        </w:rPr>
        <w:t>Pour Vincent J</w:t>
      </w:r>
      <w:r w:rsidR="003C5E68">
        <w:rPr>
          <w:rFonts w:asciiTheme="majorBidi" w:hAnsiTheme="majorBidi" w:cstheme="majorBidi"/>
          <w:sz w:val="24"/>
          <w:szCs w:val="24"/>
        </w:rPr>
        <w:t>ouve</w:t>
      </w:r>
      <w:r w:rsidRPr="003C5E68">
        <w:rPr>
          <w:rFonts w:asciiTheme="majorBidi" w:hAnsiTheme="majorBidi" w:cstheme="majorBidi"/>
          <w:sz w:val="24"/>
          <w:szCs w:val="24"/>
        </w:rPr>
        <w:t>: « </w:t>
      </w:r>
      <w:r w:rsidRPr="00A52CFB">
        <w:rPr>
          <w:rFonts w:asciiTheme="majorBidi" w:hAnsiTheme="majorBidi" w:cstheme="majorBidi"/>
          <w:sz w:val="24"/>
          <w:szCs w:val="24"/>
        </w:rPr>
        <w:t>Le personnage-absent apparaît comme un spectre, c'est une présence, et ne vit que par les autres. C'est une horloge, un compte à rebours qui tient en suspens le dénouement de la pièce.</w:t>
      </w:r>
      <w:r w:rsidRPr="003C5E68">
        <w:rPr>
          <w:rFonts w:asciiTheme="majorBidi" w:hAnsiTheme="majorBidi" w:cstheme="majorBidi"/>
          <w:sz w:val="24"/>
          <w:szCs w:val="24"/>
        </w:rPr>
        <w:t> »</w:t>
      </w:r>
      <w:r w:rsidRPr="003C5E68">
        <w:rPr>
          <w:rStyle w:val="Appelnotedebasdep"/>
          <w:rFonts w:asciiTheme="majorBidi" w:hAnsiTheme="majorBidi" w:cstheme="majorBidi"/>
          <w:sz w:val="24"/>
          <w:szCs w:val="24"/>
        </w:rPr>
        <w:footnoteReference w:id="185"/>
      </w:r>
    </w:p>
    <w:p w:rsidR="006A4EED" w:rsidRPr="003B00C8" w:rsidRDefault="006A4EED" w:rsidP="00CA2550">
      <w:pPr>
        <w:spacing w:after="0" w:line="360" w:lineRule="auto"/>
        <w:jc w:val="both"/>
        <w:rPr>
          <w:rFonts w:ascii="Times New Roman" w:hAnsi="Times New Roman"/>
          <w:sz w:val="20"/>
          <w:szCs w:val="20"/>
        </w:rPr>
      </w:pPr>
      <w:r w:rsidRPr="003B00C8">
        <w:rPr>
          <w:rFonts w:ascii="Times New Roman" w:hAnsi="Times New Roman"/>
          <w:sz w:val="24"/>
          <w:szCs w:val="24"/>
        </w:rPr>
        <w:t xml:space="preserve">  Tantôt concurrent de Barabbas, son égal ou encore son rival, Jésus est son ombre et plane sur l'intégralité de la pièce. Traité d'ennemi de la nation par les prêtres, décris comme l'homme à la bouche d'or, l'aventurier celui qui voulait abolir l'ordre établi et fonder un foyer .Pour Judas</w:t>
      </w:r>
      <w:r>
        <w:rPr>
          <w:rFonts w:ascii="Times New Roman" w:hAnsi="Times New Roman"/>
          <w:sz w:val="24"/>
          <w:szCs w:val="24"/>
        </w:rPr>
        <w:t xml:space="preserve">, </w:t>
      </w:r>
      <w:r w:rsidRPr="003E18D7">
        <w:rPr>
          <w:rFonts w:ascii="Times New Roman" w:hAnsi="Times New Roman"/>
          <w:i/>
          <w:iCs/>
          <w:sz w:val="24"/>
          <w:szCs w:val="24"/>
        </w:rPr>
        <w:t>«</w:t>
      </w:r>
      <w:r w:rsidR="00CA2550">
        <w:rPr>
          <w:rFonts w:ascii="Times New Roman" w:hAnsi="Times New Roman"/>
          <w:i/>
          <w:iCs/>
          <w:sz w:val="24"/>
          <w:szCs w:val="24"/>
        </w:rPr>
        <w:t>i</w:t>
      </w:r>
      <w:r w:rsidRPr="003E18D7">
        <w:rPr>
          <w:rFonts w:ascii="Times New Roman" w:hAnsi="Times New Roman"/>
          <w:i/>
          <w:iCs/>
          <w:sz w:val="24"/>
          <w:szCs w:val="24"/>
        </w:rPr>
        <w:t>l était la lumière, il était la chaleur, il était la justice.»</w:t>
      </w:r>
      <w:r w:rsidR="00CA2550">
        <w:rPr>
          <w:rFonts w:ascii="Times New Roman" w:hAnsi="Times New Roman"/>
          <w:sz w:val="24"/>
          <w:szCs w:val="24"/>
        </w:rPr>
        <w:t xml:space="preserve"> (</w:t>
      </w:r>
      <w:r w:rsidR="00CA2550">
        <w:rPr>
          <w:rFonts w:ascii="Times New Roman" w:hAnsi="Times New Roman"/>
          <w:i/>
          <w:iCs/>
          <w:sz w:val="24"/>
          <w:szCs w:val="24"/>
        </w:rPr>
        <w:t xml:space="preserve">Ibid, </w:t>
      </w:r>
      <w:r w:rsidR="00CA2550">
        <w:rPr>
          <w:rFonts w:ascii="Times New Roman" w:hAnsi="Times New Roman"/>
          <w:sz w:val="24"/>
          <w:szCs w:val="24"/>
        </w:rPr>
        <w:t>p.65).</w:t>
      </w:r>
      <w:r w:rsidRPr="003E18D7">
        <w:rPr>
          <w:rFonts w:ascii="Times New Roman" w:hAnsi="Times New Roman"/>
          <w:sz w:val="32"/>
          <w:szCs w:val="32"/>
        </w:rPr>
        <w:t xml:space="preserve"> </w:t>
      </w:r>
    </w:p>
    <w:p w:rsidR="006A4EED" w:rsidRPr="003B00C8" w:rsidRDefault="006A4EED" w:rsidP="00464A6D">
      <w:pPr>
        <w:spacing w:after="0" w:line="360" w:lineRule="auto"/>
        <w:ind w:firstLine="284"/>
        <w:jc w:val="both"/>
        <w:rPr>
          <w:rFonts w:ascii="Times New Roman" w:hAnsi="Times New Roman"/>
          <w:lang w:eastAsia="fr-FR"/>
        </w:rPr>
      </w:pPr>
      <w:r w:rsidRPr="003B00C8">
        <w:rPr>
          <w:rFonts w:ascii="Times New Roman" w:hAnsi="Times New Roman"/>
          <w:sz w:val="24"/>
          <w:szCs w:val="24"/>
        </w:rPr>
        <w:t>Il est le noyau de toutes les répliques à l'image des apôtres qui énumèrent ses mirages et ses miracles en page 68-69.</w:t>
      </w:r>
      <w:r w:rsidR="0043589D">
        <w:rPr>
          <w:rFonts w:ascii="Times New Roman" w:hAnsi="Times New Roman"/>
          <w:sz w:val="24"/>
          <w:szCs w:val="24"/>
        </w:rPr>
        <w:t xml:space="preserve"> </w:t>
      </w:r>
      <w:r w:rsidRPr="003B00C8">
        <w:rPr>
          <w:rFonts w:ascii="Times New Roman" w:hAnsi="Times New Roman"/>
          <w:sz w:val="24"/>
          <w:szCs w:val="24"/>
        </w:rPr>
        <w:t>Dépourvu de paroles, silencieux, II ne s'exprime que par le biais de mimiques. Décris par les indications scéniques comme une statue de la douleur</w:t>
      </w:r>
      <w:r>
        <w:rPr>
          <w:rFonts w:ascii="Times New Roman" w:hAnsi="Times New Roman"/>
          <w:sz w:val="24"/>
          <w:szCs w:val="24"/>
        </w:rPr>
        <w:t>.</w:t>
      </w:r>
    </w:p>
    <w:p w:rsidR="00476A6F" w:rsidRDefault="00476A6F" w:rsidP="00476A6F">
      <w:pPr>
        <w:pStyle w:val="Titre5"/>
        <w:spacing w:before="0" w:after="0"/>
        <w:ind w:left="641" w:hanging="357"/>
        <w:jc w:val="both"/>
        <w:rPr>
          <w:rFonts w:ascii="Times New Roman" w:hAnsi="Times New Roman"/>
          <w:color w:val="auto"/>
        </w:rPr>
      </w:pPr>
    </w:p>
    <w:p w:rsidR="006A4EED" w:rsidRPr="00476A6F" w:rsidRDefault="00476A6F" w:rsidP="00D72BD0">
      <w:pPr>
        <w:pStyle w:val="Titre5"/>
        <w:spacing w:before="0" w:after="0"/>
        <w:ind w:left="641" w:hanging="357"/>
        <w:jc w:val="both"/>
        <w:rPr>
          <w:rFonts w:ascii="Times New Roman" w:hAnsi="Times New Roman"/>
          <w:color w:val="auto"/>
        </w:rPr>
      </w:pPr>
      <w:bookmarkStart w:id="101" w:name="_Toc471484472"/>
      <w:r w:rsidRPr="00476A6F">
        <w:rPr>
          <w:rFonts w:ascii="Times New Roman" w:hAnsi="Times New Roman"/>
          <w:color w:val="auto"/>
        </w:rPr>
        <w:t>2.1.3. Personnages</w:t>
      </w:r>
      <w:r w:rsidR="006A4EED" w:rsidRPr="00476A6F">
        <w:rPr>
          <w:rFonts w:ascii="Times New Roman" w:hAnsi="Times New Roman"/>
          <w:color w:val="auto"/>
        </w:rPr>
        <w:t xml:space="preserve"> collectifs et personnages</w:t>
      </w:r>
      <w:r w:rsidR="00D72BD0">
        <w:rPr>
          <w:rFonts w:ascii="Times New Roman" w:hAnsi="Times New Roman"/>
          <w:color w:val="auto"/>
        </w:rPr>
        <w:t xml:space="preserve"> de second degré</w:t>
      </w:r>
      <w:bookmarkEnd w:id="101"/>
      <w:r w:rsidR="006A4EED" w:rsidRPr="00476A6F">
        <w:rPr>
          <w:rFonts w:ascii="Times New Roman" w:hAnsi="Times New Roman"/>
          <w:color w:val="auto"/>
        </w:rPr>
        <w:t xml:space="preserve"> </w:t>
      </w:r>
    </w:p>
    <w:p w:rsidR="006A4EED" w:rsidRPr="003B00C8" w:rsidRDefault="006A4EED" w:rsidP="00D72BD0">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Les personnages </w:t>
      </w:r>
      <w:r w:rsidR="00D72BD0">
        <w:rPr>
          <w:rFonts w:ascii="Times New Roman" w:hAnsi="Times New Roman"/>
          <w:sz w:val="24"/>
          <w:szCs w:val="24"/>
        </w:rPr>
        <w:t xml:space="preserve">collectifs et personnages </w:t>
      </w:r>
      <w:r w:rsidRPr="003B00C8">
        <w:rPr>
          <w:rFonts w:ascii="Times New Roman" w:hAnsi="Times New Roman"/>
          <w:sz w:val="24"/>
          <w:szCs w:val="24"/>
        </w:rPr>
        <w:t>de second degré de la trame dramatique sont très présents</w:t>
      </w:r>
      <w:r w:rsidR="00D72BD0">
        <w:rPr>
          <w:rFonts w:ascii="Times New Roman" w:hAnsi="Times New Roman"/>
          <w:sz w:val="24"/>
          <w:szCs w:val="24"/>
        </w:rPr>
        <w:t>.</w:t>
      </w:r>
      <w:r w:rsidRPr="003B00C8">
        <w:rPr>
          <w:rFonts w:ascii="Times New Roman" w:hAnsi="Times New Roman"/>
          <w:sz w:val="24"/>
          <w:szCs w:val="24"/>
        </w:rPr>
        <w:t xml:space="preserve"> </w:t>
      </w:r>
      <w:r w:rsidR="00D72BD0" w:rsidRPr="003B00C8">
        <w:rPr>
          <w:rFonts w:ascii="Times New Roman" w:hAnsi="Times New Roman"/>
          <w:sz w:val="24"/>
          <w:szCs w:val="24"/>
        </w:rPr>
        <w:t>Évoqués</w:t>
      </w:r>
      <w:r w:rsidRPr="003B00C8">
        <w:rPr>
          <w:rFonts w:ascii="Times New Roman" w:hAnsi="Times New Roman"/>
          <w:sz w:val="24"/>
          <w:szCs w:val="24"/>
        </w:rPr>
        <w:t xml:space="preserve"> dans les dialogues</w:t>
      </w:r>
      <w:r w:rsidR="00D72BD0">
        <w:rPr>
          <w:rFonts w:ascii="Times New Roman" w:hAnsi="Times New Roman"/>
          <w:sz w:val="24"/>
          <w:szCs w:val="24"/>
        </w:rPr>
        <w:t>,</w:t>
      </w:r>
      <w:r w:rsidRPr="003B00C8">
        <w:rPr>
          <w:rFonts w:ascii="Times New Roman" w:hAnsi="Times New Roman"/>
          <w:sz w:val="24"/>
          <w:szCs w:val="24"/>
        </w:rPr>
        <w:t xml:space="preserve"> </w:t>
      </w:r>
      <w:r w:rsidR="00D72BD0">
        <w:rPr>
          <w:rFonts w:ascii="Times New Roman" w:hAnsi="Times New Roman"/>
          <w:sz w:val="24"/>
          <w:szCs w:val="24"/>
        </w:rPr>
        <w:t>q</w:t>
      </w:r>
      <w:r w:rsidRPr="003B00C8">
        <w:rPr>
          <w:rFonts w:ascii="Times New Roman" w:hAnsi="Times New Roman"/>
          <w:sz w:val="24"/>
          <w:szCs w:val="24"/>
        </w:rPr>
        <w:t>uerelles et impuissance animent leur</w:t>
      </w:r>
      <w:r w:rsidR="00D72BD0">
        <w:rPr>
          <w:rFonts w:ascii="Times New Roman" w:hAnsi="Times New Roman"/>
          <w:sz w:val="24"/>
          <w:szCs w:val="24"/>
        </w:rPr>
        <w:t>s</w:t>
      </w:r>
      <w:r w:rsidRPr="003B00C8">
        <w:rPr>
          <w:rFonts w:ascii="Times New Roman" w:hAnsi="Times New Roman"/>
          <w:sz w:val="24"/>
          <w:szCs w:val="24"/>
        </w:rPr>
        <w:t xml:space="preserve"> relation</w:t>
      </w:r>
      <w:r w:rsidR="00D72BD0">
        <w:rPr>
          <w:rFonts w:ascii="Times New Roman" w:hAnsi="Times New Roman"/>
          <w:sz w:val="24"/>
          <w:szCs w:val="24"/>
        </w:rPr>
        <w:t>s</w:t>
      </w:r>
      <w:r w:rsidRPr="003B00C8">
        <w:rPr>
          <w:rFonts w:ascii="Times New Roman" w:hAnsi="Times New Roman"/>
          <w:sz w:val="24"/>
          <w:szCs w:val="24"/>
        </w:rPr>
        <w:t>.</w:t>
      </w:r>
    </w:p>
    <w:p w:rsidR="006A4EED" w:rsidRPr="00476A6F" w:rsidRDefault="006A4EED" w:rsidP="00476A6F">
      <w:pPr>
        <w:spacing w:after="0" w:line="360" w:lineRule="auto"/>
        <w:ind w:firstLine="284"/>
        <w:jc w:val="both"/>
        <w:rPr>
          <w:rFonts w:asciiTheme="majorBidi" w:hAnsiTheme="majorBidi" w:cstheme="majorBidi"/>
          <w:sz w:val="24"/>
          <w:szCs w:val="24"/>
        </w:rPr>
      </w:pPr>
      <w:r w:rsidRPr="00476A6F">
        <w:rPr>
          <w:rFonts w:asciiTheme="majorBidi" w:hAnsiTheme="majorBidi" w:cstheme="majorBidi"/>
          <w:b/>
          <w:bCs/>
          <w:sz w:val="24"/>
          <w:szCs w:val="24"/>
          <w:u w:val="single"/>
        </w:rPr>
        <w:t>Bon larron - Mauvais larron</w:t>
      </w:r>
      <w:r w:rsidRPr="00476A6F">
        <w:rPr>
          <w:rFonts w:asciiTheme="majorBidi" w:hAnsiTheme="majorBidi" w:cstheme="majorBidi"/>
          <w:b/>
          <w:bCs/>
          <w:sz w:val="24"/>
          <w:szCs w:val="24"/>
        </w:rPr>
        <w:t xml:space="preserve"> :</w:t>
      </w:r>
      <w:r w:rsidRPr="00476A6F">
        <w:rPr>
          <w:rFonts w:asciiTheme="majorBidi" w:hAnsiTheme="majorBidi" w:cstheme="majorBidi"/>
          <w:sz w:val="24"/>
          <w:szCs w:val="24"/>
        </w:rPr>
        <w:t xml:space="preserve"> Personnages bibliques, compagnons de cellule de Barabbas, traités de tous les noms à cause de leur ignorance et leur soumission au sort. Ce qui est apparent dans ce passage : </w:t>
      </w:r>
      <w:r w:rsidRPr="00476A6F">
        <w:rPr>
          <w:rFonts w:asciiTheme="majorBidi" w:hAnsiTheme="majorBidi" w:cstheme="majorBidi"/>
          <w:i/>
          <w:iCs/>
          <w:sz w:val="24"/>
          <w:szCs w:val="24"/>
        </w:rPr>
        <w:t xml:space="preserve">« </w:t>
      </w:r>
      <w:r w:rsidR="00476A6F">
        <w:rPr>
          <w:rFonts w:asciiTheme="majorBidi" w:hAnsiTheme="majorBidi" w:cstheme="majorBidi"/>
          <w:i/>
          <w:iCs/>
          <w:sz w:val="24"/>
          <w:szCs w:val="24"/>
        </w:rPr>
        <w:t>[</w:t>
      </w:r>
      <w:r w:rsidRPr="00476A6F">
        <w:rPr>
          <w:rFonts w:asciiTheme="majorBidi" w:hAnsiTheme="majorBidi" w:cstheme="majorBidi"/>
          <w:i/>
          <w:iCs/>
          <w:sz w:val="24"/>
          <w:szCs w:val="24"/>
        </w:rPr>
        <w:t>..</w:t>
      </w:r>
      <w:r w:rsidR="00476A6F">
        <w:rPr>
          <w:rFonts w:asciiTheme="majorBidi" w:hAnsiTheme="majorBidi" w:cstheme="majorBidi"/>
          <w:i/>
          <w:iCs/>
          <w:sz w:val="24"/>
          <w:szCs w:val="24"/>
        </w:rPr>
        <w:t>]</w:t>
      </w:r>
      <w:r w:rsidRPr="00476A6F">
        <w:rPr>
          <w:rFonts w:asciiTheme="majorBidi" w:hAnsiTheme="majorBidi" w:cstheme="majorBidi"/>
          <w:i/>
          <w:iCs/>
          <w:sz w:val="24"/>
          <w:szCs w:val="24"/>
        </w:rPr>
        <w:t>. Et vous deux, vous êtes morbides, sinistres. C'est à cause de vous qu'a terni le rayonnement du crime.»</w:t>
      </w:r>
      <w:r w:rsidR="00787DB5" w:rsidRPr="00476A6F">
        <w:rPr>
          <w:rFonts w:asciiTheme="majorBidi" w:hAnsiTheme="majorBidi" w:cstheme="majorBidi"/>
          <w:sz w:val="24"/>
          <w:szCs w:val="24"/>
        </w:rPr>
        <w:t xml:space="preserve"> (</w:t>
      </w:r>
      <w:r w:rsidR="00476A6F">
        <w:rPr>
          <w:rFonts w:asciiTheme="majorBidi" w:hAnsiTheme="majorBidi" w:cstheme="majorBidi"/>
          <w:i/>
          <w:iCs/>
          <w:sz w:val="24"/>
          <w:szCs w:val="24"/>
        </w:rPr>
        <w:t xml:space="preserve">Ibid, </w:t>
      </w:r>
      <w:r w:rsidR="00787DB5" w:rsidRPr="00476A6F">
        <w:rPr>
          <w:rFonts w:asciiTheme="majorBidi" w:hAnsiTheme="majorBidi" w:cstheme="majorBidi"/>
          <w:sz w:val="24"/>
          <w:szCs w:val="24"/>
        </w:rPr>
        <w:t>p.39)</w:t>
      </w:r>
      <w:r w:rsidR="00476A6F">
        <w:rPr>
          <w:rFonts w:asciiTheme="majorBidi" w:hAnsiTheme="majorBidi" w:cstheme="majorBidi"/>
          <w:sz w:val="24"/>
          <w:szCs w:val="24"/>
        </w:rPr>
        <w:t>.</w:t>
      </w:r>
    </w:p>
    <w:p w:rsidR="006A4EED" w:rsidRPr="00476A6F" w:rsidRDefault="006A4EED" w:rsidP="00476A6F">
      <w:pPr>
        <w:spacing w:after="0" w:line="360" w:lineRule="auto"/>
        <w:ind w:firstLine="284"/>
        <w:jc w:val="both"/>
        <w:rPr>
          <w:rFonts w:asciiTheme="majorBidi" w:hAnsiTheme="majorBidi" w:cstheme="majorBidi"/>
          <w:sz w:val="24"/>
          <w:szCs w:val="24"/>
        </w:rPr>
      </w:pPr>
      <w:r w:rsidRPr="00476A6F">
        <w:rPr>
          <w:rFonts w:asciiTheme="majorBidi" w:hAnsiTheme="majorBidi" w:cstheme="majorBidi"/>
          <w:sz w:val="24"/>
          <w:szCs w:val="24"/>
        </w:rPr>
        <w:t>Ils se sous estiment devant la grandeur de Barabbas, écoutent attentivement son discours. Brailleurs même aux portes de la mort. Ils seront crucifiés avec le Christ.</w:t>
      </w:r>
    </w:p>
    <w:p w:rsidR="006A4EED" w:rsidRPr="00476A6F" w:rsidRDefault="006A4EED" w:rsidP="00790C2C">
      <w:pPr>
        <w:spacing w:after="0" w:line="360" w:lineRule="auto"/>
        <w:ind w:firstLine="284"/>
        <w:jc w:val="both"/>
        <w:rPr>
          <w:rFonts w:asciiTheme="majorBidi" w:hAnsiTheme="majorBidi" w:cstheme="majorBidi"/>
          <w:sz w:val="24"/>
          <w:szCs w:val="24"/>
        </w:rPr>
      </w:pPr>
      <w:r w:rsidRPr="00476A6F">
        <w:rPr>
          <w:rFonts w:asciiTheme="majorBidi" w:hAnsiTheme="majorBidi" w:cstheme="majorBidi"/>
          <w:b/>
          <w:bCs/>
          <w:sz w:val="24"/>
          <w:szCs w:val="24"/>
          <w:u w:val="single"/>
        </w:rPr>
        <w:t>Les apôtres</w:t>
      </w:r>
      <w:r w:rsidRPr="00476A6F">
        <w:rPr>
          <w:rFonts w:asciiTheme="majorBidi" w:hAnsiTheme="majorBidi" w:cstheme="majorBidi"/>
          <w:b/>
          <w:bCs/>
          <w:sz w:val="24"/>
          <w:szCs w:val="24"/>
        </w:rPr>
        <w:t xml:space="preserve"> :</w:t>
      </w:r>
      <w:r w:rsidRPr="00476A6F">
        <w:rPr>
          <w:rFonts w:asciiTheme="majorBidi" w:hAnsiTheme="majorBidi" w:cstheme="majorBidi"/>
          <w:sz w:val="24"/>
          <w:szCs w:val="24"/>
        </w:rPr>
        <w:t xml:space="preserve"> Personnages bibliques qui s'identifient par eux-mêmes. Masqués, inconnus et peureux. Qualifiés par le Barnum de traîtres: </w:t>
      </w:r>
      <w:r w:rsidRPr="00476A6F">
        <w:rPr>
          <w:rFonts w:asciiTheme="majorBidi" w:hAnsiTheme="majorBidi" w:cstheme="majorBidi"/>
          <w:i/>
          <w:iCs/>
          <w:sz w:val="24"/>
          <w:szCs w:val="24"/>
        </w:rPr>
        <w:t>« [...] montrez les visages que vous cachez sous le masque.»</w:t>
      </w:r>
      <w:r w:rsidR="00787DB5" w:rsidRPr="00476A6F">
        <w:rPr>
          <w:rFonts w:asciiTheme="majorBidi" w:hAnsiTheme="majorBidi" w:cstheme="majorBidi"/>
          <w:sz w:val="24"/>
          <w:szCs w:val="24"/>
        </w:rPr>
        <w:t xml:space="preserve"> (</w:t>
      </w:r>
      <w:r w:rsidR="00790C2C">
        <w:rPr>
          <w:rFonts w:asciiTheme="majorBidi" w:hAnsiTheme="majorBidi" w:cstheme="majorBidi"/>
          <w:i/>
          <w:iCs/>
          <w:sz w:val="24"/>
          <w:szCs w:val="24"/>
        </w:rPr>
        <w:t xml:space="preserve">Ibid, </w:t>
      </w:r>
      <w:r w:rsidR="00787DB5" w:rsidRPr="00476A6F">
        <w:rPr>
          <w:rFonts w:asciiTheme="majorBidi" w:hAnsiTheme="majorBidi" w:cstheme="majorBidi"/>
          <w:sz w:val="24"/>
          <w:szCs w:val="24"/>
        </w:rPr>
        <w:t>p.99)</w:t>
      </w:r>
    </w:p>
    <w:p w:rsidR="006A4EED" w:rsidRPr="00790C2C" w:rsidRDefault="006A4EED" w:rsidP="00790C2C">
      <w:pPr>
        <w:spacing w:after="0" w:line="360" w:lineRule="auto"/>
        <w:ind w:firstLine="284"/>
        <w:jc w:val="both"/>
        <w:rPr>
          <w:rFonts w:asciiTheme="majorBidi" w:hAnsiTheme="majorBidi" w:cstheme="majorBidi"/>
          <w:sz w:val="24"/>
          <w:szCs w:val="24"/>
        </w:rPr>
      </w:pPr>
      <w:r w:rsidRPr="00790C2C">
        <w:rPr>
          <w:rFonts w:asciiTheme="majorBidi" w:hAnsiTheme="majorBidi" w:cstheme="majorBidi"/>
          <w:sz w:val="24"/>
          <w:szCs w:val="24"/>
        </w:rPr>
        <w:lastRenderedPageBreak/>
        <w:t>D'altérés et d'ivrognes. Ils sont blâmés par tous et surtout par Barabbas </w:t>
      </w:r>
      <w:r w:rsidRPr="00790C2C">
        <w:rPr>
          <w:rFonts w:asciiTheme="majorBidi" w:hAnsiTheme="majorBidi" w:cstheme="majorBidi"/>
          <w:i/>
          <w:iCs/>
          <w:sz w:val="24"/>
          <w:szCs w:val="24"/>
        </w:rPr>
        <w:t>: « [...] Je venais vers vous pour vous protéger, vous défendre, tant votre lâcheté m'apitoyait.»</w:t>
      </w:r>
      <w:r w:rsidR="00787DB5" w:rsidRPr="00790C2C">
        <w:rPr>
          <w:rFonts w:asciiTheme="majorBidi" w:hAnsiTheme="majorBidi" w:cstheme="majorBidi"/>
          <w:sz w:val="24"/>
          <w:szCs w:val="24"/>
        </w:rPr>
        <w:t xml:space="preserve"> (</w:t>
      </w:r>
      <w:r w:rsidR="00790C2C">
        <w:rPr>
          <w:rFonts w:asciiTheme="majorBidi" w:hAnsiTheme="majorBidi" w:cstheme="majorBidi"/>
          <w:i/>
          <w:iCs/>
          <w:sz w:val="24"/>
          <w:szCs w:val="24"/>
        </w:rPr>
        <w:t xml:space="preserve">Ibid, </w:t>
      </w:r>
      <w:r w:rsidR="00787DB5" w:rsidRPr="00790C2C">
        <w:rPr>
          <w:rFonts w:asciiTheme="majorBidi" w:hAnsiTheme="majorBidi" w:cstheme="majorBidi"/>
          <w:sz w:val="24"/>
          <w:szCs w:val="24"/>
        </w:rPr>
        <w:t>p.122)</w:t>
      </w:r>
      <w:r w:rsidR="00790C2C">
        <w:rPr>
          <w:rFonts w:asciiTheme="majorBidi" w:hAnsiTheme="majorBidi" w:cstheme="majorBidi"/>
          <w:sz w:val="24"/>
          <w:szCs w:val="24"/>
        </w:rPr>
        <w:t>.</w:t>
      </w:r>
    </w:p>
    <w:p w:rsidR="006A4EED" w:rsidRPr="00790C2C" w:rsidRDefault="006A4EED" w:rsidP="00790C2C">
      <w:pPr>
        <w:spacing w:after="0" w:line="360" w:lineRule="auto"/>
        <w:ind w:firstLine="284"/>
        <w:jc w:val="both"/>
        <w:rPr>
          <w:rFonts w:ascii="Times New Roman" w:hAnsi="Times New Roman"/>
          <w:sz w:val="24"/>
          <w:szCs w:val="24"/>
        </w:rPr>
      </w:pPr>
      <w:r w:rsidRPr="00790C2C">
        <w:rPr>
          <w:rFonts w:ascii="Times New Roman" w:hAnsi="Times New Roman"/>
          <w:sz w:val="24"/>
          <w:szCs w:val="24"/>
        </w:rPr>
        <w:t>Leur image est amplifiée par Judas, traître qui a vendu Jésus. Il est sans âme, et explique son geste par la fatalité qui s'acharne sur lui Marqué par la trahison du Christ 11 est la risée du pitre qui lui crache sur la figure à la fin du deuxième acte.</w:t>
      </w:r>
    </w:p>
    <w:p w:rsidR="006A4EED" w:rsidRPr="00AF1A10" w:rsidRDefault="006A4EED" w:rsidP="00AF1A10">
      <w:pPr>
        <w:pStyle w:val="Titre6"/>
        <w:spacing w:before="0" w:after="0" w:line="360" w:lineRule="auto"/>
        <w:ind w:firstLine="284"/>
        <w:jc w:val="both"/>
        <w:rPr>
          <w:rFonts w:asciiTheme="majorBidi" w:hAnsiTheme="majorBidi" w:cstheme="majorBidi"/>
          <w:i w:val="0"/>
          <w:iCs/>
          <w:sz w:val="24"/>
          <w:szCs w:val="24"/>
          <w:u w:val="none"/>
        </w:rPr>
      </w:pPr>
      <w:r w:rsidRPr="00790C2C">
        <w:rPr>
          <w:b/>
          <w:bCs w:val="0"/>
          <w:i w:val="0"/>
          <w:iCs/>
          <w:sz w:val="24"/>
          <w:szCs w:val="24"/>
        </w:rPr>
        <w:t>Prêtres – Caïphe</w:t>
      </w:r>
      <w:r w:rsidR="00AF1A10" w:rsidRPr="00413C28">
        <w:rPr>
          <w:b/>
          <w:bCs w:val="0"/>
          <w:i w:val="0"/>
          <w:iCs/>
          <w:sz w:val="24"/>
          <w:szCs w:val="24"/>
          <w:u w:val="none"/>
        </w:rPr>
        <w:t xml:space="preserve"> : </w:t>
      </w:r>
      <w:r w:rsidR="00790C2C" w:rsidRPr="00AF1A10">
        <w:rPr>
          <w:i w:val="0"/>
          <w:iCs/>
          <w:sz w:val="24"/>
          <w:szCs w:val="24"/>
          <w:u w:val="none"/>
        </w:rPr>
        <w:t xml:space="preserve">À </w:t>
      </w:r>
      <w:r w:rsidRPr="00AF1A10">
        <w:rPr>
          <w:i w:val="0"/>
          <w:iCs/>
          <w:sz w:val="24"/>
          <w:szCs w:val="24"/>
          <w:u w:val="none"/>
        </w:rPr>
        <w:t>l'image de Caïphe, personnage biblique qui condamne de par son autorité, Jésus à l'insu de l'autorité politique. Personnage compromettant, comploteur ayant sous ses ordres une panoplie de prêtre qui haranguait les foules afin de condamner Jésus Manipulateur, il plaide la cause de Barabbas tout en enfonçant Jésus </w:t>
      </w:r>
      <w:r w:rsidRPr="00AF1A10">
        <w:rPr>
          <w:rFonts w:asciiTheme="majorBidi" w:hAnsiTheme="majorBidi" w:cstheme="majorBidi"/>
          <w:i w:val="0"/>
          <w:iCs/>
          <w:sz w:val="24"/>
          <w:szCs w:val="24"/>
          <w:u w:val="none"/>
        </w:rPr>
        <w:t xml:space="preserve">: « </w:t>
      </w:r>
      <w:r w:rsidRPr="00AF1A10">
        <w:rPr>
          <w:rFonts w:asciiTheme="majorBidi" w:hAnsiTheme="majorBidi" w:cstheme="majorBidi"/>
          <w:sz w:val="24"/>
          <w:szCs w:val="24"/>
          <w:u w:val="none"/>
        </w:rPr>
        <w:t>Il nous faut écraser la couleuvre sous la pierre qui la cache [...] Il nous faut frapper le renégat de ses ancêtres, de sa nation, de son Dieu […]»</w:t>
      </w:r>
      <w:r w:rsidR="00787DB5" w:rsidRPr="00AF1A10">
        <w:rPr>
          <w:rFonts w:asciiTheme="majorBidi" w:hAnsiTheme="majorBidi" w:cstheme="majorBidi"/>
          <w:i w:val="0"/>
          <w:iCs/>
          <w:sz w:val="24"/>
          <w:szCs w:val="24"/>
          <w:u w:val="none"/>
        </w:rPr>
        <w:t xml:space="preserve"> (</w:t>
      </w:r>
      <w:r w:rsidR="00790C2C" w:rsidRPr="00AF1A10">
        <w:rPr>
          <w:rFonts w:asciiTheme="majorBidi" w:hAnsiTheme="majorBidi" w:cstheme="majorBidi"/>
          <w:sz w:val="24"/>
          <w:szCs w:val="24"/>
          <w:u w:val="none"/>
        </w:rPr>
        <w:t>Ibid</w:t>
      </w:r>
      <w:r w:rsidR="00790C2C" w:rsidRPr="00AF1A10">
        <w:rPr>
          <w:rFonts w:asciiTheme="majorBidi" w:hAnsiTheme="majorBidi" w:cstheme="majorBidi"/>
          <w:i w:val="0"/>
          <w:iCs/>
          <w:sz w:val="24"/>
          <w:szCs w:val="24"/>
          <w:u w:val="none"/>
        </w:rPr>
        <w:t xml:space="preserve">, </w:t>
      </w:r>
      <w:r w:rsidR="00787DB5" w:rsidRPr="00AF1A10">
        <w:rPr>
          <w:rFonts w:asciiTheme="majorBidi" w:hAnsiTheme="majorBidi" w:cstheme="majorBidi"/>
          <w:i w:val="0"/>
          <w:iCs/>
          <w:sz w:val="24"/>
          <w:szCs w:val="24"/>
          <w:u w:val="none"/>
        </w:rPr>
        <w:t>p.79)</w:t>
      </w:r>
      <w:r w:rsidR="00790C2C" w:rsidRPr="00AF1A10">
        <w:rPr>
          <w:rFonts w:asciiTheme="majorBidi" w:hAnsiTheme="majorBidi" w:cstheme="majorBidi"/>
          <w:i w:val="0"/>
          <w:iCs/>
          <w:sz w:val="24"/>
          <w:szCs w:val="24"/>
          <w:u w:val="none"/>
        </w:rPr>
        <w:t>.</w:t>
      </w:r>
    </w:p>
    <w:p w:rsidR="006A4EED" w:rsidRPr="001B6995" w:rsidRDefault="006A4EED" w:rsidP="001B6995">
      <w:pPr>
        <w:spacing w:after="0" w:line="360" w:lineRule="auto"/>
        <w:ind w:firstLine="284"/>
        <w:jc w:val="both"/>
        <w:rPr>
          <w:rFonts w:asciiTheme="majorBidi" w:hAnsiTheme="majorBidi" w:cstheme="majorBidi"/>
          <w:i/>
          <w:iCs/>
          <w:sz w:val="24"/>
          <w:szCs w:val="24"/>
        </w:rPr>
      </w:pPr>
      <w:r w:rsidRPr="001B6995">
        <w:rPr>
          <w:rFonts w:asciiTheme="majorBidi" w:hAnsiTheme="majorBidi" w:cstheme="majorBidi"/>
          <w:sz w:val="24"/>
          <w:szCs w:val="24"/>
        </w:rPr>
        <w:t xml:space="preserve">Les prêtres, ironiques et dévoyés envoient Jésus au supplice sur le Golgotha :                   </w:t>
      </w:r>
      <w:r w:rsidRPr="001B6995">
        <w:rPr>
          <w:rFonts w:asciiTheme="majorBidi" w:hAnsiTheme="majorBidi" w:cstheme="majorBidi"/>
          <w:i/>
          <w:iCs/>
          <w:sz w:val="24"/>
          <w:szCs w:val="24"/>
        </w:rPr>
        <w:t>«On a procédé à son couronnement»</w:t>
      </w:r>
      <w:r w:rsidR="00787DB5" w:rsidRPr="001B6995">
        <w:rPr>
          <w:rFonts w:asciiTheme="majorBidi" w:hAnsiTheme="majorBidi" w:cstheme="majorBidi"/>
          <w:sz w:val="24"/>
          <w:szCs w:val="24"/>
        </w:rPr>
        <w:t xml:space="preserve"> (</w:t>
      </w:r>
      <w:r w:rsidR="001B6995">
        <w:rPr>
          <w:rFonts w:asciiTheme="majorBidi" w:hAnsiTheme="majorBidi" w:cstheme="majorBidi"/>
          <w:i/>
          <w:iCs/>
          <w:sz w:val="24"/>
          <w:szCs w:val="24"/>
        </w:rPr>
        <w:t xml:space="preserve">Ibid, </w:t>
      </w:r>
      <w:r w:rsidR="00787DB5" w:rsidRPr="001B6995">
        <w:rPr>
          <w:rFonts w:asciiTheme="majorBidi" w:hAnsiTheme="majorBidi" w:cstheme="majorBidi"/>
          <w:sz w:val="24"/>
          <w:szCs w:val="24"/>
        </w:rPr>
        <w:t>p.80)</w:t>
      </w:r>
      <w:r w:rsidR="001B6995">
        <w:rPr>
          <w:rFonts w:asciiTheme="majorBidi" w:hAnsiTheme="majorBidi" w:cstheme="majorBidi"/>
          <w:sz w:val="24"/>
          <w:szCs w:val="24"/>
        </w:rPr>
        <w:t>.</w:t>
      </w:r>
    </w:p>
    <w:p w:rsidR="006A4EED" w:rsidRPr="00413C28" w:rsidRDefault="006A4EED" w:rsidP="00413C28">
      <w:pPr>
        <w:pStyle w:val="Titre6"/>
        <w:spacing w:before="0" w:after="0" w:line="360" w:lineRule="auto"/>
        <w:ind w:firstLine="284"/>
        <w:jc w:val="both"/>
        <w:rPr>
          <w:rFonts w:asciiTheme="majorBidi" w:hAnsiTheme="majorBidi" w:cstheme="majorBidi"/>
          <w:i w:val="0"/>
          <w:iCs/>
          <w:sz w:val="24"/>
          <w:szCs w:val="24"/>
          <w:u w:val="none"/>
        </w:rPr>
      </w:pPr>
      <w:r w:rsidRPr="001B6995">
        <w:rPr>
          <w:rFonts w:asciiTheme="majorBidi" w:hAnsiTheme="majorBidi" w:cstheme="majorBidi"/>
          <w:b/>
          <w:bCs w:val="0"/>
          <w:i w:val="0"/>
          <w:iCs/>
          <w:sz w:val="24"/>
          <w:szCs w:val="24"/>
        </w:rPr>
        <w:t>Hérode</w:t>
      </w:r>
      <w:r w:rsidR="00413C28">
        <w:rPr>
          <w:rFonts w:asciiTheme="majorBidi" w:hAnsiTheme="majorBidi" w:cstheme="majorBidi"/>
          <w:b/>
          <w:bCs w:val="0"/>
          <w:i w:val="0"/>
          <w:iCs/>
          <w:sz w:val="24"/>
          <w:szCs w:val="24"/>
        </w:rPr>
        <w:t> </w:t>
      </w:r>
      <w:r w:rsidR="00413C28" w:rsidRPr="00413C28">
        <w:rPr>
          <w:rFonts w:asciiTheme="majorBidi" w:hAnsiTheme="majorBidi" w:cstheme="majorBidi"/>
          <w:b/>
          <w:bCs w:val="0"/>
          <w:i w:val="0"/>
          <w:iCs/>
          <w:sz w:val="24"/>
          <w:szCs w:val="24"/>
          <w:u w:val="none"/>
        </w:rPr>
        <w:t xml:space="preserve">: </w:t>
      </w:r>
      <w:r w:rsidRPr="00413C28">
        <w:rPr>
          <w:rFonts w:asciiTheme="majorBidi" w:hAnsiTheme="majorBidi" w:cstheme="majorBidi"/>
          <w:i w:val="0"/>
          <w:iCs/>
          <w:sz w:val="24"/>
          <w:szCs w:val="24"/>
          <w:u w:val="none"/>
        </w:rPr>
        <w:t>Personnage biblique, aristocrate romain représente l'autorité politique où il occupe la fonction d'administrateur de Rome, il se démarque de ses origines juives à qui, il ne voue aucune estime.</w:t>
      </w:r>
    </w:p>
    <w:p w:rsidR="006A4EED" w:rsidRPr="002E7EA8" w:rsidRDefault="006A4EED" w:rsidP="002E7EA8">
      <w:pPr>
        <w:spacing w:after="0" w:line="360" w:lineRule="auto"/>
        <w:ind w:firstLine="284"/>
        <w:jc w:val="both"/>
        <w:rPr>
          <w:rFonts w:asciiTheme="majorBidi" w:hAnsiTheme="majorBidi" w:cstheme="majorBidi"/>
          <w:sz w:val="24"/>
          <w:szCs w:val="24"/>
        </w:rPr>
      </w:pPr>
      <w:r w:rsidRPr="002E7EA8">
        <w:rPr>
          <w:rFonts w:asciiTheme="majorBidi" w:hAnsiTheme="majorBidi" w:cstheme="majorBidi"/>
          <w:sz w:val="24"/>
          <w:szCs w:val="24"/>
        </w:rPr>
        <w:t xml:space="preserve">Fêtard, il est décrit par Caïphe : </w:t>
      </w:r>
      <w:r w:rsidRPr="002E7EA8">
        <w:rPr>
          <w:rFonts w:asciiTheme="majorBidi" w:hAnsiTheme="majorBidi" w:cstheme="majorBidi"/>
          <w:i/>
          <w:iCs/>
          <w:sz w:val="24"/>
          <w:szCs w:val="24"/>
        </w:rPr>
        <w:t>« [...] Toi Hérode, il est inutile de te parler de tes devoirs. Tu es une danseuse, un gourmet, un gros malade»</w:t>
      </w:r>
      <w:r w:rsidR="00787DB5" w:rsidRPr="002E7EA8">
        <w:rPr>
          <w:rFonts w:asciiTheme="majorBidi" w:hAnsiTheme="majorBidi" w:cstheme="majorBidi"/>
          <w:sz w:val="24"/>
          <w:szCs w:val="24"/>
        </w:rPr>
        <w:t xml:space="preserve"> (</w:t>
      </w:r>
      <w:r w:rsidR="00082708">
        <w:rPr>
          <w:rFonts w:asciiTheme="majorBidi" w:hAnsiTheme="majorBidi" w:cstheme="majorBidi"/>
          <w:i/>
          <w:iCs/>
          <w:sz w:val="24"/>
          <w:szCs w:val="24"/>
        </w:rPr>
        <w:t xml:space="preserve">Ibid, </w:t>
      </w:r>
      <w:r w:rsidR="00787DB5" w:rsidRPr="002E7EA8">
        <w:rPr>
          <w:rFonts w:asciiTheme="majorBidi" w:hAnsiTheme="majorBidi" w:cstheme="majorBidi"/>
          <w:sz w:val="24"/>
          <w:szCs w:val="24"/>
        </w:rPr>
        <w:t>p.39)</w:t>
      </w:r>
      <w:r w:rsidR="00082708">
        <w:rPr>
          <w:rFonts w:asciiTheme="majorBidi" w:hAnsiTheme="majorBidi" w:cstheme="majorBidi"/>
          <w:sz w:val="24"/>
          <w:szCs w:val="24"/>
        </w:rPr>
        <w:t>.</w:t>
      </w:r>
    </w:p>
    <w:p w:rsidR="006A4EED" w:rsidRPr="002E7EA8" w:rsidRDefault="006A4EED" w:rsidP="002E7EA8">
      <w:pPr>
        <w:spacing w:after="0" w:line="360" w:lineRule="auto"/>
        <w:ind w:firstLine="284"/>
        <w:jc w:val="both"/>
        <w:rPr>
          <w:rFonts w:asciiTheme="majorBidi" w:hAnsiTheme="majorBidi" w:cstheme="majorBidi"/>
          <w:sz w:val="24"/>
          <w:szCs w:val="24"/>
        </w:rPr>
      </w:pPr>
      <w:r w:rsidRPr="002E7EA8">
        <w:rPr>
          <w:rFonts w:asciiTheme="majorBidi" w:hAnsiTheme="majorBidi" w:cstheme="majorBidi"/>
          <w:sz w:val="24"/>
          <w:szCs w:val="24"/>
        </w:rPr>
        <w:t xml:space="preserve">Indifférent à tout ce qui se passe :   </w:t>
      </w:r>
      <w:r w:rsidRPr="002E7EA8">
        <w:rPr>
          <w:rFonts w:asciiTheme="majorBidi" w:hAnsiTheme="majorBidi" w:cstheme="majorBidi"/>
          <w:i/>
          <w:iCs/>
          <w:sz w:val="24"/>
          <w:szCs w:val="24"/>
        </w:rPr>
        <w:t>« [...] Il s'accomplit quelque chose, mais je m'en moque»</w:t>
      </w:r>
      <w:r w:rsidR="00787DB5" w:rsidRPr="002E7EA8">
        <w:rPr>
          <w:rFonts w:asciiTheme="majorBidi" w:hAnsiTheme="majorBidi" w:cstheme="majorBidi"/>
          <w:sz w:val="24"/>
          <w:szCs w:val="24"/>
        </w:rPr>
        <w:t xml:space="preserve"> (</w:t>
      </w:r>
      <w:r w:rsidR="00082708">
        <w:rPr>
          <w:rFonts w:asciiTheme="majorBidi" w:hAnsiTheme="majorBidi" w:cstheme="majorBidi"/>
          <w:i/>
          <w:iCs/>
          <w:sz w:val="24"/>
          <w:szCs w:val="24"/>
        </w:rPr>
        <w:t xml:space="preserve">Ibid, </w:t>
      </w:r>
      <w:r w:rsidR="00787DB5" w:rsidRPr="002E7EA8">
        <w:rPr>
          <w:rFonts w:asciiTheme="majorBidi" w:hAnsiTheme="majorBidi" w:cstheme="majorBidi"/>
          <w:sz w:val="24"/>
          <w:szCs w:val="24"/>
        </w:rPr>
        <w:t>p.117)</w:t>
      </w:r>
      <w:r w:rsidR="00082708">
        <w:rPr>
          <w:rFonts w:asciiTheme="majorBidi" w:hAnsiTheme="majorBidi" w:cstheme="majorBidi"/>
          <w:sz w:val="24"/>
          <w:szCs w:val="24"/>
        </w:rPr>
        <w:t>.</w:t>
      </w:r>
    </w:p>
    <w:p w:rsidR="006A4EED" w:rsidRPr="002E7EA8" w:rsidRDefault="006A4EED" w:rsidP="002E7EA8">
      <w:pPr>
        <w:spacing w:after="0" w:line="360" w:lineRule="auto"/>
        <w:ind w:firstLine="284"/>
        <w:jc w:val="both"/>
        <w:rPr>
          <w:rFonts w:asciiTheme="majorBidi" w:hAnsiTheme="majorBidi" w:cstheme="majorBidi"/>
          <w:sz w:val="24"/>
          <w:szCs w:val="24"/>
        </w:rPr>
      </w:pPr>
      <w:r w:rsidRPr="002E7EA8">
        <w:rPr>
          <w:rFonts w:asciiTheme="majorBidi" w:hAnsiTheme="majorBidi" w:cstheme="majorBidi"/>
          <w:sz w:val="24"/>
          <w:szCs w:val="24"/>
        </w:rPr>
        <w:t xml:space="preserve">Fêtard et goguenard. Il s'adresse à Barabbas : </w:t>
      </w:r>
      <w:r w:rsidRPr="002E7EA8">
        <w:rPr>
          <w:rFonts w:asciiTheme="majorBidi" w:hAnsiTheme="majorBidi" w:cstheme="majorBidi"/>
          <w:i/>
          <w:iCs/>
          <w:sz w:val="24"/>
          <w:szCs w:val="24"/>
        </w:rPr>
        <w:t>« [...] Tu assassinerais cette nuit tout le peuple juif que j'en rirais avec suavité [...] Je rirais en périssant»</w:t>
      </w:r>
      <w:r w:rsidR="00787DB5" w:rsidRPr="002E7EA8">
        <w:rPr>
          <w:rFonts w:asciiTheme="majorBidi" w:hAnsiTheme="majorBidi" w:cstheme="majorBidi"/>
          <w:sz w:val="24"/>
          <w:szCs w:val="24"/>
        </w:rPr>
        <w:t xml:space="preserve"> (</w:t>
      </w:r>
      <w:r w:rsidR="00082708">
        <w:rPr>
          <w:rFonts w:asciiTheme="majorBidi" w:hAnsiTheme="majorBidi" w:cstheme="majorBidi"/>
          <w:i/>
          <w:iCs/>
          <w:sz w:val="24"/>
          <w:szCs w:val="24"/>
        </w:rPr>
        <w:t xml:space="preserve">Ibid, </w:t>
      </w:r>
      <w:r w:rsidR="00787DB5" w:rsidRPr="002E7EA8">
        <w:rPr>
          <w:rFonts w:asciiTheme="majorBidi" w:hAnsiTheme="majorBidi" w:cstheme="majorBidi"/>
          <w:sz w:val="24"/>
          <w:szCs w:val="24"/>
        </w:rPr>
        <w:t>p.115)</w:t>
      </w:r>
      <w:r w:rsidR="00082708">
        <w:rPr>
          <w:rFonts w:asciiTheme="majorBidi" w:hAnsiTheme="majorBidi" w:cstheme="majorBidi"/>
          <w:sz w:val="24"/>
          <w:szCs w:val="24"/>
        </w:rPr>
        <w:t>.</w:t>
      </w:r>
    </w:p>
    <w:p w:rsidR="006A4EED" w:rsidRPr="00B77088" w:rsidRDefault="006A4EED" w:rsidP="00B77088">
      <w:pPr>
        <w:pStyle w:val="Titre6"/>
        <w:spacing w:before="0" w:after="0" w:line="360" w:lineRule="auto"/>
        <w:ind w:firstLine="284"/>
        <w:jc w:val="both"/>
        <w:rPr>
          <w:rFonts w:asciiTheme="majorBidi" w:hAnsiTheme="majorBidi" w:cstheme="majorBidi"/>
          <w:i w:val="0"/>
          <w:iCs/>
          <w:sz w:val="24"/>
          <w:szCs w:val="24"/>
          <w:u w:val="none"/>
        </w:rPr>
      </w:pPr>
      <w:r w:rsidRPr="00494924">
        <w:rPr>
          <w:rFonts w:asciiTheme="majorBidi" w:hAnsiTheme="majorBidi" w:cstheme="majorBidi"/>
          <w:b/>
          <w:bCs w:val="0"/>
          <w:i w:val="0"/>
          <w:iCs/>
          <w:sz w:val="24"/>
          <w:szCs w:val="24"/>
        </w:rPr>
        <w:t>Pilate</w:t>
      </w:r>
      <w:r w:rsidR="00B77088">
        <w:rPr>
          <w:rFonts w:asciiTheme="majorBidi" w:hAnsiTheme="majorBidi" w:cstheme="majorBidi"/>
          <w:b/>
          <w:bCs w:val="0"/>
          <w:i w:val="0"/>
          <w:iCs/>
          <w:sz w:val="24"/>
          <w:szCs w:val="24"/>
        </w:rPr>
        <w:t> </w:t>
      </w:r>
      <w:r w:rsidR="00B77088" w:rsidRPr="00B77088">
        <w:rPr>
          <w:rFonts w:asciiTheme="majorBidi" w:hAnsiTheme="majorBidi" w:cstheme="majorBidi"/>
          <w:b/>
          <w:bCs w:val="0"/>
          <w:i w:val="0"/>
          <w:iCs/>
          <w:sz w:val="24"/>
          <w:szCs w:val="24"/>
          <w:u w:val="none"/>
        </w:rPr>
        <w:t xml:space="preserve">: </w:t>
      </w:r>
      <w:r w:rsidRPr="00B77088">
        <w:rPr>
          <w:rFonts w:asciiTheme="majorBidi" w:hAnsiTheme="majorBidi" w:cstheme="majorBidi"/>
          <w:i w:val="0"/>
          <w:iCs/>
          <w:sz w:val="24"/>
          <w:szCs w:val="24"/>
          <w:u w:val="none"/>
        </w:rPr>
        <w:t xml:space="preserve">Personnage biblique, gouverneur de Rome, superstitieux et craintif : « </w:t>
      </w:r>
      <w:r w:rsidRPr="00B77088">
        <w:rPr>
          <w:rFonts w:asciiTheme="majorBidi" w:hAnsiTheme="majorBidi" w:cstheme="majorBidi"/>
          <w:sz w:val="24"/>
          <w:szCs w:val="24"/>
          <w:u w:val="none"/>
        </w:rPr>
        <w:t>[...] Que me veulent ces ombres? C'est une persécution ? Soldats! Chassez ces fantômes!»</w:t>
      </w:r>
      <w:r w:rsidR="00787DB5" w:rsidRPr="00B77088">
        <w:rPr>
          <w:rFonts w:asciiTheme="majorBidi" w:hAnsiTheme="majorBidi" w:cstheme="majorBidi"/>
          <w:i w:val="0"/>
          <w:iCs/>
          <w:sz w:val="24"/>
          <w:szCs w:val="24"/>
          <w:u w:val="none"/>
        </w:rPr>
        <w:t xml:space="preserve"> (</w:t>
      </w:r>
      <w:r w:rsidR="00494924" w:rsidRPr="00B77088">
        <w:rPr>
          <w:rFonts w:asciiTheme="majorBidi" w:hAnsiTheme="majorBidi" w:cstheme="majorBidi"/>
          <w:sz w:val="24"/>
          <w:szCs w:val="24"/>
          <w:u w:val="none"/>
        </w:rPr>
        <w:t>Ibid</w:t>
      </w:r>
      <w:r w:rsidR="00494924" w:rsidRPr="00B77088">
        <w:rPr>
          <w:rFonts w:asciiTheme="majorBidi" w:hAnsiTheme="majorBidi" w:cstheme="majorBidi"/>
          <w:i w:val="0"/>
          <w:iCs/>
          <w:sz w:val="24"/>
          <w:szCs w:val="24"/>
          <w:u w:val="none"/>
        </w:rPr>
        <w:t xml:space="preserve">, </w:t>
      </w:r>
      <w:r w:rsidR="00787DB5" w:rsidRPr="00B77088">
        <w:rPr>
          <w:rFonts w:asciiTheme="majorBidi" w:hAnsiTheme="majorBidi" w:cstheme="majorBidi"/>
          <w:i w:val="0"/>
          <w:iCs/>
          <w:sz w:val="24"/>
          <w:szCs w:val="24"/>
          <w:u w:val="none"/>
        </w:rPr>
        <w:t>p.70)</w:t>
      </w:r>
      <w:r w:rsidR="00494924" w:rsidRPr="00B77088">
        <w:rPr>
          <w:rFonts w:asciiTheme="majorBidi" w:hAnsiTheme="majorBidi" w:cstheme="majorBidi"/>
          <w:i w:val="0"/>
          <w:iCs/>
          <w:sz w:val="24"/>
          <w:szCs w:val="24"/>
          <w:u w:val="none"/>
        </w:rPr>
        <w:t>.</w:t>
      </w:r>
    </w:p>
    <w:p w:rsidR="006A4EED" w:rsidRPr="00494924" w:rsidRDefault="006A4EED" w:rsidP="00494924">
      <w:pPr>
        <w:spacing w:after="0" w:line="360" w:lineRule="auto"/>
        <w:ind w:firstLine="284"/>
        <w:jc w:val="both"/>
        <w:rPr>
          <w:rFonts w:asciiTheme="majorBidi" w:hAnsiTheme="majorBidi" w:cstheme="majorBidi"/>
          <w:sz w:val="24"/>
          <w:szCs w:val="24"/>
        </w:rPr>
      </w:pPr>
      <w:r w:rsidRPr="00494924">
        <w:rPr>
          <w:rFonts w:asciiTheme="majorBidi" w:hAnsiTheme="majorBidi" w:cstheme="majorBidi"/>
          <w:sz w:val="24"/>
          <w:szCs w:val="24"/>
        </w:rPr>
        <w:t xml:space="preserve">Ne supportant pas sa femme : </w:t>
      </w:r>
      <w:r w:rsidRPr="00494924">
        <w:rPr>
          <w:rFonts w:asciiTheme="majorBidi" w:hAnsiTheme="majorBidi" w:cstheme="majorBidi"/>
          <w:i/>
          <w:iCs/>
          <w:sz w:val="24"/>
          <w:szCs w:val="24"/>
        </w:rPr>
        <w:t>« [...] Je ne veux pas connaître les rêves d'une femme. Mes soucis me suffisent [...]»</w:t>
      </w:r>
      <w:r w:rsidR="00787DB5" w:rsidRPr="00494924">
        <w:rPr>
          <w:rFonts w:asciiTheme="majorBidi" w:hAnsiTheme="majorBidi" w:cstheme="majorBidi"/>
          <w:i/>
          <w:iCs/>
          <w:sz w:val="24"/>
          <w:szCs w:val="24"/>
        </w:rPr>
        <w:t xml:space="preserve"> </w:t>
      </w:r>
      <w:r w:rsidR="00787DB5" w:rsidRPr="00494924">
        <w:rPr>
          <w:rFonts w:asciiTheme="majorBidi" w:hAnsiTheme="majorBidi" w:cstheme="majorBidi"/>
          <w:sz w:val="24"/>
          <w:szCs w:val="24"/>
        </w:rPr>
        <w:t>(</w:t>
      </w:r>
      <w:r w:rsidR="00494924">
        <w:rPr>
          <w:rFonts w:asciiTheme="majorBidi" w:hAnsiTheme="majorBidi" w:cstheme="majorBidi"/>
          <w:i/>
          <w:iCs/>
          <w:sz w:val="24"/>
          <w:szCs w:val="24"/>
        </w:rPr>
        <w:t xml:space="preserve">Ibid, </w:t>
      </w:r>
      <w:r w:rsidR="00787DB5" w:rsidRPr="00494924">
        <w:rPr>
          <w:rFonts w:asciiTheme="majorBidi" w:hAnsiTheme="majorBidi" w:cstheme="majorBidi"/>
          <w:sz w:val="24"/>
          <w:szCs w:val="24"/>
        </w:rPr>
        <w:t>p.71)</w:t>
      </w:r>
      <w:r w:rsidR="00494924">
        <w:rPr>
          <w:rFonts w:asciiTheme="majorBidi" w:hAnsiTheme="majorBidi" w:cstheme="majorBidi"/>
          <w:sz w:val="24"/>
          <w:szCs w:val="24"/>
        </w:rPr>
        <w:t>.</w:t>
      </w:r>
    </w:p>
    <w:p w:rsidR="006A4EED" w:rsidRPr="00494924" w:rsidRDefault="006A4EED" w:rsidP="00494924">
      <w:pPr>
        <w:spacing w:after="0" w:line="360" w:lineRule="auto"/>
        <w:ind w:firstLine="284"/>
        <w:jc w:val="both"/>
        <w:rPr>
          <w:rFonts w:asciiTheme="majorBidi" w:hAnsiTheme="majorBidi" w:cstheme="majorBidi"/>
          <w:sz w:val="24"/>
          <w:szCs w:val="24"/>
        </w:rPr>
      </w:pPr>
      <w:r w:rsidRPr="00494924">
        <w:rPr>
          <w:rFonts w:asciiTheme="majorBidi" w:hAnsiTheme="majorBidi" w:cstheme="majorBidi"/>
          <w:sz w:val="24"/>
          <w:szCs w:val="24"/>
        </w:rPr>
        <w:t xml:space="preserve">Méditatif sur l'avenir du Christ : </w:t>
      </w:r>
      <w:r w:rsidRPr="00494924">
        <w:rPr>
          <w:rFonts w:asciiTheme="majorBidi" w:hAnsiTheme="majorBidi" w:cstheme="majorBidi"/>
          <w:i/>
          <w:iCs/>
          <w:sz w:val="24"/>
          <w:szCs w:val="24"/>
        </w:rPr>
        <w:t>« [...] Nul ne sait trop pas qui ? Ni pour quel motif cet homme doit être jugé. Quel est son tort?»</w:t>
      </w:r>
      <w:r w:rsidR="00787DB5" w:rsidRPr="00494924">
        <w:rPr>
          <w:rFonts w:asciiTheme="majorBidi" w:hAnsiTheme="majorBidi" w:cstheme="majorBidi"/>
          <w:sz w:val="24"/>
          <w:szCs w:val="24"/>
        </w:rPr>
        <w:t xml:space="preserve"> (</w:t>
      </w:r>
      <w:r w:rsidR="00494924">
        <w:rPr>
          <w:rFonts w:asciiTheme="majorBidi" w:hAnsiTheme="majorBidi" w:cstheme="majorBidi"/>
          <w:i/>
          <w:iCs/>
          <w:sz w:val="24"/>
          <w:szCs w:val="24"/>
        </w:rPr>
        <w:t xml:space="preserve">Ibid, </w:t>
      </w:r>
      <w:r w:rsidR="00787DB5" w:rsidRPr="00494924">
        <w:rPr>
          <w:rFonts w:asciiTheme="majorBidi" w:hAnsiTheme="majorBidi" w:cstheme="majorBidi"/>
          <w:sz w:val="24"/>
          <w:szCs w:val="24"/>
        </w:rPr>
        <w:t>p.73)</w:t>
      </w:r>
      <w:r w:rsidR="00494924">
        <w:rPr>
          <w:rFonts w:asciiTheme="majorBidi" w:hAnsiTheme="majorBidi" w:cstheme="majorBidi"/>
          <w:sz w:val="24"/>
          <w:szCs w:val="24"/>
        </w:rPr>
        <w:t>.</w:t>
      </w:r>
    </w:p>
    <w:p w:rsidR="006A4EED" w:rsidRPr="00494924" w:rsidRDefault="006A4EED" w:rsidP="00494924">
      <w:pPr>
        <w:spacing w:after="0" w:line="360" w:lineRule="auto"/>
        <w:ind w:firstLine="284"/>
        <w:jc w:val="both"/>
        <w:rPr>
          <w:rFonts w:asciiTheme="majorBidi" w:hAnsiTheme="majorBidi" w:cstheme="majorBidi"/>
          <w:sz w:val="24"/>
          <w:szCs w:val="24"/>
        </w:rPr>
      </w:pPr>
      <w:r w:rsidRPr="00494924">
        <w:rPr>
          <w:rFonts w:asciiTheme="majorBidi" w:hAnsiTheme="majorBidi" w:cstheme="majorBidi"/>
          <w:sz w:val="24"/>
          <w:szCs w:val="24"/>
        </w:rPr>
        <w:lastRenderedPageBreak/>
        <w:t xml:space="preserve">Il ne sait, quelle loi appliquer pour juger le Christ : </w:t>
      </w:r>
      <w:r w:rsidRPr="00494924">
        <w:rPr>
          <w:rFonts w:asciiTheme="majorBidi" w:hAnsiTheme="majorBidi" w:cstheme="majorBidi"/>
          <w:i/>
          <w:iCs/>
          <w:sz w:val="24"/>
          <w:szCs w:val="24"/>
        </w:rPr>
        <w:t>« [...] Les lois ancestrales de ces prêtres ou les lois des sénateurs romains»</w:t>
      </w:r>
      <w:r w:rsidR="00787DB5" w:rsidRPr="00494924">
        <w:rPr>
          <w:rFonts w:asciiTheme="majorBidi" w:hAnsiTheme="majorBidi" w:cstheme="majorBidi"/>
          <w:sz w:val="24"/>
          <w:szCs w:val="24"/>
        </w:rPr>
        <w:t xml:space="preserve"> (</w:t>
      </w:r>
      <w:r w:rsidR="00494924">
        <w:rPr>
          <w:rFonts w:asciiTheme="majorBidi" w:hAnsiTheme="majorBidi" w:cstheme="majorBidi"/>
          <w:i/>
          <w:iCs/>
          <w:sz w:val="24"/>
          <w:szCs w:val="24"/>
        </w:rPr>
        <w:t xml:space="preserve">Ibid, </w:t>
      </w:r>
      <w:r w:rsidR="00787DB5" w:rsidRPr="00494924">
        <w:rPr>
          <w:rFonts w:asciiTheme="majorBidi" w:hAnsiTheme="majorBidi" w:cstheme="majorBidi"/>
          <w:sz w:val="24"/>
          <w:szCs w:val="24"/>
        </w:rPr>
        <w:t>p.74)</w:t>
      </w:r>
      <w:r w:rsidR="00494924">
        <w:rPr>
          <w:rFonts w:asciiTheme="majorBidi" w:hAnsiTheme="majorBidi" w:cstheme="majorBidi"/>
          <w:sz w:val="24"/>
          <w:szCs w:val="24"/>
        </w:rPr>
        <w:t>.</w:t>
      </w:r>
    </w:p>
    <w:p w:rsidR="006A4EED" w:rsidRPr="00940B11" w:rsidRDefault="006A4EED" w:rsidP="00940B11">
      <w:pPr>
        <w:spacing w:after="0" w:line="360" w:lineRule="auto"/>
        <w:ind w:firstLine="284"/>
        <w:jc w:val="both"/>
        <w:rPr>
          <w:rFonts w:asciiTheme="majorBidi" w:hAnsiTheme="majorBidi" w:cstheme="majorBidi"/>
          <w:sz w:val="24"/>
          <w:szCs w:val="24"/>
        </w:rPr>
      </w:pPr>
      <w:r w:rsidRPr="00940B11">
        <w:rPr>
          <w:rFonts w:asciiTheme="majorBidi" w:hAnsiTheme="majorBidi" w:cstheme="majorBidi"/>
          <w:sz w:val="24"/>
          <w:szCs w:val="24"/>
        </w:rPr>
        <w:t xml:space="preserve">Malgré la pression exercée par Caïphe et les prêtres pour juger le Galiléen et le condamner, il n'abdique pas en essayant de chercher les torts de cet homme : </w:t>
      </w:r>
      <w:r w:rsidRPr="00940B11">
        <w:rPr>
          <w:rFonts w:asciiTheme="majorBidi" w:hAnsiTheme="majorBidi" w:cstheme="majorBidi"/>
          <w:i/>
          <w:iCs/>
          <w:sz w:val="24"/>
          <w:szCs w:val="24"/>
        </w:rPr>
        <w:t>« [...] Il y'en a un autre, un criminel»</w:t>
      </w:r>
      <w:r w:rsidR="00787DB5" w:rsidRPr="00940B11">
        <w:rPr>
          <w:rFonts w:asciiTheme="majorBidi" w:hAnsiTheme="majorBidi" w:cstheme="majorBidi"/>
          <w:sz w:val="24"/>
          <w:szCs w:val="24"/>
        </w:rPr>
        <w:t xml:space="preserve"> (</w:t>
      </w:r>
      <w:r w:rsidR="00940B11">
        <w:rPr>
          <w:rFonts w:asciiTheme="majorBidi" w:hAnsiTheme="majorBidi" w:cstheme="majorBidi"/>
          <w:i/>
          <w:iCs/>
          <w:sz w:val="24"/>
          <w:szCs w:val="24"/>
        </w:rPr>
        <w:t xml:space="preserve">Ibid, </w:t>
      </w:r>
      <w:r w:rsidR="00787DB5" w:rsidRPr="00940B11">
        <w:rPr>
          <w:rFonts w:asciiTheme="majorBidi" w:hAnsiTheme="majorBidi" w:cstheme="majorBidi"/>
          <w:sz w:val="24"/>
          <w:szCs w:val="24"/>
        </w:rPr>
        <w:t>p.77)</w:t>
      </w:r>
      <w:r w:rsidR="00940B11">
        <w:rPr>
          <w:rFonts w:asciiTheme="majorBidi" w:hAnsiTheme="majorBidi" w:cstheme="majorBidi"/>
          <w:sz w:val="24"/>
          <w:szCs w:val="24"/>
        </w:rPr>
        <w:t>.</w:t>
      </w:r>
    </w:p>
    <w:p w:rsidR="006A4EED" w:rsidRPr="00940B11" w:rsidRDefault="006A4EED" w:rsidP="004D619C">
      <w:pPr>
        <w:spacing w:after="0" w:line="360" w:lineRule="auto"/>
        <w:ind w:firstLine="284"/>
        <w:jc w:val="both"/>
        <w:rPr>
          <w:rFonts w:asciiTheme="majorBidi" w:hAnsiTheme="majorBidi" w:cstheme="majorBidi"/>
          <w:sz w:val="24"/>
          <w:szCs w:val="24"/>
        </w:rPr>
      </w:pPr>
      <w:r w:rsidRPr="00940B11">
        <w:rPr>
          <w:rFonts w:asciiTheme="majorBidi" w:hAnsiTheme="majorBidi" w:cstheme="majorBidi"/>
          <w:sz w:val="24"/>
          <w:szCs w:val="24"/>
        </w:rPr>
        <w:t>Il est au courant de ce qui se trame entre Caïphe et la foule sur le jugement de Jésus.</w:t>
      </w:r>
      <w:r w:rsidR="004D619C">
        <w:rPr>
          <w:rFonts w:asciiTheme="majorBidi" w:hAnsiTheme="majorBidi" w:cstheme="majorBidi"/>
          <w:sz w:val="24"/>
          <w:szCs w:val="24"/>
        </w:rPr>
        <w:t xml:space="preserve"> </w:t>
      </w:r>
      <w:r w:rsidRPr="00940B11">
        <w:rPr>
          <w:rFonts w:asciiTheme="majorBidi" w:hAnsiTheme="majorBidi" w:cstheme="majorBidi"/>
          <w:sz w:val="24"/>
          <w:szCs w:val="24"/>
        </w:rPr>
        <w:t>Il s'avéra vaincu dans son bras de fer avec les prêtres car Jésus est condamné et Barabbas est libéré.</w:t>
      </w:r>
    </w:p>
    <w:p w:rsidR="006A4EED" w:rsidRPr="0079009D" w:rsidRDefault="006A4EED" w:rsidP="0079009D">
      <w:pPr>
        <w:pStyle w:val="Titre6"/>
        <w:spacing w:before="0" w:after="0" w:line="360" w:lineRule="auto"/>
        <w:ind w:firstLine="284"/>
        <w:jc w:val="both"/>
        <w:rPr>
          <w:rFonts w:asciiTheme="majorBidi" w:hAnsiTheme="majorBidi" w:cstheme="majorBidi"/>
          <w:i w:val="0"/>
          <w:iCs/>
          <w:sz w:val="24"/>
          <w:szCs w:val="24"/>
          <w:u w:val="none"/>
        </w:rPr>
      </w:pPr>
      <w:r w:rsidRPr="004D619C">
        <w:rPr>
          <w:rFonts w:asciiTheme="majorBidi" w:hAnsiTheme="majorBidi" w:cstheme="majorBidi"/>
          <w:b/>
          <w:bCs w:val="0"/>
          <w:i w:val="0"/>
          <w:iCs/>
          <w:sz w:val="24"/>
          <w:szCs w:val="24"/>
        </w:rPr>
        <w:t>Madeleine</w:t>
      </w:r>
      <w:r w:rsidR="0079009D">
        <w:rPr>
          <w:rFonts w:asciiTheme="majorBidi" w:hAnsiTheme="majorBidi" w:cstheme="majorBidi"/>
          <w:b/>
          <w:bCs w:val="0"/>
          <w:i w:val="0"/>
          <w:iCs/>
          <w:sz w:val="24"/>
          <w:szCs w:val="24"/>
        </w:rPr>
        <w:t> </w:t>
      </w:r>
      <w:r w:rsidR="0079009D">
        <w:rPr>
          <w:rFonts w:asciiTheme="majorBidi" w:hAnsiTheme="majorBidi" w:cstheme="majorBidi"/>
          <w:b/>
          <w:bCs w:val="0"/>
          <w:i w:val="0"/>
          <w:iCs/>
          <w:sz w:val="24"/>
          <w:szCs w:val="24"/>
          <w:u w:val="none"/>
        </w:rPr>
        <w:t xml:space="preserve">: </w:t>
      </w:r>
      <w:r w:rsidRPr="0079009D">
        <w:rPr>
          <w:rFonts w:asciiTheme="majorBidi" w:hAnsiTheme="majorBidi" w:cstheme="majorBidi"/>
          <w:i w:val="0"/>
          <w:iCs/>
          <w:sz w:val="24"/>
          <w:szCs w:val="24"/>
          <w:u w:val="none"/>
        </w:rPr>
        <w:t xml:space="preserve">Personnage biblique, décrite comme une femme échevelée, hagarde. Elle fait le relais entre le Calvaire du Christ et les bas-fonds de Jérusalem où elle décrit minutieusement les violences subies par Jésus : « </w:t>
      </w:r>
      <w:r w:rsidRPr="0079009D">
        <w:rPr>
          <w:rFonts w:asciiTheme="majorBidi" w:hAnsiTheme="majorBidi" w:cstheme="majorBidi"/>
          <w:sz w:val="24"/>
          <w:szCs w:val="24"/>
          <w:u w:val="none"/>
        </w:rPr>
        <w:t>[...] Les coups ont pénétré dans ses poignets, dans ses pieds, son corps frémissait longuement</w:t>
      </w:r>
      <w:r w:rsidRPr="0079009D">
        <w:rPr>
          <w:rFonts w:asciiTheme="majorBidi" w:hAnsiTheme="majorBidi" w:cstheme="majorBidi"/>
          <w:i w:val="0"/>
          <w:iCs/>
          <w:sz w:val="24"/>
          <w:szCs w:val="24"/>
          <w:u w:val="none"/>
        </w:rPr>
        <w:t>.»</w:t>
      </w:r>
      <w:r w:rsidR="00787DB5" w:rsidRPr="0079009D">
        <w:rPr>
          <w:rFonts w:asciiTheme="majorBidi" w:hAnsiTheme="majorBidi" w:cstheme="majorBidi"/>
          <w:i w:val="0"/>
          <w:iCs/>
          <w:sz w:val="24"/>
          <w:szCs w:val="24"/>
          <w:u w:val="none"/>
        </w:rPr>
        <w:t xml:space="preserve"> (</w:t>
      </w:r>
      <w:r w:rsidR="00C443C7" w:rsidRPr="0079009D">
        <w:rPr>
          <w:rFonts w:asciiTheme="majorBidi" w:hAnsiTheme="majorBidi" w:cstheme="majorBidi"/>
          <w:sz w:val="24"/>
          <w:szCs w:val="24"/>
          <w:u w:val="none"/>
        </w:rPr>
        <w:t>Ibid</w:t>
      </w:r>
      <w:r w:rsidR="00C443C7" w:rsidRPr="0079009D">
        <w:rPr>
          <w:rFonts w:asciiTheme="majorBidi" w:hAnsiTheme="majorBidi" w:cstheme="majorBidi"/>
          <w:i w:val="0"/>
          <w:iCs/>
          <w:sz w:val="24"/>
          <w:szCs w:val="24"/>
          <w:u w:val="none"/>
        </w:rPr>
        <w:t xml:space="preserve">, </w:t>
      </w:r>
      <w:r w:rsidR="00787DB5" w:rsidRPr="0079009D">
        <w:rPr>
          <w:rFonts w:asciiTheme="majorBidi" w:hAnsiTheme="majorBidi" w:cstheme="majorBidi"/>
          <w:i w:val="0"/>
          <w:iCs/>
          <w:sz w:val="24"/>
          <w:szCs w:val="24"/>
          <w:u w:val="none"/>
        </w:rPr>
        <w:t>p.97)</w:t>
      </w:r>
      <w:r w:rsidR="00C443C7" w:rsidRPr="0079009D">
        <w:rPr>
          <w:rFonts w:asciiTheme="majorBidi" w:hAnsiTheme="majorBidi" w:cstheme="majorBidi"/>
          <w:i w:val="0"/>
          <w:iCs/>
          <w:sz w:val="24"/>
          <w:szCs w:val="24"/>
          <w:u w:val="none"/>
        </w:rPr>
        <w:t>.</w:t>
      </w:r>
    </w:p>
    <w:p w:rsidR="006A4EED" w:rsidRPr="004D619C" w:rsidRDefault="006A4EED" w:rsidP="006F4724">
      <w:pPr>
        <w:spacing w:after="0" w:line="360" w:lineRule="auto"/>
        <w:ind w:firstLine="284"/>
        <w:jc w:val="both"/>
        <w:rPr>
          <w:rFonts w:asciiTheme="majorBidi" w:hAnsiTheme="majorBidi" w:cstheme="majorBidi"/>
          <w:sz w:val="24"/>
          <w:szCs w:val="24"/>
        </w:rPr>
      </w:pPr>
      <w:r w:rsidRPr="004D619C">
        <w:rPr>
          <w:rFonts w:asciiTheme="majorBidi" w:hAnsiTheme="majorBidi" w:cstheme="majorBidi"/>
          <w:sz w:val="24"/>
          <w:szCs w:val="24"/>
        </w:rPr>
        <w:t xml:space="preserve">Elle l'aimait dans son supplice qui se lit dans ses propos : </w:t>
      </w:r>
      <w:r w:rsidRPr="004D619C">
        <w:rPr>
          <w:rFonts w:asciiTheme="majorBidi" w:hAnsiTheme="majorBidi" w:cstheme="majorBidi"/>
          <w:i/>
          <w:iCs/>
          <w:sz w:val="24"/>
          <w:szCs w:val="24"/>
        </w:rPr>
        <w:t>« C'est dans sa souffrance que mon amour exulte»</w:t>
      </w:r>
      <w:r w:rsidR="00787DB5" w:rsidRPr="004D619C">
        <w:rPr>
          <w:rFonts w:asciiTheme="majorBidi" w:hAnsiTheme="majorBidi" w:cstheme="majorBidi"/>
          <w:sz w:val="24"/>
          <w:szCs w:val="24"/>
        </w:rPr>
        <w:t xml:space="preserve"> (</w:t>
      </w:r>
      <w:r w:rsidR="006F4724">
        <w:rPr>
          <w:rFonts w:asciiTheme="majorBidi" w:hAnsiTheme="majorBidi" w:cstheme="majorBidi"/>
          <w:i/>
          <w:iCs/>
          <w:sz w:val="24"/>
          <w:szCs w:val="24"/>
        </w:rPr>
        <w:t>Ibid</w:t>
      </w:r>
      <w:r w:rsidR="00787DB5" w:rsidRPr="004D619C">
        <w:rPr>
          <w:rFonts w:asciiTheme="majorBidi" w:hAnsiTheme="majorBidi" w:cstheme="majorBidi"/>
          <w:sz w:val="24"/>
          <w:szCs w:val="24"/>
        </w:rPr>
        <w:t>)</w:t>
      </w:r>
      <w:r w:rsidR="006F4724">
        <w:rPr>
          <w:rFonts w:asciiTheme="majorBidi" w:hAnsiTheme="majorBidi" w:cstheme="majorBidi"/>
          <w:sz w:val="24"/>
          <w:szCs w:val="24"/>
        </w:rPr>
        <w:t>.</w:t>
      </w:r>
    </w:p>
    <w:p w:rsidR="006A4EED" w:rsidRPr="003D0EC8" w:rsidRDefault="006A4EED" w:rsidP="003D0EC8">
      <w:pPr>
        <w:spacing w:after="0" w:line="360" w:lineRule="auto"/>
        <w:ind w:firstLine="284"/>
        <w:jc w:val="both"/>
        <w:rPr>
          <w:rFonts w:asciiTheme="majorBidi" w:hAnsiTheme="majorBidi" w:cstheme="majorBidi"/>
          <w:sz w:val="24"/>
          <w:szCs w:val="24"/>
        </w:rPr>
      </w:pPr>
      <w:r w:rsidRPr="003D0EC8">
        <w:rPr>
          <w:rFonts w:asciiTheme="majorBidi" w:hAnsiTheme="majorBidi" w:cstheme="majorBidi"/>
          <w:sz w:val="24"/>
          <w:szCs w:val="24"/>
        </w:rPr>
        <w:t xml:space="preserve">Personnifiant la mort comme une voyante : </w:t>
      </w:r>
      <w:r w:rsidRPr="003D0EC8">
        <w:rPr>
          <w:rFonts w:asciiTheme="majorBidi" w:hAnsiTheme="majorBidi" w:cstheme="majorBidi"/>
          <w:i/>
          <w:iCs/>
          <w:sz w:val="24"/>
          <w:szCs w:val="24"/>
        </w:rPr>
        <w:t xml:space="preserve">« La mort grimpe le long de sa croix... </w:t>
      </w:r>
      <w:proofErr w:type="gramStart"/>
      <w:r w:rsidRPr="003D0EC8">
        <w:rPr>
          <w:rFonts w:asciiTheme="majorBidi" w:hAnsiTheme="majorBidi" w:cstheme="majorBidi"/>
          <w:i/>
          <w:iCs/>
          <w:sz w:val="24"/>
          <w:szCs w:val="24"/>
        </w:rPr>
        <w:t>Attendez</w:t>
      </w:r>
      <w:proofErr w:type="gramEnd"/>
      <w:r w:rsidRPr="003D0EC8">
        <w:rPr>
          <w:rFonts w:asciiTheme="majorBidi" w:hAnsiTheme="majorBidi" w:cstheme="majorBidi"/>
          <w:i/>
          <w:iCs/>
          <w:sz w:val="24"/>
          <w:szCs w:val="24"/>
        </w:rPr>
        <w:t xml:space="preserve"> encore [...] Il va mourir ...je le sais.»</w:t>
      </w:r>
      <w:r w:rsidR="00787DB5" w:rsidRPr="003D0EC8">
        <w:rPr>
          <w:rFonts w:asciiTheme="majorBidi" w:hAnsiTheme="majorBidi" w:cstheme="majorBidi"/>
          <w:sz w:val="24"/>
          <w:szCs w:val="24"/>
        </w:rPr>
        <w:t xml:space="preserve"> (</w:t>
      </w:r>
      <w:r w:rsidR="003D0EC8">
        <w:rPr>
          <w:rFonts w:asciiTheme="majorBidi" w:hAnsiTheme="majorBidi" w:cstheme="majorBidi"/>
          <w:i/>
          <w:iCs/>
          <w:sz w:val="24"/>
          <w:szCs w:val="24"/>
        </w:rPr>
        <w:t xml:space="preserve">Ibid, </w:t>
      </w:r>
      <w:r w:rsidR="00787DB5" w:rsidRPr="003D0EC8">
        <w:rPr>
          <w:rFonts w:asciiTheme="majorBidi" w:hAnsiTheme="majorBidi" w:cstheme="majorBidi"/>
          <w:sz w:val="24"/>
          <w:szCs w:val="24"/>
        </w:rPr>
        <w:t>p.124)</w:t>
      </w:r>
      <w:r w:rsidR="003D0EC8">
        <w:rPr>
          <w:rFonts w:asciiTheme="majorBidi" w:hAnsiTheme="majorBidi" w:cstheme="majorBidi"/>
          <w:sz w:val="24"/>
          <w:szCs w:val="24"/>
        </w:rPr>
        <w:t>.</w:t>
      </w:r>
    </w:p>
    <w:p w:rsidR="006A4EED" w:rsidRPr="003D0EC8" w:rsidRDefault="006A4EED" w:rsidP="003D0EC8">
      <w:pPr>
        <w:spacing w:after="0" w:line="360" w:lineRule="auto"/>
        <w:ind w:firstLine="284"/>
        <w:jc w:val="both"/>
        <w:rPr>
          <w:rFonts w:asciiTheme="majorBidi" w:hAnsiTheme="majorBidi" w:cstheme="majorBidi"/>
          <w:sz w:val="24"/>
          <w:szCs w:val="24"/>
        </w:rPr>
      </w:pPr>
      <w:r w:rsidRPr="003D0EC8">
        <w:rPr>
          <w:rFonts w:asciiTheme="majorBidi" w:hAnsiTheme="majorBidi" w:cstheme="majorBidi"/>
          <w:sz w:val="24"/>
          <w:szCs w:val="24"/>
        </w:rPr>
        <w:t xml:space="preserve">Comme une somnambule elle encourage Barabbas à venger la mort du Christ, délirante et indécise : </w:t>
      </w:r>
      <w:r w:rsidRPr="003D0EC8">
        <w:rPr>
          <w:rFonts w:asciiTheme="majorBidi" w:hAnsiTheme="majorBidi" w:cstheme="majorBidi"/>
          <w:i/>
          <w:iCs/>
          <w:sz w:val="24"/>
          <w:szCs w:val="24"/>
        </w:rPr>
        <w:t>« Non, ne tue pas, c'est assez de son sang, assez de son immolation; venge, venge, non je divague ne m'écoute pas ou... alors fais justice et tue.»</w:t>
      </w:r>
      <w:r w:rsidR="00787DB5" w:rsidRPr="003D0EC8">
        <w:rPr>
          <w:rFonts w:asciiTheme="majorBidi" w:hAnsiTheme="majorBidi" w:cstheme="majorBidi"/>
          <w:sz w:val="24"/>
          <w:szCs w:val="24"/>
        </w:rPr>
        <w:t xml:space="preserve"> (</w:t>
      </w:r>
      <w:r w:rsidR="003D0EC8">
        <w:rPr>
          <w:rFonts w:asciiTheme="majorBidi" w:hAnsiTheme="majorBidi" w:cstheme="majorBidi"/>
          <w:i/>
          <w:iCs/>
          <w:sz w:val="24"/>
          <w:szCs w:val="24"/>
        </w:rPr>
        <w:t xml:space="preserve">Ibid, </w:t>
      </w:r>
      <w:r w:rsidR="00787DB5" w:rsidRPr="003D0EC8">
        <w:rPr>
          <w:rFonts w:asciiTheme="majorBidi" w:hAnsiTheme="majorBidi" w:cstheme="majorBidi"/>
          <w:sz w:val="24"/>
          <w:szCs w:val="24"/>
        </w:rPr>
        <w:t>p.127)</w:t>
      </w:r>
      <w:r w:rsidR="003D0EC8">
        <w:rPr>
          <w:rFonts w:asciiTheme="majorBidi" w:hAnsiTheme="majorBidi" w:cstheme="majorBidi"/>
          <w:sz w:val="24"/>
          <w:szCs w:val="24"/>
        </w:rPr>
        <w:t>.</w:t>
      </w:r>
    </w:p>
    <w:p w:rsidR="00513B5C" w:rsidRPr="00866FC0" w:rsidRDefault="006A4EED" w:rsidP="00866FC0">
      <w:pPr>
        <w:pStyle w:val="Titre6"/>
        <w:spacing w:before="0" w:after="0" w:line="360" w:lineRule="auto"/>
        <w:ind w:firstLine="284"/>
        <w:jc w:val="both"/>
        <w:rPr>
          <w:rFonts w:asciiTheme="majorBidi" w:hAnsiTheme="majorBidi" w:cstheme="majorBidi"/>
          <w:i w:val="0"/>
          <w:iCs/>
          <w:sz w:val="24"/>
          <w:szCs w:val="24"/>
          <w:u w:val="none"/>
        </w:rPr>
      </w:pPr>
      <w:r w:rsidRPr="00087FD3">
        <w:rPr>
          <w:rFonts w:asciiTheme="majorBidi" w:hAnsiTheme="majorBidi" w:cstheme="majorBidi"/>
          <w:b/>
          <w:bCs w:val="0"/>
          <w:i w:val="0"/>
          <w:iCs/>
          <w:sz w:val="24"/>
          <w:szCs w:val="24"/>
        </w:rPr>
        <w:t>Yochabeth</w:t>
      </w:r>
      <w:r w:rsidR="00866FC0">
        <w:rPr>
          <w:rFonts w:asciiTheme="majorBidi" w:hAnsiTheme="majorBidi" w:cstheme="majorBidi"/>
          <w:b/>
          <w:bCs w:val="0"/>
          <w:i w:val="0"/>
          <w:iCs/>
          <w:sz w:val="24"/>
          <w:szCs w:val="24"/>
        </w:rPr>
        <w:t> </w:t>
      </w:r>
      <w:r w:rsidR="00866FC0">
        <w:rPr>
          <w:rFonts w:asciiTheme="majorBidi" w:hAnsiTheme="majorBidi" w:cstheme="majorBidi"/>
          <w:b/>
          <w:bCs w:val="0"/>
          <w:i w:val="0"/>
          <w:iCs/>
          <w:sz w:val="24"/>
          <w:szCs w:val="24"/>
          <w:u w:val="none"/>
        </w:rPr>
        <w:t xml:space="preserve">: </w:t>
      </w:r>
      <w:r w:rsidRPr="00866FC0">
        <w:rPr>
          <w:rFonts w:asciiTheme="majorBidi" w:hAnsiTheme="majorBidi" w:cstheme="majorBidi"/>
          <w:i w:val="0"/>
          <w:iCs/>
          <w:sz w:val="24"/>
          <w:szCs w:val="24"/>
          <w:u w:val="none"/>
        </w:rPr>
        <w:t>Femme de Judas, sordide, hideuse, décrite comme une chienne flaireuse par l'indication scénique. Elle n'aime que l'argent de la trahison, persécute son mari, le harcèle, tout au long du second acte.</w:t>
      </w:r>
    </w:p>
    <w:p w:rsidR="006A4EED" w:rsidRPr="00866FC0" w:rsidRDefault="006A4EED" w:rsidP="00866FC0">
      <w:pPr>
        <w:pStyle w:val="Titre6"/>
        <w:spacing w:before="0" w:after="0" w:line="360" w:lineRule="auto"/>
        <w:ind w:firstLine="284"/>
        <w:jc w:val="both"/>
        <w:rPr>
          <w:rFonts w:asciiTheme="majorBidi" w:hAnsiTheme="majorBidi" w:cstheme="majorBidi"/>
          <w:i w:val="0"/>
          <w:iCs/>
          <w:sz w:val="24"/>
          <w:szCs w:val="24"/>
          <w:u w:val="none"/>
        </w:rPr>
      </w:pPr>
      <w:r w:rsidRPr="00087FD3">
        <w:rPr>
          <w:rFonts w:asciiTheme="majorBidi" w:hAnsiTheme="majorBidi" w:cstheme="majorBidi"/>
          <w:b/>
          <w:bCs w:val="0"/>
          <w:i w:val="0"/>
          <w:iCs/>
          <w:sz w:val="24"/>
          <w:szCs w:val="24"/>
        </w:rPr>
        <w:t>Guetteur</w:t>
      </w:r>
      <w:r w:rsidR="00866FC0">
        <w:rPr>
          <w:rFonts w:asciiTheme="majorBidi" w:hAnsiTheme="majorBidi" w:cstheme="majorBidi"/>
          <w:b/>
          <w:bCs w:val="0"/>
          <w:i w:val="0"/>
          <w:iCs/>
          <w:sz w:val="24"/>
          <w:szCs w:val="24"/>
        </w:rPr>
        <w:t> </w:t>
      </w:r>
      <w:r w:rsidR="00866FC0">
        <w:rPr>
          <w:rFonts w:asciiTheme="majorBidi" w:hAnsiTheme="majorBidi" w:cstheme="majorBidi"/>
          <w:b/>
          <w:bCs w:val="0"/>
          <w:i w:val="0"/>
          <w:iCs/>
          <w:sz w:val="24"/>
          <w:szCs w:val="24"/>
          <w:u w:val="none"/>
        </w:rPr>
        <w:t xml:space="preserve">: </w:t>
      </w:r>
      <w:r w:rsidRPr="00866FC0">
        <w:rPr>
          <w:rFonts w:asciiTheme="majorBidi" w:hAnsiTheme="majorBidi" w:cstheme="majorBidi"/>
          <w:i w:val="0"/>
          <w:iCs/>
          <w:sz w:val="24"/>
          <w:szCs w:val="24"/>
          <w:u w:val="none"/>
        </w:rPr>
        <w:t xml:space="preserve">Narrateur, chroniqueur, messager de la tragédie du calvaire. Son emplacement est circonscrit par la didascalie : « </w:t>
      </w:r>
      <w:r w:rsidR="004E73C0" w:rsidRPr="00866FC0">
        <w:rPr>
          <w:rFonts w:asciiTheme="majorBidi" w:hAnsiTheme="majorBidi" w:cstheme="majorBidi"/>
          <w:sz w:val="24"/>
          <w:szCs w:val="24"/>
          <w:u w:val="none"/>
        </w:rPr>
        <w:t>[</w:t>
      </w:r>
      <w:r w:rsidRPr="00866FC0">
        <w:rPr>
          <w:rFonts w:asciiTheme="majorBidi" w:hAnsiTheme="majorBidi" w:cstheme="majorBidi"/>
          <w:sz w:val="24"/>
          <w:szCs w:val="24"/>
          <w:u w:val="none"/>
        </w:rPr>
        <w:t>...</w:t>
      </w:r>
      <w:r w:rsidR="004E73C0" w:rsidRPr="00866FC0">
        <w:rPr>
          <w:rFonts w:asciiTheme="majorBidi" w:hAnsiTheme="majorBidi" w:cstheme="majorBidi"/>
          <w:sz w:val="24"/>
          <w:szCs w:val="24"/>
          <w:u w:val="none"/>
        </w:rPr>
        <w:t>]</w:t>
      </w:r>
      <w:r w:rsidRPr="00866FC0">
        <w:rPr>
          <w:rFonts w:asciiTheme="majorBidi" w:hAnsiTheme="majorBidi" w:cstheme="majorBidi"/>
          <w:sz w:val="24"/>
          <w:szCs w:val="24"/>
          <w:u w:val="none"/>
        </w:rPr>
        <w:t xml:space="preserve"> Le guetteur va se poster à droite sur les marches ruinées et s'immobilise </w:t>
      </w:r>
      <w:r w:rsidR="004E73C0" w:rsidRPr="00866FC0">
        <w:rPr>
          <w:rFonts w:asciiTheme="majorBidi" w:hAnsiTheme="majorBidi" w:cstheme="majorBidi"/>
          <w:sz w:val="24"/>
          <w:szCs w:val="24"/>
          <w:u w:val="none"/>
        </w:rPr>
        <w:t>[</w:t>
      </w:r>
      <w:r w:rsidRPr="00866FC0">
        <w:rPr>
          <w:rFonts w:asciiTheme="majorBidi" w:hAnsiTheme="majorBidi" w:cstheme="majorBidi"/>
          <w:sz w:val="24"/>
          <w:szCs w:val="24"/>
          <w:u w:val="none"/>
        </w:rPr>
        <w:t>...</w:t>
      </w:r>
      <w:r w:rsidR="004E73C0" w:rsidRPr="00866FC0">
        <w:rPr>
          <w:rFonts w:asciiTheme="majorBidi" w:hAnsiTheme="majorBidi" w:cstheme="majorBidi"/>
          <w:sz w:val="24"/>
          <w:szCs w:val="24"/>
          <w:u w:val="none"/>
        </w:rPr>
        <w:t>]</w:t>
      </w:r>
      <w:r w:rsidRPr="00866FC0">
        <w:rPr>
          <w:rFonts w:asciiTheme="majorBidi" w:hAnsiTheme="majorBidi" w:cstheme="majorBidi"/>
          <w:i w:val="0"/>
          <w:iCs/>
          <w:sz w:val="24"/>
          <w:szCs w:val="24"/>
          <w:u w:val="none"/>
        </w:rPr>
        <w:t>»</w:t>
      </w:r>
      <w:r w:rsidR="00F25A16" w:rsidRPr="00866FC0">
        <w:rPr>
          <w:rFonts w:asciiTheme="majorBidi" w:hAnsiTheme="majorBidi" w:cstheme="majorBidi"/>
          <w:i w:val="0"/>
          <w:iCs/>
          <w:sz w:val="24"/>
          <w:szCs w:val="24"/>
          <w:u w:val="none"/>
        </w:rPr>
        <w:t xml:space="preserve"> (</w:t>
      </w:r>
      <w:r w:rsidR="00F25A16" w:rsidRPr="00866FC0">
        <w:rPr>
          <w:rFonts w:asciiTheme="majorBidi" w:hAnsiTheme="majorBidi" w:cstheme="majorBidi"/>
          <w:sz w:val="24"/>
          <w:szCs w:val="24"/>
          <w:u w:val="none"/>
        </w:rPr>
        <w:t>Ibid</w:t>
      </w:r>
      <w:r w:rsidR="00F25A16" w:rsidRPr="00866FC0">
        <w:rPr>
          <w:rFonts w:asciiTheme="majorBidi" w:hAnsiTheme="majorBidi" w:cstheme="majorBidi"/>
          <w:i w:val="0"/>
          <w:iCs/>
          <w:sz w:val="24"/>
          <w:szCs w:val="24"/>
          <w:u w:val="none"/>
        </w:rPr>
        <w:t>, p.93)</w:t>
      </w:r>
      <w:r w:rsidRPr="00866FC0">
        <w:rPr>
          <w:rFonts w:asciiTheme="majorBidi" w:hAnsiTheme="majorBidi" w:cstheme="majorBidi"/>
          <w:i w:val="0"/>
          <w:iCs/>
          <w:sz w:val="24"/>
          <w:szCs w:val="24"/>
          <w:u w:val="none"/>
        </w:rPr>
        <w:t xml:space="preserve">.  </w:t>
      </w:r>
    </w:p>
    <w:p w:rsidR="006A4EED" w:rsidRPr="004E5820" w:rsidRDefault="006A4EED" w:rsidP="004E5820">
      <w:pPr>
        <w:spacing w:after="0" w:line="360" w:lineRule="auto"/>
        <w:ind w:firstLine="284"/>
        <w:jc w:val="both"/>
        <w:rPr>
          <w:rFonts w:asciiTheme="majorBidi" w:hAnsiTheme="majorBidi" w:cstheme="majorBidi"/>
          <w:sz w:val="24"/>
          <w:szCs w:val="24"/>
        </w:rPr>
      </w:pPr>
      <w:r w:rsidRPr="004E5820">
        <w:rPr>
          <w:rFonts w:asciiTheme="majorBidi" w:hAnsiTheme="majorBidi" w:cstheme="majorBidi"/>
          <w:sz w:val="24"/>
          <w:szCs w:val="24"/>
        </w:rPr>
        <w:t xml:space="preserve">Les mauvais présages animent ces répliques : </w:t>
      </w:r>
      <w:r w:rsidRPr="004E5820">
        <w:rPr>
          <w:rFonts w:asciiTheme="majorBidi" w:hAnsiTheme="majorBidi" w:cstheme="majorBidi"/>
          <w:i/>
          <w:iCs/>
          <w:sz w:val="24"/>
          <w:szCs w:val="24"/>
        </w:rPr>
        <w:t xml:space="preserve">« </w:t>
      </w:r>
      <w:r w:rsidR="004E73C0" w:rsidRPr="004E5820">
        <w:rPr>
          <w:rFonts w:asciiTheme="majorBidi" w:hAnsiTheme="majorBidi" w:cstheme="majorBidi"/>
          <w:i/>
          <w:iCs/>
          <w:sz w:val="24"/>
          <w:szCs w:val="24"/>
        </w:rPr>
        <w:t>[</w:t>
      </w:r>
      <w:r w:rsidRPr="004E5820">
        <w:rPr>
          <w:rFonts w:asciiTheme="majorBidi" w:hAnsiTheme="majorBidi" w:cstheme="majorBidi"/>
          <w:i/>
          <w:iCs/>
          <w:sz w:val="24"/>
          <w:szCs w:val="24"/>
        </w:rPr>
        <w:t>...</w:t>
      </w:r>
      <w:r w:rsidR="004E73C0" w:rsidRPr="004E5820">
        <w:rPr>
          <w:rFonts w:asciiTheme="majorBidi" w:hAnsiTheme="majorBidi" w:cstheme="majorBidi"/>
          <w:i/>
          <w:iCs/>
          <w:sz w:val="24"/>
          <w:szCs w:val="24"/>
        </w:rPr>
        <w:t>]</w:t>
      </w:r>
      <w:r w:rsidRPr="004E5820">
        <w:rPr>
          <w:rFonts w:asciiTheme="majorBidi" w:hAnsiTheme="majorBidi" w:cstheme="majorBidi"/>
          <w:i/>
          <w:iCs/>
          <w:sz w:val="24"/>
          <w:szCs w:val="24"/>
        </w:rPr>
        <w:t xml:space="preserve"> La montagne saigne, le ciel saigne. Est-ce le sang du crucifié qui éclabousse l'univers.»</w:t>
      </w:r>
      <w:r w:rsidR="00787DB5" w:rsidRPr="004E5820">
        <w:rPr>
          <w:rFonts w:asciiTheme="majorBidi" w:hAnsiTheme="majorBidi" w:cstheme="majorBidi"/>
          <w:sz w:val="24"/>
          <w:szCs w:val="24"/>
        </w:rPr>
        <w:t xml:space="preserve"> (</w:t>
      </w:r>
      <w:r w:rsidR="004E73C0" w:rsidRPr="004E5820">
        <w:rPr>
          <w:rFonts w:asciiTheme="majorBidi" w:hAnsiTheme="majorBidi" w:cstheme="majorBidi"/>
          <w:i/>
          <w:iCs/>
          <w:sz w:val="24"/>
          <w:szCs w:val="24"/>
        </w:rPr>
        <w:t xml:space="preserve">Ibid, </w:t>
      </w:r>
      <w:r w:rsidR="00787DB5" w:rsidRPr="004E5820">
        <w:rPr>
          <w:rFonts w:asciiTheme="majorBidi" w:hAnsiTheme="majorBidi" w:cstheme="majorBidi"/>
          <w:sz w:val="24"/>
          <w:szCs w:val="24"/>
        </w:rPr>
        <w:t>p.98)</w:t>
      </w:r>
      <w:r w:rsidR="004E73C0" w:rsidRPr="004E5820">
        <w:rPr>
          <w:rFonts w:asciiTheme="majorBidi" w:hAnsiTheme="majorBidi" w:cstheme="majorBidi"/>
          <w:sz w:val="24"/>
          <w:szCs w:val="24"/>
        </w:rPr>
        <w:t>.</w:t>
      </w:r>
    </w:p>
    <w:p w:rsidR="006A4EED" w:rsidRPr="004A5C15" w:rsidRDefault="006A4EED" w:rsidP="004A5C15">
      <w:pPr>
        <w:pStyle w:val="Citationintense"/>
        <w:spacing w:before="0" w:after="0" w:line="360" w:lineRule="auto"/>
        <w:ind w:left="0" w:right="0" w:firstLine="284"/>
        <w:rPr>
          <w:sz w:val="24"/>
          <w:szCs w:val="24"/>
        </w:rPr>
      </w:pPr>
      <w:r w:rsidRPr="000222FD">
        <w:rPr>
          <w:rStyle w:val="Accentuation"/>
          <w:i w:val="0"/>
          <w:iCs/>
          <w:sz w:val="24"/>
          <w:szCs w:val="24"/>
        </w:rPr>
        <w:t>Pour Lavocat Françoise et bien d’autres, « </w:t>
      </w:r>
      <w:r w:rsidRPr="00400AE8">
        <w:rPr>
          <w:rStyle w:val="Accentuation"/>
          <w:i w:val="0"/>
          <w:iCs/>
          <w:sz w:val="24"/>
          <w:szCs w:val="24"/>
        </w:rPr>
        <w:t>le montreur</w:t>
      </w:r>
      <w:r w:rsidRPr="00400AE8">
        <w:rPr>
          <w:sz w:val="24"/>
          <w:szCs w:val="24"/>
        </w:rPr>
        <w:t xml:space="preserve">; appelé </w:t>
      </w:r>
      <w:r w:rsidRPr="00400AE8">
        <w:rPr>
          <w:rStyle w:val="Accentuation"/>
          <w:i w:val="0"/>
          <w:iCs/>
          <w:sz w:val="24"/>
          <w:szCs w:val="24"/>
        </w:rPr>
        <w:t>présentateur</w:t>
      </w:r>
      <w:r w:rsidRPr="00400AE8">
        <w:rPr>
          <w:i/>
          <w:iCs w:val="0"/>
          <w:sz w:val="24"/>
          <w:szCs w:val="24"/>
        </w:rPr>
        <w:t xml:space="preserve"> </w:t>
      </w:r>
      <w:r w:rsidRPr="00400AE8">
        <w:rPr>
          <w:sz w:val="24"/>
          <w:szCs w:val="24"/>
        </w:rPr>
        <w:t xml:space="preserve"> est cette instance</w:t>
      </w:r>
      <w:r w:rsidR="004E5820" w:rsidRPr="00400AE8">
        <w:rPr>
          <w:sz w:val="24"/>
          <w:szCs w:val="24"/>
        </w:rPr>
        <w:t xml:space="preserve"> </w:t>
      </w:r>
      <w:r w:rsidRPr="00400AE8">
        <w:rPr>
          <w:sz w:val="24"/>
          <w:szCs w:val="24"/>
        </w:rPr>
        <w:t>énonciative, qui présente les intervenants, sanctifie</w:t>
      </w:r>
      <w:r w:rsidR="004E5820" w:rsidRPr="00400AE8">
        <w:rPr>
          <w:sz w:val="24"/>
          <w:szCs w:val="24"/>
        </w:rPr>
        <w:t xml:space="preserve"> </w:t>
      </w:r>
      <w:r w:rsidRPr="00400AE8">
        <w:rPr>
          <w:sz w:val="24"/>
          <w:szCs w:val="24"/>
        </w:rPr>
        <w:t>et présentifie leur discours </w:t>
      </w:r>
      <w:r w:rsidRPr="000222FD">
        <w:rPr>
          <w:sz w:val="24"/>
          <w:szCs w:val="24"/>
        </w:rPr>
        <w:t>».</w:t>
      </w:r>
      <w:r w:rsidR="004A5C15">
        <w:rPr>
          <w:sz w:val="24"/>
          <w:szCs w:val="24"/>
        </w:rPr>
        <w:t xml:space="preserve"> </w:t>
      </w:r>
      <w:r w:rsidR="004E5820" w:rsidRPr="000222FD">
        <w:rPr>
          <w:sz w:val="24"/>
          <w:szCs w:val="24"/>
        </w:rPr>
        <w:t>(</w:t>
      </w:r>
      <w:r w:rsidR="004E5820" w:rsidRPr="004A5C15">
        <w:rPr>
          <w:sz w:val="24"/>
          <w:szCs w:val="24"/>
        </w:rPr>
        <w:t>F. Lavocat, Cl. M</w:t>
      </w:r>
      <w:r w:rsidR="004A5C15">
        <w:rPr>
          <w:sz w:val="24"/>
          <w:szCs w:val="24"/>
        </w:rPr>
        <w:t>uricia</w:t>
      </w:r>
      <w:r w:rsidR="004E5820" w:rsidRPr="004A5C15">
        <w:rPr>
          <w:sz w:val="24"/>
          <w:szCs w:val="24"/>
        </w:rPr>
        <w:t xml:space="preserve">, </w:t>
      </w:r>
      <w:r w:rsidR="004A5C15" w:rsidRPr="004A5C15">
        <w:rPr>
          <w:sz w:val="24"/>
          <w:szCs w:val="24"/>
        </w:rPr>
        <w:t xml:space="preserve">R. Salado, </w:t>
      </w:r>
      <w:r w:rsidR="004E5820" w:rsidRPr="004A5C15">
        <w:rPr>
          <w:sz w:val="24"/>
          <w:szCs w:val="24"/>
        </w:rPr>
        <w:t>2007, p.122).</w:t>
      </w:r>
    </w:p>
    <w:p w:rsidR="006A4EED" w:rsidRPr="000222FD" w:rsidRDefault="006A4EED" w:rsidP="00335981">
      <w:pPr>
        <w:spacing w:after="0" w:line="360" w:lineRule="auto"/>
        <w:ind w:firstLine="284"/>
        <w:jc w:val="both"/>
        <w:rPr>
          <w:rFonts w:asciiTheme="majorBidi" w:hAnsiTheme="majorBidi" w:cstheme="majorBidi"/>
          <w:sz w:val="24"/>
          <w:szCs w:val="24"/>
        </w:rPr>
      </w:pPr>
      <w:r w:rsidRPr="000222FD">
        <w:rPr>
          <w:rFonts w:asciiTheme="majorBidi" w:hAnsiTheme="majorBidi" w:cstheme="majorBidi"/>
          <w:sz w:val="24"/>
          <w:szCs w:val="24"/>
        </w:rPr>
        <w:lastRenderedPageBreak/>
        <w:t xml:space="preserve">Dans cette partie on assiste à  un spectacle de chaos « </w:t>
      </w:r>
      <w:r w:rsidRPr="000222FD">
        <w:rPr>
          <w:rFonts w:asciiTheme="majorBidi" w:hAnsiTheme="majorBidi" w:cstheme="majorBidi"/>
          <w:i/>
          <w:iCs/>
          <w:sz w:val="24"/>
          <w:szCs w:val="24"/>
        </w:rPr>
        <w:t>(...) C'est la nuit totale : c'est l'horreur! Tout se convulse</w:t>
      </w:r>
      <w:r w:rsidRPr="000222FD">
        <w:rPr>
          <w:rFonts w:asciiTheme="majorBidi" w:hAnsiTheme="majorBidi" w:cstheme="majorBidi"/>
          <w:sz w:val="24"/>
          <w:szCs w:val="24"/>
        </w:rPr>
        <w:t xml:space="preserve"> (...).»</w:t>
      </w:r>
      <w:r w:rsidR="00787DB5" w:rsidRPr="000222FD">
        <w:rPr>
          <w:rFonts w:asciiTheme="majorBidi" w:hAnsiTheme="majorBidi" w:cstheme="majorBidi"/>
          <w:sz w:val="24"/>
          <w:szCs w:val="24"/>
        </w:rPr>
        <w:t xml:space="preserve"> (</w:t>
      </w:r>
      <w:r w:rsidR="000222FD" w:rsidRPr="000222FD">
        <w:rPr>
          <w:rFonts w:asciiTheme="majorBidi" w:hAnsiTheme="majorBidi" w:cstheme="majorBidi"/>
          <w:sz w:val="24"/>
          <w:szCs w:val="24"/>
        </w:rPr>
        <w:t xml:space="preserve">M. De </w:t>
      </w:r>
      <w:r w:rsidR="000222FD" w:rsidRPr="000222FD">
        <w:rPr>
          <w:rFonts w:asciiTheme="majorBidi" w:hAnsiTheme="majorBidi" w:cstheme="majorBidi"/>
          <w:sz w:val="24"/>
          <w:szCs w:val="24"/>
          <w:lang w:eastAsia="fr-FR"/>
        </w:rPr>
        <w:t xml:space="preserve">Ghelderode, 1984, </w:t>
      </w:r>
      <w:r w:rsidR="00787DB5" w:rsidRPr="000222FD">
        <w:rPr>
          <w:rFonts w:asciiTheme="majorBidi" w:hAnsiTheme="majorBidi" w:cstheme="majorBidi"/>
          <w:sz w:val="24"/>
          <w:szCs w:val="24"/>
        </w:rPr>
        <w:t>p.107)</w:t>
      </w:r>
      <w:r w:rsidR="000222FD" w:rsidRPr="000222FD">
        <w:rPr>
          <w:rFonts w:asciiTheme="majorBidi" w:hAnsiTheme="majorBidi" w:cstheme="majorBidi"/>
          <w:sz w:val="24"/>
          <w:szCs w:val="24"/>
        </w:rPr>
        <w:t>.</w:t>
      </w:r>
    </w:p>
    <w:p w:rsidR="006A4EED" w:rsidRPr="000222FD" w:rsidRDefault="006A4EED" w:rsidP="00335981">
      <w:pPr>
        <w:spacing w:after="0" w:line="360" w:lineRule="auto"/>
        <w:ind w:firstLine="284"/>
        <w:jc w:val="both"/>
        <w:rPr>
          <w:rFonts w:asciiTheme="majorBidi" w:hAnsiTheme="majorBidi" w:cstheme="majorBidi"/>
          <w:i/>
          <w:iCs/>
          <w:sz w:val="24"/>
          <w:szCs w:val="24"/>
        </w:rPr>
      </w:pPr>
      <w:r w:rsidRPr="000222FD">
        <w:rPr>
          <w:rFonts w:asciiTheme="majorBidi" w:hAnsiTheme="majorBidi" w:cstheme="majorBidi"/>
          <w:sz w:val="24"/>
          <w:szCs w:val="24"/>
        </w:rPr>
        <w:t>Le guetteur quitte la scène dès l'expiration du Christ. Ce guetteur véhicule</w:t>
      </w:r>
      <w:r w:rsidRPr="000222FD">
        <w:rPr>
          <w:rFonts w:asciiTheme="majorBidi" w:hAnsiTheme="majorBidi" w:cstheme="majorBidi"/>
          <w:i/>
          <w:iCs/>
          <w:sz w:val="24"/>
          <w:szCs w:val="24"/>
        </w:rPr>
        <w:t xml:space="preserve"> le </w:t>
      </w:r>
      <w:r w:rsidRPr="000222FD">
        <w:rPr>
          <w:rStyle w:val="Accentuation"/>
          <w:rFonts w:asciiTheme="majorBidi" w:hAnsiTheme="majorBidi" w:cstheme="majorBidi"/>
          <w:i w:val="0"/>
          <w:iCs w:val="0"/>
          <w:sz w:val="24"/>
          <w:szCs w:val="24"/>
        </w:rPr>
        <w:t>paradoxe du conceptuel et du corps ou l’alliance du symbolique et du sémiotique</w:t>
      </w:r>
      <w:r w:rsidRPr="000222FD">
        <w:rPr>
          <w:rStyle w:val="Appelnotedebasdep"/>
          <w:rFonts w:asciiTheme="majorBidi" w:hAnsiTheme="majorBidi" w:cstheme="majorBidi"/>
          <w:sz w:val="24"/>
          <w:szCs w:val="24"/>
        </w:rPr>
        <w:footnoteReference w:id="186"/>
      </w:r>
      <w:r w:rsidR="001A24A3">
        <w:rPr>
          <w:rStyle w:val="Accentuation"/>
          <w:rFonts w:asciiTheme="majorBidi" w:hAnsiTheme="majorBidi" w:cstheme="majorBidi"/>
          <w:i w:val="0"/>
          <w:iCs w:val="0"/>
          <w:sz w:val="24"/>
          <w:szCs w:val="24"/>
        </w:rPr>
        <w:t>.</w:t>
      </w:r>
    </w:p>
    <w:p w:rsidR="006A4EED" w:rsidRPr="006327C8" w:rsidRDefault="006A4EED" w:rsidP="006327C8">
      <w:pPr>
        <w:pStyle w:val="Titre6"/>
        <w:spacing w:before="0" w:after="0" w:line="360" w:lineRule="auto"/>
        <w:ind w:firstLine="284"/>
        <w:jc w:val="both"/>
        <w:rPr>
          <w:i w:val="0"/>
          <w:iCs/>
          <w:sz w:val="20"/>
          <w:szCs w:val="20"/>
          <w:u w:val="none"/>
        </w:rPr>
      </w:pPr>
      <w:r w:rsidRPr="00B37800">
        <w:rPr>
          <w:rFonts w:asciiTheme="majorBidi" w:hAnsiTheme="majorBidi" w:cstheme="majorBidi"/>
          <w:b/>
          <w:bCs w:val="0"/>
          <w:i w:val="0"/>
          <w:iCs/>
          <w:sz w:val="24"/>
          <w:szCs w:val="24"/>
        </w:rPr>
        <w:t>Le Barnum</w:t>
      </w:r>
      <w:r w:rsidR="006327C8">
        <w:rPr>
          <w:rFonts w:asciiTheme="majorBidi" w:hAnsiTheme="majorBidi" w:cstheme="majorBidi"/>
          <w:b/>
          <w:bCs w:val="0"/>
          <w:i w:val="0"/>
          <w:iCs/>
          <w:sz w:val="24"/>
          <w:szCs w:val="24"/>
        </w:rPr>
        <w:t> </w:t>
      </w:r>
      <w:r w:rsidR="006327C8">
        <w:rPr>
          <w:rFonts w:asciiTheme="majorBidi" w:hAnsiTheme="majorBidi" w:cstheme="majorBidi"/>
          <w:b/>
          <w:bCs w:val="0"/>
          <w:i w:val="0"/>
          <w:iCs/>
          <w:sz w:val="24"/>
          <w:szCs w:val="24"/>
          <w:u w:val="none"/>
        </w:rPr>
        <w:t xml:space="preserve">: </w:t>
      </w:r>
      <w:r w:rsidRPr="006327C8">
        <w:rPr>
          <w:rFonts w:asciiTheme="majorBidi" w:hAnsiTheme="majorBidi" w:cstheme="majorBidi"/>
          <w:i w:val="0"/>
          <w:iCs/>
          <w:sz w:val="24"/>
          <w:szCs w:val="24"/>
          <w:u w:val="none"/>
        </w:rPr>
        <w:t xml:space="preserve">Personnage grotesque, bonimenteur de foire. Il s'exprime par des cris, des rires et des grognements en utilisant un langage de bas étage. Tel l’illustre l’extrait : « </w:t>
      </w:r>
      <w:r w:rsidRPr="006327C8">
        <w:rPr>
          <w:rFonts w:asciiTheme="majorBidi" w:hAnsiTheme="majorBidi" w:cstheme="majorBidi"/>
          <w:sz w:val="24"/>
          <w:szCs w:val="24"/>
          <w:u w:val="none"/>
        </w:rPr>
        <w:t>[...] Ne gueulez pas si fort ! Vous êtes des partisans</w:t>
      </w:r>
      <w:r w:rsidRPr="006327C8">
        <w:rPr>
          <w:rFonts w:asciiTheme="majorBidi" w:hAnsiTheme="majorBidi" w:cstheme="majorBidi"/>
          <w:i w:val="0"/>
          <w:iCs/>
          <w:sz w:val="24"/>
          <w:szCs w:val="24"/>
          <w:u w:val="none"/>
        </w:rPr>
        <w:t>.»</w:t>
      </w:r>
      <w:r w:rsidR="00787DB5" w:rsidRPr="006327C8">
        <w:rPr>
          <w:rFonts w:asciiTheme="majorBidi" w:hAnsiTheme="majorBidi" w:cstheme="majorBidi"/>
          <w:i w:val="0"/>
          <w:iCs/>
          <w:sz w:val="24"/>
          <w:szCs w:val="24"/>
          <w:u w:val="none"/>
        </w:rPr>
        <w:t xml:space="preserve"> (</w:t>
      </w:r>
      <w:r w:rsidR="00B37800" w:rsidRPr="006327C8">
        <w:rPr>
          <w:rFonts w:asciiTheme="majorBidi" w:hAnsiTheme="majorBidi" w:cstheme="majorBidi"/>
          <w:i w:val="0"/>
          <w:iCs/>
          <w:sz w:val="24"/>
          <w:szCs w:val="24"/>
          <w:u w:val="none"/>
        </w:rPr>
        <w:t xml:space="preserve">M. De Ghelderode, 1984, </w:t>
      </w:r>
      <w:r w:rsidR="00787DB5" w:rsidRPr="006327C8">
        <w:rPr>
          <w:rFonts w:asciiTheme="majorBidi" w:hAnsiTheme="majorBidi" w:cstheme="majorBidi"/>
          <w:i w:val="0"/>
          <w:iCs/>
          <w:sz w:val="24"/>
          <w:szCs w:val="24"/>
          <w:u w:val="none"/>
        </w:rPr>
        <w:t>p.98)</w:t>
      </w:r>
      <w:r w:rsidR="00B37800" w:rsidRPr="006327C8">
        <w:rPr>
          <w:rFonts w:asciiTheme="majorBidi" w:hAnsiTheme="majorBidi" w:cstheme="majorBidi"/>
          <w:i w:val="0"/>
          <w:iCs/>
          <w:sz w:val="24"/>
          <w:szCs w:val="24"/>
          <w:u w:val="none"/>
        </w:rPr>
        <w:t>.</w:t>
      </w:r>
      <w:r w:rsidRPr="006327C8">
        <w:rPr>
          <w:rFonts w:asciiTheme="majorBidi" w:hAnsiTheme="majorBidi" w:cstheme="majorBidi"/>
          <w:i w:val="0"/>
          <w:iCs/>
          <w:sz w:val="24"/>
          <w:szCs w:val="24"/>
          <w:u w:val="none"/>
        </w:rPr>
        <w:t xml:space="preserve"> </w:t>
      </w:r>
      <w:r w:rsidR="00C22C1A" w:rsidRPr="006327C8">
        <w:rPr>
          <w:rFonts w:asciiTheme="majorBidi" w:hAnsiTheme="majorBidi" w:cstheme="majorBidi"/>
          <w:i w:val="0"/>
          <w:iCs/>
          <w:sz w:val="24"/>
          <w:szCs w:val="24"/>
          <w:u w:val="none"/>
        </w:rPr>
        <w:t>O</w:t>
      </w:r>
      <w:r w:rsidRPr="006327C8">
        <w:rPr>
          <w:i w:val="0"/>
          <w:iCs/>
          <w:sz w:val="24"/>
          <w:szCs w:val="24"/>
          <w:u w:val="none"/>
        </w:rPr>
        <w:t>u</w:t>
      </w:r>
      <w:r w:rsidR="00AD3580" w:rsidRPr="006327C8">
        <w:rPr>
          <w:i w:val="0"/>
          <w:iCs/>
          <w:sz w:val="24"/>
          <w:szCs w:val="24"/>
          <w:u w:val="none"/>
        </w:rPr>
        <w:t xml:space="preserve"> encore :</w:t>
      </w:r>
      <w:r w:rsidRPr="006327C8">
        <w:rPr>
          <w:i w:val="0"/>
          <w:iCs/>
          <w:sz w:val="24"/>
          <w:szCs w:val="24"/>
          <w:u w:val="none"/>
        </w:rPr>
        <w:t xml:space="preserve"> « </w:t>
      </w:r>
      <w:r w:rsidRPr="006327C8">
        <w:rPr>
          <w:sz w:val="24"/>
          <w:szCs w:val="24"/>
          <w:u w:val="none"/>
        </w:rPr>
        <w:t>[...] Il ne me reste plus qu'à me faire faux dieu</w:t>
      </w:r>
      <w:r w:rsidRPr="006327C8">
        <w:rPr>
          <w:i w:val="0"/>
          <w:iCs/>
          <w:sz w:val="24"/>
          <w:szCs w:val="24"/>
          <w:u w:val="none"/>
        </w:rPr>
        <w:t>.»</w:t>
      </w:r>
      <w:r w:rsidR="00AD3580" w:rsidRPr="006327C8">
        <w:rPr>
          <w:i w:val="0"/>
          <w:iCs/>
          <w:sz w:val="21"/>
          <w:u w:val="none"/>
        </w:rPr>
        <w:t xml:space="preserve"> (</w:t>
      </w:r>
      <w:r w:rsidR="00C22C1A" w:rsidRPr="006327C8">
        <w:rPr>
          <w:rFonts w:asciiTheme="majorBidi" w:hAnsiTheme="majorBidi" w:cstheme="majorBidi"/>
          <w:i w:val="0"/>
          <w:iCs/>
          <w:sz w:val="24"/>
          <w:szCs w:val="24"/>
          <w:u w:val="none"/>
        </w:rPr>
        <w:t>M. De Ghelderode, 1984</w:t>
      </w:r>
      <w:r w:rsidR="00D43288">
        <w:rPr>
          <w:rFonts w:asciiTheme="majorBidi" w:hAnsiTheme="majorBidi" w:cstheme="majorBidi"/>
          <w:i w:val="0"/>
          <w:iCs/>
          <w:sz w:val="24"/>
          <w:szCs w:val="24"/>
          <w:u w:val="none"/>
        </w:rPr>
        <w:t xml:space="preserve">, </w:t>
      </w:r>
      <w:r w:rsidR="0017604F" w:rsidRPr="006327C8">
        <w:rPr>
          <w:i w:val="0"/>
          <w:iCs/>
          <w:sz w:val="21"/>
          <w:u w:val="none"/>
        </w:rPr>
        <w:t>p.</w:t>
      </w:r>
      <w:r w:rsidR="0017604F" w:rsidRPr="006327C8">
        <w:rPr>
          <w:i w:val="0"/>
          <w:iCs/>
          <w:u w:val="none"/>
        </w:rPr>
        <w:t>100)</w:t>
      </w:r>
    </w:p>
    <w:p w:rsidR="006A4EED" w:rsidRPr="00D262B9" w:rsidRDefault="006A4EED" w:rsidP="00D262B9">
      <w:pPr>
        <w:pStyle w:val="Titre6"/>
        <w:spacing w:before="0" w:after="0" w:line="360" w:lineRule="auto"/>
        <w:ind w:firstLine="284"/>
        <w:jc w:val="both"/>
        <w:rPr>
          <w:rFonts w:asciiTheme="majorBidi" w:hAnsiTheme="majorBidi" w:cstheme="majorBidi"/>
          <w:b/>
          <w:bCs w:val="0"/>
          <w:i w:val="0"/>
          <w:iCs/>
          <w:sz w:val="24"/>
          <w:szCs w:val="24"/>
        </w:rPr>
      </w:pPr>
      <w:r w:rsidRPr="00D262B9">
        <w:rPr>
          <w:rFonts w:asciiTheme="majorBidi" w:hAnsiTheme="majorBidi" w:cstheme="majorBidi"/>
          <w:b/>
          <w:bCs w:val="0"/>
          <w:i w:val="0"/>
          <w:iCs/>
          <w:sz w:val="24"/>
          <w:szCs w:val="24"/>
        </w:rPr>
        <w:t>Le pitre : personnage emblématique du rire</w:t>
      </w:r>
    </w:p>
    <w:p w:rsidR="006A4EED" w:rsidRPr="00D262B9" w:rsidRDefault="006A4EED" w:rsidP="000B646F">
      <w:pPr>
        <w:spacing w:after="0" w:line="360" w:lineRule="auto"/>
        <w:ind w:firstLine="284"/>
        <w:jc w:val="both"/>
        <w:rPr>
          <w:rFonts w:asciiTheme="majorBidi" w:hAnsiTheme="majorBidi" w:cstheme="majorBidi"/>
          <w:sz w:val="24"/>
          <w:szCs w:val="24"/>
        </w:rPr>
      </w:pPr>
      <w:r w:rsidRPr="00D262B9">
        <w:rPr>
          <w:rFonts w:asciiTheme="majorBidi" w:hAnsiTheme="majorBidi" w:cstheme="majorBidi"/>
          <w:sz w:val="24"/>
          <w:szCs w:val="24"/>
        </w:rPr>
        <w:t xml:space="preserve">Un personnage qui explique son show : </w:t>
      </w:r>
      <w:r w:rsidRPr="00D262B9">
        <w:rPr>
          <w:rFonts w:asciiTheme="majorBidi" w:hAnsiTheme="majorBidi" w:cstheme="majorBidi"/>
          <w:i/>
          <w:iCs/>
          <w:sz w:val="24"/>
          <w:szCs w:val="24"/>
        </w:rPr>
        <w:t xml:space="preserve">« </w:t>
      </w:r>
      <w:r w:rsidR="00D262B9">
        <w:rPr>
          <w:rFonts w:asciiTheme="majorBidi" w:hAnsiTheme="majorBidi" w:cstheme="majorBidi"/>
          <w:i/>
          <w:iCs/>
          <w:sz w:val="24"/>
          <w:szCs w:val="24"/>
        </w:rPr>
        <w:t>[</w:t>
      </w:r>
      <w:r w:rsidRPr="00D262B9">
        <w:rPr>
          <w:rFonts w:asciiTheme="majorBidi" w:hAnsiTheme="majorBidi" w:cstheme="majorBidi"/>
          <w:i/>
          <w:iCs/>
          <w:sz w:val="24"/>
          <w:szCs w:val="24"/>
        </w:rPr>
        <w:t>...</w:t>
      </w:r>
      <w:r w:rsidR="00D262B9">
        <w:rPr>
          <w:rFonts w:asciiTheme="majorBidi" w:hAnsiTheme="majorBidi" w:cstheme="majorBidi"/>
          <w:i/>
          <w:iCs/>
          <w:sz w:val="24"/>
          <w:szCs w:val="24"/>
        </w:rPr>
        <w:t>]</w:t>
      </w:r>
      <w:r w:rsidRPr="00D262B9">
        <w:rPr>
          <w:rFonts w:asciiTheme="majorBidi" w:hAnsiTheme="majorBidi" w:cstheme="majorBidi"/>
          <w:i/>
          <w:iCs/>
          <w:sz w:val="24"/>
          <w:szCs w:val="24"/>
        </w:rPr>
        <w:t xml:space="preserve"> ce sera superbe, oui, dans mon cerveau de clown j'ai conçu une scène étonnante qui fera accourir les masses </w:t>
      </w:r>
      <w:r w:rsidR="00D262B9">
        <w:rPr>
          <w:rFonts w:asciiTheme="majorBidi" w:hAnsiTheme="majorBidi" w:cstheme="majorBidi"/>
          <w:i/>
          <w:iCs/>
          <w:sz w:val="24"/>
          <w:szCs w:val="24"/>
        </w:rPr>
        <w:t>[.</w:t>
      </w:r>
      <w:r w:rsidRPr="00D262B9">
        <w:rPr>
          <w:rFonts w:asciiTheme="majorBidi" w:hAnsiTheme="majorBidi" w:cstheme="majorBidi"/>
          <w:i/>
          <w:iCs/>
          <w:sz w:val="24"/>
          <w:szCs w:val="24"/>
        </w:rPr>
        <w:t>..</w:t>
      </w:r>
      <w:r w:rsidR="00D262B9">
        <w:rPr>
          <w:rFonts w:asciiTheme="majorBidi" w:hAnsiTheme="majorBidi" w:cstheme="majorBidi"/>
          <w:i/>
          <w:iCs/>
          <w:sz w:val="24"/>
          <w:szCs w:val="24"/>
        </w:rPr>
        <w:t>]</w:t>
      </w:r>
      <w:r w:rsidRPr="00D262B9">
        <w:rPr>
          <w:rFonts w:asciiTheme="majorBidi" w:hAnsiTheme="majorBidi" w:cstheme="majorBidi"/>
          <w:i/>
          <w:iCs/>
          <w:sz w:val="24"/>
          <w:szCs w:val="24"/>
        </w:rPr>
        <w:t>)»</w:t>
      </w:r>
      <w:r w:rsidR="00787DB5" w:rsidRPr="00D262B9">
        <w:rPr>
          <w:rFonts w:asciiTheme="majorBidi" w:hAnsiTheme="majorBidi" w:cstheme="majorBidi"/>
          <w:i/>
          <w:iCs/>
          <w:sz w:val="24"/>
          <w:szCs w:val="24"/>
        </w:rPr>
        <w:t xml:space="preserve"> </w:t>
      </w:r>
      <w:r w:rsidR="00787DB5" w:rsidRPr="00D262B9">
        <w:rPr>
          <w:rFonts w:asciiTheme="majorBidi" w:hAnsiTheme="majorBidi" w:cstheme="majorBidi"/>
          <w:sz w:val="24"/>
          <w:szCs w:val="24"/>
        </w:rPr>
        <w:t>(</w:t>
      </w:r>
      <w:r w:rsidR="00E56B90">
        <w:rPr>
          <w:rFonts w:asciiTheme="majorBidi" w:hAnsiTheme="majorBidi" w:cstheme="majorBidi"/>
          <w:i/>
          <w:iCs/>
          <w:sz w:val="24"/>
          <w:szCs w:val="24"/>
        </w:rPr>
        <w:t xml:space="preserve">Ibid, </w:t>
      </w:r>
      <w:r w:rsidR="00787DB5" w:rsidRPr="00D262B9">
        <w:rPr>
          <w:rFonts w:asciiTheme="majorBidi" w:hAnsiTheme="majorBidi" w:cstheme="majorBidi"/>
          <w:sz w:val="24"/>
          <w:szCs w:val="24"/>
        </w:rPr>
        <w:t>p.109)</w:t>
      </w:r>
      <w:r w:rsidR="00FD14BF">
        <w:rPr>
          <w:rFonts w:asciiTheme="majorBidi" w:hAnsiTheme="majorBidi" w:cstheme="majorBidi"/>
          <w:sz w:val="24"/>
          <w:szCs w:val="24"/>
        </w:rPr>
        <w:t>.</w:t>
      </w:r>
      <w:r w:rsidRPr="00D262B9">
        <w:rPr>
          <w:rFonts w:asciiTheme="majorBidi" w:hAnsiTheme="majorBidi" w:cstheme="majorBidi"/>
          <w:i/>
          <w:iCs/>
          <w:sz w:val="24"/>
          <w:szCs w:val="24"/>
        </w:rPr>
        <w:t xml:space="preserve"> </w:t>
      </w:r>
    </w:p>
    <w:p w:rsidR="006A4EED" w:rsidRPr="00D262B9" w:rsidRDefault="006A4EED" w:rsidP="000B646F">
      <w:pPr>
        <w:spacing w:after="0" w:line="360" w:lineRule="auto"/>
        <w:ind w:firstLine="284"/>
        <w:jc w:val="both"/>
        <w:rPr>
          <w:rFonts w:asciiTheme="majorBidi" w:hAnsiTheme="majorBidi" w:cstheme="majorBidi"/>
          <w:sz w:val="24"/>
          <w:szCs w:val="24"/>
        </w:rPr>
      </w:pPr>
      <w:r w:rsidRPr="00D262B9">
        <w:rPr>
          <w:rFonts w:asciiTheme="majorBidi" w:hAnsiTheme="majorBidi" w:cstheme="majorBidi"/>
          <w:sz w:val="24"/>
          <w:szCs w:val="24"/>
        </w:rPr>
        <w:t>Parodiant tout ce qui bouge sur scène, subalterne du Barnum .Tantôt humilié par ce dernier: «</w:t>
      </w:r>
      <w:r w:rsidR="00787DB5" w:rsidRPr="00D262B9">
        <w:rPr>
          <w:rFonts w:asciiTheme="majorBidi" w:hAnsiTheme="majorBidi" w:cstheme="majorBidi"/>
          <w:sz w:val="24"/>
          <w:szCs w:val="24"/>
        </w:rPr>
        <w:t xml:space="preserve"> </w:t>
      </w:r>
      <w:r w:rsidRPr="00D262B9">
        <w:rPr>
          <w:rFonts w:asciiTheme="majorBidi" w:hAnsiTheme="majorBidi" w:cstheme="majorBidi"/>
          <w:i/>
          <w:iCs/>
          <w:sz w:val="24"/>
          <w:szCs w:val="24"/>
        </w:rPr>
        <w:t>(...) Ta gueule gugusse !»</w:t>
      </w:r>
      <w:r w:rsidR="00787DB5" w:rsidRPr="00D262B9">
        <w:rPr>
          <w:rFonts w:asciiTheme="majorBidi" w:hAnsiTheme="majorBidi" w:cstheme="majorBidi"/>
          <w:sz w:val="24"/>
          <w:szCs w:val="24"/>
        </w:rPr>
        <w:t xml:space="preserve"> (</w:t>
      </w:r>
      <w:r w:rsidR="00FD14BF">
        <w:rPr>
          <w:rFonts w:asciiTheme="majorBidi" w:hAnsiTheme="majorBidi" w:cstheme="majorBidi"/>
          <w:i/>
          <w:iCs/>
          <w:sz w:val="24"/>
          <w:szCs w:val="24"/>
        </w:rPr>
        <w:t xml:space="preserve">Ibid, </w:t>
      </w:r>
      <w:r w:rsidR="00787DB5" w:rsidRPr="00D262B9">
        <w:rPr>
          <w:rFonts w:asciiTheme="majorBidi" w:hAnsiTheme="majorBidi" w:cstheme="majorBidi"/>
          <w:sz w:val="24"/>
          <w:szCs w:val="24"/>
        </w:rPr>
        <w:t>p.94)</w:t>
      </w:r>
      <w:r w:rsidR="00FD14BF">
        <w:rPr>
          <w:rFonts w:asciiTheme="majorBidi" w:hAnsiTheme="majorBidi" w:cstheme="majorBidi"/>
          <w:sz w:val="24"/>
          <w:szCs w:val="24"/>
        </w:rPr>
        <w:t>.</w:t>
      </w:r>
    </w:p>
    <w:p w:rsidR="006A4EED" w:rsidRPr="00D262B9" w:rsidRDefault="006A4EED" w:rsidP="000B646F">
      <w:pPr>
        <w:spacing w:after="0" w:line="360" w:lineRule="auto"/>
        <w:ind w:firstLine="284"/>
        <w:jc w:val="both"/>
        <w:rPr>
          <w:rFonts w:asciiTheme="majorBidi" w:hAnsiTheme="majorBidi" w:cstheme="majorBidi"/>
          <w:sz w:val="24"/>
          <w:szCs w:val="24"/>
        </w:rPr>
      </w:pPr>
      <w:r w:rsidRPr="00D262B9">
        <w:rPr>
          <w:rFonts w:asciiTheme="majorBidi" w:hAnsiTheme="majorBidi" w:cstheme="majorBidi"/>
          <w:sz w:val="24"/>
          <w:szCs w:val="24"/>
        </w:rPr>
        <w:t xml:space="preserve">Tantôt hissé en avant de la scène : </w:t>
      </w:r>
      <w:r w:rsidRPr="00D262B9">
        <w:rPr>
          <w:rFonts w:asciiTheme="majorBidi" w:hAnsiTheme="majorBidi" w:cstheme="majorBidi"/>
          <w:i/>
          <w:iCs/>
          <w:sz w:val="24"/>
          <w:szCs w:val="24"/>
        </w:rPr>
        <w:t>« [...] Mon pitre est tout aussi décoratif.»</w:t>
      </w:r>
      <w:r w:rsidR="00787DB5" w:rsidRPr="00D262B9">
        <w:rPr>
          <w:rFonts w:asciiTheme="majorBidi" w:hAnsiTheme="majorBidi" w:cstheme="majorBidi"/>
          <w:sz w:val="24"/>
          <w:szCs w:val="24"/>
        </w:rPr>
        <w:t xml:space="preserve"> (</w:t>
      </w:r>
      <w:r w:rsidR="00C801FB">
        <w:rPr>
          <w:rFonts w:asciiTheme="majorBidi" w:hAnsiTheme="majorBidi" w:cstheme="majorBidi"/>
          <w:i/>
          <w:iCs/>
          <w:sz w:val="24"/>
          <w:szCs w:val="24"/>
        </w:rPr>
        <w:t xml:space="preserve">Ibid, </w:t>
      </w:r>
      <w:r w:rsidR="00787DB5" w:rsidRPr="00D262B9">
        <w:rPr>
          <w:rFonts w:asciiTheme="majorBidi" w:hAnsiTheme="majorBidi" w:cstheme="majorBidi"/>
          <w:sz w:val="24"/>
          <w:szCs w:val="24"/>
        </w:rPr>
        <w:t>p.95)</w:t>
      </w:r>
      <w:r w:rsidRPr="00D262B9">
        <w:rPr>
          <w:rFonts w:asciiTheme="majorBidi" w:hAnsiTheme="majorBidi" w:cstheme="majorBidi"/>
          <w:sz w:val="24"/>
          <w:szCs w:val="24"/>
        </w:rPr>
        <w:t xml:space="preserve"> </w:t>
      </w:r>
    </w:p>
    <w:p w:rsidR="006A4EED" w:rsidRPr="00D262B9" w:rsidRDefault="006A4EED" w:rsidP="000B646F">
      <w:pPr>
        <w:spacing w:after="0" w:line="360" w:lineRule="auto"/>
        <w:ind w:firstLine="284"/>
        <w:jc w:val="both"/>
        <w:rPr>
          <w:rFonts w:asciiTheme="majorBidi" w:hAnsiTheme="majorBidi" w:cstheme="majorBidi"/>
          <w:sz w:val="24"/>
          <w:szCs w:val="24"/>
        </w:rPr>
      </w:pPr>
      <w:r w:rsidRPr="00D262B9">
        <w:rPr>
          <w:rFonts w:asciiTheme="majorBidi" w:hAnsiTheme="majorBidi" w:cstheme="majorBidi"/>
          <w:sz w:val="24"/>
          <w:szCs w:val="24"/>
        </w:rPr>
        <w:t xml:space="preserve">Ou encore  dans « </w:t>
      </w:r>
      <w:r w:rsidR="00C801FB">
        <w:rPr>
          <w:rFonts w:asciiTheme="majorBidi" w:hAnsiTheme="majorBidi" w:cstheme="majorBidi"/>
          <w:sz w:val="24"/>
          <w:szCs w:val="24"/>
        </w:rPr>
        <w:t>[</w:t>
      </w:r>
      <w:r w:rsidRPr="00D262B9">
        <w:rPr>
          <w:rFonts w:asciiTheme="majorBidi" w:hAnsiTheme="majorBidi" w:cstheme="majorBidi"/>
          <w:sz w:val="24"/>
          <w:szCs w:val="24"/>
        </w:rPr>
        <w:t>...</w:t>
      </w:r>
      <w:r w:rsidR="00C801FB">
        <w:rPr>
          <w:rFonts w:asciiTheme="majorBidi" w:hAnsiTheme="majorBidi" w:cstheme="majorBidi"/>
          <w:sz w:val="24"/>
          <w:szCs w:val="24"/>
        </w:rPr>
        <w:t>]</w:t>
      </w:r>
      <w:r w:rsidRPr="00D262B9">
        <w:rPr>
          <w:rFonts w:asciiTheme="majorBidi" w:hAnsiTheme="majorBidi" w:cstheme="majorBidi"/>
          <w:sz w:val="24"/>
          <w:szCs w:val="24"/>
        </w:rPr>
        <w:t xml:space="preserve"> </w:t>
      </w:r>
      <w:r w:rsidRPr="00D262B9">
        <w:rPr>
          <w:rFonts w:asciiTheme="majorBidi" w:hAnsiTheme="majorBidi" w:cstheme="majorBidi"/>
          <w:i/>
          <w:iCs/>
          <w:sz w:val="24"/>
          <w:szCs w:val="24"/>
        </w:rPr>
        <w:t>Mon pitre est le véritable roi des juifs sorti de son tombeau</w:t>
      </w:r>
      <w:r w:rsidRPr="00D262B9">
        <w:rPr>
          <w:rFonts w:asciiTheme="majorBidi" w:hAnsiTheme="majorBidi" w:cstheme="majorBidi"/>
          <w:sz w:val="24"/>
          <w:szCs w:val="24"/>
        </w:rPr>
        <w:t>.»</w:t>
      </w:r>
      <w:r w:rsidR="00787DB5" w:rsidRPr="00D262B9">
        <w:rPr>
          <w:rFonts w:asciiTheme="majorBidi" w:hAnsiTheme="majorBidi" w:cstheme="majorBidi"/>
          <w:sz w:val="24"/>
          <w:szCs w:val="24"/>
        </w:rPr>
        <w:t xml:space="preserve"> (</w:t>
      </w:r>
      <w:r w:rsidR="000B646F">
        <w:rPr>
          <w:rFonts w:asciiTheme="majorBidi" w:hAnsiTheme="majorBidi" w:cstheme="majorBidi"/>
          <w:i/>
          <w:iCs/>
          <w:sz w:val="24"/>
          <w:szCs w:val="24"/>
        </w:rPr>
        <w:t xml:space="preserve">Ibid, </w:t>
      </w:r>
      <w:r w:rsidR="00787DB5" w:rsidRPr="00D262B9">
        <w:rPr>
          <w:rFonts w:asciiTheme="majorBidi" w:hAnsiTheme="majorBidi" w:cstheme="majorBidi"/>
          <w:sz w:val="24"/>
          <w:szCs w:val="24"/>
        </w:rPr>
        <w:t>p.110)</w:t>
      </w:r>
      <w:r w:rsidR="000B646F">
        <w:rPr>
          <w:rFonts w:asciiTheme="majorBidi" w:hAnsiTheme="majorBidi" w:cstheme="majorBidi"/>
          <w:sz w:val="24"/>
          <w:szCs w:val="24"/>
        </w:rPr>
        <w:t>.</w:t>
      </w:r>
      <w:r w:rsidRPr="00D262B9">
        <w:rPr>
          <w:rFonts w:asciiTheme="majorBidi" w:hAnsiTheme="majorBidi" w:cstheme="majorBidi"/>
          <w:sz w:val="24"/>
          <w:szCs w:val="24"/>
        </w:rPr>
        <w:t xml:space="preserve"> </w:t>
      </w:r>
    </w:p>
    <w:p w:rsidR="006A4EED" w:rsidRPr="003B00C8" w:rsidRDefault="006A4EED" w:rsidP="000B646F">
      <w:pPr>
        <w:spacing w:after="0" w:line="360" w:lineRule="auto"/>
        <w:ind w:firstLine="284"/>
        <w:jc w:val="both"/>
        <w:rPr>
          <w:rFonts w:ascii="Times New Roman" w:hAnsi="Times New Roman"/>
          <w:sz w:val="24"/>
          <w:szCs w:val="24"/>
        </w:rPr>
      </w:pPr>
      <w:r w:rsidRPr="00505BAF">
        <w:rPr>
          <w:rFonts w:ascii="Times New Roman" w:hAnsi="Times New Roman"/>
          <w:sz w:val="24"/>
          <w:szCs w:val="24"/>
        </w:rPr>
        <w:t>Les répliques ci-dessous</w:t>
      </w:r>
      <w:r>
        <w:rPr>
          <w:rFonts w:ascii="Times New Roman" w:hAnsi="Times New Roman"/>
          <w:color w:val="00B0F0"/>
          <w:sz w:val="24"/>
          <w:szCs w:val="24"/>
        </w:rPr>
        <w:t xml:space="preserve"> </w:t>
      </w:r>
      <w:r w:rsidRPr="003B00C8">
        <w:rPr>
          <w:rFonts w:ascii="Times New Roman" w:hAnsi="Times New Roman"/>
          <w:sz w:val="24"/>
          <w:szCs w:val="24"/>
        </w:rPr>
        <w:t>sont accompagnées de rires sarcastiques.</w:t>
      </w:r>
    </w:p>
    <w:p w:rsidR="006A4EED" w:rsidRPr="007F6C58" w:rsidRDefault="006A4EED" w:rsidP="00F20760">
      <w:pPr>
        <w:pStyle w:val="Citationintense"/>
        <w:spacing w:before="0" w:after="0"/>
        <w:ind w:left="567" w:right="0"/>
        <w:rPr>
          <w:sz w:val="20"/>
          <w:szCs w:val="20"/>
        </w:rPr>
      </w:pPr>
      <w:r w:rsidRPr="007F6C58">
        <w:rPr>
          <w:sz w:val="20"/>
          <w:szCs w:val="20"/>
        </w:rPr>
        <w:t xml:space="preserve">La parodie, en même temps qu’elle déforme et subvertit sa cible, la conserve et la respecte, en l’intégrant de manière reconnaissable dans sa propre forme : la « stylisation </w:t>
      </w:r>
      <w:r w:rsidR="00325A24" w:rsidRPr="007F6C58">
        <w:rPr>
          <w:sz w:val="20"/>
          <w:szCs w:val="20"/>
        </w:rPr>
        <w:t>parodique</w:t>
      </w:r>
      <w:r w:rsidRPr="007F6C58">
        <w:rPr>
          <w:sz w:val="20"/>
          <w:szCs w:val="20"/>
        </w:rPr>
        <w:t xml:space="preserve"> » est un outil critique subtil et </w:t>
      </w:r>
      <w:r w:rsidR="00325A24" w:rsidRPr="007F6C58">
        <w:rPr>
          <w:sz w:val="20"/>
          <w:szCs w:val="20"/>
        </w:rPr>
        <w:t>complexe</w:t>
      </w:r>
      <w:r w:rsidRPr="007F6C58">
        <w:rPr>
          <w:sz w:val="20"/>
          <w:szCs w:val="20"/>
        </w:rPr>
        <w:t xml:space="preserve">, possédant à la fois des </w:t>
      </w:r>
      <w:r w:rsidR="00325A24" w:rsidRPr="007F6C58">
        <w:rPr>
          <w:sz w:val="20"/>
          <w:szCs w:val="20"/>
        </w:rPr>
        <w:t>tendances</w:t>
      </w:r>
      <w:r w:rsidRPr="007F6C58">
        <w:rPr>
          <w:sz w:val="20"/>
          <w:szCs w:val="20"/>
        </w:rPr>
        <w:t xml:space="preserve"> « normatives et </w:t>
      </w:r>
      <w:r w:rsidR="00325A24" w:rsidRPr="007F6C58">
        <w:rPr>
          <w:sz w:val="20"/>
          <w:szCs w:val="20"/>
        </w:rPr>
        <w:t>conservatrices</w:t>
      </w:r>
      <w:r w:rsidRPr="007F6C58">
        <w:rPr>
          <w:sz w:val="20"/>
          <w:szCs w:val="20"/>
        </w:rPr>
        <w:t xml:space="preserve"> » et des tendances « provocatrices et </w:t>
      </w:r>
      <w:r w:rsidR="00325A24" w:rsidRPr="007F6C58">
        <w:rPr>
          <w:sz w:val="20"/>
          <w:szCs w:val="20"/>
        </w:rPr>
        <w:t>révolutionnaires</w:t>
      </w:r>
      <w:r w:rsidRPr="007F6C58">
        <w:rPr>
          <w:rStyle w:val="Appelnotedebasdep"/>
          <w:sz w:val="20"/>
          <w:szCs w:val="20"/>
        </w:rPr>
        <w:footnoteReference w:id="187"/>
      </w:r>
      <w:r w:rsidR="00F20760" w:rsidRPr="007F6C58">
        <w:rPr>
          <w:sz w:val="20"/>
          <w:szCs w:val="20"/>
        </w:rPr>
        <w:t>.</w:t>
      </w:r>
    </w:p>
    <w:p w:rsidR="00875FE5" w:rsidRDefault="00875FE5" w:rsidP="00875FE5">
      <w:pPr>
        <w:spacing w:after="0" w:line="360" w:lineRule="auto"/>
        <w:jc w:val="both"/>
        <w:rPr>
          <w:rFonts w:ascii="Times New Roman" w:hAnsi="Times New Roman"/>
          <w:sz w:val="24"/>
          <w:szCs w:val="24"/>
        </w:rPr>
      </w:pPr>
    </w:p>
    <w:p w:rsidR="006A4EED" w:rsidRPr="00875FE5" w:rsidRDefault="006A4EED" w:rsidP="00875FE5">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Le pitre  assassine le héros central dans le dos.</w:t>
      </w:r>
      <w:r w:rsidR="00875FE5">
        <w:rPr>
          <w:rFonts w:ascii="Times New Roman" w:hAnsi="Times New Roman"/>
          <w:sz w:val="24"/>
          <w:szCs w:val="24"/>
        </w:rPr>
        <w:t xml:space="preserve"> </w:t>
      </w:r>
      <w:r w:rsidRPr="003B00C8">
        <w:rPr>
          <w:rFonts w:ascii="Times New Roman" w:hAnsi="Times New Roman"/>
          <w:sz w:val="24"/>
          <w:szCs w:val="24"/>
        </w:rPr>
        <w:t>Pour Tomachevski</w:t>
      </w:r>
      <w:r w:rsidRPr="00875FE5">
        <w:rPr>
          <w:rFonts w:asciiTheme="majorBidi" w:hAnsiTheme="majorBidi" w:cstheme="majorBidi"/>
          <w:sz w:val="24"/>
          <w:szCs w:val="24"/>
        </w:rPr>
        <w:t>:</w:t>
      </w:r>
      <w:r w:rsidR="00875FE5" w:rsidRPr="00875FE5">
        <w:rPr>
          <w:rFonts w:asciiTheme="majorBidi" w:hAnsiTheme="majorBidi" w:cstheme="majorBidi"/>
          <w:sz w:val="24"/>
          <w:szCs w:val="24"/>
        </w:rPr>
        <w:t xml:space="preserve"> « </w:t>
      </w:r>
      <w:r w:rsidRPr="00875FE5">
        <w:rPr>
          <w:rFonts w:asciiTheme="majorBidi" w:hAnsiTheme="majorBidi" w:cstheme="majorBidi"/>
          <w:sz w:val="24"/>
          <w:szCs w:val="24"/>
        </w:rPr>
        <w:t>Le personnage joue le rôle de fil conducteur permettant de s’orienter dans l’amoncellement des motifs, d’un moyen auxiliaire destiné à classer et à ordonner les motifs particuliers»</w:t>
      </w:r>
      <w:r w:rsidRPr="00875FE5">
        <w:rPr>
          <w:rStyle w:val="Appelnotedebasdep"/>
          <w:rFonts w:asciiTheme="majorBidi" w:hAnsiTheme="majorBidi" w:cstheme="majorBidi"/>
          <w:sz w:val="24"/>
          <w:szCs w:val="24"/>
        </w:rPr>
        <w:footnoteReference w:id="188"/>
      </w:r>
      <w:r w:rsidR="00875FE5">
        <w:rPr>
          <w:rFonts w:asciiTheme="majorBidi" w:hAnsiTheme="majorBidi" w:cstheme="majorBidi"/>
          <w:sz w:val="24"/>
          <w:szCs w:val="24"/>
        </w:rPr>
        <w:t>.</w:t>
      </w:r>
    </w:p>
    <w:p w:rsidR="006A4EED" w:rsidRPr="00505BAF" w:rsidRDefault="00875FE5" w:rsidP="00875FE5">
      <w:pPr>
        <w:pStyle w:val="Titre4"/>
        <w:spacing w:before="0" w:after="0" w:line="360" w:lineRule="auto"/>
        <w:ind w:left="641" w:hanging="357"/>
        <w:jc w:val="both"/>
        <w:rPr>
          <w:rFonts w:ascii="Times New Roman" w:hAnsi="Times New Roman"/>
          <w:i w:val="0"/>
          <w:iCs/>
        </w:rPr>
      </w:pPr>
      <w:bookmarkStart w:id="102" w:name="_Toc471484473"/>
      <w:r>
        <w:rPr>
          <w:rFonts w:ascii="Times New Roman" w:hAnsi="Times New Roman"/>
          <w:i w:val="0"/>
          <w:iCs/>
        </w:rPr>
        <w:lastRenderedPageBreak/>
        <w:t>3.</w:t>
      </w:r>
      <w:r w:rsidRPr="00505BAF">
        <w:rPr>
          <w:rFonts w:ascii="Times New Roman" w:hAnsi="Times New Roman"/>
          <w:i w:val="0"/>
          <w:iCs/>
        </w:rPr>
        <w:t xml:space="preserve"> </w:t>
      </w:r>
      <w:r w:rsidR="007B1E00" w:rsidRPr="00505BAF">
        <w:rPr>
          <w:rFonts w:ascii="Times New Roman" w:hAnsi="Times New Roman"/>
          <w:i w:val="0"/>
          <w:iCs/>
        </w:rPr>
        <w:t>Relation</w:t>
      </w:r>
      <w:r w:rsidR="007B1E00">
        <w:rPr>
          <w:rFonts w:ascii="Times New Roman" w:hAnsi="Times New Roman"/>
          <w:i w:val="0"/>
          <w:iCs/>
        </w:rPr>
        <w:t>s</w:t>
      </w:r>
      <w:r w:rsidR="006A4EED" w:rsidRPr="00505BAF">
        <w:rPr>
          <w:rFonts w:ascii="Times New Roman" w:hAnsi="Times New Roman"/>
          <w:i w:val="0"/>
          <w:iCs/>
        </w:rPr>
        <w:t xml:space="preserve"> entre les personnages</w:t>
      </w:r>
      <w:bookmarkEnd w:id="102"/>
    </w:p>
    <w:p w:rsidR="006A4EED" w:rsidRPr="003B00C8" w:rsidRDefault="006A4EED" w:rsidP="00875FE5">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pièce apparaît comme un événement sémiotique difficile à cerner vu la nature non discrète du spectacle. Cette nature continue du théâtral souligne l’arbitraire de tout découpage (en signes, scènes ou autre articulation), de même que les relations entre personnages piège des réductions méthodologiques. Or, l’approche sémiologique offre tant l’intelligibilité nécessaire aux modèles et imbrications ultérieures</w:t>
      </w:r>
    </w:p>
    <w:p w:rsidR="006A4EED" w:rsidRPr="003B00C8" w:rsidRDefault="006A4EED" w:rsidP="00875FE5">
      <w:pPr>
        <w:spacing w:after="0" w:line="360" w:lineRule="auto"/>
        <w:ind w:firstLine="284"/>
        <w:jc w:val="both"/>
        <w:rPr>
          <w:rFonts w:ascii="Times New Roman" w:hAnsi="Times New Roman"/>
          <w:sz w:val="24"/>
          <w:szCs w:val="24"/>
        </w:rPr>
      </w:pPr>
      <w:r w:rsidRPr="003B00C8">
        <w:rPr>
          <w:rFonts w:ascii="Times New Roman" w:hAnsi="Times New Roman"/>
          <w:sz w:val="24"/>
          <w:szCs w:val="24"/>
        </w:rPr>
        <w:t>D'abord Jésus reste l'enjeu et la dynamique motrice de la pièce. Les personnages évoluent en fonction de cet enjeu. Leur sort reste suspendu jusqu'à l'expiration du supplicié.</w:t>
      </w:r>
    </w:p>
    <w:p w:rsidR="00DD17AD" w:rsidRDefault="00DD17AD" w:rsidP="00DD17AD">
      <w:pPr>
        <w:pStyle w:val="Titre5"/>
        <w:spacing w:before="0" w:after="0"/>
        <w:ind w:left="641" w:hanging="357"/>
        <w:jc w:val="both"/>
        <w:rPr>
          <w:rFonts w:ascii="Times New Roman" w:hAnsi="Times New Roman"/>
          <w:color w:val="auto"/>
        </w:rPr>
      </w:pPr>
    </w:p>
    <w:p w:rsidR="006A4EED" w:rsidRPr="00DD17AD" w:rsidRDefault="00DD17AD" w:rsidP="00DD17AD">
      <w:pPr>
        <w:pStyle w:val="Titre5"/>
        <w:spacing w:before="0" w:after="0"/>
        <w:ind w:left="641" w:hanging="357"/>
        <w:jc w:val="both"/>
        <w:rPr>
          <w:rFonts w:ascii="Times New Roman" w:hAnsi="Times New Roman"/>
          <w:color w:val="auto"/>
        </w:rPr>
      </w:pPr>
      <w:bookmarkStart w:id="103" w:name="_Toc471484474"/>
      <w:r w:rsidRPr="00DD17AD">
        <w:rPr>
          <w:rFonts w:ascii="Times New Roman" w:hAnsi="Times New Roman"/>
          <w:color w:val="auto"/>
        </w:rPr>
        <w:t>3.1. Barabbas</w:t>
      </w:r>
      <w:r w:rsidR="006A4EED" w:rsidRPr="00DD17AD">
        <w:rPr>
          <w:rFonts w:ascii="Times New Roman" w:hAnsi="Times New Roman"/>
          <w:color w:val="auto"/>
        </w:rPr>
        <w:t>-Jésus</w:t>
      </w:r>
      <w:bookmarkEnd w:id="103"/>
    </w:p>
    <w:p w:rsidR="006A4EED" w:rsidRPr="00DD17AD" w:rsidRDefault="006A4EED" w:rsidP="00DD17AD">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 </w:t>
      </w:r>
      <w:r w:rsidRPr="00DD17AD">
        <w:rPr>
          <w:rFonts w:ascii="Times New Roman" w:hAnsi="Times New Roman"/>
          <w:sz w:val="24"/>
          <w:szCs w:val="24"/>
        </w:rPr>
        <w:t xml:space="preserve">La relation dans l'acte I est une relation de méfiance. Barabbas perçoit l'intrusion du Christ comme un danger à sa notoriété de bandit célèbre, puis cette relation se transforme en indifférence, enfin elle finit en compassion. C’est ce que révèle ce passage : </w:t>
      </w:r>
      <w:r w:rsidRPr="00DD17AD">
        <w:rPr>
          <w:rFonts w:ascii="Times New Roman" w:hAnsi="Times New Roman"/>
          <w:i/>
          <w:iCs/>
          <w:sz w:val="24"/>
          <w:szCs w:val="24"/>
        </w:rPr>
        <w:t>«Ca me fait de la peine de le voir dans cet état. »</w:t>
      </w:r>
      <w:r w:rsidR="0017604F" w:rsidRPr="00DD17AD">
        <w:rPr>
          <w:sz w:val="24"/>
          <w:szCs w:val="24"/>
        </w:rPr>
        <w:t xml:space="preserve"> </w:t>
      </w:r>
      <w:r w:rsidR="0017604F" w:rsidRPr="00DD17AD">
        <w:rPr>
          <w:rFonts w:ascii="Times New Roman" w:hAnsi="Times New Roman"/>
          <w:sz w:val="24"/>
          <w:szCs w:val="24"/>
        </w:rPr>
        <w:t>(</w:t>
      </w:r>
      <w:r w:rsidR="00DD17AD">
        <w:rPr>
          <w:rFonts w:ascii="Times New Roman" w:hAnsi="Times New Roman"/>
          <w:i/>
          <w:iCs/>
          <w:sz w:val="24"/>
          <w:szCs w:val="24"/>
        </w:rPr>
        <w:t xml:space="preserve">Ibid, </w:t>
      </w:r>
      <w:r w:rsidR="0017604F" w:rsidRPr="00DD17AD">
        <w:rPr>
          <w:rFonts w:ascii="Times New Roman" w:hAnsi="Times New Roman"/>
          <w:sz w:val="24"/>
          <w:szCs w:val="24"/>
        </w:rPr>
        <w:t>p.57)</w:t>
      </w:r>
      <w:r w:rsidR="00DD17AD">
        <w:rPr>
          <w:rFonts w:ascii="Times New Roman" w:hAnsi="Times New Roman"/>
          <w:sz w:val="24"/>
          <w:szCs w:val="24"/>
        </w:rPr>
        <w:t>.</w:t>
      </w:r>
    </w:p>
    <w:p w:rsidR="006A4EED" w:rsidRPr="00BF0F50" w:rsidRDefault="006A4EED" w:rsidP="0043419B">
      <w:pPr>
        <w:spacing w:after="0" w:line="360" w:lineRule="auto"/>
        <w:ind w:firstLine="284"/>
        <w:jc w:val="both"/>
        <w:rPr>
          <w:szCs w:val="20"/>
        </w:rPr>
      </w:pPr>
      <w:r w:rsidRPr="00BF0F50">
        <w:rPr>
          <w:rFonts w:ascii="Times New Roman" w:hAnsi="Times New Roman"/>
          <w:sz w:val="24"/>
          <w:szCs w:val="24"/>
        </w:rPr>
        <w:t xml:space="preserve">Dans l'acte II la relation évolue en camaraderie. II court vers Jésus qui descend les marches : </w:t>
      </w:r>
      <w:r w:rsidRPr="00BF0F50">
        <w:rPr>
          <w:rFonts w:ascii="Times New Roman" w:hAnsi="Times New Roman"/>
          <w:i/>
          <w:iCs/>
          <w:sz w:val="24"/>
        </w:rPr>
        <w:t xml:space="preserve">« Hé ! </w:t>
      </w:r>
      <w:proofErr w:type="gramStart"/>
      <w:r w:rsidRPr="00BF0F50">
        <w:rPr>
          <w:rFonts w:ascii="Times New Roman" w:hAnsi="Times New Roman"/>
          <w:i/>
          <w:iCs/>
          <w:sz w:val="24"/>
        </w:rPr>
        <w:t>camarade</w:t>
      </w:r>
      <w:proofErr w:type="gramEnd"/>
      <w:r w:rsidRPr="00BF0F50">
        <w:rPr>
          <w:rFonts w:ascii="Times New Roman" w:hAnsi="Times New Roman"/>
          <w:i/>
          <w:iCs/>
          <w:sz w:val="24"/>
        </w:rPr>
        <w:t xml:space="preserve"> ! </w:t>
      </w:r>
      <w:proofErr w:type="gramStart"/>
      <w:r w:rsidRPr="00BF0F50">
        <w:rPr>
          <w:rFonts w:ascii="Times New Roman" w:hAnsi="Times New Roman"/>
          <w:i/>
          <w:iCs/>
          <w:sz w:val="24"/>
        </w:rPr>
        <w:t>c'est</w:t>
      </w:r>
      <w:proofErr w:type="gramEnd"/>
      <w:r w:rsidRPr="00BF0F50">
        <w:rPr>
          <w:rFonts w:ascii="Times New Roman" w:hAnsi="Times New Roman"/>
          <w:i/>
          <w:iCs/>
          <w:sz w:val="24"/>
        </w:rPr>
        <w:t xml:space="preserve"> pas ma faute [...] sans rancune.»</w:t>
      </w:r>
      <w:r w:rsidR="0043419B">
        <w:rPr>
          <w:rFonts w:ascii="Times New Roman" w:hAnsi="Times New Roman"/>
          <w:sz w:val="24"/>
        </w:rPr>
        <w:t xml:space="preserve"> (</w:t>
      </w:r>
      <w:r w:rsidR="0043419B">
        <w:rPr>
          <w:rFonts w:ascii="Times New Roman" w:hAnsi="Times New Roman"/>
          <w:i/>
          <w:iCs/>
          <w:sz w:val="24"/>
        </w:rPr>
        <w:t xml:space="preserve">Ibid, </w:t>
      </w:r>
      <w:r w:rsidR="0043419B">
        <w:rPr>
          <w:rFonts w:ascii="Times New Roman" w:hAnsi="Times New Roman"/>
          <w:sz w:val="24"/>
        </w:rPr>
        <w:t>p.88).</w:t>
      </w:r>
      <w:r w:rsidRPr="00BF0F50">
        <w:rPr>
          <w:rFonts w:ascii="Times New Roman" w:hAnsi="Times New Roman"/>
          <w:i/>
          <w:iCs/>
          <w:sz w:val="24"/>
          <w:szCs w:val="28"/>
          <w:vertAlign w:val="superscript"/>
        </w:rPr>
        <w:t xml:space="preserve"> </w:t>
      </w:r>
    </w:p>
    <w:p w:rsidR="006A4EED" w:rsidRPr="00D43288" w:rsidRDefault="00D43288" w:rsidP="00D43288">
      <w:pPr>
        <w:spacing w:after="0" w:line="360" w:lineRule="auto"/>
        <w:ind w:firstLine="284"/>
        <w:jc w:val="both"/>
        <w:rPr>
          <w:sz w:val="24"/>
          <w:szCs w:val="24"/>
        </w:rPr>
      </w:pPr>
      <w:r>
        <w:rPr>
          <w:rFonts w:ascii="Times New Roman" w:hAnsi="Times New Roman"/>
          <w:sz w:val="24"/>
          <w:szCs w:val="24"/>
        </w:rPr>
        <w:t>À</w:t>
      </w:r>
      <w:r w:rsidR="006A4EED" w:rsidRPr="00D43288">
        <w:rPr>
          <w:rFonts w:ascii="Times New Roman" w:hAnsi="Times New Roman"/>
          <w:sz w:val="24"/>
          <w:szCs w:val="24"/>
        </w:rPr>
        <w:t xml:space="preserve"> la fin de l'acte III, la relation se transforme en reconnaissance : </w:t>
      </w:r>
      <w:r w:rsidR="006A4EED" w:rsidRPr="00D43288">
        <w:rPr>
          <w:rFonts w:ascii="Times New Roman" w:hAnsi="Times New Roman"/>
          <w:i/>
          <w:iCs/>
          <w:sz w:val="24"/>
          <w:szCs w:val="24"/>
        </w:rPr>
        <w:t>« Camarade on a tué, celui là qui voulait tout chambarder. »</w:t>
      </w:r>
      <w:r w:rsidR="0017604F" w:rsidRPr="00D43288">
        <w:rPr>
          <w:rFonts w:ascii="Times New Roman" w:hAnsi="Times New Roman"/>
          <w:sz w:val="24"/>
          <w:szCs w:val="24"/>
        </w:rPr>
        <w:t xml:space="preserve"> (</w:t>
      </w:r>
      <w:r w:rsidRPr="00193890">
        <w:rPr>
          <w:rFonts w:asciiTheme="majorBidi" w:hAnsiTheme="majorBidi" w:cstheme="majorBidi"/>
          <w:sz w:val="24"/>
          <w:szCs w:val="24"/>
        </w:rPr>
        <w:t xml:space="preserve">M. De Ghelderode, 1984, </w:t>
      </w:r>
      <w:r w:rsidR="0017604F" w:rsidRPr="00193890">
        <w:rPr>
          <w:rFonts w:ascii="Times New Roman" w:hAnsi="Times New Roman"/>
          <w:sz w:val="24"/>
          <w:szCs w:val="24"/>
        </w:rPr>
        <w:t>p</w:t>
      </w:r>
      <w:r w:rsidR="0017604F" w:rsidRPr="00D43288">
        <w:rPr>
          <w:rFonts w:ascii="Times New Roman" w:hAnsi="Times New Roman"/>
          <w:sz w:val="24"/>
          <w:szCs w:val="24"/>
        </w:rPr>
        <w:t>.126)</w:t>
      </w:r>
      <w:r w:rsidR="00193890">
        <w:rPr>
          <w:rFonts w:ascii="Times New Roman" w:hAnsi="Times New Roman"/>
          <w:sz w:val="24"/>
          <w:szCs w:val="24"/>
        </w:rPr>
        <w:t>.</w:t>
      </w:r>
    </w:p>
    <w:p w:rsidR="006A4EED" w:rsidRPr="00193890" w:rsidRDefault="00D43288" w:rsidP="00193890">
      <w:pPr>
        <w:spacing w:after="0" w:line="360" w:lineRule="auto"/>
        <w:ind w:firstLine="284"/>
        <w:jc w:val="both"/>
        <w:rPr>
          <w:rFonts w:ascii="Times New Roman" w:hAnsi="Times New Roman"/>
          <w:i/>
          <w:iCs/>
          <w:sz w:val="24"/>
          <w:szCs w:val="24"/>
        </w:rPr>
      </w:pPr>
      <w:r>
        <w:rPr>
          <w:rFonts w:ascii="Times New Roman" w:hAnsi="Times New Roman"/>
          <w:sz w:val="24"/>
          <w:szCs w:val="24"/>
        </w:rPr>
        <w:t xml:space="preserve">À </w:t>
      </w:r>
      <w:r w:rsidR="006A4EED" w:rsidRPr="00D43288">
        <w:rPr>
          <w:rFonts w:ascii="Times New Roman" w:hAnsi="Times New Roman"/>
          <w:sz w:val="24"/>
          <w:szCs w:val="24"/>
        </w:rPr>
        <w:t>la page 128</w:t>
      </w:r>
      <w:r w:rsidR="00193890">
        <w:rPr>
          <w:rFonts w:ascii="Times New Roman" w:hAnsi="Times New Roman"/>
          <w:sz w:val="24"/>
          <w:szCs w:val="24"/>
        </w:rPr>
        <w:t xml:space="preserve">, </w:t>
      </w:r>
      <w:r w:rsidR="006A4EED" w:rsidRPr="00D43288">
        <w:rPr>
          <w:rFonts w:ascii="Times New Roman" w:hAnsi="Times New Roman"/>
          <w:sz w:val="24"/>
          <w:szCs w:val="24"/>
        </w:rPr>
        <w:t xml:space="preserve">la relation va se transformer en passion : </w:t>
      </w:r>
      <w:r w:rsidR="006A4EED" w:rsidRPr="00D43288">
        <w:rPr>
          <w:rFonts w:ascii="Times New Roman" w:hAnsi="Times New Roman"/>
          <w:i/>
          <w:iCs/>
          <w:sz w:val="24"/>
          <w:szCs w:val="24"/>
        </w:rPr>
        <w:t xml:space="preserve">« ça m'est égal [...] hé Jésus je saigne aussi. Immobile le même jour, mais toi lu es mort pour quelque chose. Moi je meurs pour rien. C'est quand même à cause de toi ...pour toi...Jésus.» </w:t>
      </w:r>
      <w:r w:rsidR="00193890">
        <w:rPr>
          <w:rFonts w:ascii="Times New Roman" w:hAnsi="Times New Roman"/>
          <w:sz w:val="24"/>
          <w:szCs w:val="24"/>
        </w:rPr>
        <w:t>(</w:t>
      </w:r>
      <w:r w:rsidR="00193890" w:rsidRPr="00193890">
        <w:rPr>
          <w:rFonts w:asciiTheme="majorBidi" w:hAnsiTheme="majorBidi" w:cstheme="majorBidi"/>
          <w:sz w:val="24"/>
          <w:szCs w:val="24"/>
        </w:rPr>
        <w:t>M. De Ghelderode, 1984</w:t>
      </w:r>
      <w:r w:rsidR="00193890">
        <w:rPr>
          <w:rFonts w:asciiTheme="majorBidi" w:hAnsiTheme="majorBidi" w:cstheme="majorBidi"/>
          <w:sz w:val="24"/>
          <w:szCs w:val="24"/>
        </w:rPr>
        <w:t>).</w:t>
      </w:r>
      <w:r w:rsidR="00193890">
        <w:rPr>
          <w:rFonts w:ascii="Times New Roman" w:hAnsi="Times New Roman"/>
          <w:i/>
          <w:iCs/>
          <w:sz w:val="24"/>
          <w:szCs w:val="24"/>
        </w:rPr>
        <w:t xml:space="preserve"> </w:t>
      </w:r>
    </w:p>
    <w:p w:rsidR="006A4EED" w:rsidRPr="00EE6345" w:rsidRDefault="006A4EED" w:rsidP="006A4EED">
      <w:pPr>
        <w:spacing w:line="360" w:lineRule="auto"/>
        <w:jc w:val="both"/>
        <w:rPr>
          <w:rFonts w:ascii="Times New Roman" w:hAnsi="Times New Roman"/>
          <w:b/>
          <w:bCs/>
          <w:sz w:val="4"/>
          <w:szCs w:val="4"/>
        </w:rPr>
      </w:pPr>
    </w:p>
    <w:p w:rsidR="006A4EED" w:rsidRPr="00193890" w:rsidRDefault="00193890" w:rsidP="00193890">
      <w:pPr>
        <w:pStyle w:val="Titre5"/>
        <w:spacing w:before="0" w:after="0"/>
        <w:ind w:left="641" w:hanging="357"/>
        <w:jc w:val="both"/>
        <w:rPr>
          <w:rFonts w:ascii="Times New Roman" w:hAnsi="Times New Roman"/>
          <w:color w:val="auto"/>
        </w:rPr>
      </w:pPr>
      <w:bookmarkStart w:id="104" w:name="_Toc471484475"/>
      <w:r w:rsidRPr="00193890">
        <w:rPr>
          <w:rFonts w:ascii="Times New Roman" w:hAnsi="Times New Roman"/>
          <w:color w:val="auto"/>
        </w:rPr>
        <w:t>3.2. Barabbas</w:t>
      </w:r>
      <w:r w:rsidR="006A4EED" w:rsidRPr="00193890">
        <w:rPr>
          <w:rFonts w:ascii="Times New Roman" w:hAnsi="Times New Roman"/>
          <w:color w:val="auto"/>
        </w:rPr>
        <w:t xml:space="preserve"> - autres personnages (Apôtres, Judas, Barnum, Pitre, Larrons)</w:t>
      </w:r>
      <w:bookmarkEnd w:id="104"/>
    </w:p>
    <w:p w:rsidR="006A4EED" w:rsidRPr="000307F1" w:rsidRDefault="006A4EED" w:rsidP="00193890">
      <w:pPr>
        <w:spacing w:after="0" w:line="360" w:lineRule="auto"/>
        <w:ind w:firstLine="284"/>
        <w:jc w:val="both"/>
        <w:rPr>
          <w:rFonts w:ascii="Times New Roman" w:hAnsi="Times New Roman"/>
          <w:sz w:val="24"/>
          <w:szCs w:val="24"/>
        </w:rPr>
      </w:pPr>
      <w:r w:rsidRPr="000307F1">
        <w:rPr>
          <w:rFonts w:ascii="Times New Roman" w:hAnsi="Times New Roman"/>
          <w:sz w:val="24"/>
          <w:szCs w:val="24"/>
        </w:rPr>
        <w:t>Relation de mépris envers ces personnages pour leur lâcheté face aux événements.</w:t>
      </w:r>
      <w:r w:rsidR="00193890" w:rsidRPr="000307F1">
        <w:rPr>
          <w:rFonts w:ascii="Times New Roman" w:hAnsi="Times New Roman"/>
          <w:sz w:val="24"/>
          <w:szCs w:val="24"/>
        </w:rPr>
        <w:t xml:space="preserve"> </w:t>
      </w:r>
      <w:r w:rsidRPr="000307F1">
        <w:rPr>
          <w:rFonts w:ascii="Times New Roman" w:hAnsi="Times New Roman"/>
          <w:sz w:val="24"/>
          <w:szCs w:val="24"/>
        </w:rPr>
        <w:t xml:space="preserve">S'adressant aux apôtres, d'abord à Pierre : </w:t>
      </w:r>
      <w:r w:rsidRPr="000307F1">
        <w:rPr>
          <w:rFonts w:ascii="Times New Roman" w:hAnsi="Times New Roman"/>
          <w:i/>
          <w:iCs/>
          <w:sz w:val="24"/>
          <w:szCs w:val="24"/>
        </w:rPr>
        <w:t>« Tu n'es pas plus blanc qu'un autre, toi l'ami du Christ. Va-t-en. »</w:t>
      </w:r>
      <w:r w:rsidR="0017604F" w:rsidRPr="000307F1">
        <w:rPr>
          <w:rFonts w:ascii="Times New Roman" w:hAnsi="Times New Roman"/>
          <w:sz w:val="24"/>
          <w:szCs w:val="24"/>
        </w:rPr>
        <w:t xml:space="preserve"> (</w:t>
      </w:r>
      <w:r w:rsidR="00193890" w:rsidRPr="000307F1">
        <w:rPr>
          <w:rFonts w:ascii="Times New Roman" w:hAnsi="Times New Roman"/>
          <w:i/>
          <w:iCs/>
          <w:sz w:val="24"/>
          <w:szCs w:val="24"/>
        </w:rPr>
        <w:t xml:space="preserve">Ibid, </w:t>
      </w:r>
      <w:r w:rsidR="0017604F" w:rsidRPr="000307F1">
        <w:rPr>
          <w:rFonts w:ascii="Times New Roman" w:hAnsi="Times New Roman"/>
          <w:sz w:val="24"/>
          <w:szCs w:val="24"/>
        </w:rPr>
        <w:t>p.120)</w:t>
      </w:r>
      <w:r w:rsidR="00193890" w:rsidRPr="000307F1">
        <w:rPr>
          <w:rFonts w:ascii="Times New Roman" w:hAnsi="Times New Roman"/>
          <w:sz w:val="24"/>
          <w:szCs w:val="24"/>
        </w:rPr>
        <w:t>.</w:t>
      </w:r>
    </w:p>
    <w:p w:rsidR="006A4EED" w:rsidRPr="000307F1" w:rsidRDefault="000307F1" w:rsidP="000307F1">
      <w:pPr>
        <w:spacing w:after="0" w:line="360" w:lineRule="auto"/>
        <w:ind w:firstLine="284"/>
        <w:jc w:val="both"/>
        <w:rPr>
          <w:rFonts w:ascii="Times New Roman" w:hAnsi="Times New Roman"/>
          <w:sz w:val="24"/>
          <w:szCs w:val="24"/>
          <w:vertAlign w:val="superscript"/>
        </w:rPr>
      </w:pPr>
      <w:r w:rsidRPr="000307F1">
        <w:rPr>
          <w:rFonts w:ascii="Times New Roman" w:hAnsi="Times New Roman"/>
          <w:sz w:val="24"/>
          <w:szCs w:val="24"/>
        </w:rPr>
        <w:t>À</w:t>
      </w:r>
      <w:r w:rsidR="006A4EED" w:rsidRPr="000307F1">
        <w:rPr>
          <w:rFonts w:ascii="Times New Roman" w:hAnsi="Times New Roman"/>
          <w:sz w:val="24"/>
          <w:szCs w:val="24"/>
        </w:rPr>
        <w:t xml:space="preserve"> Judas, il reproche : </w:t>
      </w:r>
      <w:r w:rsidR="006A4EED" w:rsidRPr="000307F1">
        <w:rPr>
          <w:rFonts w:ascii="Times New Roman" w:hAnsi="Times New Roman"/>
          <w:i/>
          <w:iCs/>
          <w:sz w:val="24"/>
          <w:szCs w:val="24"/>
        </w:rPr>
        <w:t>« Arrière mouche à merde.»</w:t>
      </w:r>
      <w:r w:rsidR="0017604F" w:rsidRPr="000307F1">
        <w:rPr>
          <w:rFonts w:ascii="Times New Roman" w:hAnsi="Times New Roman"/>
          <w:sz w:val="24"/>
          <w:szCs w:val="24"/>
        </w:rPr>
        <w:t xml:space="preserve"> (</w:t>
      </w:r>
      <w:r w:rsidRPr="000307F1">
        <w:rPr>
          <w:rFonts w:ascii="Times New Roman" w:hAnsi="Times New Roman"/>
          <w:i/>
          <w:iCs/>
          <w:sz w:val="24"/>
          <w:szCs w:val="24"/>
        </w:rPr>
        <w:t xml:space="preserve">Ibid, </w:t>
      </w:r>
      <w:r w:rsidR="0017604F" w:rsidRPr="000307F1">
        <w:rPr>
          <w:rFonts w:ascii="Times New Roman" w:hAnsi="Times New Roman"/>
          <w:sz w:val="24"/>
          <w:szCs w:val="24"/>
        </w:rPr>
        <w:t>p.105)</w:t>
      </w:r>
      <w:r w:rsidRPr="000307F1">
        <w:rPr>
          <w:rFonts w:ascii="Times New Roman" w:hAnsi="Times New Roman"/>
          <w:sz w:val="24"/>
          <w:szCs w:val="24"/>
        </w:rPr>
        <w:t>.</w:t>
      </w:r>
    </w:p>
    <w:p w:rsidR="006A4EED" w:rsidRPr="000307F1" w:rsidRDefault="006A4EED" w:rsidP="00193890">
      <w:pPr>
        <w:spacing w:after="0" w:line="360" w:lineRule="auto"/>
        <w:ind w:firstLine="284"/>
        <w:jc w:val="both"/>
        <w:rPr>
          <w:rFonts w:ascii="Times New Roman" w:hAnsi="Times New Roman"/>
          <w:sz w:val="24"/>
          <w:szCs w:val="24"/>
        </w:rPr>
      </w:pPr>
      <w:r w:rsidRPr="000307F1">
        <w:rPr>
          <w:rFonts w:ascii="Times New Roman" w:hAnsi="Times New Roman"/>
          <w:sz w:val="24"/>
          <w:szCs w:val="24"/>
        </w:rPr>
        <w:t xml:space="preserve">Au Barnum il déclare : </w:t>
      </w:r>
      <w:r w:rsidRPr="000307F1">
        <w:rPr>
          <w:rFonts w:ascii="Times New Roman" w:hAnsi="Times New Roman"/>
          <w:i/>
          <w:iCs/>
          <w:sz w:val="24"/>
          <w:szCs w:val="24"/>
        </w:rPr>
        <w:t>« Il est probable que les gens aimeraient tes mimiques comateuses. Je te saignerai comme un goret.»</w:t>
      </w:r>
      <w:r w:rsidR="0017604F" w:rsidRPr="000307F1">
        <w:rPr>
          <w:rFonts w:ascii="Times New Roman" w:hAnsi="Times New Roman"/>
          <w:sz w:val="24"/>
          <w:szCs w:val="24"/>
        </w:rPr>
        <w:t xml:space="preserve"> (</w:t>
      </w:r>
      <w:r w:rsidR="000307F1" w:rsidRPr="000307F1">
        <w:rPr>
          <w:rFonts w:ascii="Times New Roman" w:hAnsi="Times New Roman"/>
          <w:i/>
          <w:iCs/>
          <w:sz w:val="24"/>
          <w:szCs w:val="24"/>
        </w:rPr>
        <w:t xml:space="preserve">Ibid, </w:t>
      </w:r>
      <w:r w:rsidR="0017604F" w:rsidRPr="000307F1">
        <w:rPr>
          <w:rFonts w:ascii="Times New Roman" w:hAnsi="Times New Roman"/>
          <w:sz w:val="24"/>
          <w:szCs w:val="24"/>
        </w:rPr>
        <w:t>p.111)</w:t>
      </w:r>
      <w:r w:rsidR="000307F1" w:rsidRPr="000307F1">
        <w:rPr>
          <w:rFonts w:ascii="Times New Roman" w:hAnsi="Times New Roman"/>
          <w:sz w:val="24"/>
          <w:szCs w:val="24"/>
        </w:rPr>
        <w:t>.</w:t>
      </w:r>
    </w:p>
    <w:p w:rsidR="006A4EED" w:rsidRPr="000307F1" w:rsidRDefault="006A4EED" w:rsidP="00B373A5">
      <w:pPr>
        <w:spacing w:after="0" w:line="360" w:lineRule="auto"/>
        <w:ind w:firstLine="284"/>
        <w:jc w:val="both"/>
        <w:rPr>
          <w:rFonts w:ascii="Times New Roman" w:hAnsi="Times New Roman"/>
          <w:sz w:val="24"/>
          <w:szCs w:val="24"/>
        </w:rPr>
      </w:pPr>
      <w:r w:rsidRPr="000307F1">
        <w:rPr>
          <w:rFonts w:ascii="Times New Roman" w:hAnsi="Times New Roman"/>
          <w:sz w:val="24"/>
          <w:szCs w:val="24"/>
        </w:rPr>
        <w:lastRenderedPageBreak/>
        <w:t xml:space="preserve">Au pitre, il reproche son insensible légèreté face aux événements : </w:t>
      </w:r>
      <w:r w:rsidRPr="000307F1">
        <w:rPr>
          <w:rFonts w:ascii="Times New Roman" w:hAnsi="Times New Roman"/>
          <w:i/>
          <w:iCs/>
          <w:sz w:val="24"/>
          <w:szCs w:val="24"/>
        </w:rPr>
        <w:t>« Il me faudrait des clous et un marteau, je le clouerai contre la cloison comme une chauve souris»</w:t>
      </w:r>
      <w:r w:rsidR="0017604F" w:rsidRPr="000307F1">
        <w:rPr>
          <w:rFonts w:ascii="Times New Roman" w:hAnsi="Times New Roman"/>
          <w:sz w:val="24"/>
          <w:szCs w:val="24"/>
        </w:rPr>
        <w:t xml:space="preserve"> (</w:t>
      </w:r>
      <w:r w:rsidR="002D703A">
        <w:rPr>
          <w:rFonts w:ascii="Times New Roman" w:hAnsi="Times New Roman"/>
          <w:i/>
          <w:iCs/>
          <w:sz w:val="24"/>
          <w:szCs w:val="24"/>
        </w:rPr>
        <w:t xml:space="preserve">Ibid, </w:t>
      </w:r>
      <w:r w:rsidR="0017604F" w:rsidRPr="000307F1">
        <w:rPr>
          <w:rFonts w:ascii="Times New Roman" w:hAnsi="Times New Roman"/>
          <w:sz w:val="24"/>
          <w:szCs w:val="24"/>
        </w:rPr>
        <w:t>p.113)</w:t>
      </w:r>
      <w:r w:rsidR="002D703A">
        <w:rPr>
          <w:rFonts w:ascii="Times New Roman" w:hAnsi="Times New Roman"/>
          <w:sz w:val="24"/>
          <w:szCs w:val="24"/>
        </w:rPr>
        <w:t>.</w:t>
      </w:r>
      <w:r w:rsidRPr="000307F1">
        <w:rPr>
          <w:rFonts w:ascii="Times New Roman" w:hAnsi="Times New Roman"/>
          <w:sz w:val="24"/>
          <w:szCs w:val="24"/>
        </w:rPr>
        <w:t xml:space="preserve"> </w:t>
      </w:r>
    </w:p>
    <w:p w:rsidR="00BF740B" w:rsidRDefault="00BF740B" w:rsidP="00BF740B">
      <w:pPr>
        <w:pStyle w:val="Titre5"/>
        <w:spacing w:before="0" w:after="0"/>
        <w:ind w:left="641" w:hanging="357"/>
        <w:jc w:val="both"/>
        <w:rPr>
          <w:rFonts w:ascii="Times New Roman" w:hAnsi="Times New Roman"/>
          <w:color w:val="auto"/>
        </w:rPr>
      </w:pPr>
    </w:p>
    <w:p w:rsidR="006A4EED" w:rsidRPr="00BF740B" w:rsidRDefault="00BF740B" w:rsidP="00BF740B">
      <w:pPr>
        <w:pStyle w:val="Titre5"/>
        <w:spacing w:before="0" w:after="0"/>
        <w:ind w:left="641" w:hanging="357"/>
        <w:jc w:val="both"/>
        <w:rPr>
          <w:rFonts w:ascii="Times New Roman" w:hAnsi="Times New Roman"/>
          <w:color w:val="auto"/>
        </w:rPr>
      </w:pPr>
      <w:bookmarkStart w:id="105" w:name="_Toc471484476"/>
      <w:r w:rsidRPr="00BF740B">
        <w:rPr>
          <w:rFonts w:ascii="Times New Roman" w:hAnsi="Times New Roman"/>
          <w:color w:val="auto"/>
        </w:rPr>
        <w:t>3.3. Barabbas</w:t>
      </w:r>
      <w:r w:rsidR="006A4EED" w:rsidRPr="00BF740B">
        <w:rPr>
          <w:rFonts w:ascii="Times New Roman" w:hAnsi="Times New Roman"/>
          <w:color w:val="auto"/>
        </w:rPr>
        <w:t xml:space="preserve"> et les personnages représentant l'autorité politique et religieuse</w:t>
      </w:r>
      <w:bookmarkEnd w:id="105"/>
    </w:p>
    <w:p w:rsidR="006A4EED" w:rsidRPr="00E0371F" w:rsidRDefault="006A4EED" w:rsidP="00E0371F">
      <w:pPr>
        <w:pStyle w:val="Titre6"/>
        <w:spacing w:before="0" w:after="0" w:line="360" w:lineRule="auto"/>
        <w:ind w:firstLine="284"/>
        <w:jc w:val="both"/>
        <w:rPr>
          <w:i w:val="0"/>
          <w:iCs/>
          <w:sz w:val="24"/>
          <w:szCs w:val="24"/>
          <w:u w:val="none"/>
        </w:rPr>
      </w:pPr>
      <w:r w:rsidRPr="00BF740B">
        <w:rPr>
          <w:b/>
          <w:bCs w:val="0"/>
          <w:i w:val="0"/>
          <w:iCs/>
          <w:sz w:val="24"/>
          <w:szCs w:val="24"/>
        </w:rPr>
        <w:t>Barabbas-Hérode</w:t>
      </w:r>
      <w:r w:rsidR="00BF740B">
        <w:rPr>
          <w:b/>
          <w:bCs w:val="0"/>
          <w:i w:val="0"/>
          <w:iCs/>
          <w:sz w:val="24"/>
          <w:szCs w:val="24"/>
        </w:rPr>
        <w:t> </w:t>
      </w:r>
      <w:r w:rsidR="00BF740B">
        <w:rPr>
          <w:b/>
          <w:bCs w:val="0"/>
          <w:i w:val="0"/>
          <w:iCs/>
          <w:sz w:val="24"/>
          <w:szCs w:val="24"/>
          <w:u w:val="none"/>
        </w:rPr>
        <w:t xml:space="preserve">: </w:t>
      </w:r>
      <w:r w:rsidRPr="00E0371F">
        <w:rPr>
          <w:i w:val="0"/>
          <w:iCs/>
          <w:sz w:val="24"/>
          <w:szCs w:val="24"/>
          <w:u w:val="none"/>
        </w:rPr>
        <w:t xml:space="preserve">Une certaine estime naît entre les deux hommes : « </w:t>
      </w:r>
      <w:r w:rsidRPr="00E0371F">
        <w:rPr>
          <w:sz w:val="24"/>
          <w:szCs w:val="24"/>
          <w:u w:val="none"/>
        </w:rPr>
        <w:t>Je suis ému de te revoir, loi qui me portas tant d'intérêts</w:t>
      </w:r>
      <w:r w:rsidRPr="00E0371F">
        <w:rPr>
          <w:i w:val="0"/>
          <w:iCs/>
          <w:sz w:val="24"/>
          <w:szCs w:val="24"/>
          <w:u w:val="none"/>
        </w:rPr>
        <w:t>»</w:t>
      </w:r>
      <w:r w:rsidR="0017604F" w:rsidRPr="00E0371F">
        <w:rPr>
          <w:i w:val="0"/>
          <w:iCs/>
          <w:sz w:val="24"/>
          <w:szCs w:val="24"/>
          <w:u w:val="none"/>
        </w:rPr>
        <w:t xml:space="preserve"> (</w:t>
      </w:r>
      <w:r w:rsidR="00E0371F" w:rsidRPr="00E0371F">
        <w:rPr>
          <w:sz w:val="24"/>
          <w:szCs w:val="24"/>
          <w:u w:val="none"/>
        </w:rPr>
        <w:t>Ibid</w:t>
      </w:r>
      <w:r w:rsidR="00E0371F">
        <w:rPr>
          <w:i w:val="0"/>
          <w:iCs/>
          <w:sz w:val="24"/>
          <w:szCs w:val="24"/>
          <w:u w:val="none"/>
        </w:rPr>
        <w:t xml:space="preserve">, </w:t>
      </w:r>
      <w:r w:rsidR="0017604F" w:rsidRPr="00E0371F">
        <w:rPr>
          <w:i w:val="0"/>
          <w:iCs/>
          <w:sz w:val="24"/>
          <w:szCs w:val="24"/>
          <w:u w:val="none"/>
        </w:rPr>
        <w:t>p.114)</w:t>
      </w:r>
      <w:r w:rsidR="00E0371F">
        <w:rPr>
          <w:i w:val="0"/>
          <w:iCs/>
          <w:sz w:val="24"/>
          <w:szCs w:val="24"/>
          <w:u w:val="none"/>
        </w:rPr>
        <w:t xml:space="preserve">. </w:t>
      </w:r>
      <w:r w:rsidRPr="00E0371F">
        <w:rPr>
          <w:i w:val="0"/>
          <w:iCs/>
          <w:sz w:val="24"/>
          <w:szCs w:val="24"/>
          <w:u w:val="none"/>
        </w:rPr>
        <w:t xml:space="preserve">Hérode se lance dans un répertoire de compliments : « </w:t>
      </w:r>
      <w:r w:rsidR="00E0371F" w:rsidRPr="00E0371F">
        <w:rPr>
          <w:sz w:val="24"/>
          <w:szCs w:val="24"/>
          <w:u w:val="none"/>
        </w:rPr>
        <w:t>[</w:t>
      </w:r>
      <w:r w:rsidRPr="00E0371F">
        <w:rPr>
          <w:sz w:val="24"/>
          <w:szCs w:val="24"/>
          <w:u w:val="none"/>
        </w:rPr>
        <w:t>...</w:t>
      </w:r>
      <w:r w:rsidR="00E0371F" w:rsidRPr="00E0371F">
        <w:rPr>
          <w:sz w:val="24"/>
          <w:szCs w:val="24"/>
          <w:u w:val="none"/>
        </w:rPr>
        <w:t>]</w:t>
      </w:r>
      <w:r w:rsidRPr="00E0371F">
        <w:rPr>
          <w:sz w:val="24"/>
          <w:szCs w:val="24"/>
          <w:u w:val="none"/>
        </w:rPr>
        <w:t xml:space="preserve"> Je t'aime Barabbas, toi le repris de justice le cheval de retour, tes excentricités sont la preuve de ton original caractère</w:t>
      </w:r>
      <w:r w:rsidRPr="00E0371F">
        <w:rPr>
          <w:i w:val="0"/>
          <w:iCs/>
          <w:sz w:val="24"/>
          <w:szCs w:val="24"/>
          <w:u w:val="none"/>
        </w:rPr>
        <w:t>»</w:t>
      </w:r>
      <w:r w:rsidR="0017604F" w:rsidRPr="00E0371F">
        <w:rPr>
          <w:i w:val="0"/>
          <w:iCs/>
          <w:sz w:val="24"/>
          <w:szCs w:val="24"/>
          <w:u w:val="none"/>
        </w:rPr>
        <w:t xml:space="preserve"> (</w:t>
      </w:r>
      <w:r w:rsidR="00E0371F">
        <w:rPr>
          <w:sz w:val="24"/>
          <w:szCs w:val="24"/>
          <w:u w:val="none"/>
        </w:rPr>
        <w:t xml:space="preserve">Ibid, </w:t>
      </w:r>
      <w:r w:rsidR="0017604F" w:rsidRPr="00E0371F">
        <w:rPr>
          <w:i w:val="0"/>
          <w:iCs/>
          <w:sz w:val="24"/>
          <w:szCs w:val="24"/>
          <w:u w:val="none"/>
        </w:rPr>
        <w:t>p.114)</w:t>
      </w:r>
      <w:r w:rsidR="00E0371F">
        <w:rPr>
          <w:i w:val="0"/>
          <w:iCs/>
          <w:sz w:val="24"/>
          <w:szCs w:val="24"/>
          <w:u w:val="none"/>
        </w:rPr>
        <w:t>.</w:t>
      </w:r>
    </w:p>
    <w:p w:rsidR="006A4EED" w:rsidRPr="0043419B" w:rsidRDefault="006A4EED" w:rsidP="0043419B">
      <w:pPr>
        <w:pStyle w:val="Titre6"/>
        <w:spacing w:before="0" w:after="0" w:line="360" w:lineRule="auto"/>
        <w:ind w:firstLine="284"/>
        <w:jc w:val="both"/>
        <w:rPr>
          <w:i w:val="0"/>
          <w:iCs/>
          <w:u w:val="none"/>
        </w:rPr>
      </w:pPr>
      <w:r w:rsidRPr="00513B5C">
        <w:rPr>
          <w:b/>
          <w:bCs w:val="0"/>
          <w:i w:val="0"/>
          <w:iCs/>
          <w:sz w:val="24"/>
          <w:szCs w:val="24"/>
        </w:rPr>
        <w:t>Barabbas et l'autorité religieuse</w:t>
      </w:r>
      <w:r w:rsidR="0043419B">
        <w:rPr>
          <w:b/>
          <w:bCs w:val="0"/>
          <w:i w:val="0"/>
          <w:iCs/>
          <w:sz w:val="24"/>
          <w:szCs w:val="24"/>
        </w:rPr>
        <w:t> </w:t>
      </w:r>
      <w:r w:rsidR="0043419B">
        <w:rPr>
          <w:b/>
          <w:bCs w:val="0"/>
          <w:i w:val="0"/>
          <w:iCs/>
          <w:sz w:val="24"/>
          <w:szCs w:val="24"/>
          <w:u w:val="none"/>
        </w:rPr>
        <w:t xml:space="preserve">: </w:t>
      </w:r>
      <w:r w:rsidRPr="0043419B">
        <w:rPr>
          <w:i w:val="0"/>
          <w:iCs/>
          <w:sz w:val="24"/>
          <w:szCs w:val="24"/>
          <w:u w:val="none"/>
        </w:rPr>
        <w:t>C'est une relation d'intérêt pour Caïphe. Barabbas sert les desseins de l'ordre religieux, celui de condamner Jésus à l'insu de l'autorité politique. Barabbas compose dès lors avec les prêtres afin de retrouver sa liberté. Compromissions, complots, chantages, pressions, haines et intérêts sordides alimentent le conflit que se livrent sans scrupules les deux entités politiques et religieuse</w:t>
      </w:r>
      <w:r w:rsidR="0043419B">
        <w:rPr>
          <w:i w:val="0"/>
          <w:iCs/>
          <w:sz w:val="24"/>
          <w:szCs w:val="24"/>
          <w:u w:val="none"/>
        </w:rPr>
        <w:t xml:space="preserve">. </w:t>
      </w:r>
    </w:p>
    <w:p w:rsidR="006A4EED" w:rsidRPr="003B00C8" w:rsidRDefault="006A4EED" w:rsidP="006A4EED">
      <w:pPr>
        <w:spacing w:line="360" w:lineRule="auto"/>
        <w:jc w:val="both"/>
        <w:rPr>
          <w:rFonts w:ascii="Times New Roman" w:hAnsi="Times New Roman"/>
          <w:sz w:val="24"/>
          <w:szCs w:val="24"/>
        </w:rPr>
      </w:pPr>
    </w:p>
    <w:p w:rsidR="006A4EED" w:rsidRPr="00325A24" w:rsidRDefault="006A4EED" w:rsidP="008A01B7">
      <w:pPr>
        <w:spacing w:after="0" w:line="360" w:lineRule="auto"/>
        <w:ind w:firstLine="284"/>
        <w:jc w:val="both"/>
        <w:rPr>
          <w:rFonts w:ascii="Times New Roman" w:hAnsi="Times New Roman"/>
          <w:sz w:val="24"/>
          <w:szCs w:val="24"/>
        </w:rPr>
      </w:pPr>
      <w:r w:rsidRPr="003B00C8">
        <w:rPr>
          <w:rFonts w:ascii="Times New Roman" w:hAnsi="Times New Roman"/>
          <w:sz w:val="24"/>
          <w:szCs w:val="24"/>
        </w:rPr>
        <w:t>Après ce passage en revue des personnages et de leur dynamique, intéressons nous à présent à la logique des séquences afin de comprendre la narratologie qui est celle de l’auteur</w:t>
      </w:r>
    </w:p>
    <w:p w:rsidR="00F64264" w:rsidRDefault="00F64264" w:rsidP="00F64264">
      <w:pPr>
        <w:pStyle w:val="Titre3"/>
        <w:spacing w:before="0" w:after="0" w:line="360" w:lineRule="auto"/>
        <w:ind w:left="641" w:hanging="357"/>
        <w:jc w:val="both"/>
        <w:rPr>
          <w:rFonts w:ascii="Times New Roman" w:hAnsi="Times New Roman" w:cs="Times New Roman"/>
          <w:sz w:val="24"/>
          <w:szCs w:val="24"/>
        </w:rPr>
      </w:pPr>
    </w:p>
    <w:p w:rsidR="006A4EED" w:rsidRPr="00F64264" w:rsidRDefault="00F64264" w:rsidP="00F64264">
      <w:pPr>
        <w:pStyle w:val="Titre3"/>
        <w:spacing w:before="0" w:after="0" w:line="360" w:lineRule="auto"/>
        <w:ind w:left="641" w:hanging="357"/>
        <w:jc w:val="both"/>
        <w:rPr>
          <w:rFonts w:ascii="Times New Roman" w:hAnsi="Times New Roman" w:cs="Times New Roman"/>
          <w:sz w:val="24"/>
          <w:szCs w:val="24"/>
        </w:rPr>
      </w:pPr>
      <w:bookmarkStart w:id="106" w:name="_Toc471484477"/>
      <w:r w:rsidRPr="00F64264">
        <w:rPr>
          <w:rFonts w:ascii="Times New Roman" w:hAnsi="Times New Roman" w:cs="Times New Roman"/>
          <w:sz w:val="24"/>
          <w:szCs w:val="24"/>
        </w:rPr>
        <w:t>4. La</w:t>
      </w:r>
      <w:r w:rsidR="006A4EED" w:rsidRPr="00F64264">
        <w:rPr>
          <w:rFonts w:ascii="Times New Roman" w:hAnsi="Times New Roman" w:cs="Times New Roman"/>
          <w:sz w:val="24"/>
          <w:szCs w:val="24"/>
        </w:rPr>
        <w:t xml:space="preserve"> logique des séquences</w:t>
      </w:r>
      <w:bookmarkEnd w:id="106"/>
    </w:p>
    <w:p w:rsidR="006A4EED" w:rsidRPr="00A62D0A" w:rsidRDefault="00F64264" w:rsidP="00F64264">
      <w:pPr>
        <w:pStyle w:val="Titre4"/>
        <w:spacing w:before="0" w:after="0" w:line="360" w:lineRule="auto"/>
        <w:ind w:left="641" w:hanging="357"/>
        <w:jc w:val="both"/>
        <w:rPr>
          <w:rFonts w:ascii="Times New Roman" w:hAnsi="Times New Roman"/>
          <w:i w:val="0"/>
          <w:iCs/>
        </w:rPr>
      </w:pPr>
      <w:bookmarkStart w:id="107" w:name="_Toc471484478"/>
      <w:r>
        <w:rPr>
          <w:rFonts w:ascii="Times New Roman" w:hAnsi="Times New Roman"/>
          <w:i w:val="0"/>
          <w:iCs/>
        </w:rPr>
        <w:t>4.1.</w:t>
      </w:r>
      <w:r w:rsidRPr="00A62D0A">
        <w:rPr>
          <w:rFonts w:ascii="Times New Roman" w:hAnsi="Times New Roman"/>
          <w:i w:val="0"/>
          <w:iCs/>
        </w:rPr>
        <w:t xml:space="preserve"> Identification</w:t>
      </w:r>
      <w:r w:rsidR="006A4EED" w:rsidRPr="00A62D0A">
        <w:rPr>
          <w:rFonts w:ascii="Times New Roman" w:hAnsi="Times New Roman"/>
          <w:i w:val="0"/>
          <w:iCs/>
        </w:rPr>
        <w:t xml:space="preserve"> des séquences</w:t>
      </w:r>
      <w:bookmarkEnd w:id="107"/>
      <w:r w:rsidR="006A4EED" w:rsidRPr="00A62D0A">
        <w:rPr>
          <w:rFonts w:ascii="Times New Roman" w:hAnsi="Times New Roman"/>
          <w:i w:val="0"/>
          <w:iCs/>
        </w:rPr>
        <w:t xml:space="preserve"> </w:t>
      </w:r>
    </w:p>
    <w:p w:rsidR="006A4EED" w:rsidRPr="00F64264" w:rsidRDefault="006A4EED" w:rsidP="00F64264">
      <w:pPr>
        <w:autoSpaceDE w:val="0"/>
        <w:autoSpaceDN w:val="0"/>
        <w:adjustRightInd w:val="0"/>
        <w:spacing w:after="0" w:line="360" w:lineRule="auto"/>
        <w:ind w:firstLine="284"/>
        <w:jc w:val="both"/>
        <w:rPr>
          <w:rFonts w:asciiTheme="majorBidi" w:hAnsiTheme="majorBidi" w:cstheme="majorBidi"/>
          <w:sz w:val="24"/>
          <w:szCs w:val="24"/>
        </w:rPr>
      </w:pPr>
      <w:r w:rsidRPr="00F64264">
        <w:rPr>
          <w:rFonts w:ascii="Times New Roman" w:hAnsi="Times New Roman"/>
          <w:color w:val="000000"/>
          <w:sz w:val="24"/>
          <w:szCs w:val="24"/>
        </w:rPr>
        <w:t xml:space="preserve">Dans son article </w:t>
      </w:r>
      <w:r w:rsidR="00F64264">
        <w:rPr>
          <w:rFonts w:ascii="Times New Roman" w:hAnsi="Times New Roman"/>
          <w:color w:val="000000"/>
          <w:sz w:val="24"/>
          <w:szCs w:val="24"/>
        </w:rPr>
        <w:t>« </w:t>
      </w:r>
      <w:r w:rsidRPr="00F64264">
        <w:rPr>
          <w:rFonts w:ascii="Times New Roman" w:hAnsi="Times New Roman"/>
          <w:color w:val="000000"/>
          <w:sz w:val="24"/>
          <w:szCs w:val="24"/>
        </w:rPr>
        <w:t>Introduction à l’analyse structurale du récit</w:t>
      </w:r>
      <w:r w:rsidR="00F64264">
        <w:rPr>
          <w:rFonts w:ascii="Times New Roman" w:hAnsi="Times New Roman"/>
          <w:color w:val="000000"/>
          <w:sz w:val="24"/>
          <w:szCs w:val="24"/>
        </w:rPr>
        <w:t> »</w:t>
      </w:r>
      <w:r w:rsidRPr="00F64264">
        <w:rPr>
          <w:rFonts w:ascii="Times New Roman" w:hAnsi="Times New Roman"/>
          <w:color w:val="000000"/>
          <w:sz w:val="24"/>
          <w:szCs w:val="24"/>
          <w:vertAlign w:val="superscript"/>
        </w:rPr>
        <w:footnoteReference w:id="189"/>
      </w:r>
      <w:r w:rsidR="00F64264">
        <w:rPr>
          <w:rFonts w:ascii="Times New Roman" w:hAnsi="Times New Roman"/>
          <w:color w:val="000000"/>
          <w:sz w:val="24"/>
          <w:szCs w:val="24"/>
        </w:rPr>
        <w:t xml:space="preserve">, </w:t>
      </w:r>
      <w:r w:rsidRPr="00F64264">
        <w:rPr>
          <w:rFonts w:ascii="Times New Roman" w:hAnsi="Times New Roman"/>
          <w:color w:val="000000"/>
          <w:sz w:val="24"/>
          <w:szCs w:val="24"/>
        </w:rPr>
        <w:t xml:space="preserve">Roland Barthes définit la séquence </w:t>
      </w:r>
      <w:r w:rsidRPr="00F64264">
        <w:rPr>
          <w:rFonts w:asciiTheme="majorBidi" w:hAnsiTheme="majorBidi" w:cstheme="majorBidi"/>
          <w:color w:val="000000"/>
          <w:sz w:val="24"/>
          <w:szCs w:val="24"/>
        </w:rPr>
        <w:t>comme</w:t>
      </w:r>
      <w:r w:rsidR="00F64264" w:rsidRPr="00F64264">
        <w:rPr>
          <w:rFonts w:asciiTheme="majorBidi" w:hAnsiTheme="majorBidi" w:cstheme="majorBidi"/>
          <w:color w:val="000000"/>
          <w:sz w:val="24"/>
          <w:szCs w:val="24"/>
        </w:rPr>
        <w:t xml:space="preserve"> « </w:t>
      </w:r>
      <w:r w:rsidR="00F64264">
        <w:rPr>
          <w:rFonts w:asciiTheme="majorBidi" w:hAnsiTheme="majorBidi" w:cstheme="majorBidi"/>
          <w:color w:val="000000"/>
          <w:sz w:val="24"/>
          <w:szCs w:val="24"/>
        </w:rPr>
        <w:t>u</w:t>
      </w:r>
      <w:r w:rsidR="0017604F" w:rsidRPr="00F64264">
        <w:rPr>
          <w:rFonts w:asciiTheme="majorBidi" w:hAnsiTheme="majorBidi" w:cstheme="majorBidi"/>
          <w:sz w:val="24"/>
          <w:szCs w:val="24"/>
        </w:rPr>
        <w:t>ne</w:t>
      </w:r>
      <w:r w:rsidRPr="00F64264">
        <w:rPr>
          <w:rFonts w:asciiTheme="majorBidi" w:hAnsiTheme="majorBidi" w:cstheme="majorBidi"/>
          <w:sz w:val="24"/>
          <w:szCs w:val="24"/>
        </w:rPr>
        <w:t xml:space="preserve"> suite logique de noyaux, unis entre eux par une relation de solidarité: la séquence s’ouvre lorsque l’un de ses termes n’a point d’antécédent solidaire et elle se ferme lorsqu’un autre de ses termes n’a plus de conséquent</w:t>
      </w:r>
      <w:r w:rsidR="00F64264" w:rsidRPr="00F64264">
        <w:rPr>
          <w:rFonts w:asciiTheme="majorBidi" w:hAnsiTheme="majorBidi" w:cstheme="majorBidi"/>
          <w:sz w:val="24"/>
          <w:szCs w:val="24"/>
        </w:rPr>
        <w:t> »</w:t>
      </w:r>
      <w:r w:rsidRPr="00F64264">
        <w:rPr>
          <w:rFonts w:asciiTheme="majorBidi" w:hAnsiTheme="majorBidi" w:cstheme="majorBidi"/>
          <w:sz w:val="24"/>
          <w:szCs w:val="24"/>
          <w:vertAlign w:val="superscript"/>
        </w:rPr>
        <w:footnoteReference w:id="190"/>
      </w:r>
      <w:r w:rsidRPr="00F64264">
        <w:rPr>
          <w:rFonts w:asciiTheme="majorBidi" w:hAnsiTheme="majorBidi" w:cstheme="majorBidi"/>
          <w:sz w:val="24"/>
          <w:szCs w:val="24"/>
        </w:rPr>
        <w:t>.</w:t>
      </w:r>
    </w:p>
    <w:p w:rsidR="006A4EED" w:rsidRPr="0042056A" w:rsidRDefault="006A4EED" w:rsidP="0042056A">
      <w:pPr>
        <w:autoSpaceDE w:val="0"/>
        <w:autoSpaceDN w:val="0"/>
        <w:adjustRightInd w:val="0"/>
        <w:spacing w:after="0" w:line="360" w:lineRule="auto"/>
        <w:ind w:firstLine="284"/>
        <w:jc w:val="both"/>
        <w:rPr>
          <w:rFonts w:ascii="Times New Roman" w:hAnsi="Times New Roman"/>
          <w:iCs/>
          <w:color w:val="000000"/>
          <w:sz w:val="24"/>
          <w:szCs w:val="24"/>
        </w:rPr>
      </w:pPr>
      <w:r w:rsidRPr="0042056A">
        <w:rPr>
          <w:rFonts w:ascii="Times New Roman" w:hAnsi="Times New Roman"/>
          <w:color w:val="000000"/>
          <w:sz w:val="24"/>
          <w:szCs w:val="24"/>
        </w:rPr>
        <w:lastRenderedPageBreak/>
        <w:t xml:space="preserve">Bremond continue dans la même logique en réalisant </w:t>
      </w:r>
      <w:r w:rsidRPr="0042056A">
        <w:rPr>
          <w:rFonts w:ascii="Times New Roman" w:hAnsi="Times New Roman"/>
          <w:iCs/>
          <w:color w:val="000000"/>
          <w:sz w:val="24"/>
          <w:szCs w:val="24"/>
        </w:rPr>
        <w:t>un premier groupement de trois fonctions (qui) engendre la séquence élémentaire:</w:t>
      </w:r>
    </w:p>
    <w:p w:rsidR="006A4EED" w:rsidRPr="0042056A" w:rsidRDefault="006A4EED" w:rsidP="00230C65">
      <w:pPr>
        <w:pStyle w:val="Paragraphedeliste"/>
        <w:numPr>
          <w:ilvl w:val="0"/>
          <w:numId w:val="77"/>
        </w:numPr>
        <w:autoSpaceDE w:val="0"/>
        <w:autoSpaceDN w:val="0"/>
        <w:adjustRightInd w:val="0"/>
        <w:spacing w:after="0" w:line="360" w:lineRule="auto"/>
        <w:jc w:val="both"/>
        <w:rPr>
          <w:rFonts w:ascii="Times New Roman" w:hAnsi="Times New Roman"/>
          <w:iCs/>
          <w:color w:val="000000"/>
          <w:sz w:val="24"/>
          <w:szCs w:val="24"/>
        </w:rPr>
      </w:pPr>
      <w:r w:rsidRPr="0042056A">
        <w:rPr>
          <w:rFonts w:ascii="Times New Roman" w:hAnsi="Times New Roman"/>
          <w:iCs/>
          <w:color w:val="000000"/>
          <w:sz w:val="24"/>
          <w:szCs w:val="24"/>
        </w:rPr>
        <w:t>une fonction qui ouvre la possibilité du processus sous forme de conduite à tenir ou d’événement à prévoir;</w:t>
      </w:r>
    </w:p>
    <w:p w:rsidR="006A4EED" w:rsidRPr="0042056A" w:rsidRDefault="006A4EED" w:rsidP="00230C65">
      <w:pPr>
        <w:pStyle w:val="Paragraphedeliste"/>
        <w:numPr>
          <w:ilvl w:val="0"/>
          <w:numId w:val="77"/>
        </w:numPr>
        <w:autoSpaceDE w:val="0"/>
        <w:autoSpaceDN w:val="0"/>
        <w:adjustRightInd w:val="0"/>
        <w:spacing w:after="0" w:line="360" w:lineRule="auto"/>
        <w:jc w:val="both"/>
        <w:rPr>
          <w:rFonts w:ascii="Times New Roman" w:hAnsi="Times New Roman"/>
          <w:iCs/>
          <w:color w:val="000000"/>
          <w:sz w:val="24"/>
          <w:szCs w:val="24"/>
        </w:rPr>
      </w:pPr>
      <w:r w:rsidRPr="0042056A">
        <w:rPr>
          <w:rFonts w:ascii="Times New Roman" w:hAnsi="Times New Roman"/>
          <w:iCs/>
          <w:color w:val="000000"/>
          <w:sz w:val="24"/>
          <w:szCs w:val="24"/>
        </w:rPr>
        <w:t>une fonction qui réalise cette virtualité sous forme de conduite ou d’événement en acte;</w:t>
      </w:r>
    </w:p>
    <w:p w:rsidR="00513B5C" w:rsidRPr="0042056A" w:rsidRDefault="006A4EED" w:rsidP="00230C65">
      <w:pPr>
        <w:pStyle w:val="Paragraphedeliste"/>
        <w:numPr>
          <w:ilvl w:val="0"/>
          <w:numId w:val="77"/>
        </w:numPr>
        <w:autoSpaceDE w:val="0"/>
        <w:autoSpaceDN w:val="0"/>
        <w:adjustRightInd w:val="0"/>
        <w:spacing w:after="0" w:line="360" w:lineRule="auto"/>
        <w:jc w:val="both"/>
        <w:rPr>
          <w:rFonts w:ascii="Times New Roman" w:hAnsi="Times New Roman"/>
          <w:iCs/>
          <w:color w:val="000000"/>
          <w:sz w:val="24"/>
          <w:szCs w:val="24"/>
        </w:rPr>
      </w:pPr>
      <w:r w:rsidRPr="0042056A">
        <w:rPr>
          <w:rFonts w:ascii="Times New Roman" w:hAnsi="Times New Roman"/>
          <w:iCs/>
          <w:color w:val="000000"/>
          <w:sz w:val="24"/>
          <w:szCs w:val="24"/>
        </w:rPr>
        <w:t>une fonction qui clôt le processus sous forme de résultat atteint</w:t>
      </w:r>
      <w:r w:rsidRPr="0042056A">
        <w:rPr>
          <w:rStyle w:val="Appelnotedebasdep"/>
          <w:rFonts w:ascii="Times New Roman" w:hAnsi="Times New Roman"/>
          <w:color w:val="000000"/>
          <w:sz w:val="24"/>
          <w:szCs w:val="24"/>
        </w:rPr>
        <w:footnoteReference w:id="191"/>
      </w:r>
      <w:r w:rsidR="0042056A">
        <w:rPr>
          <w:rFonts w:ascii="Times New Roman" w:hAnsi="Times New Roman"/>
          <w:iCs/>
          <w:color w:val="000000"/>
          <w:sz w:val="24"/>
          <w:szCs w:val="24"/>
        </w:rPr>
        <w:t>.</w:t>
      </w:r>
    </w:p>
    <w:p w:rsidR="006A4EED" w:rsidRPr="0042056A" w:rsidRDefault="006A4EED" w:rsidP="0042056A">
      <w:pPr>
        <w:autoSpaceDE w:val="0"/>
        <w:autoSpaceDN w:val="0"/>
        <w:adjustRightInd w:val="0"/>
        <w:spacing w:after="0" w:line="360" w:lineRule="auto"/>
        <w:ind w:firstLine="284"/>
        <w:jc w:val="both"/>
        <w:rPr>
          <w:rFonts w:ascii="Times New Roman" w:hAnsi="Times New Roman"/>
          <w:color w:val="000000"/>
          <w:sz w:val="24"/>
          <w:szCs w:val="24"/>
        </w:rPr>
      </w:pPr>
      <w:r w:rsidRPr="0042056A">
        <w:rPr>
          <w:rFonts w:ascii="Times New Roman" w:hAnsi="Times New Roman"/>
          <w:color w:val="000000"/>
          <w:sz w:val="24"/>
          <w:szCs w:val="24"/>
        </w:rPr>
        <w:t xml:space="preserve">En nous appuyant sur ces données, nous avons procédé à un regroupement des actions relatées dans </w:t>
      </w:r>
      <w:r w:rsidRPr="004B20A6">
        <w:rPr>
          <w:rFonts w:ascii="Times New Roman" w:hAnsi="Times New Roman"/>
          <w:i/>
          <w:iCs/>
          <w:color w:val="000000"/>
          <w:sz w:val="24"/>
          <w:szCs w:val="24"/>
        </w:rPr>
        <w:t xml:space="preserve">Barabbas </w:t>
      </w:r>
      <w:r w:rsidRPr="0042056A">
        <w:rPr>
          <w:rFonts w:ascii="Times New Roman" w:hAnsi="Times New Roman"/>
          <w:color w:val="000000"/>
          <w:sz w:val="24"/>
          <w:szCs w:val="24"/>
        </w:rPr>
        <w:t>et identifié quatre séquences.</w:t>
      </w:r>
    </w:p>
    <w:p w:rsidR="004B20A6" w:rsidRDefault="004B20A6" w:rsidP="004B20A6">
      <w:pPr>
        <w:pStyle w:val="Titre5"/>
        <w:spacing w:before="0" w:after="0"/>
        <w:ind w:left="641" w:hanging="357"/>
        <w:jc w:val="both"/>
        <w:rPr>
          <w:rFonts w:ascii="Times New Roman" w:hAnsi="Times New Roman"/>
          <w:color w:val="auto"/>
        </w:rPr>
      </w:pPr>
    </w:p>
    <w:p w:rsidR="006A4EED" w:rsidRPr="004B20A6" w:rsidRDefault="004B20A6" w:rsidP="004B20A6">
      <w:pPr>
        <w:pStyle w:val="Titre5"/>
        <w:spacing w:before="0" w:after="0"/>
        <w:ind w:left="641" w:hanging="357"/>
        <w:jc w:val="both"/>
        <w:rPr>
          <w:rFonts w:ascii="Times New Roman" w:hAnsi="Times New Roman"/>
          <w:color w:val="auto"/>
        </w:rPr>
      </w:pPr>
      <w:bookmarkStart w:id="108" w:name="_Toc471484479"/>
      <w:r w:rsidRPr="004B20A6">
        <w:rPr>
          <w:rFonts w:ascii="Times New Roman" w:hAnsi="Times New Roman"/>
          <w:color w:val="auto"/>
        </w:rPr>
        <w:t>4.1.1. Première</w:t>
      </w:r>
      <w:r w:rsidR="006A4EED" w:rsidRPr="004B20A6">
        <w:rPr>
          <w:rFonts w:ascii="Times New Roman" w:hAnsi="Times New Roman"/>
          <w:color w:val="auto"/>
        </w:rPr>
        <w:t xml:space="preserve"> séquence : les paratextes critique, auctorial et éditorial</w:t>
      </w:r>
      <w:bookmarkEnd w:id="108"/>
      <w:r w:rsidR="006A4EED" w:rsidRPr="004B20A6">
        <w:rPr>
          <w:rFonts w:ascii="Times New Roman" w:hAnsi="Times New Roman"/>
          <w:color w:val="auto"/>
        </w:rPr>
        <w:t xml:space="preserve"> </w:t>
      </w:r>
    </w:p>
    <w:p w:rsidR="006A4EED" w:rsidRDefault="006A4EED" w:rsidP="0026089E">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Les paratextes sont des constituants introductifs qui permettent, avant même la lecture d’une œuvre, d’élaborer des hypothèses de sens, de donner une idée sur la façon de vivre des héros. Il est intéressant d’examiner cette façon d’introduire une histoire parce que ces paratextes accumulent un certain nombre d’indices, d’opérateurs qui agissent sur le lecteur. Il s’agit précisément du caractère d’imprimerie dans lequel est présenté le titre de l'œuvre, de l’illustration, des couleurs, du résumé de l’éditeur. Nous avons donc pour virtualité: inciter le lecteur à lire </w:t>
      </w:r>
      <w:r w:rsidRPr="0026089E">
        <w:rPr>
          <w:rFonts w:ascii="Times New Roman" w:hAnsi="Times New Roman"/>
          <w:i/>
          <w:iCs/>
          <w:color w:val="000000"/>
          <w:sz w:val="24"/>
          <w:szCs w:val="24"/>
        </w:rPr>
        <w:t>Barabbas</w:t>
      </w:r>
      <w:r w:rsidRPr="003B00C8">
        <w:rPr>
          <w:rFonts w:ascii="Times New Roman" w:hAnsi="Times New Roman"/>
          <w:color w:val="000000"/>
          <w:sz w:val="24"/>
          <w:szCs w:val="24"/>
        </w:rPr>
        <w:t>.</w:t>
      </w:r>
    </w:p>
    <w:p w:rsidR="0017604F" w:rsidRDefault="0017604F" w:rsidP="006A4EED">
      <w:pPr>
        <w:autoSpaceDE w:val="0"/>
        <w:autoSpaceDN w:val="0"/>
        <w:adjustRightInd w:val="0"/>
        <w:spacing w:after="0" w:line="360" w:lineRule="auto"/>
        <w:ind w:firstLine="708"/>
        <w:jc w:val="both"/>
        <w:rPr>
          <w:rFonts w:ascii="Times New Roman" w:hAnsi="Times New Roman"/>
          <w:color w:val="000000"/>
          <w:sz w:val="24"/>
          <w:szCs w:val="24"/>
        </w:rPr>
      </w:pPr>
    </w:p>
    <w:p w:rsidR="006A4EED" w:rsidRPr="00407C5A" w:rsidRDefault="006A4EED" w:rsidP="00230C65">
      <w:pPr>
        <w:pStyle w:val="Titre7"/>
        <w:numPr>
          <w:ilvl w:val="0"/>
          <w:numId w:val="78"/>
        </w:numPr>
        <w:autoSpaceDE w:val="0"/>
        <w:autoSpaceDN w:val="0"/>
        <w:adjustRightInd w:val="0"/>
        <w:spacing w:before="0" w:line="360" w:lineRule="auto"/>
        <w:ind w:left="0" w:firstLine="284"/>
        <w:jc w:val="both"/>
        <w:rPr>
          <w:rFonts w:ascii="Times New Roman" w:hAnsi="Times New Roman"/>
          <w:i w:val="0"/>
          <w:iCs w:val="0"/>
          <w:color w:val="000000"/>
          <w:sz w:val="24"/>
          <w:szCs w:val="24"/>
        </w:rPr>
      </w:pPr>
      <w:r w:rsidRPr="00861918">
        <w:rPr>
          <w:rFonts w:ascii="Times New Roman" w:hAnsi="Times New Roman"/>
          <w:b/>
          <w:bCs/>
          <w:i w:val="0"/>
          <w:iCs w:val="0"/>
          <w:color w:val="auto"/>
          <w:sz w:val="24"/>
          <w:szCs w:val="24"/>
        </w:rPr>
        <w:t>Ouverture d’un processus : le flou artistique</w:t>
      </w:r>
      <w:r w:rsidR="00407C5A" w:rsidRPr="00861918">
        <w:rPr>
          <w:rFonts w:ascii="Times New Roman" w:hAnsi="Times New Roman"/>
          <w:b/>
          <w:bCs/>
          <w:i w:val="0"/>
          <w:iCs w:val="0"/>
          <w:color w:val="auto"/>
          <w:sz w:val="24"/>
          <w:szCs w:val="24"/>
        </w:rPr>
        <w:t xml:space="preserve"> : </w:t>
      </w:r>
      <w:r w:rsidRPr="00407C5A">
        <w:rPr>
          <w:rFonts w:ascii="Times New Roman" w:hAnsi="Times New Roman"/>
          <w:i w:val="0"/>
          <w:iCs w:val="0"/>
          <w:color w:val="000000"/>
          <w:sz w:val="24"/>
          <w:szCs w:val="24"/>
        </w:rPr>
        <w:t>Cette fonction est réalisée par les paratextes auctorial et éditorial.</w:t>
      </w:r>
      <w:r w:rsidRPr="00407C5A">
        <w:rPr>
          <w:rFonts w:ascii="Times New Roman" w:hAnsi="Times New Roman"/>
          <w:i w:val="0"/>
          <w:iCs w:val="0"/>
          <w:color w:val="000000"/>
          <w:sz w:val="20"/>
          <w:szCs w:val="20"/>
        </w:rPr>
        <w:t xml:space="preserve"> </w:t>
      </w:r>
      <w:r w:rsidRPr="00407C5A">
        <w:rPr>
          <w:rFonts w:ascii="Times New Roman" w:hAnsi="Times New Roman"/>
          <w:i w:val="0"/>
          <w:iCs w:val="0"/>
          <w:color w:val="000000"/>
          <w:sz w:val="24"/>
          <w:szCs w:val="24"/>
        </w:rPr>
        <w:t>Le paratexte auctorial</w:t>
      </w:r>
    </w:p>
    <w:p w:rsidR="006A4EED" w:rsidRPr="00407C5A" w:rsidRDefault="006A4EED" w:rsidP="00407C5A">
      <w:pPr>
        <w:pStyle w:val="Citationintense"/>
        <w:spacing w:before="0" w:after="0"/>
        <w:ind w:left="567" w:right="0"/>
        <w:rPr>
          <w:sz w:val="20"/>
          <w:szCs w:val="20"/>
        </w:rPr>
      </w:pPr>
      <w:r w:rsidRPr="00407C5A">
        <w:rPr>
          <w:sz w:val="20"/>
          <w:szCs w:val="20"/>
        </w:rPr>
        <w:t>comprend tout ce qui appartient à l’auteur: son nom ou pseudonyme qu’il adopte, le titre de l’œuvre et éventuellement le sous- titre, les inter-titres, la table des matières, la ou les préfaces, avertissements, avant-propos, les procédés typographiques, la liste des personnages, les indications de l’auteur dans un texte théâtral</w:t>
      </w:r>
      <w:r w:rsidR="0017604F" w:rsidRPr="00407C5A">
        <w:rPr>
          <w:sz w:val="20"/>
          <w:szCs w:val="20"/>
        </w:rPr>
        <w:t xml:space="preserve"> </w:t>
      </w:r>
      <w:r w:rsidRPr="00407C5A">
        <w:rPr>
          <w:sz w:val="20"/>
          <w:szCs w:val="20"/>
          <w:vertAlign w:val="superscript"/>
        </w:rPr>
        <w:footnoteReference w:id="192"/>
      </w:r>
    </w:p>
    <w:p w:rsidR="00407C5A" w:rsidRDefault="00407C5A"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407C5A">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Le paratexte éditorial quant à lui échappe à l’auteur d’une œuvre. </w:t>
      </w:r>
    </w:p>
    <w:p w:rsidR="006A4EED" w:rsidRPr="00407C5A" w:rsidRDefault="006A4EED" w:rsidP="00407C5A">
      <w:pPr>
        <w:pStyle w:val="Citationintense"/>
        <w:spacing w:before="0" w:after="0"/>
        <w:ind w:left="567" w:right="0"/>
        <w:rPr>
          <w:sz w:val="20"/>
          <w:szCs w:val="20"/>
        </w:rPr>
      </w:pPr>
      <w:r w:rsidRPr="00407C5A">
        <w:rPr>
          <w:sz w:val="20"/>
          <w:szCs w:val="20"/>
        </w:rPr>
        <w:t>Il relève de la politique éditorial d’une collection ou d’une maison d’édition. Il comprend les photos, dessins, illustrations de couverture. En sus de manifester le texte qu’il présente, il se préoccupe ainsi d’en adapter l’image aux faits d’une époque ou d’un public donné. Il apparaît comme une mise au présent de l’œuvre</w:t>
      </w:r>
      <w:r w:rsidRPr="00407C5A">
        <w:rPr>
          <w:sz w:val="20"/>
          <w:szCs w:val="20"/>
          <w:vertAlign w:val="superscript"/>
        </w:rPr>
        <w:footnoteReference w:id="193"/>
      </w:r>
    </w:p>
    <w:p w:rsidR="00407C5A" w:rsidRDefault="00407C5A" w:rsidP="00325A24">
      <w:pPr>
        <w:autoSpaceDE w:val="0"/>
        <w:autoSpaceDN w:val="0"/>
        <w:adjustRightInd w:val="0"/>
        <w:spacing w:after="0" w:line="360" w:lineRule="auto"/>
        <w:ind w:firstLine="567"/>
        <w:jc w:val="both"/>
        <w:rPr>
          <w:rFonts w:ascii="Times New Roman" w:hAnsi="Times New Roman"/>
          <w:color w:val="000000"/>
          <w:sz w:val="24"/>
          <w:szCs w:val="24"/>
        </w:rPr>
      </w:pPr>
    </w:p>
    <w:p w:rsidR="006A4EED" w:rsidRPr="00861918" w:rsidRDefault="006A4EED" w:rsidP="00407C5A">
      <w:pPr>
        <w:autoSpaceDE w:val="0"/>
        <w:autoSpaceDN w:val="0"/>
        <w:adjustRightInd w:val="0"/>
        <w:spacing w:after="0" w:line="360" w:lineRule="auto"/>
        <w:ind w:firstLine="284"/>
        <w:jc w:val="both"/>
        <w:rPr>
          <w:rFonts w:ascii="Times New Roman" w:hAnsi="Times New Roman"/>
          <w:b/>
          <w:bCs/>
          <w:color w:val="000000"/>
          <w:sz w:val="24"/>
          <w:szCs w:val="24"/>
        </w:rPr>
      </w:pPr>
      <w:r w:rsidRPr="00861918">
        <w:rPr>
          <w:rFonts w:ascii="Times New Roman" w:hAnsi="Times New Roman"/>
          <w:color w:val="000000"/>
          <w:sz w:val="24"/>
          <w:szCs w:val="24"/>
        </w:rPr>
        <w:lastRenderedPageBreak/>
        <w:t xml:space="preserve">Dans </w:t>
      </w:r>
      <w:r w:rsidRPr="00861918">
        <w:rPr>
          <w:rFonts w:ascii="Times New Roman" w:hAnsi="Times New Roman"/>
          <w:i/>
          <w:color w:val="000000"/>
          <w:sz w:val="24"/>
          <w:szCs w:val="24"/>
        </w:rPr>
        <w:t>Barabbas</w:t>
      </w:r>
      <w:r w:rsidRPr="00861918">
        <w:rPr>
          <w:rFonts w:ascii="Times New Roman" w:hAnsi="Times New Roman"/>
          <w:color w:val="000000"/>
          <w:sz w:val="24"/>
          <w:szCs w:val="24"/>
        </w:rPr>
        <w:t xml:space="preserve"> de Michel de Ghelderode outre le titre de l’œuvre présenté en gros caractères gras, l’incitation est marquée par l’esquisse d’une effigie en plan mi-rapproché, vue de profil et occupant les 2/5 de la première de couverture. Son expression n’est pas clairement identifiable, mais elle semble accablée comme résignée, ou plutôt abattue. Ce flou artistique va s’intensifiant lorsque nous combinons cette image au titre fort évocateur et dirions-nous provocateur. Evocateur du fait du talent incontesté du dramaturge et provocateur du fait de la forte référence à une histoire connue qui est aussi vieille que l’est le monde (La Bible) : </w:t>
      </w:r>
      <w:r w:rsidRPr="00861918">
        <w:rPr>
          <w:rFonts w:ascii="Times New Roman" w:hAnsi="Times New Roman"/>
          <w:b/>
          <w:bCs/>
          <w:color w:val="000000"/>
          <w:sz w:val="24"/>
          <w:szCs w:val="24"/>
        </w:rPr>
        <w:t>Barabbas.</w:t>
      </w:r>
    </w:p>
    <w:p w:rsidR="006A4EED" w:rsidRPr="00910B62" w:rsidRDefault="006A4EED" w:rsidP="00230C65">
      <w:pPr>
        <w:pStyle w:val="Titre7"/>
        <w:numPr>
          <w:ilvl w:val="0"/>
          <w:numId w:val="78"/>
        </w:numPr>
        <w:spacing w:before="0" w:line="360" w:lineRule="auto"/>
        <w:jc w:val="both"/>
        <w:rPr>
          <w:rFonts w:ascii="Times New Roman" w:hAnsi="Times New Roman"/>
          <w:i w:val="0"/>
          <w:iCs w:val="0"/>
          <w:color w:val="000000"/>
          <w:sz w:val="24"/>
          <w:szCs w:val="24"/>
        </w:rPr>
      </w:pPr>
      <w:r w:rsidRPr="00861918">
        <w:rPr>
          <w:rFonts w:ascii="Times New Roman" w:hAnsi="Times New Roman"/>
          <w:b/>
          <w:bCs/>
          <w:i w:val="0"/>
          <w:iCs w:val="0"/>
          <w:color w:val="auto"/>
          <w:sz w:val="24"/>
          <w:szCs w:val="24"/>
        </w:rPr>
        <w:t>Déroulement d’un processus : la mutation difficile</w:t>
      </w:r>
      <w:r w:rsidR="00861918" w:rsidRPr="00861918">
        <w:rPr>
          <w:rFonts w:ascii="Times New Roman" w:hAnsi="Times New Roman"/>
          <w:b/>
          <w:bCs/>
          <w:i w:val="0"/>
          <w:iCs w:val="0"/>
          <w:sz w:val="24"/>
          <w:szCs w:val="24"/>
        </w:rPr>
        <w:t xml:space="preserve"> : </w:t>
      </w:r>
      <w:r w:rsidRPr="00910B62">
        <w:rPr>
          <w:rFonts w:ascii="Times New Roman" w:hAnsi="Times New Roman"/>
          <w:i w:val="0"/>
          <w:iCs w:val="0"/>
          <w:color w:val="000000"/>
          <w:sz w:val="24"/>
          <w:szCs w:val="24"/>
        </w:rPr>
        <w:t xml:space="preserve">L’illustration de couverture de </w:t>
      </w:r>
      <w:r w:rsidRPr="00910B62">
        <w:rPr>
          <w:rFonts w:ascii="Times New Roman" w:hAnsi="Times New Roman"/>
          <w:b/>
          <w:bCs/>
          <w:i w:val="0"/>
          <w:iCs w:val="0"/>
          <w:color w:val="000000"/>
          <w:sz w:val="24"/>
          <w:szCs w:val="24"/>
        </w:rPr>
        <w:t xml:space="preserve">Barabbas </w:t>
      </w:r>
      <w:r w:rsidRPr="00910B62">
        <w:rPr>
          <w:rFonts w:ascii="Times New Roman" w:hAnsi="Times New Roman"/>
          <w:i w:val="0"/>
          <w:iCs w:val="0"/>
          <w:color w:val="000000"/>
          <w:sz w:val="24"/>
          <w:szCs w:val="24"/>
        </w:rPr>
        <w:t>est bi-chrome : les couleurs sombres et le blanc constituent les principales couleurs; nous pouvons même extrapoler en parlant de l’obscurité à la lumière, de l’obscurantisme à la connaissance; seulement; cette obscurité occupe la quasi totalité de l’espace alloué à l’image: est-ce montrer la difficulté d’effectuer une mutation? D’entreprendre une révolution?</w:t>
      </w:r>
    </w:p>
    <w:p w:rsidR="006A4EED" w:rsidRDefault="006A4EED" w:rsidP="00910B62">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Dans ce cas, cette omniprésence de l’univers carcéral qui plante le décor de la pièce renverrait au difficile sacrifice qui subsume l’acte de renoncer; renoncer à un système de valeurs, renoncer à un style de vie, à l’obscurité. Ce qui est sûr est que ce titre ne laisse pas le lecteur indifférent; il s’agit de procéder à une identification au sens judiciaire du terme, c’est à dire définir sa nature, déterminer sa fonction, en somme, établir sa carte d’identité.</w:t>
      </w:r>
    </w:p>
    <w:p w:rsidR="006A4EED" w:rsidRPr="003B00C8" w:rsidRDefault="006A4EED" w:rsidP="00F925B8">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Ces paratextes auctorial et éditorial sont donc un modèle réduit de l’œuvre, à fonction incitative, ouvrant la voie du vaste champ de l’action globale de la pièce de théâtre.</w:t>
      </w:r>
    </w:p>
    <w:p w:rsidR="006A4EED" w:rsidRPr="003D1CBB" w:rsidRDefault="006A4EED" w:rsidP="00230C65">
      <w:pPr>
        <w:pStyle w:val="Titre7"/>
        <w:numPr>
          <w:ilvl w:val="0"/>
          <w:numId w:val="78"/>
        </w:numPr>
        <w:autoSpaceDE w:val="0"/>
        <w:autoSpaceDN w:val="0"/>
        <w:adjustRightInd w:val="0"/>
        <w:spacing w:before="0" w:line="360" w:lineRule="auto"/>
        <w:ind w:left="0" w:firstLine="284"/>
        <w:jc w:val="both"/>
        <w:rPr>
          <w:rFonts w:ascii="Times New Roman" w:hAnsi="Times New Roman"/>
          <w:i w:val="0"/>
          <w:iCs w:val="0"/>
          <w:color w:val="000000"/>
          <w:sz w:val="24"/>
          <w:szCs w:val="24"/>
        </w:rPr>
      </w:pPr>
      <w:r w:rsidRPr="003D1CBB">
        <w:rPr>
          <w:rFonts w:ascii="Times New Roman" w:hAnsi="Times New Roman"/>
          <w:b/>
          <w:bCs/>
          <w:i w:val="0"/>
          <w:iCs w:val="0"/>
          <w:color w:val="auto"/>
          <w:sz w:val="24"/>
          <w:szCs w:val="24"/>
        </w:rPr>
        <w:t xml:space="preserve">Clôture d’un processus : le renoncement </w:t>
      </w:r>
      <w:r w:rsidR="000413EE" w:rsidRPr="003D1CBB">
        <w:rPr>
          <w:rFonts w:ascii="Times New Roman" w:hAnsi="Times New Roman"/>
          <w:b/>
          <w:bCs/>
          <w:i w:val="0"/>
          <w:iCs w:val="0"/>
          <w:color w:val="auto"/>
          <w:sz w:val="24"/>
          <w:szCs w:val="24"/>
        </w:rPr>
        <w:t>à</w:t>
      </w:r>
      <w:r w:rsidRPr="003D1CBB">
        <w:rPr>
          <w:rFonts w:ascii="Times New Roman" w:hAnsi="Times New Roman"/>
          <w:b/>
          <w:bCs/>
          <w:i w:val="0"/>
          <w:iCs w:val="0"/>
          <w:color w:val="auto"/>
          <w:sz w:val="24"/>
          <w:szCs w:val="24"/>
        </w:rPr>
        <w:t xml:space="preserve"> un genre de vie</w:t>
      </w:r>
      <w:r w:rsidR="003D1CBB" w:rsidRPr="003D1CBB">
        <w:rPr>
          <w:rFonts w:ascii="Times New Roman" w:hAnsi="Times New Roman"/>
          <w:b/>
          <w:bCs/>
          <w:i w:val="0"/>
          <w:iCs w:val="0"/>
          <w:color w:val="auto"/>
          <w:sz w:val="24"/>
          <w:szCs w:val="24"/>
        </w:rPr>
        <w:t xml:space="preserve"> : </w:t>
      </w:r>
      <w:r w:rsidRPr="003D1CBB">
        <w:rPr>
          <w:rFonts w:ascii="Times New Roman" w:hAnsi="Times New Roman"/>
          <w:i w:val="0"/>
          <w:iCs w:val="0"/>
          <w:color w:val="000000"/>
          <w:sz w:val="24"/>
          <w:szCs w:val="24"/>
        </w:rPr>
        <w:t>Selon Mbatzogo Z</w:t>
      </w:r>
      <w:r w:rsidR="0017604F" w:rsidRPr="003D1CBB">
        <w:rPr>
          <w:rFonts w:ascii="Times New Roman" w:hAnsi="Times New Roman"/>
          <w:i w:val="0"/>
          <w:iCs w:val="0"/>
          <w:color w:val="000000"/>
          <w:sz w:val="24"/>
          <w:szCs w:val="24"/>
        </w:rPr>
        <w:t>acharie</w:t>
      </w:r>
      <w:r w:rsidR="003D1CBB">
        <w:rPr>
          <w:rFonts w:ascii="Times New Roman" w:hAnsi="Times New Roman"/>
          <w:i w:val="0"/>
          <w:iCs w:val="0"/>
          <w:color w:val="000000"/>
          <w:sz w:val="24"/>
          <w:szCs w:val="24"/>
        </w:rPr>
        <w:t>,  </w:t>
      </w:r>
    </w:p>
    <w:p w:rsidR="006A4EED" w:rsidRPr="003D1CBB" w:rsidRDefault="00FB69DE" w:rsidP="003D1CBB">
      <w:pPr>
        <w:pStyle w:val="Citationintense"/>
        <w:spacing w:before="0" w:after="0"/>
        <w:ind w:left="567" w:right="0"/>
        <w:rPr>
          <w:sz w:val="20"/>
          <w:szCs w:val="20"/>
        </w:rPr>
      </w:pPr>
      <w:r w:rsidRPr="003D1CBB">
        <w:rPr>
          <w:sz w:val="20"/>
          <w:szCs w:val="20"/>
        </w:rPr>
        <w:t>Le</w:t>
      </w:r>
      <w:r w:rsidR="006A4EED" w:rsidRPr="003D1CBB">
        <w:rPr>
          <w:sz w:val="20"/>
          <w:szCs w:val="20"/>
        </w:rPr>
        <w:t xml:space="preserve"> paratexte critique est constitué de notes, préface, lexique, vie et œuvre de l’auteur, analyse et commentaire par exemple à la quatrième de couverture. Il oriente nécessairement la première approche de l’œuvre et peut de ce fait intervenir comme générateur d’attentes de lecture</w:t>
      </w:r>
      <w:r w:rsidR="006A4EED" w:rsidRPr="003D1CBB">
        <w:rPr>
          <w:sz w:val="20"/>
          <w:szCs w:val="20"/>
          <w:vertAlign w:val="superscript"/>
        </w:rPr>
        <w:footnoteReference w:id="194"/>
      </w:r>
      <w:r w:rsidR="003D1CBB">
        <w:rPr>
          <w:sz w:val="20"/>
          <w:szCs w:val="20"/>
        </w:rPr>
        <w:t>.</w:t>
      </w:r>
    </w:p>
    <w:p w:rsidR="003D1CBB" w:rsidRDefault="003D1CBB" w:rsidP="00325A24">
      <w:pPr>
        <w:autoSpaceDE w:val="0"/>
        <w:autoSpaceDN w:val="0"/>
        <w:adjustRightInd w:val="0"/>
        <w:spacing w:after="0" w:line="360" w:lineRule="auto"/>
        <w:ind w:firstLine="567"/>
        <w:jc w:val="both"/>
        <w:rPr>
          <w:rFonts w:ascii="Times New Roman" w:hAnsi="Times New Roman"/>
          <w:color w:val="000000"/>
          <w:sz w:val="24"/>
          <w:szCs w:val="24"/>
        </w:rPr>
      </w:pPr>
    </w:p>
    <w:p w:rsidR="00EE6345" w:rsidRPr="00325A24" w:rsidRDefault="006A4EED" w:rsidP="00F02CAF">
      <w:pPr>
        <w:autoSpaceDE w:val="0"/>
        <w:autoSpaceDN w:val="0"/>
        <w:adjustRightInd w:val="0"/>
        <w:spacing w:after="0" w:line="360" w:lineRule="auto"/>
        <w:ind w:firstLine="284"/>
        <w:jc w:val="both"/>
        <w:rPr>
          <w:color w:val="000000"/>
        </w:rPr>
      </w:pPr>
      <w:r w:rsidRPr="003B00C8">
        <w:rPr>
          <w:rFonts w:ascii="Times New Roman" w:hAnsi="Times New Roman"/>
          <w:color w:val="000000"/>
          <w:sz w:val="24"/>
          <w:szCs w:val="24"/>
        </w:rPr>
        <w:lastRenderedPageBreak/>
        <w:t>Dans la pièce de théâtre</w:t>
      </w:r>
      <w:r w:rsidRPr="003B00C8">
        <w:rPr>
          <w:rFonts w:ascii="Times New Roman" w:hAnsi="Times New Roman"/>
          <w:b/>
          <w:bCs/>
          <w:color w:val="000000"/>
          <w:sz w:val="24"/>
          <w:szCs w:val="24"/>
        </w:rPr>
        <w:t>,</w:t>
      </w:r>
      <w:r w:rsidRPr="003B00C8">
        <w:rPr>
          <w:rFonts w:ascii="Times New Roman" w:hAnsi="Times New Roman"/>
          <w:color w:val="000000"/>
          <w:sz w:val="24"/>
          <w:szCs w:val="24"/>
        </w:rPr>
        <w:t xml:space="preserve"> le paratexte critique nous renseigne sur la trame de la symbolique du titre et du contenu de l’œuvre ; phénomène à la fois d’injustice, d’insurrection, et condamnation et de mort. On comprend vite pourquoi au </w:t>
      </w:r>
      <w:r w:rsidRPr="003B00C8">
        <w:rPr>
          <w:rFonts w:ascii="Times New Roman" w:hAnsi="Times New Roman"/>
          <w:sz w:val="24"/>
          <w:szCs w:val="24"/>
        </w:rPr>
        <w:t xml:space="preserve">début du drame, Barabbas, espèce de grand fauve, est enfermé dans une cage de fer en compagnie de deux malfaiteurs dont la </w:t>
      </w:r>
      <w:r w:rsidRPr="0017604F">
        <w:rPr>
          <w:rFonts w:ascii="Times New Roman" w:hAnsi="Times New Roman"/>
          <w:sz w:val="24"/>
          <w:szCs w:val="24"/>
        </w:rPr>
        <w:t xml:space="preserve">médiocrité et la résignation lui inspirent le plus vif mépris. Il est très sûr de lui : </w:t>
      </w:r>
      <w:r w:rsidRPr="0017604F">
        <w:rPr>
          <w:rFonts w:ascii="Times New Roman" w:hAnsi="Times New Roman"/>
          <w:iCs/>
          <w:sz w:val="24"/>
          <w:szCs w:val="24"/>
        </w:rPr>
        <w:t>«</w:t>
      </w:r>
      <w:r w:rsidRPr="003254CD">
        <w:rPr>
          <w:rFonts w:ascii="Times New Roman" w:hAnsi="Times New Roman"/>
          <w:i/>
          <w:sz w:val="24"/>
          <w:szCs w:val="24"/>
        </w:rPr>
        <w:t>Je mourrai sans me rendre, dans toute la force de ma haine, en blasphémant, et comme je vécus, au-dessus des lois</w:t>
      </w:r>
      <w:r w:rsidRPr="0017604F">
        <w:rPr>
          <w:rFonts w:ascii="Times New Roman" w:hAnsi="Times New Roman"/>
          <w:iCs/>
          <w:sz w:val="24"/>
          <w:szCs w:val="24"/>
        </w:rPr>
        <w:t>.»</w:t>
      </w:r>
      <w:r w:rsidR="0017604F" w:rsidRPr="0017604F">
        <w:rPr>
          <w:rFonts w:ascii="Times New Roman" w:hAnsi="Times New Roman"/>
          <w:iCs/>
          <w:sz w:val="24"/>
          <w:szCs w:val="24"/>
        </w:rPr>
        <w:t xml:space="preserve"> (</w:t>
      </w:r>
      <w:r w:rsidR="003254CD" w:rsidRPr="00193890">
        <w:rPr>
          <w:rFonts w:asciiTheme="majorBidi" w:hAnsiTheme="majorBidi" w:cstheme="majorBidi"/>
          <w:sz w:val="24"/>
          <w:szCs w:val="24"/>
        </w:rPr>
        <w:t>M. De Ghelderode, 1984</w:t>
      </w:r>
      <w:r w:rsidR="003254CD">
        <w:rPr>
          <w:rFonts w:asciiTheme="majorBidi" w:hAnsiTheme="majorBidi" w:cstheme="majorBidi"/>
          <w:sz w:val="24"/>
          <w:szCs w:val="24"/>
        </w:rPr>
        <w:t xml:space="preserve">, </w:t>
      </w:r>
      <w:r w:rsidR="0017604F" w:rsidRPr="0017604F">
        <w:rPr>
          <w:rFonts w:ascii="Times New Roman" w:hAnsi="Times New Roman"/>
          <w:iCs/>
          <w:sz w:val="24"/>
          <w:szCs w:val="24"/>
        </w:rPr>
        <w:t>p.36)</w:t>
      </w:r>
    </w:p>
    <w:p w:rsidR="006A4EED" w:rsidRPr="00A17451" w:rsidRDefault="006A4EED" w:rsidP="003254CD">
      <w:pPr>
        <w:spacing w:after="0" w:line="360" w:lineRule="auto"/>
        <w:ind w:firstLine="284"/>
        <w:jc w:val="both"/>
        <w:rPr>
          <w:rFonts w:ascii="Times New Roman" w:hAnsi="Times New Roman"/>
          <w:sz w:val="24"/>
          <w:szCs w:val="24"/>
        </w:rPr>
      </w:pPr>
      <w:r w:rsidRPr="003B00C8">
        <w:rPr>
          <w:rFonts w:ascii="Times New Roman" w:hAnsi="Times New Roman"/>
          <w:sz w:val="24"/>
          <w:szCs w:val="24"/>
        </w:rPr>
        <w:t>Pendant sa «chanson du crime », il aperçoit dans la pénombre de la cage « une proie» étendue sur le sol, mais lorsqu'il veut s'en saisir, il est arrêté par un cri "navrant" qui le bouleverse jusqu'à la moelle. Jésus se dresse, « </w:t>
      </w:r>
      <w:r w:rsidRPr="003B00C8">
        <w:rPr>
          <w:rFonts w:ascii="Times New Roman" w:hAnsi="Times New Roman"/>
          <w:i/>
          <w:sz w:val="24"/>
          <w:szCs w:val="24"/>
        </w:rPr>
        <w:t xml:space="preserve">lentement, mystérieusement </w:t>
      </w:r>
      <w:r w:rsidRPr="003B00C8">
        <w:rPr>
          <w:rFonts w:ascii="Times New Roman" w:hAnsi="Times New Roman"/>
          <w:sz w:val="24"/>
          <w:szCs w:val="24"/>
        </w:rPr>
        <w:t>». Barabbas lève le poing, mais se trouve incapable de frapper. «</w:t>
      </w:r>
      <w:r w:rsidRPr="003B00C8">
        <w:rPr>
          <w:rFonts w:ascii="Times New Roman" w:hAnsi="Times New Roman"/>
          <w:i/>
          <w:sz w:val="24"/>
          <w:szCs w:val="24"/>
        </w:rPr>
        <w:t>Cet homme n'est pas comme nous</w:t>
      </w:r>
      <w:r w:rsidRPr="003B00C8">
        <w:rPr>
          <w:rFonts w:ascii="Times New Roman" w:hAnsi="Times New Roman"/>
          <w:sz w:val="24"/>
          <w:szCs w:val="24"/>
        </w:rPr>
        <w:t xml:space="preserve"> », opine le mauvais larron, et Barabbas, partage ce sentiment :</w:t>
      </w:r>
      <w:r>
        <w:rPr>
          <w:rFonts w:ascii="Times New Roman" w:hAnsi="Times New Roman"/>
          <w:sz w:val="24"/>
          <w:szCs w:val="24"/>
        </w:rPr>
        <w:t xml:space="preserve"> </w:t>
      </w:r>
      <w:r w:rsidRPr="0093615B">
        <w:rPr>
          <w:rFonts w:ascii="Times New Roman" w:hAnsi="Times New Roman"/>
          <w:i/>
          <w:iCs/>
          <w:sz w:val="24"/>
          <w:szCs w:val="24"/>
        </w:rPr>
        <w:t>« il a la forme d'un homme, l'agonie d'un homme, mais quelle est cette lumière qui l'environne, quelle est cette aurore dans nos ténèbres mortelles ? »</w:t>
      </w:r>
      <w:r w:rsidR="00A17451">
        <w:rPr>
          <w:rFonts w:ascii="Times New Roman" w:hAnsi="Times New Roman"/>
          <w:i/>
          <w:iCs/>
          <w:sz w:val="24"/>
          <w:szCs w:val="24"/>
        </w:rPr>
        <w:t xml:space="preserve"> </w:t>
      </w:r>
      <w:r w:rsidR="00A17451">
        <w:rPr>
          <w:rFonts w:ascii="Times New Roman" w:hAnsi="Times New Roman"/>
          <w:sz w:val="24"/>
          <w:szCs w:val="24"/>
        </w:rPr>
        <w:t>(</w:t>
      </w:r>
      <w:r w:rsidR="00A17451">
        <w:rPr>
          <w:rFonts w:ascii="Times New Roman" w:hAnsi="Times New Roman"/>
          <w:i/>
          <w:iCs/>
          <w:sz w:val="24"/>
          <w:szCs w:val="24"/>
        </w:rPr>
        <w:t>Ibid</w:t>
      </w:r>
      <w:r w:rsidR="00A17451">
        <w:rPr>
          <w:rFonts w:ascii="Times New Roman" w:hAnsi="Times New Roman"/>
          <w:sz w:val="24"/>
          <w:szCs w:val="24"/>
        </w:rPr>
        <w:t>).</w:t>
      </w:r>
    </w:p>
    <w:p w:rsidR="006A4EED" w:rsidRPr="003B00C8" w:rsidRDefault="006A4EED" w:rsidP="00664A16">
      <w:pPr>
        <w:spacing w:after="0" w:line="360" w:lineRule="auto"/>
        <w:ind w:firstLine="284"/>
        <w:jc w:val="both"/>
        <w:rPr>
          <w:rFonts w:ascii="Times New Roman" w:hAnsi="Times New Roman"/>
          <w:sz w:val="24"/>
          <w:szCs w:val="24"/>
        </w:rPr>
      </w:pPr>
      <w:r w:rsidRPr="0093615B">
        <w:rPr>
          <w:rFonts w:ascii="Times New Roman" w:hAnsi="Times New Roman"/>
          <w:sz w:val="24"/>
          <w:szCs w:val="24"/>
        </w:rPr>
        <w:t>Barabbas s'approche de Jésus, qui prie, immobile, «statue de la Douleur» :</w:t>
      </w:r>
      <w:r w:rsidRPr="003B00C8">
        <w:rPr>
          <w:rFonts w:ascii="Times New Roman" w:hAnsi="Times New Roman"/>
          <w:sz w:val="24"/>
          <w:szCs w:val="24"/>
        </w:rPr>
        <w:t xml:space="preserve"> </w:t>
      </w:r>
    </w:p>
    <w:p w:rsidR="006A4EED" w:rsidRPr="00AB296C" w:rsidRDefault="006A4EED" w:rsidP="00AB296C">
      <w:pPr>
        <w:pStyle w:val="Citationintense"/>
        <w:spacing w:before="0" w:after="0"/>
        <w:ind w:left="567" w:right="0"/>
        <w:rPr>
          <w:sz w:val="20"/>
          <w:szCs w:val="20"/>
        </w:rPr>
      </w:pPr>
      <w:r w:rsidRPr="00AB296C">
        <w:rPr>
          <w:sz w:val="20"/>
          <w:szCs w:val="20"/>
        </w:rPr>
        <w:t xml:space="preserve">Nous n'avons rien pu changer à tout ce que nous trouvions néfaste, révoltant et détestable Et, après notre vaine mort, la Justice ne sera pas encore rendue, et le mensonge régnera non moins souverainement comme il règne depuis qu'il existe des humains. Voilà ce qui désespère cet homme, et voilà ce qui me désespère aussi. [...] Bientôt, plus rien ne restera de ce que nous sommes. I1 n'y a plus qu'à attendre et à se laisser faire, comme lui-même se laisse faire. </w:t>
      </w:r>
      <w:r w:rsidR="0017604F" w:rsidRPr="00AB296C">
        <w:rPr>
          <w:sz w:val="20"/>
          <w:szCs w:val="20"/>
        </w:rPr>
        <w:t>(</w:t>
      </w:r>
      <w:r w:rsidR="008024FD">
        <w:rPr>
          <w:i/>
          <w:iCs w:val="0"/>
          <w:sz w:val="20"/>
          <w:szCs w:val="20"/>
        </w:rPr>
        <w:t xml:space="preserve">Ibid, </w:t>
      </w:r>
      <w:r w:rsidR="0017604F" w:rsidRPr="00AB296C">
        <w:rPr>
          <w:sz w:val="20"/>
          <w:szCs w:val="20"/>
        </w:rPr>
        <w:t>p.58)</w:t>
      </w:r>
      <w:r w:rsidR="008024FD">
        <w:rPr>
          <w:sz w:val="20"/>
          <w:szCs w:val="20"/>
        </w:rPr>
        <w:t>.</w:t>
      </w:r>
    </w:p>
    <w:p w:rsidR="0033162C" w:rsidRDefault="006A4EED" w:rsidP="0033162C">
      <w:pPr>
        <w:spacing w:after="0" w:line="360" w:lineRule="auto"/>
        <w:jc w:val="both"/>
        <w:rPr>
          <w:rFonts w:ascii="Times New Roman" w:hAnsi="Times New Roman"/>
          <w:sz w:val="24"/>
          <w:szCs w:val="24"/>
        </w:rPr>
      </w:pPr>
      <w:r w:rsidRPr="003B00C8">
        <w:rPr>
          <w:rFonts w:ascii="Times New Roman" w:hAnsi="Times New Roman"/>
          <w:sz w:val="24"/>
          <w:szCs w:val="24"/>
        </w:rPr>
        <w:t xml:space="preserve">      </w:t>
      </w:r>
      <w:r w:rsidRPr="003B00C8">
        <w:rPr>
          <w:rFonts w:ascii="Times New Roman" w:hAnsi="Times New Roman"/>
          <w:sz w:val="24"/>
          <w:szCs w:val="24"/>
        </w:rPr>
        <w:tab/>
      </w:r>
    </w:p>
    <w:p w:rsidR="006A4EED" w:rsidRPr="003B00C8" w:rsidRDefault="006A4EED" w:rsidP="0033162C">
      <w:pPr>
        <w:spacing w:after="0" w:line="360" w:lineRule="auto"/>
        <w:ind w:firstLine="284"/>
        <w:jc w:val="both"/>
        <w:rPr>
          <w:rFonts w:ascii="Times New Roman" w:hAnsi="Times New Roman"/>
          <w:sz w:val="24"/>
          <w:szCs w:val="24"/>
        </w:rPr>
      </w:pPr>
      <w:r w:rsidRPr="003B00C8">
        <w:rPr>
          <w:rFonts w:ascii="Times New Roman" w:hAnsi="Times New Roman"/>
          <w:sz w:val="24"/>
          <w:szCs w:val="24"/>
        </w:rPr>
        <w:t>On ne reconnaît plus le fauve fanfaronnant du début. Jésus, sans prononcer un mot, l'a complètement transformé.</w:t>
      </w:r>
    </w:p>
    <w:p w:rsidR="00173D49" w:rsidRPr="0033162C" w:rsidRDefault="006A4EED" w:rsidP="0033162C">
      <w:pPr>
        <w:spacing w:after="0" w:line="360" w:lineRule="auto"/>
        <w:ind w:firstLine="284"/>
        <w:jc w:val="both"/>
        <w:rPr>
          <w:rStyle w:val="CitationintenseCar"/>
          <w:rFonts w:asciiTheme="majorBidi" w:hAnsiTheme="majorBidi" w:cstheme="majorBidi"/>
          <w:bCs w:val="0"/>
          <w:iCs w:val="0"/>
          <w:sz w:val="24"/>
          <w:szCs w:val="24"/>
        </w:rPr>
      </w:pPr>
      <w:r w:rsidRPr="003B00C8">
        <w:rPr>
          <w:rFonts w:ascii="Times New Roman" w:hAnsi="Times New Roman"/>
          <w:sz w:val="24"/>
          <w:szCs w:val="24"/>
        </w:rPr>
        <w:t>Un peu plus loin,  Pilate (Ponce) propose à la foule de choisir entre Jésus et Barabbas. Travaillée par les prêtres, la masse se met à scander le nom du bandit. Pendant qu'on emmène le Christ, Barabbas, comprenant de moins en moins ce qui se passe, fait tout ce que les prêtres lui demandent, pleure, grimace, se montre repenti. Les soldats ramènent le Christ, couronné d'épines, mais la foule ne change pas d'avis et le bandit, à son grand étonnement, est remis en liberté. A la demande de Caïphe, il prononce un petit discours, qui se termine par les mots</w:t>
      </w:r>
      <w:r w:rsidR="00173D49" w:rsidRPr="003B00C8">
        <w:rPr>
          <w:rFonts w:ascii="Times New Roman" w:hAnsi="Times New Roman"/>
          <w:sz w:val="24"/>
          <w:szCs w:val="24"/>
        </w:rPr>
        <w:t>:</w:t>
      </w:r>
      <w:r w:rsidR="0033162C">
        <w:rPr>
          <w:rFonts w:ascii="Times New Roman" w:hAnsi="Times New Roman"/>
          <w:sz w:val="24"/>
          <w:szCs w:val="24"/>
        </w:rPr>
        <w:t xml:space="preserve"> </w:t>
      </w:r>
      <w:r w:rsidR="0033162C" w:rsidRPr="0033162C">
        <w:rPr>
          <w:rFonts w:asciiTheme="majorBidi" w:hAnsiTheme="majorBidi" w:cstheme="majorBidi"/>
          <w:sz w:val="24"/>
          <w:szCs w:val="24"/>
        </w:rPr>
        <w:t>« </w:t>
      </w:r>
      <w:r w:rsidRPr="0033162C">
        <w:rPr>
          <w:rFonts w:asciiTheme="majorBidi" w:hAnsiTheme="majorBidi" w:cstheme="majorBidi"/>
          <w:i/>
          <w:iCs/>
          <w:sz w:val="24"/>
          <w:szCs w:val="24"/>
        </w:rPr>
        <w:t>Je rends grâces à l'Eternel qui créa le monde, le ciel, les étoiles, le soleil, le peuple d'Israël et ses juges intègres</w:t>
      </w:r>
      <w:r w:rsidRPr="0033162C">
        <w:rPr>
          <w:rFonts w:asciiTheme="majorBidi" w:hAnsiTheme="majorBidi" w:cstheme="majorBidi"/>
          <w:sz w:val="24"/>
          <w:szCs w:val="24"/>
        </w:rPr>
        <w:t>»</w:t>
      </w:r>
      <w:r w:rsidR="0017604F" w:rsidRPr="0033162C">
        <w:rPr>
          <w:rFonts w:asciiTheme="majorBidi" w:hAnsiTheme="majorBidi" w:cstheme="majorBidi"/>
          <w:sz w:val="24"/>
          <w:szCs w:val="24"/>
        </w:rPr>
        <w:t xml:space="preserve"> (</w:t>
      </w:r>
      <w:r w:rsidR="0033162C">
        <w:rPr>
          <w:rFonts w:asciiTheme="majorBidi" w:hAnsiTheme="majorBidi" w:cstheme="majorBidi"/>
          <w:i/>
          <w:iCs/>
          <w:sz w:val="24"/>
          <w:szCs w:val="24"/>
        </w:rPr>
        <w:t xml:space="preserve">Ibid, </w:t>
      </w:r>
      <w:r w:rsidR="0017604F" w:rsidRPr="0033162C">
        <w:rPr>
          <w:rFonts w:asciiTheme="majorBidi" w:hAnsiTheme="majorBidi" w:cstheme="majorBidi"/>
          <w:sz w:val="24"/>
          <w:szCs w:val="24"/>
        </w:rPr>
        <w:t>p.105)</w:t>
      </w:r>
      <w:r w:rsidR="0033162C">
        <w:rPr>
          <w:rFonts w:asciiTheme="majorBidi" w:hAnsiTheme="majorBidi" w:cstheme="majorBidi"/>
          <w:sz w:val="24"/>
          <w:szCs w:val="24"/>
        </w:rPr>
        <w:t>.</w:t>
      </w:r>
    </w:p>
    <w:p w:rsidR="00EE6345" w:rsidRDefault="006A4EED" w:rsidP="00985CD1">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Mais sitôt qu'il est seul - c'est un des moments culminants du drame -, sa physionomie change complètement. Après avoir supplié "l'Eternel" de l'aider à haïr ceux qui ont essayé de le rendre complice de l'injustice, il s'en va prêcher la révolte.</w:t>
      </w:r>
    </w:p>
    <w:p w:rsidR="00EE6345" w:rsidRDefault="006A4EED" w:rsidP="00985CD1">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 dernier acte se passe dans les bas-fonds de Jérusalem, au pied du Calvaire où Jésus agonise sur la croix. L'univers oppressé attend la mort du Christ. Sentant qu'il est suivi, mais décidé à venger son "camarade", Barabbas détruit la baraque foraine où un barnum et un pitre parodient l'agonie du Christ. A Hérode, il confie sa tristesse que le Christ n'ait pas </w:t>
      </w:r>
      <w:proofErr w:type="gramStart"/>
      <w:r w:rsidRPr="003B00C8">
        <w:rPr>
          <w:rFonts w:ascii="Times New Roman" w:hAnsi="Times New Roman"/>
          <w:sz w:val="24"/>
          <w:szCs w:val="24"/>
        </w:rPr>
        <w:t>vu</w:t>
      </w:r>
      <w:proofErr w:type="gramEnd"/>
      <w:r w:rsidRPr="003B00C8">
        <w:rPr>
          <w:rFonts w:ascii="Times New Roman" w:hAnsi="Times New Roman"/>
          <w:sz w:val="24"/>
          <w:szCs w:val="24"/>
        </w:rPr>
        <w:t xml:space="preserve"> la main qu'il lui tendait</w:t>
      </w:r>
      <w:r w:rsidR="00EE6345">
        <w:rPr>
          <w:rStyle w:val="Appelnotedebasdep"/>
          <w:rFonts w:ascii="Times New Roman" w:hAnsi="Times New Roman"/>
          <w:sz w:val="24"/>
          <w:szCs w:val="24"/>
        </w:rPr>
        <w:footnoteReference w:id="195"/>
      </w:r>
      <w:r w:rsidR="00985CD1">
        <w:rPr>
          <w:rFonts w:ascii="Times New Roman" w:hAnsi="Times New Roman"/>
          <w:sz w:val="24"/>
          <w:szCs w:val="24"/>
        </w:rPr>
        <w:t>.</w:t>
      </w:r>
      <w:r w:rsidR="00EE6345">
        <w:rPr>
          <w:rFonts w:ascii="Times New Roman" w:hAnsi="Times New Roman"/>
          <w:sz w:val="24"/>
          <w:szCs w:val="24"/>
        </w:rPr>
        <w:t xml:space="preserve"> </w:t>
      </w:r>
    </w:p>
    <w:p w:rsidR="006A4EED" w:rsidRPr="003B00C8" w:rsidRDefault="006A4EED" w:rsidP="00985CD1">
      <w:pPr>
        <w:spacing w:after="0" w:line="360" w:lineRule="auto"/>
        <w:ind w:firstLine="284"/>
        <w:jc w:val="both"/>
        <w:rPr>
          <w:rFonts w:ascii="Times New Roman" w:hAnsi="Times New Roman"/>
          <w:sz w:val="24"/>
          <w:szCs w:val="24"/>
        </w:rPr>
      </w:pPr>
      <w:r w:rsidRPr="003B00C8">
        <w:rPr>
          <w:rFonts w:ascii="Times New Roman" w:hAnsi="Times New Roman"/>
          <w:sz w:val="24"/>
          <w:szCs w:val="24"/>
        </w:rPr>
        <w:t>Au moment même où Christ rend l'âme, il s'amène à la tête d'une bande de "gueux", qu'il excite à la violence. Madeleine avertit Barabbas qu'on le recherche, mais il est trop tard: le pitre lui enfonce un poignard dans le dos. Le bandit tombe sur les genoux. Et il meurt, en regardant vers le Calvaire. La pièce se présente sous forme de tableaux, elle est composée de trois actes.</w:t>
      </w:r>
    </w:p>
    <w:p w:rsidR="006A4EED" w:rsidRPr="003B00C8" w:rsidRDefault="006A4EED" w:rsidP="00540A10">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Le paratexte critique souligne en sus de cette hypothèse un autre conflit latent: la discordance de points de vue entre le créateur et ses créatures. En définitive, l’examen de ces paratextes nous permet d’entrevoir plusieurs pistes de lecture  qui nous permettrons de cheminer crescendo vers la saisie du sens global de la pièce de théâtre. Il s’agira pour nous d’explorer pour comprendre et faire comprendre, par la lecture et à l’aide des instruments de la narratologie, les structures narratives en présence dans Barabbas de Michel Ghelderode.</w:t>
      </w:r>
    </w:p>
    <w:p w:rsidR="006A4EED" w:rsidRPr="00275F2A" w:rsidRDefault="00275F2A" w:rsidP="00275F2A">
      <w:pPr>
        <w:pStyle w:val="Titre5"/>
        <w:spacing w:before="0" w:after="0"/>
        <w:ind w:left="641" w:hanging="357"/>
        <w:jc w:val="both"/>
        <w:rPr>
          <w:rFonts w:ascii="Times New Roman" w:hAnsi="Times New Roman"/>
          <w:color w:val="auto"/>
        </w:rPr>
      </w:pPr>
      <w:bookmarkStart w:id="109" w:name="_Toc471484480"/>
      <w:r w:rsidRPr="00275F2A">
        <w:rPr>
          <w:rFonts w:ascii="Times New Roman" w:hAnsi="Times New Roman"/>
          <w:color w:val="auto"/>
        </w:rPr>
        <w:t>4.1.2. Deuxième</w:t>
      </w:r>
      <w:r w:rsidR="006A4EED" w:rsidRPr="00275F2A">
        <w:rPr>
          <w:rFonts w:ascii="Times New Roman" w:hAnsi="Times New Roman"/>
          <w:color w:val="auto"/>
        </w:rPr>
        <w:t xml:space="preserve"> séquence : Barabbas, la prise de conscience d’un malfrat</w:t>
      </w:r>
      <w:bookmarkEnd w:id="109"/>
    </w:p>
    <w:p w:rsidR="000413EE" w:rsidRPr="00325A24" w:rsidRDefault="006A4EED" w:rsidP="00275F2A">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Avec l’examen des paratextes auctorial et éditorial, nous avons donné l’impression d’anticiper rapidement sur la suite des événements du récit, d’un point de vue sémantique de lecture des paratextes. Il s’agit à présent de découvrir l’enchaînement des situations narratives telles que les a structurées l’auteur. Pour ce faire, nous nous inspirons toujours de la délimitation effectuée par Bremond</w:t>
      </w:r>
      <w:r w:rsidRPr="003B00C8">
        <w:rPr>
          <w:rFonts w:ascii="Times New Roman" w:hAnsi="Times New Roman"/>
          <w:color w:val="000000"/>
          <w:sz w:val="24"/>
          <w:szCs w:val="24"/>
          <w:vertAlign w:val="superscript"/>
        </w:rPr>
        <w:footnoteReference w:id="196"/>
      </w:r>
      <w:r w:rsidRPr="003B00C8">
        <w:rPr>
          <w:rFonts w:ascii="Times New Roman" w:hAnsi="Times New Roman"/>
          <w:color w:val="000000"/>
          <w:sz w:val="24"/>
          <w:szCs w:val="24"/>
        </w:rPr>
        <w:t xml:space="preserve">. </w:t>
      </w:r>
    </w:p>
    <w:p w:rsidR="006A4EED" w:rsidRPr="003B00C8" w:rsidRDefault="000413EE" w:rsidP="00275F2A">
      <w:pPr>
        <w:spacing w:after="0" w:line="360" w:lineRule="auto"/>
        <w:ind w:firstLine="284"/>
        <w:jc w:val="both"/>
        <w:rPr>
          <w:rFonts w:ascii="Times New Roman" w:hAnsi="Times New Roman"/>
          <w:sz w:val="24"/>
          <w:szCs w:val="24"/>
        </w:rPr>
      </w:pPr>
      <w:r>
        <w:rPr>
          <w:rFonts w:ascii="Times New Roman" w:hAnsi="Times New Roman"/>
          <w:sz w:val="24"/>
          <w:szCs w:val="24"/>
        </w:rPr>
        <w:t xml:space="preserve"> </w:t>
      </w:r>
      <w:r w:rsidR="006A4EED" w:rsidRPr="003B00C8">
        <w:rPr>
          <w:rFonts w:ascii="Times New Roman" w:hAnsi="Times New Roman"/>
          <w:sz w:val="24"/>
          <w:szCs w:val="24"/>
        </w:rPr>
        <w:t>De prime abord, il nous est possible, par l’onomastique, de cerner la sémantèse du nom Barabbas. L’onomastique est ce couloir d’analyse qui s’intéresse à l’étude des noms. Ces noms peuvent être de plusieurs ordres :</w:t>
      </w:r>
    </w:p>
    <w:p w:rsidR="006A4EED" w:rsidRPr="003B00C8" w:rsidRDefault="006A4EED" w:rsidP="00230C65">
      <w:pPr>
        <w:numPr>
          <w:ilvl w:val="0"/>
          <w:numId w:val="21"/>
        </w:numPr>
        <w:spacing w:after="0" w:line="360" w:lineRule="auto"/>
        <w:contextualSpacing/>
        <w:rPr>
          <w:rFonts w:ascii="Times New Roman" w:hAnsi="Times New Roman"/>
          <w:sz w:val="24"/>
          <w:szCs w:val="24"/>
        </w:rPr>
      </w:pPr>
      <w:r w:rsidRPr="003B00C8">
        <w:rPr>
          <w:rFonts w:ascii="Times New Roman" w:hAnsi="Times New Roman"/>
          <w:sz w:val="24"/>
          <w:szCs w:val="24"/>
        </w:rPr>
        <w:t>Patronymique</w:t>
      </w:r>
    </w:p>
    <w:p w:rsidR="006A4EED" w:rsidRPr="003B00C8" w:rsidRDefault="006A4EED" w:rsidP="00230C65">
      <w:pPr>
        <w:numPr>
          <w:ilvl w:val="0"/>
          <w:numId w:val="21"/>
        </w:numPr>
        <w:spacing w:after="0" w:line="360" w:lineRule="auto"/>
        <w:contextualSpacing/>
        <w:rPr>
          <w:rFonts w:ascii="Times New Roman" w:hAnsi="Times New Roman"/>
          <w:sz w:val="24"/>
          <w:szCs w:val="24"/>
        </w:rPr>
      </w:pPr>
      <w:r w:rsidRPr="003B00C8">
        <w:rPr>
          <w:rFonts w:ascii="Times New Roman" w:hAnsi="Times New Roman"/>
          <w:sz w:val="24"/>
          <w:szCs w:val="24"/>
        </w:rPr>
        <w:lastRenderedPageBreak/>
        <w:t>Hydronymique</w:t>
      </w:r>
    </w:p>
    <w:p w:rsidR="006A4EED" w:rsidRPr="003B00C8" w:rsidRDefault="006A4EED" w:rsidP="00230C65">
      <w:pPr>
        <w:numPr>
          <w:ilvl w:val="0"/>
          <w:numId w:val="21"/>
        </w:numPr>
        <w:spacing w:after="0" w:line="360" w:lineRule="auto"/>
        <w:contextualSpacing/>
        <w:rPr>
          <w:rFonts w:ascii="Times New Roman" w:hAnsi="Times New Roman"/>
          <w:sz w:val="24"/>
          <w:szCs w:val="24"/>
        </w:rPr>
      </w:pPr>
      <w:r w:rsidRPr="003B00C8">
        <w:rPr>
          <w:rFonts w:ascii="Times New Roman" w:hAnsi="Times New Roman"/>
          <w:sz w:val="24"/>
          <w:szCs w:val="24"/>
        </w:rPr>
        <w:t>Toponymique</w:t>
      </w:r>
    </w:p>
    <w:p w:rsidR="006A4EED" w:rsidRPr="003B00C8" w:rsidRDefault="006A4EED" w:rsidP="00230C65">
      <w:pPr>
        <w:numPr>
          <w:ilvl w:val="0"/>
          <w:numId w:val="21"/>
        </w:numPr>
        <w:spacing w:after="0" w:line="360" w:lineRule="auto"/>
        <w:contextualSpacing/>
        <w:rPr>
          <w:rFonts w:ascii="Times New Roman" w:hAnsi="Times New Roman"/>
          <w:sz w:val="24"/>
          <w:szCs w:val="24"/>
        </w:rPr>
      </w:pPr>
      <w:r w:rsidRPr="003B00C8">
        <w:rPr>
          <w:rFonts w:ascii="Times New Roman" w:hAnsi="Times New Roman"/>
          <w:sz w:val="24"/>
          <w:szCs w:val="24"/>
        </w:rPr>
        <w:t>Ornitonymique</w:t>
      </w:r>
    </w:p>
    <w:p w:rsidR="006A4EED" w:rsidRPr="00325A24" w:rsidRDefault="006A4EED" w:rsidP="00230C65">
      <w:pPr>
        <w:numPr>
          <w:ilvl w:val="0"/>
          <w:numId w:val="21"/>
        </w:numPr>
        <w:spacing w:after="0" w:line="360" w:lineRule="auto"/>
        <w:contextualSpacing/>
        <w:rPr>
          <w:rFonts w:ascii="Times New Roman" w:hAnsi="Times New Roman"/>
          <w:sz w:val="24"/>
          <w:szCs w:val="24"/>
        </w:rPr>
      </w:pPr>
      <w:r w:rsidRPr="003B00C8">
        <w:rPr>
          <w:rFonts w:ascii="Times New Roman" w:hAnsi="Times New Roman"/>
          <w:sz w:val="24"/>
          <w:szCs w:val="24"/>
        </w:rPr>
        <w:t>Ethnonymique, etc.</w:t>
      </w:r>
    </w:p>
    <w:p w:rsidR="006A4EED" w:rsidRPr="00E80D7B" w:rsidRDefault="006A4EED" w:rsidP="00E80D7B">
      <w:pPr>
        <w:spacing w:after="0" w:line="360" w:lineRule="auto"/>
        <w:ind w:firstLine="284"/>
        <w:contextualSpacing/>
        <w:jc w:val="both"/>
        <w:rPr>
          <w:rFonts w:asciiTheme="majorBidi" w:hAnsiTheme="majorBidi" w:cstheme="majorBidi"/>
          <w:sz w:val="24"/>
          <w:szCs w:val="24"/>
        </w:rPr>
      </w:pPr>
      <w:r w:rsidRPr="00E80D7B">
        <w:rPr>
          <w:rFonts w:asciiTheme="majorBidi" w:hAnsiTheme="majorBidi" w:cstheme="majorBidi"/>
          <w:sz w:val="24"/>
          <w:szCs w:val="24"/>
        </w:rPr>
        <w:t xml:space="preserve">L’onomastique est le reflet langagier, le miroir d’un groupe social au sens où l’entend  Coulibaly : « </w:t>
      </w:r>
      <w:r w:rsidR="00E80D7B" w:rsidRPr="00E80D7B">
        <w:rPr>
          <w:rFonts w:asciiTheme="majorBidi" w:hAnsiTheme="majorBidi" w:cstheme="majorBidi"/>
          <w:sz w:val="24"/>
          <w:szCs w:val="24"/>
        </w:rPr>
        <w:t>[</w:t>
      </w:r>
      <w:r w:rsidRPr="00E80D7B">
        <w:rPr>
          <w:rFonts w:asciiTheme="majorBidi" w:hAnsiTheme="majorBidi" w:cstheme="majorBidi"/>
          <w:sz w:val="24"/>
          <w:szCs w:val="24"/>
        </w:rPr>
        <w:t>…</w:t>
      </w:r>
      <w:r w:rsidR="00E80D7B" w:rsidRPr="00E80D7B">
        <w:rPr>
          <w:rFonts w:asciiTheme="majorBidi" w:hAnsiTheme="majorBidi" w:cstheme="majorBidi"/>
          <w:sz w:val="24"/>
          <w:szCs w:val="24"/>
        </w:rPr>
        <w:t>]</w:t>
      </w:r>
      <w:r w:rsidRPr="00E80D7B">
        <w:rPr>
          <w:rFonts w:asciiTheme="majorBidi" w:hAnsiTheme="majorBidi" w:cstheme="majorBidi"/>
          <w:sz w:val="24"/>
          <w:szCs w:val="24"/>
        </w:rPr>
        <w:t xml:space="preserve">  un produit d’une société, d’une communauté, d’une ethnie données caractérisées par leur environnement, sinon leur écologie, leur histoire et leurs aspirations»</w:t>
      </w:r>
      <w:r w:rsidRPr="00E80D7B">
        <w:rPr>
          <w:rFonts w:asciiTheme="majorBidi" w:hAnsiTheme="majorBidi" w:cstheme="majorBidi"/>
          <w:sz w:val="24"/>
          <w:szCs w:val="24"/>
          <w:vertAlign w:val="superscript"/>
        </w:rPr>
        <w:footnoteReference w:id="197"/>
      </w:r>
      <w:r w:rsidRPr="00E80D7B">
        <w:rPr>
          <w:rFonts w:asciiTheme="majorBidi" w:hAnsiTheme="majorBidi" w:cstheme="majorBidi"/>
          <w:sz w:val="24"/>
          <w:szCs w:val="24"/>
        </w:rPr>
        <w:t>.</w:t>
      </w:r>
    </w:p>
    <w:p w:rsidR="006A4EED" w:rsidRPr="003B00C8" w:rsidRDefault="006A4EED" w:rsidP="00E80D7B">
      <w:pPr>
        <w:spacing w:after="0" w:line="360" w:lineRule="auto"/>
        <w:ind w:firstLine="284"/>
        <w:jc w:val="both"/>
        <w:rPr>
          <w:rFonts w:ascii="Times New Roman" w:hAnsi="Times New Roman"/>
          <w:sz w:val="24"/>
          <w:szCs w:val="24"/>
        </w:rPr>
      </w:pPr>
      <w:r w:rsidRPr="003B00C8">
        <w:rPr>
          <w:rFonts w:ascii="Times New Roman" w:hAnsi="Times New Roman"/>
          <w:sz w:val="24"/>
          <w:szCs w:val="24"/>
        </w:rPr>
        <w:t>L’onomastique permet d’appréhender le sens d’une œuvre littéraire, dans la mesure où le nom propre est un signe linguistique susceptible d’analyse</w:t>
      </w:r>
      <w:r w:rsidRPr="003B00C8">
        <w:rPr>
          <w:rFonts w:ascii="Times New Roman" w:hAnsi="Times New Roman"/>
          <w:sz w:val="24"/>
          <w:szCs w:val="24"/>
          <w:vertAlign w:val="superscript"/>
        </w:rPr>
        <w:footnoteReference w:id="198"/>
      </w:r>
      <w:r w:rsidRPr="003B00C8">
        <w:rPr>
          <w:rFonts w:ascii="Times New Roman" w:hAnsi="Times New Roman"/>
          <w:sz w:val="24"/>
          <w:szCs w:val="24"/>
        </w:rPr>
        <w:t xml:space="preserve">. L’onomastique occupe une place déterminante dans le processus de génération du système signifiant organisé </w:t>
      </w:r>
      <w:r w:rsidR="000413EE">
        <w:rPr>
          <w:rFonts w:ascii="Times New Roman" w:hAnsi="Times New Roman"/>
          <w:sz w:val="24"/>
          <w:szCs w:val="24"/>
        </w:rPr>
        <w:t xml:space="preserve">par </w:t>
      </w:r>
      <w:r w:rsidRPr="003B00C8">
        <w:rPr>
          <w:rFonts w:ascii="Times New Roman" w:hAnsi="Times New Roman"/>
          <w:sz w:val="24"/>
          <w:szCs w:val="24"/>
        </w:rPr>
        <w:t>le dramaturge. Le nom propre (ethnonyme, patronyme, toponyme) revêt un caractère fondamental voire ontologique dans la cosmologie et la socio-culture belge.</w:t>
      </w:r>
    </w:p>
    <w:p w:rsidR="006A4EED" w:rsidRPr="003B00C8" w:rsidRDefault="006A4EED" w:rsidP="00E80D7B">
      <w:pPr>
        <w:spacing w:after="0" w:line="360" w:lineRule="auto"/>
        <w:ind w:firstLine="284"/>
        <w:jc w:val="both"/>
        <w:rPr>
          <w:rFonts w:ascii="Times New Roman" w:hAnsi="Times New Roman"/>
          <w:sz w:val="24"/>
          <w:szCs w:val="24"/>
        </w:rPr>
      </w:pPr>
      <w:r w:rsidRPr="003B00C8">
        <w:rPr>
          <w:rFonts w:ascii="Times New Roman" w:hAnsi="Times New Roman"/>
          <w:sz w:val="24"/>
          <w:szCs w:val="24"/>
        </w:rPr>
        <w:t>Nous verrons comment par l’étude du nom du personnage principal de Ghelderode, nous avançons inéluctablement vers la saisie du sens et de la philosophie de l’auteur</w:t>
      </w:r>
      <w:r w:rsidRPr="003B00C8">
        <w:rPr>
          <w:rFonts w:ascii="Times New Roman" w:hAnsi="Times New Roman"/>
          <w:i/>
          <w:sz w:val="24"/>
          <w:szCs w:val="24"/>
        </w:rPr>
        <w:t>.</w:t>
      </w:r>
      <w:r w:rsidRPr="003B00C8">
        <w:rPr>
          <w:rFonts w:ascii="Times New Roman" w:hAnsi="Times New Roman"/>
        </w:rPr>
        <w:t xml:space="preserve"> </w:t>
      </w:r>
      <w:r w:rsidRPr="003B00C8">
        <w:rPr>
          <w:rFonts w:ascii="Times New Roman" w:hAnsi="Times New Roman"/>
          <w:sz w:val="24"/>
          <w:szCs w:val="24"/>
        </w:rPr>
        <w:t>Elle  est l’un des domaines à travers lesquels il est facile de percevoir le degré d’influence du culturel dans la pièce de théâtre en examen.</w:t>
      </w:r>
    </w:p>
    <w:p w:rsidR="006A4EED" w:rsidRPr="003B00C8" w:rsidRDefault="006A4EED" w:rsidP="00AC4103">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nom Barabbas est d'origine araméenne. Sa construction dérive de Barabbas qui signifie dans cette langue le fils du père, le « s » final est une marque génitive grecque. Dans cette procédure onomastique insolite, le « fils du père » est le titre qui, de façon suréminente et transcendante appartient aussi au Christ protagoniste et enjeu de la pièce.</w:t>
      </w:r>
    </w:p>
    <w:p w:rsidR="006A4EED" w:rsidRPr="00AC4103" w:rsidRDefault="006A4EED" w:rsidP="00AC4103">
      <w:pPr>
        <w:spacing w:after="0" w:line="360" w:lineRule="auto"/>
        <w:ind w:firstLine="284"/>
        <w:jc w:val="both"/>
        <w:rPr>
          <w:sz w:val="24"/>
          <w:szCs w:val="24"/>
        </w:rPr>
      </w:pPr>
      <w:r w:rsidRPr="00AC4103">
        <w:rPr>
          <w:rFonts w:ascii="Times New Roman" w:hAnsi="Times New Roman"/>
          <w:sz w:val="24"/>
          <w:szCs w:val="24"/>
        </w:rPr>
        <w:t xml:space="preserve">Tout le long du premier acte, ce personnage nodal parait un brigand, grand robuste, son cri est rugissement. Il se prend pour un fauve, lutteur et bagarreur comme le démontre le passage: </w:t>
      </w:r>
      <w:r w:rsidRPr="00AC4103">
        <w:rPr>
          <w:rFonts w:ascii="Times New Roman" w:hAnsi="Times New Roman"/>
          <w:i/>
          <w:iCs/>
          <w:sz w:val="24"/>
          <w:szCs w:val="24"/>
        </w:rPr>
        <w:t xml:space="preserve">« </w:t>
      </w:r>
      <w:r w:rsidR="00AC4103">
        <w:rPr>
          <w:rFonts w:ascii="Times New Roman" w:hAnsi="Times New Roman"/>
          <w:i/>
          <w:iCs/>
          <w:sz w:val="24"/>
          <w:szCs w:val="24"/>
        </w:rPr>
        <w:t>[</w:t>
      </w:r>
      <w:r w:rsidRPr="00AC4103">
        <w:rPr>
          <w:rFonts w:ascii="Times New Roman" w:hAnsi="Times New Roman"/>
          <w:i/>
          <w:iCs/>
          <w:sz w:val="24"/>
          <w:szCs w:val="24"/>
        </w:rPr>
        <w:t>.</w:t>
      </w:r>
      <w:r w:rsidR="00AC4103">
        <w:rPr>
          <w:rFonts w:ascii="Times New Roman" w:hAnsi="Times New Roman"/>
          <w:i/>
          <w:iCs/>
          <w:sz w:val="24"/>
          <w:szCs w:val="24"/>
        </w:rPr>
        <w:t>.</w:t>
      </w:r>
      <w:r w:rsidRPr="00AC4103">
        <w:rPr>
          <w:rFonts w:ascii="Times New Roman" w:hAnsi="Times New Roman"/>
          <w:i/>
          <w:iCs/>
          <w:sz w:val="24"/>
          <w:szCs w:val="24"/>
        </w:rPr>
        <w:t>.</w:t>
      </w:r>
      <w:r w:rsidR="00AC4103">
        <w:rPr>
          <w:rFonts w:ascii="Times New Roman" w:hAnsi="Times New Roman"/>
          <w:i/>
          <w:iCs/>
          <w:sz w:val="24"/>
          <w:szCs w:val="24"/>
        </w:rPr>
        <w:t xml:space="preserve">] </w:t>
      </w:r>
      <w:r w:rsidRPr="00AC4103">
        <w:rPr>
          <w:rFonts w:ascii="Times New Roman" w:hAnsi="Times New Roman"/>
          <w:i/>
          <w:iCs/>
          <w:sz w:val="24"/>
          <w:szCs w:val="24"/>
        </w:rPr>
        <w:t>venez donc avec fourches et torches, le fauve vous attend»</w:t>
      </w:r>
      <w:r w:rsidRPr="00AC4103">
        <w:rPr>
          <w:sz w:val="24"/>
          <w:szCs w:val="24"/>
        </w:rPr>
        <w:t xml:space="preserve"> </w:t>
      </w:r>
      <w:r w:rsidR="00173D49" w:rsidRPr="00AC4103">
        <w:rPr>
          <w:rFonts w:ascii="Times New Roman" w:hAnsi="Times New Roman"/>
          <w:sz w:val="24"/>
          <w:szCs w:val="24"/>
        </w:rPr>
        <w:t>(</w:t>
      </w:r>
      <w:r w:rsidR="00AC4103">
        <w:rPr>
          <w:rFonts w:ascii="Times New Roman" w:hAnsi="Times New Roman"/>
          <w:i/>
          <w:iCs/>
          <w:sz w:val="24"/>
          <w:szCs w:val="24"/>
        </w:rPr>
        <w:t xml:space="preserve">Ibid, </w:t>
      </w:r>
      <w:r w:rsidR="00173D49" w:rsidRPr="00AC4103">
        <w:rPr>
          <w:rFonts w:ascii="Times New Roman" w:hAnsi="Times New Roman"/>
          <w:sz w:val="24"/>
          <w:szCs w:val="24"/>
        </w:rPr>
        <w:t>p.40)</w:t>
      </w:r>
      <w:r w:rsidR="00AC4103">
        <w:rPr>
          <w:rFonts w:ascii="Times New Roman" w:hAnsi="Times New Roman"/>
          <w:sz w:val="24"/>
          <w:szCs w:val="24"/>
        </w:rPr>
        <w:t>.</w:t>
      </w:r>
    </w:p>
    <w:p w:rsidR="006A4EED" w:rsidRPr="00AC4103" w:rsidRDefault="006A4EED" w:rsidP="00D94254">
      <w:pPr>
        <w:spacing w:after="0" w:line="360" w:lineRule="auto"/>
        <w:ind w:firstLine="284"/>
        <w:jc w:val="both"/>
        <w:rPr>
          <w:sz w:val="24"/>
          <w:szCs w:val="24"/>
        </w:rPr>
      </w:pPr>
      <w:r w:rsidRPr="00AC4103">
        <w:rPr>
          <w:rFonts w:ascii="Times New Roman" w:hAnsi="Times New Roman"/>
          <w:sz w:val="24"/>
          <w:szCs w:val="24"/>
        </w:rPr>
        <w:lastRenderedPageBreak/>
        <w:t xml:space="preserve">Il est démoniaque et ivrogne : </w:t>
      </w:r>
      <w:r w:rsidR="00AC4103" w:rsidRPr="00AC4103">
        <w:rPr>
          <w:rFonts w:ascii="Times New Roman" w:hAnsi="Times New Roman"/>
          <w:i/>
          <w:iCs/>
          <w:sz w:val="24"/>
          <w:szCs w:val="24"/>
        </w:rPr>
        <w:t>«</w:t>
      </w:r>
      <w:r w:rsidR="00AC4103">
        <w:rPr>
          <w:rFonts w:ascii="Times New Roman" w:hAnsi="Times New Roman"/>
          <w:i/>
          <w:iCs/>
          <w:sz w:val="24"/>
          <w:szCs w:val="24"/>
        </w:rPr>
        <w:t xml:space="preserve"> [</w:t>
      </w:r>
      <w:r w:rsidRPr="00AC4103">
        <w:rPr>
          <w:rFonts w:ascii="Times New Roman" w:hAnsi="Times New Roman"/>
          <w:i/>
          <w:iCs/>
          <w:sz w:val="24"/>
          <w:szCs w:val="24"/>
        </w:rPr>
        <w:t>...</w:t>
      </w:r>
      <w:r w:rsidR="00AC4103">
        <w:rPr>
          <w:rFonts w:ascii="Times New Roman" w:hAnsi="Times New Roman"/>
          <w:i/>
          <w:iCs/>
          <w:sz w:val="24"/>
          <w:szCs w:val="24"/>
        </w:rPr>
        <w:t>]</w:t>
      </w:r>
      <w:r w:rsidRPr="00AC4103">
        <w:rPr>
          <w:rFonts w:ascii="Times New Roman" w:hAnsi="Times New Roman"/>
          <w:i/>
          <w:iCs/>
          <w:sz w:val="24"/>
          <w:szCs w:val="24"/>
        </w:rPr>
        <w:t xml:space="preserve"> ma gueule est fournaise ardente»</w:t>
      </w:r>
      <w:r w:rsidR="001F0AC3">
        <w:rPr>
          <w:rFonts w:ascii="Times New Roman" w:hAnsi="Times New Roman"/>
          <w:i/>
          <w:iCs/>
          <w:sz w:val="24"/>
          <w:szCs w:val="24"/>
        </w:rPr>
        <w:t xml:space="preserve"> </w:t>
      </w:r>
      <w:r w:rsidR="00173D49" w:rsidRPr="00AC4103">
        <w:rPr>
          <w:rFonts w:ascii="Times New Roman" w:hAnsi="Times New Roman"/>
          <w:sz w:val="24"/>
          <w:szCs w:val="24"/>
        </w:rPr>
        <w:t>(</w:t>
      </w:r>
      <w:r w:rsidR="00AC4103">
        <w:rPr>
          <w:rFonts w:ascii="Times New Roman" w:hAnsi="Times New Roman"/>
          <w:i/>
          <w:iCs/>
          <w:sz w:val="24"/>
          <w:szCs w:val="24"/>
        </w:rPr>
        <w:t xml:space="preserve">Ibid, </w:t>
      </w:r>
      <w:r w:rsidR="00173D49" w:rsidRPr="00AC4103">
        <w:rPr>
          <w:rFonts w:ascii="Times New Roman" w:hAnsi="Times New Roman"/>
          <w:sz w:val="24"/>
          <w:szCs w:val="24"/>
        </w:rPr>
        <w:t>p.43)</w:t>
      </w:r>
      <w:r w:rsidR="00AC4103">
        <w:rPr>
          <w:rFonts w:ascii="Times New Roman" w:hAnsi="Times New Roman"/>
          <w:sz w:val="24"/>
          <w:szCs w:val="24"/>
        </w:rPr>
        <w:t>.</w:t>
      </w:r>
    </w:p>
    <w:p w:rsidR="006A4EED" w:rsidRPr="00AC4103" w:rsidRDefault="006A4EED" w:rsidP="00AC4103">
      <w:pPr>
        <w:spacing w:after="0" w:line="360" w:lineRule="auto"/>
        <w:ind w:firstLine="284"/>
        <w:jc w:val="both"/>
        <w:rPr>
          <w:sz w:val="24"/>
          <w:szCs w:val="24"/>
        </w:rPr>
      </w:pPr>
      <w:r w:rsidRPr="00AC4103">
        <w:rPr>
          <w:rFonts w:ascii="Times New Roman" w:hAnsi="Times New Roman"/>
          <w:sz w:val="24"/>
          <w:szCs w:val="24"/>
        </w:rPr>
        <w:t xml:space="preserve">Il se fait respecter par la force, selon les dires du mauvais larron : </w:t>
      </w:r>
      <w:r w:rsidR="00AC4103" w:rsidRPr="00AC4103">
        <w:rPr>
          <w:rFonts w:ascii="Times New Roman" w:hAnsi="Times New Roman"/>
          <w:i/>
          <w:iCs/>
          <w:sz w:val="24"/>
          <w:szCs w:val="24"/>
        </w:rPr>
        <w:t>«</w:t>
      </w:r>
      <w:r w:rsidR="00AC4103">
        <w:rPr>
          <w:rFonts w:ascii="Times New Roman" w:hAnsi="Times New Roman"/>
          <w:i/>
          <w:iCs/>
          <w:sz w:val="24"/>
          <w:szCs w:val="24"/>
        </w:rPr>
        <w:t xml:space="preserve"> [</w:t>
      </w:r>
      <w:r w:rsidRPr="00AC4103">
        <w:rPr>
          <w:rFonts w:ascii="Times New Roman" w:hAnsi="Times New Roman"/>
          <w:i/>
          <w:iCs/>
          <w:sz w:val="24"/>
          <w:szCs w:val="24"/>
        </w:rPr>
        <w:t>...</w:t>
      </w:r>
      <w:r w:rsidR="00AC4103">
        <w:rPr>
          <w:rFonts w:ascii="Times New Roman" w:hAnsi="Times New Roman"/>
          <w:i/>
          <w:iCs/>
          <w:sz w:val="24"/>
          <w:szCs w:val="24"/>
        </w:rPr>
        <w:t>]</w:t>
      </w:r>
      <w:r w:rsidRPr="00AC4103">
        <w:rPr>
          <w:rFonts w:ascii="Times New Roman" w:hAnsi="Times New Roman"/>
          <w:i/>
          <w:iCs/>
          <w:sz w:val="24"/>
          <w:szCs w:val="24"/>
        </w:rPr>
        <w:t xml:space="preserve"> tu es beau, tu es grand</w:t>
      </w:r>
      <w:r w:rsidR="00AC4103" w:rsidRPr="00AC4103">
        <w:rPr>
          <w:rFonts w:ascii="Times New Roman" w:hAnsi="Times New Roman"/>
          <w:i/>
          <w:iCs/>
          <w:sz w:val="24"/>
          <w:szCs w:val="24"/>
        </w:rPr>
        <w:t>»</w:t>
      </w:r>
      <w:r w:rsidR="00AC4103" w:rsidRPr="00AC4103">
        <w:rPr>
          <w:rFonts w:ascii="Times New Roman" w:hAnsi="Times New Roman"/>
          <w:sz w:val="24"/>
          <w:szCs w:val="24"/>
        </w:rPr>
        <w:t xml:space="preserve"> (</w:t>
      </w:r>
      <w:r w:rsidR="00AC4103">
        <w:rPr>
          <w:rFonts w:ascii="Times New Roman" w:hAnsi="Times New Roman"/>
          <w:i/>
          <w:iCs/>
          <w:sz w:val="24"/>
          <w:szCs w:val="24"/>
        </w:rPr>
        <w:t xml:space="preserve">Ibid, </w:t>
      </w:r>
      <w:r w:rsidR="00173D49" w:rsidRPr="00AC4103">
        <w:rPr>
          <w:rFonts w:ascii="Times New Roman" w:hAnsi="Times New Roman"/>
          <w:sz w:val="24"/>
          <w:szCs w:val="24"/>
        </w:rPr>
        <w:t>p.44)</w:t>
      </w:r>
      <w:r w:rsidR="00AC4103">
        <w:rPr>
          <w:rFonts w:ascii="Times New Roman" w:hAnsi="Times New Roman"/>
          <w:sz w:val="24"/>
          <w:szCs w:val="24"/>
        </w:rPr>
        <w:t>.</w:t>
      </w:r>
    </w:p>
    <w:p w:rsidR="006A4EED" w:rsidRPr="00AC4103" w:rsidRDefault="006A4EED" w:rsidP="00D94254">
      <w:pPr>
        <w:spacing w:after="0" w:line="360" w:lineRule="auto"/>
        <w:ind w:firstLine="284"/>
        <w:jc w:val="both"/>
        <w:rPr>
          <w:sz w:val="24"/>
          <w:szCs w:val="24"/>
        </w:rPr>
      </w:pPr>
      <w:r w:rsidRPr="00AC4103">
        <w:rPr>
          <w:rFonts w:ascii="Times New Roman" w:hAnsi="Times New Roman"/>
          <w:sz w:val="24"/>
          <w:szCs w:val="24"/>
        </w:rPr>
        <w:t xml:space="preserve">Barabbas est un festif qui aime  boire et chanter : </w:t>
      </w:r>
      <w:r w:rsidR="00645CB3" w:rsidRPr="00AC4103">
        <w:rPr>
          <w:rFonts w:ascii="Times New Roman" w:hAnsi="Times New Roman"/>
          <w:i/>
          <w:iCs/>
          <w:sz w:val="24"/>
          <w:szCs w:val="24"/>
        </w:rPr>
        <w:t xml:space="preserve">« </w:t>
      </w:r>
      <w:r w:rsidR="00D94254">
        <w:rPr>
          <w:rFonts w:ascii="Times New Roman" w:hAnsi="Times New Roman"/>
          <w:i/>
          <w:iCs/>
          <w:sz w:val="24"/>
          <w:szCs w:val="24"/>
        </w:rPr>
        <w:t>[</w:t>
      </w:r>
      <w:r w:rsidRPr="00AC4103">
        <w:rPr>
          <w:rFonts w:ascii="Times New Roman" w:hAnsi="Times New Roman"/>
          <w:i/>
          <w:iCs/>
          <w:sz w:val="24"/>
          <w:szCs w:val="24"/>
        </w:rPr>
        <w:t>...</w:t>
      </w:r>
      <w:r w:rsidR="00D94254">
        <w:rPr>
          <w:rFonts w:ascii="Times New Roman" w:hAnsi="Times New Roman"/>
          <w:i/>
          <w:iCs/>
          <w:sz w:val="24"/>
          <w:szCs w:val="24"/>
        </w:rPr>
        <w:t>]</w:t>
      </w:r>
      <w:r w:rsidRPr="00AC4103">
        <w:rPr>
          <w:rFonts w:ascii="Times New Roman" w:hAnsi="Times New Roman"/>
          <w:i/>
          <w:iCs/>
          <w:sz w:val="24"/>
          <w:szCs w:val="24"/>
        </w:rPr>
        <w:t xml:space="preserve"> ma voix est pareille aux brises des forêts ou à la marche d'une horde barbare,  elle est mélodieuse et véhémente».</w:t>
      </w:r>
      <w:r w:rsidRPr="00AC4103">
        <w:rPr>
          <w:sz w:val="24"/>
          <w:szCs w:val="24"/>
        </w:rPr>
        <w:t xml:space="preserve"> </w:t>
      </w:r>
      <w:r w:rsidR="00173D49" w:rsidRPr="00AC4103">
        <w:rPr>
          <w:rFonts w:ascii="Times New Roman" w:hAnsi="Times New Roman"/>
          <w:sz w:val="24"/>
          <w:szCs w:val="24"/>
        </w:rPr>
        <w:t>(</w:t>
      </w:r>
      <w:r w:rsidR="00D94254">
        <w:rPr>
          <w:rFonts w:ascii="Times New Roman" w:hAnsi="Times New Roman"/>
          <w:i/>
          <w:iCs/>
          <w:sz w:val="24"/>
          <w:szCs w:val="24"/>
        </w:rPr>
        <w:t xml:space="preserve">Ibid, </w:t>
      </w:r>
      <w:r w:rsidR="00173D49" w:rsidRPr="00AC4103">
        <w:rPr>
          <w:rFonts w:ascii="Times New Roman" w:hAnsi="Times New Roman"/>
          <w:sz w:val="24"/>
          <w:szCs w:val="24"/>
        </w:rPr>
        <w:t>p.46)</w:t>
      </w:r>
      <w:r w:rsidR="00D94254">
        <w:rPr>
          <w:rFonts w:ascii="Times New Roman" w:hAnsi="Times New Roman"/>
          <w:sz w:val="24"/>
          <w:szCs w:val="24"/>
        </w:rPr>
        <w:t>.</w:t>
      </w:r>
    </w:p>
    <w:p w:rsidR="006A4EED" w:rsidRPr="00123404" w:rsidRDefault="006A4EED" w:rsidP="00123404">
      <w:pPr>
        <w:spacing w:after="0" w:line="360" w:lineRule="auto"/>
        <w:ind w:firstLine="284"/>
        <w:jc w:val="both"/>
        <w:rPr>
          <w:sz w:val="24"/>
          <w:szCs w:val="24"/>
        </w:rPr>
      </w:pPr>
      <w:r w:rsidRPr="00123404">
        <w:rPr>
          <w:rFonts w:ascii="Times New Roman" w:hAnsi="Times New Roman"/>
          <w:sz w:val="24"/>
          <w:szCs w:val="24"/>
        </w:rPr>
        <w:t xml:space="preserve">Et aussi fataliste : </w:t>
      </w:r>
      <w:r w:rsidRPr="00123404">
        <w:rPr>
          <w:rFonts w:ascii="Times New Roman" w:hAnsi="Times New Roman"/>
          <w:i/>
          <w:iCs/>
          <w:sz w:val="24"/>
          <w:szCs w:val="24"/>
        </w:rPr>
        <w:t>« Nous sommes trois criminels et nous ne savons pas pourquoi nous sommes des   criminels»</w:t>
      </w:r>
      <w:r w:rsidR="00173D49" w:rsidRPr="00123404">
        <w:rPr>
          <w:rFonts w:ascii="Times New Roman" w:hAnsi="Times New Roman"/>
          <w:i/>
          <w:iCs/>
          <w:sz w:val="24"/>
          <w:szCs w:val="24"/>
        </w:rPr>
        <w:t xml:space="preserve"> </w:t>
      </w:r>
      <w:r w:rsidR="00173D49" w:rsidRPr="00123404">
        <w:rPr>
          <w:rFonts w:ascii="Times New Roman" w:hAnsi="Times New Roman"/>
          <w:sz w:val="24"/>
          <w:szCs w:val="24"/>
        </w:rPr>
        <w:t>(</w:t>
      </w:r>
      <w:r w:rsidR="00123404">
        <w:rPr>
          <w:rFonts w:ascii="Times New Roman" w:hAnsi="Times New Roman"/>
          <w:i/>
          <w:iCs/>
          <w:sz w:val="24"/>
          <w:szCs w:val="24"/>
        </w:rPr>
        <w:t xml:space="preserve">Ibid, </w:t>
      </w:r>
      <w:r w:rsidR="00173D49" w:rsidRPr="00123404">
        <w:rPr>
          <w:rFonts w:ascii="Times New Roman" w:hAnsi="Times New Roman"/>
          <w:sz w:val="24"/>
          <w:szCs w:val="24"/>
        </w:rPr>
        <w:t>p.46)</w:t>
      </w:r>
      <w:r w:rsidR="00123404">
        <w:rPr>
          <w:rFonts w:ascii="Times New Roman" w:hAnsi="Times New Roman"/>
          <w:sz w:val="24"/>
          <w:szCs w:val="24"/>
        </w:rPr>
        <w:t>.</w:t>
      </w:r>
    </w:p>
    <w:p w:rsidR="006A4EED" w:rsidRPr="003F0339" w:rsidRDefault="006A4EED" w:rsidP="00D70949">
      <w:pPr>
        <w:spacing w:after="0" w:line="360" w:lineRule="auto"/>
        <w:ind w:firstLine="284"/>
        <w:jc w:val="both"/>
        <w:rPr>
          <w:sz w:val="24"/>
          <w:szCs w:val="24"/>
        </w:rPr>
      </w:pPr>
      <w:r w:rsidRPr="003F0339">
        <w:rPr>
          <w:rFonts w:ascii="Times New Roman" w:hAnsi="Times New Roman"/>
          <w:sz w:val="24"/>
          <w:szCs w:val="24"/>
        </w:rPr>
        <w:t xml:space="preserve">Il accumule toutes les caractéristiques du grotesque, ainsi la cruauté se manifeste dans son discours </w:t>
      </w:r>
      <w:r w:rsidRPr="003F0339">
        <w:rPr>
          <w:rFonts w:ascii="Times New Roman" w:hAnsi="Times New Roman"/>
          <w:i/>
          <w:iCs/>
          <w:sz w:val="24"/>
          <w:szCs w:val="24"/>
        </w:rPr>
        <w:t>:   « </w:t>
      </w:r>
      <w:r w:rsidR="00D70949">
        <w:rPr>
          <w:rFonts w:ascii="Times New Roman" w:hAnsi="Times New Roman"/>
          <w:i/>
          <w:iCs/>
          <w:sz w:val="24"/>
          <w:szCs w:val="24"/>
        </w:rPr>
        <w:t>[</w:t>
      </w:r>
      <w:r w:rsidRPr="003F0339">
        <w:rPr>
          <w:rFonts w:ascii="Times New Roman" w:hAnsi="Times New Roman"/>
          <w:i/>
          <w:iCs/>
          <w:sz w:val="24"/>
          <w:szCs w:val="24"/>
        </w:rPr>
        <w:t>...</w:t>
      </w:r>
      <w:r w:rsidR="00D70949">
        <w:rPr>
          <w:rFonts w:ascii="Times New Roman" w:hAnsi="Times New Roman"/>
          <w:i/>
          <w:iCs/>
          <w:sz w:val="24"/>
          <w:szCs w:val="24"/>
        </w:rPr>
        <w:t>]</w:t>
      </w:r>
      <w:r w:rsidRPr="003F0339">
        <w:rPr>
          <w:rFonts w:ascii="Times New Roman" w:hAnsi="Times New Roman"/>
          <w:i/>
          <w:iCs/>
          <w:sz w:val="24"/>
          <w:szCs w:val="24"/>
        </w:rPr>
        <w:t xml:space="preserve"> avec calme et douleur, je briserais les vertèbres, je te sucerais la cervelle par le nez»</w:t>
      </w:r>
      <w:r w:rsidR="00D70949">
        <w:rPr>
          <w:rFonts w:ascii="Times New Roman" w:hAnsi="Times New Roman"/>
          <w:i/>
          <w:iCs/>
          <w:sz w:val="24"/>
          <w:szCs w:val="24"/>
        </w:rPr>
        <w:t xml:space="preserve"> </w:t>
      </w:r>
      <w:r w:rsidR="00173D49" w:rsidRPr="003F0339">
        <w:rPr>
          <w:rFonts w:ascii="Times New Roman" w:hAnsi="Times New Roman"/>
          <w:sz w:val="24"/>
          <w:szCs w:val="24"/>
        </w:rPr>
        <w:t>(</w:t>
      </w:r>
      <w:r w:rsidR="00D70949">
        <w:rPr>
          <w:rFonts w:ascii="Times New Roman" w:hAnsi="Times New Roman"/>
          <w:i/>
          <w:iCs/>
          <w:sz w:val="24"/>
          <w:szCs w:val="24"/>
        </w:rPr>
        <w:t xml:space="preserve">Ibid, </w:t>
      </w:r>
      <w:r w:rsidR="00173D49" w:rsidRPr="003F0339">
        <w:rPr>
          <w:rFonts w:ascii="Times New Roman" w:hAnsi="Times New Roman"/>
          <w:sz w:val="24"/>
          <w:szCs w:val="24"/>
        </w:rPr>
        <w:t>p.40)</w:t>
      </w:r>
      <w:r w:rsidR="00D70949">
        <w:rPr>
          <w:rFonts w:ascii="Times New Roman" w:hAnsi="Times New Roman"/>
          <w:sz w:val="24"/>
          <w:szCs w:val="24"/>
        </w:rPr>
        <w:t>.</w:t>
      </w:r>
    </w:p>
    <w:p w:rsidR="006A4EED" w:rsidRPr="003F0339" w:rsidRDefault="006A4EED" w:rsidP="00D70949">
      <w:pPr>
        <w:spacing w:after="0" w:line="360" w:lineRule="auto"/>
        <w:ind w:firstLine="284"/>
        <w:jc w:val="both"/>
        <w:rPr>
          <w:sz w:val="24"/>
          <w:szCs w:val="24"/>
        </w:rPr>
      </w:pPr>
      <w:r w:rsidRPr="003F0339">
        <w:rPr>
          <w:rFonts w:ascii="Times New Roman" w:hAnsi="Times New Roman"/>
          <w:sz w:val="24"/>
          <w:szCs w:val="24"/>
        </w:rPr>
        <w:t xml:space="preserve">Hors la loi, fier, méprisant toute justice, égoïste, ostensible et vantard </w:t>
      </w:r>
      <w:r w:rsidRPr="003F0339">
        <w:rPr>
          <w:rFonts w:ascii="Times New Roman" w:hAnsi="Times New Roman"/>
          <w:i/>
          <w:iCs/>
          <w:sz w:val="24"/>
          <w:szCs w:val="24"/>
        </w:rPr>
        <w:t xml:space="preserve">: « </w:t>
      </w:r>
      <w:r w:rsidR="00D70949">
        <w:rPr>
          <w:rFonts w:ascii="Times New Roman" w:hAnsi="Times New Roman"/>
          <w:i/>
          <w:iCs/>
          <w:sz w:val="24"/>
          <w:szCs w:val="24"/>
        </w:rPr>
        <w:t>[</w:t>
      </w:r>
      <w:r w:rsidRPr="003F0339">
        <w:rPr>
          <w:rFonts w:ascii="Times New Roman" w:hAnsi="Times New Roman"/>
          <w:i/>
          <w:iCs/>
          <w:sz w:val="24"/>
          <w:szCs w:val="24"/>
        </w:rPr>
        <w:t>...</w:t>
      </w:r>
      <w:r w:rsidR="00D70949">
        <w:rPr>
          <w:rFonts w:ascii="Times New Roman" w:hAnsi="Times New Roman"/>
          <w:i/>
          <w:iCs/>
          <w:sz w:val="24"/>
          <w:szCs w:val="24"/>
        </w:rPr>
        <w:t>]</w:t>
      </w:r>
      <w:r w:rsidRPr="003F0339">
        <w:rPr>
          <w:rFonts w:ascii="Times New Roman" w:hAnsi="Times New Roman"/>
          <w:i/>
          <w:iCs/>
          <w:sz w:val="24"/>
          <w:szCs w:val="24"/>
        </w:rPr>
        <w:t xml:space="preserve"> Trouve moi prêtre, un tueur aux exploits aussi grandioses et nombreux que le mien </w:t>
      </w:r>
      <w:r w:rsidR="00D70949">
        <w:rPr>
          <w:rFonts w:ascii="Times New Roman" w:hAnsi="Times New Roman"/>
          <w:i/>
          <w:iCs/>
          <w:sz w:val="24"/>
          <w:szCs w:val="24"/>
        </w:rPr>
        <w:t>[</w:t>
      </w:r>
      <w:r w:rsidRPr="003F0339">
        <w:rPr>
          <w:rFonts w:ascii="Times New Roman" w:hAnsi="Times New Roman"/>
          <w:i/>
          <w:iCs/>
          <w:sz w:val="24"/>
          <w:szCs w:val="24"/>
        </w:rPr>
        <w:t>...</w:t>
      </w:r>
      <w:r w:rsidR="00D70949">
        <w:rPr>
          <w:rFonts w:ascii="Times New Roman" w:hAnsi="Times New Roman"/>
          <w:i/>
          <w:iCs/>
          <w:sz w:val="24"/>
          <w:szCs w:val="24"/>
        </w:rPr>
        <w:t>]</w:t>
      </w:r>
      <w:r w:rsidRPr="003F0339">
        <w:rPr>
          <w:rFonts w:ascii="Times New Roman" w:hAnsi="Times New Roman"/>
          <w:i/>
          <w:iCs/>
          <w:sz w:val="24"/>
          <w:szCs w:val="24"/>
        </w:rPr>
        <w:t xml:space="preserve"> montre moi ce surhomme.»</w:t>
      </w:r>
      <w:r w:rsidRPr="003F0339">
        <w:rPr>
          <w:sz w:val="24"/>
          <w:szCs w:val="24"/>
        </w:rPr>
        <w:t xml:space="preserve"> </w:t>
      </w:r>
      <w:r w:rsidR="00173D49" w:rsidRPr="003F0339">
        <w:rPr>
          <w:rFonts w:ascii="Times New Roman" w:hAnsi="Times New Roman"/>
          <w:sz w:val="24"/>
          <w:szCs w:val="24"/>
        </w:rPr>
        <w:t>(</w:t>
      </w:r>
      <w:r w:rsidR="00D70949">
        <w:rPr>
          <w:rFonts w:ascii="Times New Roman" w:hAnsi="Times New Roman"/>
          <w:i/>
          <w:iCs/>
          <w:sz w:val="24"/>
          <w:szCs w:val="24"/>
        </w:rPr>
        <w:t xml:space="preserve">Ibid, </w:t>
      </w:r>
      <w:r w:rsidR="00173D49" w:rsidRPr="003F0339">
        <w:rPr>
          <w:rFonts w:ascii="Times New Roman" w:hAnsi="Times New Roman"/>
          <w:sz w:val="24"/>
          <w:szCs w:val="24"/>
        </w:rPr>
        <w:t>p.54)</w:t>
      </w:r>
      <w:r w:rsidR="00D70949">
        <w:rPr>
          <w:rFonts w:ascii="Times New Roman" w:hAnsi="Times New Roman"/>
          <w:sz w:val="24"/>
          <w:szCs w:val="24"/>
        </w:rPr>
        <w:t>.</w:t>
      </w:r>
    </w:p>
    <w:p w:rsidR="006A4EED" w:rsidRPr="00AC2AFE" w:rsidRDefault="006A4EED" w:rsidP="00AC2AFE">
      <w:pPr>
        <w:spacing w:after="0" w:line="360" w:lineRule="auto"/>
        <w:ind w:firstLine="284"/>
        <w:jc w:val="both"/>
        <w:rPr>
          <w:sz w:val="24"/>
          <w:szCs w:val="24"/>
        </w:rPr>
      </w:pPr>
      <w:r w:rsidRPr="00AC2AFE">
        <w:rPr>
          <w:rFonts w:ascii="Times New Roman" w:hAnsi="Times New Roman"/>
          <w:sz w:val="24"/>
          <w:szCs w:val="24"/>
        </w:rPr>
        <w:t xml:space="preserve">Dans le 2éme acte Barabbas devient populaire malgré lui .Selon Hérode: </w:t>
      </w:r>
      <w:r w:rsidRPr="00AC2AFE">
        <w:rPr>
          <w:rFonts w:ascii="Times New Roman" w:hAnsi="Times New Roman"/>
          <w:i/>
          <w:iCs/>
          <w:sz w:val="24"/>
          <w:szCs w:val="24"/>
        </w:rPr>
        <w:t xml:space="preserve">« Ce Barabbas possède une popularité que j'envie» </w:t>
      </w:r>
      <w:r w:rsidR="00173D49" w:rsidRPr="00AC2AFE">
        <w:rPr>
          <w:rFonts w:ascii="Times New Roman" w:hAnsi="Times New Roman"/>
          <w:sz w:val="24"/>
          <w:szCs w:val="24"/>
        </w:rPr>
        <w:t>(</w:t>
      </w:r>
      <w:r w:rsidR="00460A50" w:rsidRPr="00AC2AFE">
        <w:rPr>
          <w:rFonts w:ascii="Times New Roman" w:hAnsi="Times New Roman"/>
          <w:i/>
          <w:iCs/>
          <w:sz w:val="24"/>
          <w:szCs w:val="24"/>
        </w:rPr>
        <w:t xml:space="preserve">Ibid, </w:t>
      </w:r>
      <w:r w:rsidR="00173D49" w:rsidRPr="00AC2AFE">
        <w:rPr>
          <w:rFonts w:ascii="Times New Roman" w:hAnsi="Times New Roman"/>
          <w:sz w:val="24"/>
          <w:szCs w:val="24"/>
        </w:rPr>
        <w:t>p.83)</w:t>
      </w:r>
      <w:r w:rsidR="00460A50" w:rsidRPr="00AC2AFE">
        <w:rPr>
          <w:rFonts w:ascii="Times New Roman" w:hAnsi="Times New Roman"/>
          <w:sz w:val="24"/>
          <w:szCs w:val="24"/>
        </w:rPr>
        <w:t>.</w:t>
      </w:r>
    </w:p>
    <w:p w:rsidR="006A4EED" w:rsidRPr="00AC2AFE" w:rsidRDefault="006A4EED" w:rsidP="00AC2AFE">
      <w:pPr>
        <w:spacing w:after="0" w:line="360" w:lineRule="auto"/>
        <w:ind w:firstLine="284"/>
        <w:jc w:val="both"/>
        <w:rPr>
          <w:rFonts w:ascii="Times New Roman" w:hAnsi="Times New Roman"/>
          <w:sz w:val="24"/>
          <w:szCs w:val="24"/>
        </w:rPr>
      </w:pPr>
      <w:r w:rsidRPr="00AC2AFE">
        <w:rPr>
          <w:rFonts w:ascii="Times New Roman" w:hAnsi="Times New Roman"/>
          <w:sz w:val="24"/>
          <w:szCs w:val="24"/>
        </w:rPr>
        <w:t>Caïphe dresse un vrai plaidoyer en faveur de Barabbas devant une foule déjà conditionnée. Ce dernier est libéré, il simule le pardon devant ses juges.</w:t>
      </w:r>
    </w:p>
    <w:p w:rsidR="006A4EED" w:rsidRPr="00AC2AFE" w:rsidRDefault="006A4EED" w:rsidP="00AC2AFE">
      <w:pPr>
        <w:spacing w:after="0" w:line="360" w:lineRule="auto"/>
        <w:ind w:firstLine="284"/>
        <w:jc w:val="both"/>
        <w:rPr>
          <w:sz w:val="24"/>
          <w:szCs w:val="24"/>
        </w:rPr>
      </w:pPr>
      <w:r w:rsidRPr="00AC2AFE">
        <w:rPr>
          <w:rFonts w:ascii="Times New Roman" w:hAnsi="Times New Roman"/>
          <w:sz w:val="24"/>
          <w:szCs w:val="24"/>
        </w:rPr>
        <w:t xml:space="preserve">Dans le dernier acte, Barabbas se métamorphose il devient troublant et inquisiteur sur ce qui lui arrive: </w:t>
      </w:r>
      <w:r w:rsidR="00645CB3" w:rsidRPr="00AC2AFE">
        <w:rPr>
          <w:rFonts w:ascii="Times New Roman" w:hAnsi="Times New Roman"/>
          <w:i/>
          <w:iCs/>
          <w:sz w:val="24"/>
          <w:szCs w:val="24"/>
        </w:rPr>
        <w:t xml:space="preserve">« </w:t>
      </w:r>
      <w:r w:rsidR="00AC2AFE">
        <w:rPr>
          <w:rFonts w:ascii="Times New Roman" w:hAnsi="Times New Roman"/>
          <w:i/>
          <w:iCs/>
          <w:sz w:val="24"/>
          <w:szCs w:val="24"/>
        </w:rPr>
        <w:t>[</w:t>
      </w:r>
      <w:r w:rsidRPr="00AC2AFE">
        <w:rPr>
          <w:rFonts w:ascii="Times New Roman" w:hAnsi="Times New Roman"/>
          <w:i/>
          <w:iCs/>
          <w:sz w:val="24"/>
          <w:szCs w:val="24"/>
        </w:rPr>
        <w:t>...</w:t>
      </w:r>
      <w:r w:rsidR="00AC2AFE">
        <w:rPr>
          <w:rFonts w:ascii="Times New Roman" w:hAnsi="Times New Roman"/>
          <w:i/>
          <w:iCs/>
          <w:sz w:val="24"/>
          <w:szCs w:val="24"/>
        </w:rPr>
        <w:t>]</w:t>
      </w:r>
      <w:r w:rsidRPr="00AC2AFE">
        <w:rPr>
          <w:rFonts w:ascii="Times New Roman" w:hAnsi="Times New Roman"/>
          <w:i/>
          <w:iCs/>
          <w:sz w:val="24"/>
          <w:szCs w:val="24"/>
        </w:rPr>
        <w:t xml:space="preserve"> Maintenant, je suis libre, épuré. El ça ne va plus. Je ne me reconnais plus. Je ne sais que faire de cette liberté [...] je suis mêlé à un drame effrayant»</w:t>
      </w:r>
      <w:r w:rsidR="00AC2AFE">
        <w:rPr>
          <w:rFonts w:ascii="Times New Roman" w:hAnsi="Times New Roman"/>
          <w:i/>
          <w:iCs/>
          <w:sz w:val="24"/>
          <w:szCs w:val="24"/>
        </w:rPr>
        <w:t xml:space="preserve"> </w:t>
      </w:r>
      <w:r w:rsidR="00173D49" w:rsidRPr="00AC2AFE">
        <w:rPr>
          <w:rFonts w:ascii="Times New Roman" w:hAnsi="Times New Roman"/>
          <w:sz w:val="24"/>
          <w:szCs w:val="24"/>
        </w:rPr>
        <w:t>(</w:t>
      </w:r>
      <w:r w:rsidR="00AC2AFE">
        <w:rPr>
          <w:rFonts w:ascii="Times New Roman" w:hAnsi="Times New Roman"/>
          <w:i/>
          <w:iCs/>
          <w:sz w:val="24"/>
          <w:szCs w:val="24"/>
        </w:rPr>
        <w:t xml:space="preserve">Ibid, </w:t>
      </w:r>
      <w:r w:rsidR="00173D49" w:rsidRPr="00AC2AFE">
        <w:rPr>
          <w:rFonts w:ascii="Times New Roman" w:hAnsi="Times New Roman"/>
          <w:sz w:val="24"/>
          <w:szCs w:val="24"/>
        </w:rPr>
        <w:t>p.106)</w:t>
      </w:r>
      <w:r w:rsidR="00AC2AFE">
        <w:rPr>
          <w:rFonts w:ascii="Times New Roman" w:hAnsi="Times New Roman"/>
          <w:sz w:val="24"/>
          <w:szCs w:val="24"/>
        </w:rPr>
        <w:t>.</w:t>
      </w:r>
    </w:p>
    <w:p w:rsidR="006A4EED" w:rsidRPr="003B00C8" w:rsidRDefault="006A4EED" w:rsidP="00B10773">
      <w:pPr>
        <w:spacing w:after="0" w:line="360" w:lineRule="auto"/>
        <w:ind w:firstLine="284"/>
        <w:jc w:val="both"/>
        <w:rPr>
          <w:rFonts w:ascii="Times New Roman" w:hAnsi="Times New Roman"/>
          <w:sz w:val="24"/>
          <w:szCs w:val="24"/>
        </w:rPr>
      </w:pPr>
      <w:r w:rsidRPr="00F667BC">
        <w:rPr>
          <w:rFonts w:ascii="Times New Roman" w:hAnsi="Times New Roman"/>
          <w:sz w:val="24"/>
          <w:szCs w:val="24"/>
        </w:rPr>
        <w:t xml:space="preserve">Il est pris de remords pour Jésus, à qui il voue admiration sans limites : </w:t>
      </w:r>
      <w:r w:rsidRPr="00F667BC">
        <w:rPr>
          <w:rFonts w:ascii="Times New Roman" w:hAnsi="Times New Roman"/>
          <w:i/>
          <w:iCs/>
          <w:sz w:val="24"/>
          <w:szCs w:val="24"/>
        </w:rPr>
        <w:t>« [...] Il est prédit que les derniers fléaux viendront [...] puisque le temps est venu que le juste meure en croix, que l'assassin est libre.»</w:t>
      </w:r>
      <w:r w:rsidRPr="00F667BC">
        <w:rPr>
          <w:sz w:val="24"/>
          <w:szCs w:val="24"/>
        </w:rPr>
        <w:t xml:space="preserve"> </w:t>
      </w:r>
      <w:r w:rsidR="00173D49" w:rsidRPr="00FC619B">
        <w:rPr>
          <w:rFonts w:ascii="Times New Roman" w:hAnsi="Times New Roman"/>
          <w:sz w:val="24"/>
          <w:szCs w:val="24"/>
        </w:rPr>
        <w:t>(</w:t>
      </w:r>
      <w:r w:rsidR="00F667BC" w:rsidRPr="00FC619B">
        <w:rPr>
          <w:rFonts w:ascii="Times New Roman" w:hAnsi="Times New Roman"/>
          <w:i/>
          <w:iCs/>
          <w:sz w:val="24"/>
          <w:szCs w:val="24"/>
        </w:rPr>
        <w:t xml:space="preserve">Ibid, </w:t>
      </w:r>
      <w:r w:rsidR="00173D49" w:rsidRPr="00FC619B">
        <w:rPr>
          <w:rFonts w:ascii="Times New Roman" w:hAnsi="Times New Roman"/>
          <w:sz w:val="24"/>
          <w:szCs w:val="24"/>
        </w:rPr>
        <w:t>p.113)</w:t>
      </w:r>
      <w:r w:rsidR="00F667BC" w:rsidRPr="00FC619B">
        <w:rPr>
          <w:rFonts w:ascii="Times New Roman" w:hAnsi="Times New Roman"/>
          <w:sz w:val="24"/>
          <w:szCs w:val="24"/>
        </w:rPr>
        <w:t>.</w:t>
      </w:r>
      <w:r w:rsidR="00FC619B" w:rsidRPr="00FC619B">
        <w:rPr>
          <w:rFonts w:ascii="Times New Roman" w:hAnsi="Times New Roman"/>
          <w:sz w:val="24"/>
          <w:szCs w:val="24"/>
        </w:rPr>
        <w:t xml:space="preserve"> </w:t>
      </w:r>
      <w:r w:rsidRPr="00FC619B">
        <w:rPr>
          <w:rFonts w:ascii="Times New Roman" w:hAnsi="Times New Roman"/>
          <w:sz w:val="24"/>
          <w:szCs w:val="24"/>
        </w:rPr>
        <w:t xml:space="preserve">Il crie vengeance pour Jésus : </w:t>
      </w:r>
      <w:proofErr w:type="gramStart"/>
      <w:r w:rsidR="00B10773" w:rsidRPr="00FC619B">
        <w:rPr>
          <w:rFonts w:ascii="Times New Roman" w:hAnsi="Times New Roman"/>
          <w:i/>
          <w:iCs/>
          <w:sz w:val="24"/>
          <w:szCs w:val="24"/>
        </w:rPr>
        <w:t>«[</w:t>
      </w:r>
      <w:proofErr w:type="gramEnd"/>
      <w:r w:rsidRPr="00FC619B">
        <w:rPr>
          <w:rFonts w:ascii="Times New Roman" w:hAnsi="Times New Roman"/>
          <w:i/>
          <w:iCs/>
          <w:sz w:val="24"/>
          <w:szCs w:val="24"/>
        </w:rPr>
        <w:t>...] faim et soif de justice.»</w:t>
      </w:r>
      <w:r w:rsidRPr="00FC619B">
        <w:rPr>
          <w:sz w:val="24"/>
          <w:szCs w:val="24"/>
        </w:rPr>
        <w:t xml:space="preserve"> </w:t>
      </w:r>
      <w:r w:rsidR="00173D49" w:rsidRPr="00FC619B">
        <w:rPr>
          <w:rFonts w:ascii="Times New Roman" w:hAnsi="Times New Roman"/>
          <w:sz w:val="24"/>
          <w:szCs w:val="24"/>
        </w:rPr>
        <w:t>(</w:t>
      </w:r>
      <w:r w:rsidR="00D70475">
        <w:rPr>
          <w:rFonts w:ascii="Times New Roman" w:hAnsi="Times New Roman"/>
          <w:i/>
          <w:iCs/>
          <w:sz w:val="24"/>
          <w:szCs w:val="24"/>
        </w:rPr>
        <w:t xml:space="preserve">Ibid, </w:t>
      </w:r>
      <w:r w:rsidR="00173D49" w:rsidRPr="00FC619B">
        <w:rPr>
          <w:rFonts w:ascii="Times New Roman" w:hAnsi="Times New Roman"/>
          <w:sz w:val="24"/>
          <w:szCs w:val="24"/>
        </w:rPr>
        <w:t>p.118)</w:t>
      </w:r>
      <w:r w:rsidR="00D70475">
        <w:rPr>
          <w:rFonts w:ascii="Times New Roman" w:hAnsi="Times New Roman"/>
          <w:sz w:val="24"/>
          <w:szCs w:val="24"/>
        </w:rPr>
        <w:t>.</w:t>
      </w:r>
      <w:r w:rsidR="00AD2887">
        <w:rPr>
          <w:rFonts w:ascii="Times New Roman" w:hAnsi="Times New Roman"/>
          <w:sz w:val="24"/>
          <w:szCs w:val="24"/>
        </w:rPr>
        <w:t xml:space="preserve"> </w:t>
      </w:r>
      <w:r w:rsidRPr="003B00C8">
        <w:rPr>
          <w:rFonts w:ascii="Times New Roman" w:hAnsi="Times New Roman"/>
          <w:sz w:val="24"/>
          <w:szCs w:val="24"/>
        </w:rPr>
        <w:t xml:space="preserve">Héros central. Il conduit la révolte des gueux et meurt lâchement assassiné par le pitre. </w:t>
      </w:r>
    </w:p>
    <w:p w:rsidR="006A4EED" w:rsidRPr="003B00C8" w:rsidRDefault="006A4EED" w:rsidP="00AD2887">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Plus concrètement, cette décision du malfrat de s’insurger, parce que assoiffé de justice et d’équité entraine une série d’actions que le narrateur omniscient nous présente et que nous englobons sous des nominations ; ainsi :</w:t>
      </w:r>
    </w:p>
    <w:p w:rsidR="006A4EED" w:rsidRPr="003B00C8" w:rsidRDefault="006A4EED" w:rsidP="006A4EED">
      <w:pPr>
        <w:autoSpaceDE w:val="0"/>
        <w:autoSpaceDN w:val="0"/>
        <w:adjustRightInd w:val="0"/>
        <w:spacing w:after="0" w:line="360" w:lineRule="auto"/>
        <w:ind w:left="708"/>
        <w:jc w:val="both"/>
        <w:rPr>
          <w:rFonts w:ascii="Times New Roman" w:hAnsi="Times New Roman"/>
          <w:color w:val="000000"/>
          <w:sz w:val="24"/>
          <w:szCs w:val="24"/>
        </w:rPr>
      </w:pPr>
      <w:r w:rsidRPr="003B00C8">
        <w:rPr>
          <w:rFonts w:ascii="Times New Roman" w:hAnsi="Times New Roman"/>
          <w:color w:val="000000"/>
          <w:sz w:val="24"/>
          <w:szCs w:val="24"/>
        </w:rPr>
        <w:t xml:space="preserve">Dévouement pour la justice= /sollicitude/ = </w:t>
      </w:r>
      <w:r w:rsidRPr="003B00C8">
        <w:rPr>
          <w:rFonts w:ascii="Times New Roman" w:eastAsia="SymbolMT" w:hAnsi="Times New Roman"/>
          <w:color w:val="000000"/>
          <w:sz w:val="24"/>
          <w:szCs w:val="24"/>
        </w:rPr>
        <w:t>[/</w:t>
      </w:r>
      <w:r w:rsidRPr="003B00C8">
        <w:rPr>
          <w:rFonts w:ascii="Times New Roman" w:hAnsi="Times New Roman"/>
          <w:color w:val="000000"/>
          <w:sz w:val="24"/>
          <w:szCs w:val="24"/>
        </w:rPr>
        <w:t>obséquiosité/ + /amabilité/ + /extrême attention/</w:t>
      </w:r>
      <w:r w:rsidRPr="003B00C8">
        <w:rPr>
          <w:rFonts w:ascii="Times New Roman" w:eastAsia="SymbolMT" w:hAnsi="Times New Roman"/>
          <w:color w:val="000000"/>
          <w:sz w:val="24"/>
          <w:szCs w:val="24"/>
        </w:rPr>
        <w:t>]</w:t>
      </w:r>
    </w:p>
    <w:p w:rsidR="006A4EED" w:rsidRPr="003B00C8" w:rsidRDefault="006A4EED" w:rsidP="006A4EED">
      <w:pPr>
        <w:autoSpaceDE w:val="0"/>
        <w:autoSpaceDN w:val="0"/>
        <w:adjustRightInd w:val="0"/>
        <w:spacing w:after="0" w:line="360" w:lineRule="auto"/>
        <w:ind w:left="708"/>
        <w:jc w:val="both"/>
        <w:rPr>
          <w:rFonts w:ascii="Times New Roman" w:hAnsi="Times New Roman"/>
          <w:color w:val="000000"/>
          <w:sz w:val="24"/>
          <w:szCs w:val="24"/>
        </w:rPr>
      </w:pPr>
      <w:r w:rsidRPr="003B00C8">
        <w:rPr>
          <w:rFonts w:ascii="Times New Roman" w:hAnsi="Times New Roman"/>
          <w:color w:val="000000"/>
          <w:sz w:val="24"/>
          <w:szCs w:val="24"/>
        </w:rPr>
        <w:lastRenderedPageBreak/>
        <w:t xml:space="preserve">= </w:t>
      </w:r>
      <w:r w:rsidRPr="003B00C8">
        <w:rPr>
          <w:rFonts w:ascii="Times New Roman" w:eastAsia="SymbolMT" w:hAnsi="Times New Roman"/>
          <w:color w:val="000000"/>
          <w:sz w:val="24"/>
          <w:szCs w:val="24"/>
        </w:rPr>
        <w:t>[</w:t>
      </w:r>
      <w:r w:rsidRPr="003B00C8">
        <w:rPr>
          <w:rFonts w:ascii="Times New Roman" w:hAnsi="Times New Roman"/>
          <w:color w:val="000000"/>
          <w:sz w:val="24"/>
          <w:szCs w:val="24"/>
        </w:rPr>
        <w:t>/endurance/ = /patience/ + /tolérance/ + /transcendance/ + /culpabilité/ +/ impuissance/ + /résignation/</w:t>
      </w:r>
      <w:r w:rsidRPr="003B00C8">
        <w:rPr>
          <w:rFonts w:ascii="Times New Roman" w:eastAsia="SymbolMT" w:hAnsi="Times New Roman"/>
          <w:color w:val="000000"/>
          <w:sz w:val="24"/>
          <w:szCs w:val="24"/>
        </w:rPr>
        <w:t>]</w:t>
      </w:r>
    </w:p>
    <w:p w:rsidR="006A4EED" w:rsidRPr="003B00C8" w:rsidRDefault="006A4EED" w:rsidP="00325A24">
      <w:pPr>
        <w:autoSpaceDE w:val="0"/>
        <w:autoSpaceDN w:val="0"/>
        <w:adjustRightInd w:val="0"/>
        <w:spacing w:after="0" w:line="360" w:lineRule="auto"/>
        <w:ind w:left="708"/>
        <w:jc w:val="both"/>
        <w:rPr>
          <w:rFonts w:ascii="Times New Roman" w:hAnsi="Times New Roman"/>
          <w:color w:val="000000"/>
          <w:sz w:val="24"/>
          <w:szCs w:val="24"/>
        </w:rPr>
      </w:pPr>
      <w:r w:rsidRPr="003B00C8">
        <w:rPr>
          <w:rFonts w:ascii="Times New Roman" w:hAnsi="Times New Roman"/>
          <w:color w:val="000000"/>
          <w:sz w:val="24"/>
          <w:szCs w:val="24"/>
        </w:rPr>
        <w:t xml:space="preserve">= /renoncement/ = </w:t>
      </w:r>
      <w:r w:rsidRPr="003B00C8">
        <w:rPr>
          <w:rFonts w:ascii="Times New Roman" w:eastAsia="SymbolMT" w:hAnsi="Times New Roman"/>
          <w:color w:val="000000"/>
          <w:sz w:val="24"/>
          <w:szCs w:val="24"/>
        </w:rPr>
        <w:t>[</w:t>
      </w:r>
      <w:r w:rsidRPr="003B00C8">
        <w:rPr>
          <w:rFonts w:ascii="Times New Roman" w:hAnsi="Times New Roman"/>
          <w:color w:val="000000"/>
          <w:sz w:val="24"/>
          <w:szCs w:val="24"/>
        </w:rPr>
        <w:t>/oubli de soi/ + /négligence de soi/ + /résignation/ +/impuissance/</w:t>
      </w:r>
      <w:r w:rsidRPr="003B00C8">
        <w:rPr>
          <w:rFonts w:ascii="Times New Roman" w:eastAsia="SymbolMT" w:hAnsi="Times New Roman"/>
          <w:color w:val="000000"/>
          <w:sz w:val="24"/>
          <w:szCs w:val="24"/>
        </w:rPr>
        <w:t>]</w:t>
      </w:r>
    </w:p>
    <w:p w:rsidR="006A4EED" w:rsidRDefault="006A4EED" w:rsidP="00BA689E">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Cette déliquescence des attitudes marque aussi une décadence, un échec d’un système judiciaire: celle dont a bénéficié Barabbas en l’occurrence sa libération au détriment du fils de l’homme. C’est aussi l’occasion pour le narrateur d’enchaîner avec une deuxième histoire: la situation de « JESU », le personnage opprimé, offensé, accusé injustement, condamné  comme explication de ce fiasco dans le système judiciaire de cette société. Est- ce à dessein que le dramaturge a adopté cette organisation ? Nous- nous appesantirons davantage sur cette question plus loin. Il est en outre intéressant de signaler que le narrateur parsème son récit de pauses</w:t>
      </w:r>
      <w:r w:rsidRPr="003B00C8">
        <w:rPr>
          <w:rFonts w:ascii="Times New Roman" w:hAnsi="Times New Roman"/>
          <w:color w:val="000000"/>
          <w:sz w:val="24"/>
          <w:szCs w:val="24"/>
          <w:vertAlign w:val="superscript"/>
        </w:rPr>
        <w:footnoteReference w:id="199"/>
      </w:r>
      <w:r w:rsidRPr="003B00C8">
        <w:rPr>
          <w:rFonts w:ascii="Times New Roman" w:hAnsi="Times New Roman"/>
          <w:color w:val="000000"/>
          <w:sz w:val="24"/>
          <w:szCs w:val="24"/>
        </w:rPr>
        <w:t xml:space="preserve"> après narration d’une scène. Ce qui nous donne la structure: scène -Pause - scène. Ces pauses ont une dimension cognitive car elles permettent d’augmenter le savoir que nous avons des principaux protagonistes, des lieux, et parfois même jouent le rôle d’indice</w:t>
      </w:r>
      <w:r w:rsidRPr="003B00C8">
        <w:rPr>
          <w:rFonts w:ascii="Times New Roman" w:hAnsi="Times New Roman"/>
          <w:color w:val="000000"/>
          <w:sz w:val="24"/>
          <w:szCs w:val="24"/>
          <w:vertAlign w:val="superscript"/>
        </w:rPr>
        <w:footnoteReference w:id="200"/>
      </w:r>
      <w:r w:rsidRPr="003B00C8">
        <w:rPr>
          <w:rFonts w:ascii="Times New Roman" w:hAnsi="Times New Roman"/>
          <w:color w:val="000000"/>
          <w:sz w:val="24"/>
          <w:szCs w:val="24"/>
        </w:rPr>
        <w:t xml:space="preserve"> au sens sémiotique que Luis Prieto donne à ce terme. Ainsi, le fait de mentionner dans la description des lieux le caractère simple du décor permet de ressortir, dans cet environnement, la position de privilégié qu’occupe Barabbas.</w:t>
      </w:r>
    </w:p>
    <w:p w:rsidR="00CF6E8E" w:rsidRDefault="00CF6E8E" w:rsidP="00BA689E">
      <w:pPr>
        <w:autoSpaceDE w:val="0"/>
        <w:autoSpaceDN w:val="0"/>
        <w:adjustRightInd w:val="0"/>
        <w:spacing w:after="0" w:line="360" w:lineRule="auto"/>
        <w:ind w:firstLine="284"/>
        <w:jc w:val="both"/>
        <w:rPr>
          <w:rFonts w:ascii="Times New Roman" w:hAnsi="Times New Roman"/>
          <w:color w:val="000000"/>
          <w:sz w:val="24"/>
          <w:szCs w:val="24"/>
        </w:rPr>
      </w:pPr>
    </w:p>
    <w:p w:rsidR="006A4EED" w:rsidRPr="00CF6E8E" w:rsidRDefault="00CF6E8E" w:rsidP="00D56BA8">
      <w:pPr>
        <w:pStyle w:val="Titre5"/>
        <w:spacing w:before="0" w:after="0"/>
        <w:ind w:left="641" w:hanging="357"/>
        <w:jc w:val="both"/>
        <w:rPr>
          <w:rFonts w:ascii="Times New Roman" w:hAnsi="Times New Roman"/>
          <w:color w:val="auto"/>
        </w:rPr>
      </w:pPr>
      <w:bookmarkStart w:id="110" w:name="_Toc471484481"/>
      <w:r w:rsidRPr="00CF6E8E">
        <w:rPr>
          <w:rFonts w:ascii="Times New Roman" w:hAnsi="Times New Roman"/>
          <w:color w:val="auto"/>
        </w:rPr>
        <w:t>4.1.3. Troisième</w:t>
      </w:r>
      <w:r w:rsidR="006A4EED" w:rsidRPr="00CF6E8E">
        <w:rPr>
          <w:rFonts w:ascii="Times New Roman" w:hAnsi="Times New Roman"/>
          <w:color w:val="auto"/>
        </w:rPr>
        <w:t xml:space="preserve"> séquence : </w:t>
      </w:r>
      <w:r w:rsidR="00D56BA8">
        <w:rPr>
          <w:rFonts w:ascii="Times New Roman" w:hAnsi="Times New Roman"/>
          <w:color w:val="auto"/>
        </w:rPr>
        <w:t>É</w:t>
      </w:r>
      <w:r w:rsidR="006A4EED" w:rsidRPr="00CF6E8E">
        <w:rPr>
          <w:rFonts w:ascii="Times New Roman" w:hAnsi="Times New Roman"/>
          <w:color w:val="auto"/>
        </w:rPr>
        <w:t>volution de Barabbas</w:t>
      </w:r>
      <w:bookmarkEnd w:id="110"/>
    </w:p>
    <w:p w:rsidR="006A4EED" w:rsidRPr="003B00C8" w:rsidRDefault="006A4EED" w:rsidP="00F23D80">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Il s’agira ici pour le narrateur d’expliquer le fiasco juridique de Barabbas, en détaillant les préceptes de l’éducation traditionnelle. Cette séquence apparaît sous forme de retour en arrière, selon le terme consacré par Todorov, de </w:t>
      </w:r>
      <w:r w:rsidRPr="003B00C8">
        <w:rPr>
          <w:rFonts w:ascii="Times New Roman" w:hAnsi="Times New Roman"/>
          <w:i/>
          <w:iCs/>
          <w:color w:val="000000"/>
          <w:sz w:val="24"/>
          <w:szCs w:val="24"/>
        </w:rPr>
        <w:t>rétrospection</w:t>
      </w:r>
      <w:r w:rsidRPr="003B00C8">
        <w:rPr>
          <w:rFonts w:ascii="Times New Roman" w:hAnsi="Times New Roman"/>
          <w:i/>
          <w:iCs/>
          <w:color w:val="000000"/>
          <w:sz w:val="24"/>
          <w:szCs w:val="24"/>
          <w:vertAlign w:val="superscript"/>
        </w:rPr>
        <w:footnoteReference w:id="201"/>
      </w:r>
      <w:r w:rsidRPr="003B00C8">
        <w:rPr>
          <w:rFonts w:ascii="Times New Roman" w:hAnsi="Times New Roman"/>
          <w:i/>
          <w:iCs/>
          <w:color w:val="000000"/>
          <w:sz w:val="24"/>
          <w:szCs w:val="24"/>
        </w:rPr>
        <w:t xml:space="preserve"> </w:t>
      </w:r>
      <w:r w:rsidRPr="003B00C8">
        <w:rPr>
          <w:rFonts w:ascii="Times New Roman" w:hAnsi="Times New Roman"/>
          <w:color w:val="000000"/>
          <w:sz w:val="24"/>
          <w:szCs w:val="24"/>
        </w:rPr>
        <w:t xml:space="preserve">dans une représentation sommaire des événements romanesques, dite </w:t>
      </w:r>
      <w:r w:rsidRPr="003B00C8">
        <w:rPr>
          <w:rFonts w:ascii="Times New Roman" w:hAnsi="Times New Roman"/>
          <w:i/>
          <w:iCs/>
          <w:color w:val="000000"/>
          <w:sz w:val="24"/>
          <w:szCs w:val="24"/>
        </w:rPr>
        <w:t xml:space="preserve">présentation panoramique </w:t>
      </w:r>
      <w:r w:rsidRPr="003B00C8">
        <w:rPr>
          <w:rFonts w:ascii="Times New Roman" w:hAnsi="Times New Roman"/>
          <w:color w:val="000000"/>
          <w:sz w:val="24"/>
          <w:szCs w:val="24"/>
        </w:rPr>
        <w:t>par Jaap Linvelt</w:t>
      </w:r>
      <w:r w:rsidRPr="003B00C8">
        <w:rPr>
          <w:rFonts w:ascii="Times New Roman" w:hAnsi="Times New Roman"/>
          <w:color w:val="000000"/>
          <w:sz w:val="24"/>
          <w:szCs w:val="24"/>
          <w:vertAlign w:val="superscript"/>
        </w:rPr>
        <w:footnoteReference w:id="202"/>
      </w:r>
      <w:r w:rsidRPr="003B00C8">
        <w:rPr>
          <w:rFonts w:ascii="Times New Roman" w:hAnsi="Times New Roman"/>
          <w:color w:val="000000"/>
          <w:sz w:val="24"/>
          <w:szCs w:val="24"/>
        </w:rPr>
        <w:t>.</w:t>
      </w:r>
    </w:p>
    <w:p w:rsidR="006A4EED" w:rsidRDefault="006A4EED" w:rsidP="00F23D80">
      <w:pPr>
        <w:autoSpaceDE w:val="0"/>
        <w:autoSpaceDN w:val="0"/>
        <w:adjustRightInd w:val="0"/>
        <w:spacing w:after="0" w:line="360" w:lineRule="auto"/>
        <w:ind w:firstLine="284"/>
        <w:jc w:val="both"/>
        <w:rPr>
          <w:rFonts w:ascii="Times New Roman" w:hAnsi="Times New Roman"/>
          <w:color w:val="000000"/>
          <w:sz w:val="16"/>
          <w:szCs w:val="16"/>
        </w:rPr>
      </w:pPr>
    </w:p>
    <w:p w:rsidR="00757452" w:rsidRPr="008217C0" w:rsidRDefault="00757452" w:rsidP="006A4EED">
      <w:pPr>
        <w:autoSpaceDE w:val="0"/>
        <w:autoSpaceDN w:val="0"/>
        <w:adjustRightInd w:val="0"/>
        <w:spacing w:after="0" w:line="360" w:lineRule="auto"/>
        <w:ind w:firstLine="708"/>
        <w:jc w:val="both"/>
        <w:rPr>
          <w:rFonts w:ascii="Times New Roman" w:hAnsi="Times New Roman"/>
          <w:color w:val="000000"/>
          <w:sz w:val="16"/>
          <w:szCs w:val="16"/>
        </w:rPr>
      </w:pPr>
    </w:p>
    <w:tbl>
      <w:tblPr>
        <w:tblStyle w:val="Tramecouleur-Accent2"/>
        <w:tblW w:w="0" w:type="auto"/>
        <w:tblLayout w:type="fixed"/>
        <w:tblLook w:val="0000"/>
      </w:tblPr>
      <w:tblGrid>
        <w:gridCol w:w="2802"/>
        <w:gridCol w:w="2612"/>
        <w:gridCol w:w="2916"/>
      </w:tblGrid>
      <w:tr w:rsidR="006A4EED" w:rsidRPr="003B00C8" w:rsidTr="00F23D80">
        <w:trPr>
          <w:cnfStyle w:val="000000100000"/>
          <w:trHeight w:val="414"/>
        </w:trPr>
        <w:tc>
          <w:tcPr>
            <w:cnfStyle w:val="000010000000"/>
            <w:tcW w:w="2802" w:type="dxa"/>
          </w:tcPr>
          <w:p w:rsidR="006A4EED" w:rsidRPr="00F23D80" w:rsidRDefault="006A4EED" w:rsidP="00F23D80">
            <w:pPr>
              <w:spacing w:after="0" w:line="240" w:lineRule="auto"/>
              <w:jc w:val="center"/>
              <w:rPr>
                <w:rFonts w:ascii="Times New Roman" w:hAnsi="Times New Roman"/>
                <w:b/>
                <w:bCs/>
                <w:sz w:val="24"/>
                <w:szCs w:val="24"/>
              </w:rPr>
            </w:pPr>
            <w:r w:rsidRPr="00F23D80">
              <w:rPr>
                <w:rFonts w:ascii="Times New Roman" w:hAnsi="Times New Roman"/>
                <w:b/>
                <w:bCs/>
                <w:sz w:val="24"/>
                <w:szCs w:val="24"/>
              </w:rPr>
              <w:t>Acte I</w:t>
            </w:r>
          </w:p>
        </w:tc>
        <w:tc>
          <w:tcPr>
            <w:tcW w:w="2612" w:type="dxa"/>
          </w:tcPr>
          <w:p w:rsidR="006A4EED" w:rsidRPr="00F23D80" w:rsidRDefault="006A4EED" w:rsidP="00F23D80">
            <w:pPr>
              <w:spacing w:after="0" w:line="240" w:lineRule="auto"/>
              <w:jc w:val="center"/>
              <w:cnfStyle w:val="000000100000"/>
              <w:rPr>
                <w:rFonts w:ascii="Times New Roman" w:hAnsi="Times New Roman"/>
                <w:b/>
                <w:bCs/>
                <w:sz w:val="24"/>
                <w:szCs w:val="24"/>
              </w:rPr>
            </w:pPr>
            <w:r w:rsidRPr="00F23D80">
              <w:rPr>
                <w:rFonts w:ascii="Times New Roman" w:hAnsi="Times New Roman"/>
                <w:b/>
                <w:bCs/>
                <w:sz w:val="24"/>
                <w:szCs w:val="24"/>
              </w:rPr>
              <w:t>Acte II</w:t>
            </w:r>
          </w:p>
        </w:tc>
        <w:tc>
          <w:tcPr>
            <w:cnfStyle w:val="000010000000"/>
            <w:tcW w:w="2916" w:type="dxa"/>
          </w:tcPr>
          <w:p w:rsidR="006A4EED" w:rsidRPr="00F23D80" w:rsidRDefault="006A4EED" w:rsidP="00F23D80">
            <w:pPr>
              <w:spacing w:after="0" w:line="240" w:lineRule="auto"/>
              <w:jc w:val="center"/>
              <w:rPr>
                <w:rFonts w:ascii="Times New Roman" w:hAnsi="Times New Roman"/>
                <w:b/>
                <w:bCs/>
                <w:sz w:val="24"/>
                <w:szCs w:val="24"/>
              </w:rPr>
            </w:pPr>
            <w:r w:rsidRPr="00F23D80">
              <w:rPr>
                <w:rFonts w:ascii="Times New Roman" w:hAnsi="Times New Roman"/>
                <w:b/>
                <w:bCs/>
                <w:sz w:val="24"/>
                <w:szCs w:val="24"/>
              </w:rPr>
              <w:t>Acte III</w:t>
            </w:r>
          </w:p>
        </w:tc>
      </w:tr>
      <w:tr w:rsidR="006A4EED" w:rsidRPr="003B00C8" w:rsidTr="00F23D80">
        <w:tc>
          <w:tcPr>
            <w:cnfStyle w:val="000010000000"/>
            <w:tcW w:w="2802" w:type="dxa"/>
          </w:tcPr>
          <w:p w:rsidR="006A4EED" w:rsidRPr="003B00C8" w:rsidRDefault="006A4EED" w:rsidP="00F23D80">
            <w:pPr>
              <w:spacing w:after="0" w:line="240" w:lineRule="auto"/>
              <w:jc w:val="both"/>
              <w:rPr>
                <w:rFonts w:ascii="Times New Roman" w:hAnsi="Times New Roman"/>
                <w:sz w:val="24"/>
                <w:szCs w:val="24"/>
              </w:rPr>
            </w:pPr>
            <w:r w:rsidRPr="003B00C8">
              <w:rPr>
                <w:rFonts w:ascii="Times New Roman" w:hAnsi="Times New Roman"/>
                <w:sz w:val="24"/>
                <w:szCs w:val="24"/>
              </w:rPr>
              <w:t>Insoumission à la justice : bandit hors la loi et séditieux</w:t>
            </w:r>
          </w:p>
        </w:tc>
        <w:tc>
          <w:tcPr>
            <w:tcW w:w="2612" w:type="dxa"/>
          </w:tcPr>
          <w:p w:rsidR="006A4EED" w:rsidRPr="003B00C8" w:rsidRDefault="006A4EED" w:rsidP="00F23D80">
            <w:pPr>
              <w:spacing w:after="0" w:line="240" w:lineRule="auto"/>
              <w:jc w:val="both"/>
              <w:cnfStyle w:val="000000000000"/>
              <w:rPr>
                <w:rFonts w:ascii="Times New Roman" w:hAnsi="Times New Roman"/>
                <w:sz w:val="24"/>
                <w:szCs w:val="24"/>
              </w:rPr>
            </w:pPr>
            <w:r w:rsidRPr="003B00C8">
              <w:rPr>
                <w:rFonts w:ascii="Times New Roman" w:hAnsi="Times New Roman"/>
                <w:sz w:val="24"/>
                <w:szCs w:val="24"/>
              </w:rPr>
              <w:t>Soumission à l'ordre religieux et politique. Il est libéré</w:t>
            </w:r>
          </w:p>
        </w:tc>
        <w:tc>
          <w:tcPr>
            <w:cnfStyle w:val="000010000000"/>
            <w:tcW w:w="2916" w:type="dxa"/>
          </w:tcPr>
          <w:p w:rsidR="006A4EED" w:rsidRPr="003B00C8" w:rsidRDefault="006A4EED" w:rsidP="00F23D80">
            <w:pPr>
              <w:spacing w:after="0" w:line="240" w:lineRule="auto"/>
              <w:jc w:val="both"/>
              <w:rPr>
                <w:rFonts w:ascii="Times New Roman" w:hAnsi="Times New Roman"/>
                <w:sz w:val="24"/>
                <w:szCs w:val="24"/>
              </w:rPr>
            </w:pPr>
            <w:r w:rsidRPr="003B00C8">
              <w:rPr>
                <w:rFonts w:ascii="Times New Roman" w:hAnsi="Times New Roman"/>
                <w:sz w:val="24"/>
                <w:szCs w:val="24"/>
              </w:rPr>
              <w:t>Insoumission à l'injustice. Devenu conscience, il se rebelle</w:t>
            </w:r>
          </w:p>
        </w:tc>
      </w:tr>
    </w:tbl>
    <w:p w:rsidR="00F23D80" w:rsidRDefault="006A4EED" w:rsidP="00F23D80">
      <w:pPr>
        <w:rPr>
          <w:rFonts w:ascii="Times New Roman" w:hAnsi="Times New Roman"/>
          <w:b/>
          <w:bCs/>
          <w:sz w:val="24"/>
          <w:szCs w:val="24"/>
        </w:rPr>
      </w:pPr>
      <w:r>
        <w:rPr>
          <w:rFonts w:ascii="Times New Roman" w:hAnsi="Times New Roman"/>
          <w:b/>
          <w:bCs/>
          <w:sz w:val="24"/>
          <w:szCs w:val="24"/>
        </w:rPr>
        <w:t xml:space="preserve">                                       </w:t>
      </w:r>
    </w:p>
    <w:p w:rsidR="006A4EED" w:rsidRPr="00F23D80" w:rsidRDefault="006A4EED" w:rsidP="00F23D80">
      <w:pPr>
        <w:jc w:val="center"/>
        <w:rPr>
          <w:rFonts w:ascii="Times New Roman" w:hAnsi="Times New Roman"/>
          <w:b/>
          <w:bCs/>
          <w:sz w:val="24"/>
          <w:szCs w:val="24"/>
        </w:rPr>
      </w:pPr>
      <w:r w:rsidRPr="00F23D80">
        <w:rPr>
          <w:rFonts w:ascii="Times New Roman" w:hAnsi="Times New Roman"/>
          <w:b/>
          <w:bCs/>
          <w:sz w:val="24"/>
          <w:szCs w:val="24"/>
        </w:rPr>
        <w:t xml:space="preserve">Tableau 3 : </w:t>
      </w:r>
      <w:r w:rsidR="00F23D80">
        <w:rPr>
          <w:rFonts w:ascii="Times New Roman" w:hAnsi="Times New Roman"/>
          <w:b/>
          <w:bCs/>
          <w:sz w:val="24"/>
          <w:szCs w:val="24"/>
        </w:rPr>
        <w:t>É</w:t>
      </w:r>
      <w:r w:rsidRPr="00F23D80">
        <w:rPr>
          <w:rFonts w:ascii="Times New Roman" w:hAnsi="Times New Roman"/>
          <w:b/>
          <w:bCs/>
          <w:sz w:val="24"/>
          <w:szCs w:val="24"/>
        </w:rPr>
        <w:t>volution de Barabbas</w:t>
      </w:r>
    </w:p>
    <w:p w:rsidR="006A4EED" w:rsidRPr="008217C0" w:rsidRDefault="006A4EED" w:rsidP="006A4EED">
      <w:pPr>
        <w:spacing w:after="0" w:line="360" w:lineRule="auto"/>
        <w:jc w:val="both"/>
        <w:rPr>
          <w:rFonts w:ascii="Times New Roman" w:hAnsi="Times New Roman"/>
          <w:sz w:val="8"/>
          <w:szCs w:val="8"/>
        </w:rPr>
      </w:pPr>
    </w:p>
    <w:p w:rsidR="00E334FF" w:rsidRDefault="006A4EED" w:rsidP="00E334FF">
      <w:pPr>
        <w:spacing w:after="0" w:line="360" w:lineRule="auto"/>
        <w:jc w:val="both"/>
        <w:rPr>
          <w:rFonts w:ascii="Times New Roman" w:hAnsi="Times New Roman"/>
          <w:sz w:val="24"/>
          <w:szCs w:val="24"/>
        </w:rPr>
      </w:pPr>
      <w:r w:rsidRPr="003B00C8">
        <w:rPr>
          <w:rFonts w:ascii="Times New Roman" w:hAnsi="Times New Roman"/>
          <w:sz w:val="24"/>
          <w:szCs w:val="24"/>
        </w:rPr>
        <w:t xml:space="preserve">         </w:t>
      </w:r>
    </w:p>
    <w:p w:rsidR="000413EE" w:rsidRDefault="006A4EED" w:rsidP="00E334FF">
      <w:pPr>
        <w:spacing w:after="0" w:line="360" w:lineRule="auto"/>
        <w:ind w:firstLine="284"/>
        <w:jc w:val="both"/>
        <w:rPr>
          <w:rFonts w:ascii="Times New Roman" w:hAnsi="Times New Roman"/>
          <w:sz w:val="24"/>
          <w:szCs w:val="24"/>
        </w:rPr>
      </w:pPr>
      <w:r w:rsidRPr="003B00C8">
        <w:rPr>
          <w:rFonts w:ascii="Times New Roman" w:hAnsi="Times New Roman"/>
          <w:sz w:val="24"/>
          <w:szCs w:val="24"/>
        </w:rPr>
        <w:t>Il évolue, selon les points de vue des différents personnages, qui le poussent au changement dans ses comportements; par l'espoir qu'ils lui procurent tour à tour. Cette évolution apparaîtra dans le schéma qui suit.</w:t>
      </w:r>
    </w:p>
    <w:p w:rsidR="00173D49" w:rsidRDefault="00D27910" w:rsidP="006A4EED">
      <w:pPr>
        <w:spacing w:after="0" w:line="360" w:lineRule="auto"/>
        <w:jc w:val="both"/>
        <w:rPr>
          <w:rFonts w:ascii="Times New Roman" w:hAnsi="Times New Roman"/>
          <w:sz w:val="24"/>
          <w:szCs w:val="24"/>
        </w:rPr>
      </w:pPr>
      <w:r w:rsidRPr="00D27910">
        <w:rPr>
          <w:rFonts w:ascii="Times New Roman" w:hAnsi="Times New Roman"/>
          <w:noProof/>
        </w:rPr>
        <w:pict>
          <v:rect id="Rectangle 27" o:spid="_x0000_s1049" style="position:absolute;left:0;text-align:left;margin-left:137.65pt;margin-top:20.35pt;width:228pt;height:39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">
            <v:textbox style="mso-next-textbox:#Rectangle 27">
              <w:txbxContent>
                <w:p w:rsidR="006C092A" w:rsidRPr="000042EF" w:rsidRDefault="006C092A" w:rsidP="000042EF">
                  <w:pPr>
                    <w:pStyle w:val="Style29"/>
                    <w:widowControl/>
                    <w:spacing w:line="240" w:lineRule="auto"/>
                    <w:ind w:firstLine="426"/>
                    <w:rPr>
                      <w:b/>
                      <w:bCs/>
                      <w:i/>
                      <w:iCs/>
                      <w:vertAlign w:val="superscript"/>
                    </w:rPr>
                  </w:pPr>
                  <w:r w:rsidRPr="000042EF">
                    <w:rPr>
                      <w:i/>
                      <w:iCs/>
                    </w:rPr>
                    <w:t>« Libre comme l’oiseau, que le soldat tranche ses chaines </w:t>
                  </w:r>
                  <w:r w:rsidRPr="000042EF">
                    <w:rPr>
                      <w:i/>
                      <w:iCs/>
                      <w:vertAlign w:val="superscript"/>
                    </w:rPr>
                    <w:t>»</w:t>
                  </w:r>
                  <w:r w:rsidRPr="000042EF">
                    <w:rPr>
                      <w:vertAlign w:val="superscript"/>
                    </w:rPr>
                    <w:t xml:space="preserve"> </w:t>
                  </w:r>
                </w:p>
                <w:p w:rsidR="006C092A" w:rsidRPr="001E4DF1" w:rsidRDefault="006C092A" w:rsidP="006A4EED">
                  <w:pPr>
                    <w:rPr>
                      <w:rFonts w:ascii="Times New Roman" w:hAnsi="Times New Roman"/>
                      <w:sz w:val="24"/>
                      <w:szCs w:val="24"/>
                    </w:rPr>
                  </w:pPr>
                </w:p>
              </w:txbxContent>
            </v:textbox>
          </v:rect>
        </w:pict>
      </w:r>
    </w:p>
    <w:p w:rsidR="006A4EED" w:rsidRPr="003B00C8" w:rsidRDefault="00D27910" w:rsidP="006A4EED">
      <w:pPr>
        <w:spacing w:after="0" w:line="360" w:lineRule="auto"/>
        <w:jc w:val="both"/>
        <w:rPr>
          <w:rFonts w:ascii="Times New Roman" w:hAnsi="Times New Roman"/>
          <w:b/>
          <w:bCs/>
          <w:sz w:val="24"/>
          <w:szCs w:val="24"/>
        </w:rPr>
      </w:pPr>
      <w:r w:rsidRPr="00D27910">
        <w:rPr>
          <w:rFonts w:ascii="Times New Roman" w:hAnsi="Times New Roman"/>
          <w:noProof/>
        </w:rPr>
        <w:pict>
          <v:line id="Connecteur droit 26" o:spid="_x0000_s1059" style="position:absolute;left:0;text-align:left;flip:y;z-index:251644928;visibility:visible" from="-30.9pt,16.25pt" to="79.5pt,2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" strokecolor="black [3200]" strokeweight="5pt">
            <v:stroke endarrow="block" linestyle="thickThin"/>
            <v:shadow color="#868686"/>
          </v:line>
        </w:pict>
      </w:r>
      <w:r w:rsidR="006A4EED" w:rsidRPr="003B00C8">
        <w:rPr>
          <w:rFonts w:ascii="Times New Roman" w:hAnsi="Times New Roman"/>
          <w:sz w:val="24"/>
          <w:szCs w:val="24"/>
        </w:rPr>
        <w:t xml:space="preserve">                            </w:t>
      </w:r>
      <w:r w:rsidR="006A4EED" w:rsidRPr="003B00C8">
        <w:rPr>
          <w:rFonts w:ascii="Times New Roman" w:hAnsi="Times New Roman"/>
          <w:b/>
          <w:bCs/>
          <w:sz w:val="24"/>
          <w:szCs w:val="24"/>
        </w:rPr>
        <w:t xml:space="preserve">Caïphe  </w:t>
      </w:r>
    </w:p>
    <w:p w:rsidR="006A4EED" w:rsidRPr="003B00C8" w:rsidRDefault="00D27910" w:rsidP="007A210E">
      <w:pPr>
        <w:spacing w:line="360" w:lineRule="auto"/>
        <w:jc w:val="both"/>
        <w:rPr>
          <w:rFonts w:ascii="Times New Roman" w:hAnsi="Times New Roman"/>
          <w:sz w:val="24"/>
          <w:szCs w:val="24"/>
        </w:rPr>
      </w:pPr>
      <w:r w:rsidRPr="00D27910">
        <w:rPr>
          <w:rFonts w:ascii="Times New Roman" w:hAnsi="Times New Roman"/>
          <w:noProof/>
        </w:rPr>
        <w:pict>
          <v:rect id="Rectangle 25" o:spid="_x0000_s1051" style="position:absolute;left:0;text-align:left;margin-left:137.65pt;margin-top:21.5pt;width:246pt;height:32.2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">
            <v:textbox style="mso-next-textbox:#Rectangle 25">
              <w:txbxContent>
                <w:p w:rsidR="006C092A" w:rsidRPr="000042EF" w:rsidRDefault="006C092A" w:rsidP="006A4EED">
                  <w:pPr>
                    <w:pStyle w:val="Style4"/>
                    <w:widowControl/>
                    <w:rPr>
                      <w:rStyle w:val="FontStyle79"/>
                      <w:sz w:val="24"/>
                      <w:szCs w:val="24"/>
                      <w:vertAlign w:val="superscript"/>
                    </w:rPr>
                  </w:pPr>
                  <w:r w:rsidRPr="000042EF">
                    <w:rPr>
                      <w:rStyle w:val="FontStyle68"/>
                      <w:i/>
                      <w:iCs/>
                      <w:sz w:val="24"/>
                      <w:szCs w:val="24"/>
                    </w:rPr>
                    <w:t>«Tu es triste et abattu, reste le pour ton bien...»</w:t>
                  </w:r>
                  <w:r w:rsidRPr="000042EF">
                    <w:rPr>
                      <w:rStyle w:val="FontStyle68"/>
                      <w:sz w:val="24"/>
                      <w:szCs w:val="24"/>
                    </w:rPr>
                    <w:t xml:space="preserve"> </w:t>
                  </w:r>
                </w:p>
                <w:p w:rsidR="006C092A" w:rsidRDefault="006C092A" w:rsidP="006A4EED"/>
              </w:txbxContent>
            </v:textbox>
          </v:rect>
        </w:pict>
      </w:r>
      <w:r w:rsidR="006A4EED" w:rsidRPr="003B00C8">
        <w:rPr>
          <w:rFonts w:ascii="Times New Roman" w:hAnsi="Times New Roman"/>
          <w:sz w:val="24"/>
          <w:szCs w:val="24"/>
        </w:rPr>
        <w:t xml:space="preserve">   </w:t>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t xml:space="preserve">          </w:t>
      </w:r>
      <w:r w:rsidR="006A4EED" w:rsidRPr="003B00C8">
        <w:rPr>
          <w:rFonts w:ascii="Times New Roman" w:hAnsi="Times New Roman"/>
          <w:sz w:val="24"/>
          <w:szCs w:val="24"/>
        </w:rPr>
        <w:tab/>
        <w:t xml:space="preserve"> </w:t>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173D49" w:rsidRPr="000042EF">
        <w:rPr>
          <w:rFonts w:ascii="Times New Roman" w:hAnsi="Times New Roman"/>
          <w:sz w:val="24"/>
          <w:szCs w:val="24"/>
        </w:rPr>
        <w:t>(p.84)</w:t>
      </w:r>
      <w:r w:rsidR="006A4EED" w:rsidRPr="007A210E">
        <w:rPr>
          <w:rFonts w:ascii="Times New Roman" w:hAnsi="Times New Roman"/>
          <w:i/>
          <w:iCs/>
          <w:sz w:val="24"/>
          <w:szCs w:val="24"/>
        </w:rPr>
        <w:t xml:space="preserve"> </w:t>
      </w:r>
      <w:r w:rsidR="006A4EED" w:rsidRPr="003B00C8">
        <w:rPr>
          <w:rFonts w:ascii="Times New Roman" w:hAnsi="Times New Roman"/>
          <w:sz w:val="24"/>
          <w:szCs w:val="24"/>
        </w:rPr>
        <w:t xml:space="preserve"> </w:t>
      </w:r>
      <w:r w:rsidR="006A4EED" w:rsidRPr="003B00C8">
        <w:rPr>
          <w:rFonts w:ascii="Times New Roman" w:hAnsi="Times New Roman"/>
          <w:sz w:val="24"/>
          <w:szCs w:val="24"/>
          <w:vertAlign w:val="superscript"/>
        </w:rPr>
        <w:t xml:space="preserve"> </w:t>
      </w:r>
      <w:r w:rsidR="006A4EED" w:rsidRPr="003B00C8">
        <w:rPr>
          <w:rFonts w:ascii="Times New Roman" w:hAnsi="Times New Roman"/>
          <w:sz w:val="24"/>
          <w:szCs w:val="24"/>
        </w:rPr>
        <w:t xml:space="preserve">                                   </w:t>
      </w:r>
      <w:r w:rsidR="006A4EED" w:rsidRPr="003B00C8">
        <w:rPr>
          <w:rFonts w:ascii="Times New Roman" w:hAnsi="Times New Roman"/>
          <w:b/>
          <w:bCs/>
          <w:sz w:val="24"/>
          <w:szCs w:val="24"/>
        </w:rPr>
        <w:t>La foule</w:t>
      </w:r>
      <w:r w:rsidR="006A4EED" w:rsidRPr="003B00C8">
        <w:rPr>
          <w:rFonts w:ascii="Times New Roman" w:hAnsi="Times New Roman"/>
          <w:sz w:val="24"/>
          <w:szCs w:val="24"/>
        </w:rPr>
        <w:t xml:space="preserve">      </w:t>
      </w:r>
    </w:p>
    <w:p w:rsidR="006A4EED" w:rsidRPr="003B00C8" w:rsidRDefault="00D27910" w:rsidP="006A4EED">
      <w:pPr>
        <w:spacing w:line="360" w:lineRule="auto"/>
        <w:jc w:val="both"/>
        <w:rPr>
          <w:rFonts w:ascii="Times New Roman" w:hAnsi="Times New Roman"/>
          <w:sz w:val="24"/>
          <w:szCs w:val="24"/>
        </w:rPr>
      </w:pPr>
      <w:r w:rsidRPr="00D27910">
        <w:rPr>
          <w:rFonts w:ascii="Times New Roman" w:hAnsi="Times New Roman"/>
          <w:noProof/>
        </w:rPr>
        <w:pict>
          <v:rect id="_x0000_s1053" style="position:absolute;left:0;text-align:left;margin-left:137.65pt;margin-top:12.9pt;width:217.5pt;height:27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">
            <v:textbox style="mso-next-textbox:#_x0000_s1053">
              <w:txbxContent>
                <w:p w:rsidR="006C092A" w:rsidRPr="000042EF" w:rsidRDefault="006C092A" w:rsidP="006A4EED">
                  <w:pPr>
                    <w:pStyle w:val="Style29"/>
                    <w:widowControl/>
                    <w:spacing w:line="240" w:lineRule="auto"/>
                    <w:ind w:firstLine="426"/>
                    <w:rPr>
                      <w:i/>
                      <w:iCs/>
                    </w:rPr>
                  </w:pPr>
                  <w:r w:rsidRPr="000042EF">
                    <w:rPr>
                      <w:i/>
                      <w:iCs/>
                    </w:rPr>
                    <w:t xml:space="preserve">« La foule te veut du bien » </w:t>
                  </w:r>
                </w:p>
                <w:p w:rsidR="006C092A" w:rsidRPr="001E4DF1" w:rsidRDefault="006C092A" w:rsidP="006A4EED">
                  <w:pPr>
                    <w:rPr>
                      <w:rFonts w:ascii="Times New Roman" w:hAnsi="Times New Roman"/>
                      <w:sz w:val="24"/>
                      <w:szCs w:val="24"/>
                    </w:rPr>
                  </w:pPr>
                </w:p>
              </w:txbxContent>
            </v:textbox>
          </v:rect>
        </w:pict>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p>
    <w:p w:rsidR="006A4EED" w:rsidRPr="003B00C8" w:rsidRDefault="00D27910" w:rsidP="006A4EED">
      <w:pPr>
        <w:spacing w:line="360" w:lineRule="auto"/>
        <w:jc w:val="both"/>
        <w:rPr>
          <w:rFonts w:ascii="Times New Roman" w:hAnsi="Times New Roman"/>
          <w:sz w:val="24"/>
          <w:szCs w:val="24"/>
        </w:rPr>
      </w:pPr>
      <w:r w:rsidRPr="00D27910">
        <w:rPr>
          <w:rFonts w:ascii="Times New Roman" w:hAnsi="Times New Roman"/>
          <w:noProof/>
        </w:rPr>
        <w:pict>
          <v:rect id="_x0000_s1055" style="position:absolute;left:0;text-align:left;margin-left:100.5pt;margin-top:17.4pt;width:310.15pt;height:37.8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">
            <v:textbox style="mso-next-textbox:#_x0000_s1055">
              <w:txbxContent>
                <w:p w:rsidR="006C092A" w:rsidRPr="000042EF" w:rsidRDefault="006C092A" w:rsidP="006A4EED">
                  <w:pPr>
                    <w:rPr>
                      <w:sz w:val="24"/>
                      <w:szCs w:val="24"/>
                    </w:rPr>
                  </w:pPr>
                  <w:r w:rsidRPr="000042EF">
                    <w:rPr>
                      <w:rStyle w:val="FontStyle68"/>
                      <w:i/>
                      <w:iCs/>
                      <w:sz w:val="24"/>
                      <w:szCs w:val="24"/>
                    </w:rPr>
                    <w:t>« [...] Si tu faisais cela, tu inciterais les juges à la clémence.»</w:t>
                  </w:r>
                  <w:r w:rsidRPr="000042EF">
                    <w:rPr>
                      <w:rStyle w:val="FontStyle68"/>
                      <w:sz w:val="24"/>
                      <w:szCs w:val="24"/>
                    </w:rPr>
                    <w:t xml:space="preserve"> </w:t>
                  </w:r>
                </w:p>
              </w:txbxContent>
            </v:textbox>
          </v:rect>
        </w:pict>
      </w:r>
      <w:r w:rsidR="006A4EED" w:rsidRPr="003B00C8">
        <w:rPr>
          <w:rFonts w:ascii="Times New Roman" w:hAnsi="Times New Roman"/>
          <w:sz w:val="24"/>
          <w:szCs w:val="24"/>
        </w:rPr>
        <w:t xml:space="preserve">                   </w:t>
      </w:r>
      <w:r w:rsidR="006A4EED" w:rsidRPr="003B00C8">
        <w:rPr>
          <w:rFonts w:ascii="Times New Roman" w:hAnsi="Times New Roman"/>
          <w:b/>
          <w:bCs/>
          <w:sz w:val="24"/>
          <w:szCs w:val="24"/>
        </w:rPr>
        <w:t xml:space="preserve">Prêtre </w:t>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r>
      <w:r w:rsidR="006A4EED" w:rsidRPr="003B00C8">
        <w:rPr>
          <w:rFonts w:ascii="Times New Roman" w:hAnsi="Times New Roman"/>
          <w:sz w:val="24"/>
          <w:szCs w:val="24"/>
        </w:rPr>
        <w:tab/>
        <w:t xml:space="preserve">(p.81)  </w:t>
      </w:r>
      <w:r w:rsidR="006A4EED" w:rsidRPr="003B00C8">
        <w:rPr>
          <w:rFonts w:ascii="Times New Roman" w:hAnsi="Times New Roman"/>
          <w:sz w:val="24"/>
          <w:szCs w:val="24"/>
          <w:vertAlign w:val="superscript"/>
        </w:rPr>
        <w:t xml:space="preserve"> </w:t>
      </w:r>
      <w:r w:rsidR="006A4EED" w:rsidRPr="003B00C8">
        <w:rPr>
          <w:rFonts w:ascii="Times New Roman" w:hAnsi="Times New Roman"/>
          <w:sz w:val="24"/>
          <w:szCs w:val="24"/>
        </w:rPr>
        <w:t xml:space="preserve">  </w:t>
      </w:r>
      <w:r w:rsidR="006A4EED" w:rsidRPr="003B00C8">
        <w:rPr>
          <w:rFonts w:ascii="Times New Roman" w:hAnsi="Times New Roman"/>
          <w:sz w:val="24"/>
          <w:szCs w:val="24"/>
          <w:vertAlign w:val="superscript"/>
        </w:rPr>
        <w:t xml:space="preserve"> </w:t>
      </w:r>
      <w:r w:rsidR="006A4EED" w:rsidRPr="003B00C8">
        <w:rPr>
          <w:rFonts w:ascii="Times New Roman" w:hAnsi="Times New Roman"/>
          <w:sz w:val="24"/>
          <w:szCs w:val="24"/>
        </w:rPr>
        <w:t xml:space="preserve">               </w:t>
      </w:r>
    </w:p>
    <w:p w:rsidR="006A4EED" w:rsidRPr="003B00C8" w:rsidRDefault="00D27910" w:rsidP="006A4EED">
      <w:pPr>
        <w:spacing w:line="360" w:lineRule="auto"/>
        <w:jc w:val="both"/>
        <w:rPr>
          <w:rFonts w:ascii="Times New Roman" w:hAnsi="Times New Roman"/>
          <w:sz w:val="24"/>
          <w:szCs w:val="24"/>
        </w:rPr>
      </w:pPr>
      <w:r w:rsidRPr="00D27910">
        <w:rPr>
          <w:rFonts w:ascii="Times New Roman" w:hAnsi="Times New Roman"/>
          <w:noProof/>
        </w:rPr>
        <w:pict>
          <v:rect id="_x0000_s1057" style="position:absolute;left:0;text-align:left;margin-left:121.15pt;margin-top:12.5pt;width:249.75pt;height:36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">
            <v:textbox style="mso-next-textbox:#_x0000_s1057">
              <w:txbxContent>
                <w:p w:rsidR="006C092A" w:rsidRPr="000042EF" w:rsidRDefault="006C092A" w:rsidP="006A4EED">
                  <w:pPr>
                    <w:pStyle w:val="Style4"/>
                    <w:widowControl/>
                    <w:rPr>
                      <w:rStyle w:val="FontStyle79"/>
                      <w:sz w:val="24"/>
                      <w:szCs w:val="24"/>
                    </w:rPr>
                  </w:pPr>
                  <w:r w:rsidRPr="000042EF">
                    <w:rPr>
                      <w:rStyle w:val="FontStyle68"/>
                      <w:i/>
                      <w:iCs/>
                      <w:sz w:val="24"/>
                      <w:szCs w:val="24"/>
                    </w:rPr>
                    <w:t>« [...] J'obtiendrais qu'on te gracie à ma place.»</w:t>
                  </w:r>
                  <w:r w:rsidRPr="000042EF">
                    <w:rPr>
                      <w:rStyle w:val="FontStyle68"/>
                      <w:sz w:val="24"/>
                      <w:szCs w:val="24"/>
                    </w:rPr>
                    <w:t xml:space="preserve"> </w:t>
                  </w:r>
                </w:p>
                <w:p w:rsidR="006C092A" w:rsidRDefault="006C092A" w:rsidP="006A4EED"/>
              </w:txbxContent>
            </v:textbox>
          </v:rect>
        </w:pict>
      </w:r>
    </w:p>
    <w:p w:rsidR="006A4EED" w:rsidRPr="003B00C8" w:rsidRDefault="006A4EED" w:rsidP="007A210E">
      <w:pPr>
        <w:spacing w:line="360" w:lineRule="auto"/>
        <w:jc w:val="both"/>
        <w:rPr>
          <w:rFonts w:ascii="Times New Roman" w:hAnsi="Times New Roman"/>
          <w:sz w:val="24"/>
          <w:szCs w:val="24"/>
        </w:rPr>
      </w:pPr>
      <w:r w:rsidRPr="003B00C8">
        <w:rPr>
          <w:rFonts w:ascii="Times New Roman" w:hAnsi="Times New Roman"/>
          <w:sz w:val="24"/>
          <w:szCs w:val="24"/>
        </w:rPr>
        <w:t xml:space="preserve">   </w:t>
      </w:r>
      <w:r w:rsidRPr="003B00C8">
        <w:rPr>
          <w:rFonts w:ascii="Times New Roman" w:hAnsi="Times New Roman"/>
          <w:b/>
          <w:bCs/>
          <w:sz w:val="24"/>
          <w:szCs w:val="24"/>
        </w:rPr>
        <w:t>Bon larron</w:t>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Pr="003B00C8">
        <w:rPr>
          <w:rFonts w:ascii="Times New Roman" w:hAnsi="Times New Roman"/>
          <w:sz w:val="24"/>
          <w:szCs w:val="24"/>
        </w:rPr>
        <w:tab/>
      </w:r>
      <w:r w:rsidR="00173D49" w:rsidRPr="000042EF">
        <w:rPr>
          <w:rFonts w:ascii="Times New Roman" w:hAnsi="Times New Roman"/>
          <w:sz w:val="24"/>
          <w:szCs w:val="24"/>
        </w:rPr>
        <w:t>(p.44)</w:t>
      </w:r>
      <w:r w:rsidRPr="007A210E">
        <w:rPr>
          <w:rFonts w:ascii="Times New Roman" w:hAnsi="Times New Roman"/>
          <w:i/>
          <w:iCs/>
          <w:sz w:val="24"/>
          <w:szCs w:val="24"/>
        </w:rPr>
        <w:t xml:space="preserve">  </w:t>
      </w:r>
      <w:r w:rsidRPr="007A210E">
        <w:rPr>
          <w:rFonts w:ascii="Times New Roman" w:hAnsi="Times New Roman"/>
          <w:i/>
          <w:iCs/>
          <w:sz w:val="24"/>
          <w:szCs w:val="24"/>
          <w:vertAlign w:val="superscript"/>
        </w:rPr>
        <w:t xml:space="preserve"> </w:t>
      </w:r>
      <w:r w:rsidRPr="003B00C8">
        <w:rPr>
          <w:rFonts w:ascii="Times New Roman" w:hAnsi="Times New Roman"/>
          <w:sz w:val="24"/>
          <w:szCs w:val="24"/>
        </w:rPr>
        <w:t xml:space="preserve">  </w:t>
      </w:r>
    </w:p>
    <w:p w:rsidR="006A4EED" w:rsidRPr="003B00C8" w:rsidRDefault="006A4EED" w:rsidP="006A4EED">
      <w:pPr>
        <w:spacing w:line="360" w:lineRule="auto"/>
        <w:jc w:val="both"/>
        <w:rPr>
          <w:rFonts w:ascii="Times New Roman" w:hAnsi="Times New Roman"/>
          <w:sz w:val="24"/>
          <w:szCs w:val="24"/>
        </w:rPr>
      </w:pPr>
    </w:p>
    <w:p w:rsidR="006A4EED" w:rsidRPr="000042EF" w:rsidRDefault="00A761B1" w:rsidP="00A761B1">
      <w:pPr>
        <w:spacing w:line="360" w:lineRule="auto"/>
        <w:jc w:val="center"/>
        <w:rPr>
          <w:rFonts w:ascii="Times New Roman" w:hAnsi="Times New Roman"/>
          <w:b/>
          <w:bCs/>
          <w:sz w:val="24"/>
          <w:szCs w:val="24"/>
        </w:rPr>
      </w:pPr>
      <w:r w:rsidRPr="000042EF">
        <w:rPr>
          <w:rFonts w:ascii="Times New Roman" w:hAnsi="Times New Roman"/>
          <w:b/>
          <w:bCs/>
          <w:sz w:val="24"/>
          <w:szCs w:val="24"/>
        </w:rPr>
        <w:t>Figure 6 : schéma de l’évolution de Barabbas</w:t>
      </w:r>
    </w:p>
    <w:p w:rsidR="006A4EED" w:rsidRPr="001F0AC3" w:rsidRDefault="001F0AC3" w:rsidP="001F0AC3">
      <w:pPr>
        <w:pStyle w:val="Titre5"/>
        <w:spacing w:before="0" w:after="0"/>
        <w:ind w:left="641" w:hanging="357"/>
        <w:jc w:val="both"/>
        <w:rPr>
          <w:rFonts w:ascii="Times New Roman" w:hAnsi="Times New Roman"/>
          <w:color w:val="auto"/>
        </w:rPr>
      </w:pPr>
      <w:bookmarkStart w:id="111" w:name="_Toc471484482"/>
      <w:r w:rsidRPr="001F0AC3">
        <w:rPr>
          <w:rFonts w:ascii="Times New Roman" w:hAnsi="Times New Roman"/>
          <w:color w:val="auto"/>
        </w:rPr>
        <w:t>4.1.4. Quatrième</w:t>
      </w:r>
      <w:r w:rsidR="006A4EED" w:rsidRPr="001F0AC3">
        <w:rPr>
          <w:rFonts w:ascii="Times New Roman" w:hAnsi="Times New Roman"/>
          <w:color w:val="auto"/>
        </w:rPr>
        <w:t xml:space="preserve"> séquence : Barabbas-Jésus</w:t>
      </w:r>
      <w:bookmarkEnd w:id="111"/>
    </w:p>
    <w:p w:rsidR="006A4EED" w:rsidRPr="001F0AC3" w:rsidRDefault="006A4EED" w:rsidP="00230C65">
      <w:pPr>
        <w:pStyle w:val="Paragraphedeliste"/>
        <w:numPr>
          <w:ilvl w:val="0"/>
          <w:numId w:val="78"/>
        </w:numPr>
        <w:autoSpaceDE w:val="0"/>
        <w:autoSpaceDN w:val="0"/>
        <w:adjustRightInd w:val="0"/>
        <w:spacing w:after="0" w:line="360" w:lineRule="auto"/>
        <w:ind w:left="0" w:firstLine="284"/>
        <w:jc w:val="both"/>
        <w:rPr>
          <w:rFonts w:ascii="Times New Roman" w:hAnsi="Times New Roman"/>
          <w:color w:val="000000"/>
          <w:sz w:val="24"/>
          <w:szCs w:val="24"/>
        </w:rPr>
      </w:pPr>
      <w:r w:rsidRPr="001F0AC3">
        <w:rPr>
          <w:rFonts w:ascii="Times New Roman" w:hAnsi="Times New Roman"/>
          <w:b/>
          <w:bCs/>
          <w:color w:val="000000"/>
          <w:sz w:val="24"/>
          <w:szCs w:val="24"/>
        </w:rPr>
        <w:t>Deux visions du monde</w:t>
      </w:r>
      <w:r w:rsidR="001F0AC3" w:rsidRPr="001F0AC3">
        <w:rPr>
          <w:rFonts w:ascii="Times New Roman" w:hAnsi="Times New Roman"/>
          <w:b/>
          <w:bCs/>
          <w:color w:val="000000"/>
          <w:sz w:val="24"/>
          <w:szCs w:val="24"/>
        </w:rPr>
        <w:t xml:space="preserve"> : </w:t>
      </w:r>
      <w:r w:rsidRPr="001F0AC3">
        <w:rPr>
          <w:rFonts w:ascii="Times New Roman" w:hAnsi="Times New Roman"/>
          <w:color w:val="000000"/>
          <w:sz w:val="24"/>
          <w:szCs w:val="24"/>
        </w:rPr>
        <w:t xml:space="preserve">Dans cette séquence, il s’agit de montrer la compatibilité ou </w:t>
      </w:r>
      <w:proofErr w:type="gramStart"/>
      <w:r w:rsidRPr="001F0AC3">
        <w:rPr>
          <w:rFonts w:ascii="Times New Roman" w:hAnsi="Times New Roman"/>
          <w:color w:val="000000"/>
          <w:sz w:val="24"/>
          <w:szCs w:val="24"/>
        </w:rPr>
        <w:t>la</w:t>
      </w:r>
      <w:proofErr w:type="gramEnd"/>
      <w:r w:rsidRPr="001F0AC3">
        <w:rPr>
          <w:rFonts w:ascii="Times New Roman" w:hAnsi="Times New Roman"/>
          <w:color w:val="000000"/>
          <w:sz w:val="24"/>
          <w:szCs w:val="24"/>
        </w:rPr>
        <w:t xml:space="preserve"> non compatibilité des deux visions du monde partagées par Barabbas et Jésus.</w:t>
      </w:r>
    </w:p>
    <w:p w:rsidR="006A4EED" w:rsidRPr="00F227EC" w:rsidRDefault="006A4EED" w:rsidP="00230C65">
      <w:pPr>
        <w:pStyle w:val="Paragraphedeliste"/>
        <w:numPr>
          <w:ilvl w:val="0"/>
          <w:numId w:val="78"/>
        </w:numPr>
        <w:autoSpaceDE w:val="0"/>
        <w:autoSpaceDN w:val="0"/>
        <w:adjustRightInd w:val="0"/>
        <w:spacing w:after="0" w:line="360" w:lineRule="auto"/>
        <w:ind w:left="0" w:firstLine="284"/>
        <w:jc w:val="both"/>
        <w:rPr>
          <w:sz w:val="24"/>
          <w:szCs w:val="24"/>
        </w:rPr>
      </w:pPr>
      <w:r w:rsidRPr="001F0AC3">
        <w:rPr>
          <w:rFonts w:ascii="Times New Roman" w:hAnsi="Times New Roman"/>
          <w:b/>
          <w:bCs/>
          <w:color w:val="000000"/>
          <w:sz w:val="24"/>
          <w:szCs w:val="24"/>
        </w:rPr>
        <w:t>Ouverture d’un processus : préparation au changement de mentalité de Barabbas</w:t>
      </w:r>
      <w:r w:rsidR="001F0AC3" w:rsidRPr="001F0AC3">
        <w:rPr>
          <w:rFonts w:ascii="Times New Roman" w:hAnsi="Times New Roman"/>
          <w:b/>
          <w:bCs/>
          <w:color w:val="000000"/>
          <w:sz w:val="24"/>
          <w:szCs w:val="24"/>
        </w:rPr>
        <w:t xml:space="preserve"> : </w:t>
      </w:r>
      <w:r w:rsidRPr="00F227EC">
        <w:rPr>
          <w:rFonts w:ascii="Times New Roman" w:hAnsi="Times New Roman"/>
          <w:sz w:val="24"/>
          <w:szCs w:val="24"/>
        </w:rPr>
        <w:t xml:space="preserve">La relation dans l'acte I est une relation de méfiance. Barabbas perçoit l'intrusion du Christ comme un danger à sa notoriété de bandit célèbre, puis </w:t>
      </w:r>
      <w:r w:rsidRPr="00F227EC">
        <w:rPr>
          <w:rFonts w:ascii="Times New Roman" w:hAnsi="Times New Roman"/>
          <w:sz w:val="24"/>
          <w:szCs w:val="24"/>
        </w:rPr>
        <w:lastRenderedPageBreak/>
        <w:t xml:space="preserve">cette relation se transforme en indifférence, enfin elle finit en compassion. Il le déclare ainsi : </w:t>
      </w:r>
      <w:r w:rsidRPr="00F227EC">
        <w:rPr>
          <w:rFonts w:ascii="Times New Roman" w:hAnsi="Times New Roman"/>
          <w:i/>
          <w:iCs/>
          <w:sz w:val="24"/>
          <w:szCs w:val="24"/>
        </w:rPr>
        <w:t>«</w:t>
      </w:r>
      <w:r w:rsidR="00B4132D" w:rsidRPr="00B4132D">
        <w:rPr>
          <w:rFonts w:ascii="Times New Roman" w:hAnsi="Times New Roman"/>
          <w:i/>
          <w:iCs/>
          <w:sz w:val="24"/>
          <w:szCs w:val="24"/>
        </w:rPr>
        <w:t>Ç</w:t>
      </w:r>
      <w:r w:rsidRPr="00B4132D">
        <w:rPr>
          <w:rFonts w:ascii="Times New Roman" w:hAnsi="Times New Roman"/>
          <w:i/>
          <w:iCs/>
          <w:sz w:val="24"/>
          <w:szCs w:val="24"/>
        </w:rPr>
        <w:t>a me fait de la peine de le voir dans cet état.</w:t>
      </w:r>
      <w:r w:rsidRPr="00F227EC">
        <w:rPr>
          <w:rFonts w:ascii="Times New Roman" w:hAnsi="Times New Roman"/>
          <w:i/>
          <w:iCs/>
          <w:sz w:val="24"/>
          <w:szCs w:val="24"/>
        </w:rPr>
        <w:t xml:space="preserve"> »</w:t>
      </w:r>
      <w:r w:rsidRPr="00F227EC">
        <w:rPr>
          <w:sz w:val="24"/>
          <w:szCs w:val="24"/>
        </w:rPr>
        <w:t xml:space="preserve"> </w:t>
      </w:r>
      <w:r w:rsidR="00173D49" w:rsidRPr="00F227EC">
        <w:rPr>
          <w:rFonts w:ascii="Times New Roman" w:hAnsi="Times New Roman"/>
          <w:sz w:val="24"/>
          <w:szCs w:val="24"/>
        </w:rPr>
        <w:t>(</w:t>
      </w:r>
      <w:r w:rsidR="00F227EC" w:rsidRPr="00F227EC">
        <w:rPr>
          <w:rFonts w:asciiTheme="majorBidi" w:hAnsiTheme="majorBidi" w:cstheme="majorBidi"/>
          <w:sz w:val="24"/>
          <w:szCs w:val="24"/>
        </w:rPr>
        <w:t>M. De Ghelderode, 1984,</w:t>
      </w:r>
      <w:r w:rsidR="00B4132D">
        <w:rPr>
          <w:rFonts w:asciiTheme="majorBidi" w:hAnsiTheme="majorBidi" w:cstheme="majorBidi"/>
          <w:sz w:val="24"/>
          <w:szCs w:val="24"/>
        </w:rPr>
        <w:t xml:space="preserve"> </w:t>
      </w:r>
      <w:r w:rsidR="00173D49" w:rsidRPr="00F227EC">
        <w:rPr>
          <w:rFonts w:ascii="Times New Roman" w:hAnsi="Times New Roman"/>
          <w:sz w:val="24"/>
          <w:szCs w:val="24"/>
        </w:rPr>
        <w:t>p.57)</w:t>
      </w:r>
      <w:r w:rsidR="00B4132D">
        <w:rPr>
          <w:rFonts w:ascii="Times New Roman" w:hAnsi="Times New Roman"/>
          <w:sz w:val="24"/>
          <w:szCs w:val="24"/>
        </w:rPr>
        <w:t>.</w:t>
      </w:r>
    </w:p>
    <w:p w:rsidR="006A4EED" w:rsidRPr="00B4132D" w:rsidRDefault="006A4EED" w:rsidP="00B4132D">
      <w:pPr>
        <w:spacing w:after="0" w:line="360" w:lineRule="auto"/>
        <w:ind w:firstLine="284"/>
        <w:jc w:val="both"/>
        <w:rPr>
          <w:sz w:val="24"/>
          <w:szCs w:val="24"/>
        </w:rPr>
      </w:pPr>
      <w:r w:rsidRPr="00B4132D">
        <w:rPr>
          <w:rFonts w:ascii="Times New Roman" w:hAnsi="Times New Roman"/>
          <w:sz w:val="24"/>
          <w:szCs w:val="24"/>
        </w:rPr>
        <w:t xml:space="preserve">Dans l'acte II la relation évolue en camaraderie. II court vers Jésus qui descend les marches : </w:t>
      </w:r>
      <w:r w:rsidRPr="00B4132D">
        <w:rPr>
          <w:rFonts w:ascii="Times New Roman" w:hAnsi="Times New Roman"/>
          <w:i/>
          <w:iCs/>
          <w:sz w:val="24"/>
          <w:szCs w:val="24"/>
        </w:rPr>
        <w:t xml:space="preserve">« Hé ! Camarade ! C’est pas ma faute [...] sans rancune.» </w:t>
      </w:r>
      <w:r w:rsidR="00173D49" w:rsidRPr="00B4132D">
        <w:rPr>
          <w:rFonts w:ascii="Times New Roman" w:hAnsi="Times New Roman"/>
          <w:sz w:val="24"/>
          <w:szCs w:val="24"/>
        </w:rPr>
        <w:t>(</w:t>
      </w:r>
      <w:r w:rsidR="00B4132D">
        <w:rPr>
          <w:rFonts w:ascii="Times New Roman" w:hAnsi="Times New Roman"/>
          <w:i/>
          <w:iCs/>
          <w:sz w:val="24"/>
          <w:szCs w:val="24"/>
        </w:rPr>
        <w:t xml:space="preserve">Ibid, </w:t>
      </w:r>
      <w:r w:rsidR="00173D49" w:rsidRPr="00B4132D">
        <w:rPr>
          <w:rFonts w:ascii="Times New Roman" w:hAnsi="Times New Roman"/>
          <w:sz w:val="24"/>
          <w:szCs w:val="24"/>
        </w:rPr>
        <w:t>p.88)</w:t>
      </w:r>
      <w:r w:rsidR="00B4132D">
        <w:rPr>
          <w:rFonts w:ascii="Times New Roman" w:hAnsi="Times New Roman"/>
          <w:sz w:val="24"/>
          <w:szCs w:val="24"/>
        </w:rPr>
        <w:t>.</w:t>
      </w:r>
    </w:p>
    <w:p w:rsidR="006A4EED" w:rsidRPr="00B4132D" w:rsidRDefault="00B4132D" w:rsidP="00B4132D">
      <w:pPr>
        <w:spacing w:after="0" w:line="360" w:lineRule="auto"/>
        <w:ind w:firstLine="284"/>
        <w:jc w:val="both"/>
        <w:rPr>
          <w:sz w:val="24"/>
          <w:szCs w:val="24"/>
        </w:rPr>
      </w:pPr>
      <w:r>
        <w:rPr>
          <w:rFonts w:ascii="Times New Roman" w:hAnsi="Times New Roman"/>
          <w:sz w:val="24"/>
          <w:szCs w:val="24"/>
        </w:rPr>
        <w:t>À</w:t>
      </w:r>
      <w:r w:rsidR="006A4EED" w:rsidRPr="00B4132D">
        <w:rPr>
          <w:rFonts w:ascii="Times New Roman" w:hAnsi="Times New Roman"/>
          <w:sz w:val="24"/>
          <w:szCs w:val="24"/>
        </w:rPr>
        <w:t xml:space="preserve"> la fin de l'acte III, la relation se transforme en reconnaissance : </w:t>
      </w:r>
      <w:r w:rsidR="006A4EED" w:rsidRPr="00B4132D">
        <w:rPr>
          <w:rFonts w:ascii="Times New Roman" w:hAnsi="Times New Roman"/>
          <w:i/>
          <w:iCs/>
          <w:sz w:val="24"/>
          <w:szCs w:val="24"/>
        </w:rPr>
        <w:t>« Camarade on a tué, celui là qui voulait tout chambarder. »</w:t>
      </w:r>
      <w:r w:rsidR="006A4EED" w:rsidRPr="00B4132D">
        <w:rPr>
          <w:sz w:val="24"/>
          <w:szCs w:val="24"/>
        </w:rPr>
        <w:t xml:space="preserve"> </w:t>
      </w:r>
      <w:r w:rsidR="00173D49" w:rsidRPr="00B4132D">
        <w:rPr>
          <w:rFonts w:ascii="Times New Roman" w:hAnsi="Times New Roman"/>
          <w:sz w:val="24"/>
          <w:szCs w:val="24"/>
        </w:rPr>
        <w:t>(</w:t>
      </w:r>
      <w:r>
        <w:rPr>
          <w:rFonts w:ascii="Times New Roman" w:hAnsi="Times New Roman"/>
          <w:i/>
          <w:iCs/>
          <w:sz w:val="24"/>
          <w:szCs w:val="24"/>
        </w:rPr>
        <w:t xml:space="preserve">Ibid, </w:t>
      </w:r>
      <w:r w:rsidR="00173D49" w:rsidRPr="00B4132D">
        <w:rPr>
          <w:rFonts w:ascii="Times New Roman" w:hAnsi="Times New Roman"/>
          <w:sz w:val="24"/>
          <w:szCs w:val="24"/>
        </w:rPr>
        <w:t>p.126)</w:t>
      </w:r>
      <w:r>
        <w:rPr>
          <w:rFonts w:ascii="Times New Roman" w:hAnsi="Times New Roman"/>
          <w:sz w:val="24"/>
          <w:szCs w:val="24"/>
        </w:rPr>
        <w:t>.</w:t>
      </w:r>
    </w:p>
    <w:p w:rsidR="006A4EED" w:rsidRPr="00B4132D" w:rsidRDefault="00B4132D" w:rsidP="00B4132D">
      <w:pPr>
        <w:spacing w:after="0" w:line="360" w:lineRule="auto"/>
        <w:ind w:firstLine="284"/>
        <w:jc w:val="both"/>
        <w:rPr>
          <w:sz w:val="24"/>
          <w:szCs w:val="24"/>
        </w:rPr>
      </w:pPr>
      <w:r w:rsidRPr="00B4132D">
        <w:rPr>
          <w:rFonts w:ascii="Times New Roman" w:hAnsi="Times New Roman"/>
          <w:sz w:val="24"/>
          <w:szCs w:val="24"/>
        </w:rPr>
        <w:t>À</w:t>
      </w:r>
      <w:r w:rsidR="006A4EED" w:rsidRPr="00B4132D">
        <w:rPr>
          <w:rFonts w:ascii="Times New Roman" w:hAnsi="Times New Roman"/>
          <w:sz w:val="24"/>
          <w:szCs w:val="24"/>
        </w:rPr>
        <w:t xml:space="preserve"> la page 128</w:t>
      </w:r>
      <w:r w:rsidR="00325A24" w:rsidRPr="00B4132D">
        <w:rPr>
          <w:rFonts w:ascii="Times New Roman" w:hAnsi="Times New Roman"/>
          <w:sz w:val="24"/>
          <w:szCs w:val="24"/>
        </w:rPr>
        <w:t>,</w:t>
      </w:r>
      <w:r w:rsidR="006A4EED" w:rsidRPr="00B4132D">
        <w:rPr>
          <w:rFonts w:ascii="Times New Roman" w:hAnsi="Times New Roman"/>
          <w:sz w:val="24"/>
          <w:szCs w:val="24"/>
        </w:rPr>
        <w:t xml:space="preserve"> la relation va se transformer en passion : </w:t>
      </w:r>
      <w:r w:rsidR="006A4EED" w:rsidRPr="00B4132D">
        <w:rPr>
          <w:rFonts w:ascii="Times New Roman" w:hAnsi="Times New Roman"/>
          <w:i/>
          <w:iCs/>
          <w:sz w:val="24"/>
          <w:szCs w:val="24"/>
        </w:rPr>
        <w:t>« ça m'est égal [...] hé Jésus je saigne aussi. Immobile le même jour, mais toi tu es mort pour quelque chose. Moi je meurs pour rien. C'est quand même à cause de toi ...pour toi...Jésus.»</w:t>
      </w:r>
      <w:r w:rsidR="006A4EED" w:rsidRPr="00B4132D">
        <w:rPr>
          <w:sz w:val="24"/>
          <w:szCs w:val="24"/>
        </w:rPr>
        <w:t xml:space="preserve"> </w:t>
      </w:r>
      <w:r w:rsidR="00173D49" w:rsidRPr="00B4132D">
        <w:rPr>
          <w:rFonts w:ascii="Times New Roman" w:hAnsi="Times New Roman"/>
          <w:sz w:val="24"/>
          <w:szCs w:val="24"/>
        </w:rPr>
        <w:t>(</w:t>
      </w:r>
      <w:r>
        <w:rPr>
          <w:rFonts w:ascii="Times New Roman" w:hAnsi="Times New Roman"/>
          <w:i/>
          <w:iCs/>
          <w:sz w:val="24"/>
          <w:szCs w:val="24"/>
        </w:rPr>
        <w:t xml:space="preserve">Ibid, </w:t>
      </w:r>
      <w:r w:rsidR="00173D49" w:rsidRPr="00B4132D">
        <w:rPr>
          <w:rFonts w:ascii="Times New Roman" w:hAnsi="Times New Roman"/>
          <w:sz w:val="24"/>
          <w:szCs w:val="24"/>
        </w:rPr>
        <w:t>p.128)</w:t>
      </w:r>
      <w:r>
        <w:rPr>
          <w:rFonts w:ascii="Times New Roman" w:hAnsi="Times New Roman"/>
          <w:sz w:val="24"/>
          <w:szCs w:val="24"/>
        </w:rPr>
        <w:t>.</w:t>
      </w:r>
    </w:p>
    <w:p w:rsidR="006A4EED" w:rsidRPr="00510A09" w:rsidRDefault="006A4EED" w:rsidP="00230C65">
      <w:pPr>
        <w:pStyle w:val="Paragraphedeliste"/>
        <w:numPr>
          <w:ilvl w:val="0"/>
          <w:numId w:val="79"/>
        </w:numPr>
        <w:spacing w:after="0" w:line="360" w:lineRule="auto"/>
        <w:ind w:left="0" w:firstLine="284"/>
        <w:contextualSpacing w:val="0"/>
        <w:jc w:val="both"/>
        <w:rPr>
          <w:rFonts w:ascii="Times New Roman" w:hAnsi="Times New Roman"/>
          <w:sz w:val="24"/>
          <w:szCs w:val="24"/>
        </w:rPr>
      </w:pPr>
      <w:r w:rsidRPr="00510A09">
        <w:rPr>
          <w:rFonts w:ascii="Times New Roman" w:hAnsi="Times New Roman"/>
          <w:b/>
          <w:bCs/>
          <w:color w:val="000000"/>
          <w:sz w:val="24"/>
          <w:szCs w:val="24"/>
        </w:rPr>
        <w:t>Déroulement d’un processus, changement de mentalité :</w:t>
      </w:r>
      <w:r w:rsidRPr="00510A09">
        <w:rPr>
          <w:rFonts w:ascii="Times New Roman" w:hAnsi="Times New Roman"/>
          <w:b/>
          <w:bCs/>
          <w:sz w:val="24"/>
          <w:szCs w:val="24"/>
        </w:rPr>
        <w:t xml:space="preserve"> </w:t>
      </w:r>
      <w:r w:rsidRPr="00510A09">
        <w:rPr>
          <w:rFonts w:ascii="Times New Roman" w:hAnsi="Times New Roman"/>
          <w:bCs/>
          <w:sz w:val="24"/>
          <w:szCs w:val="24"/>
        </w:rPr>
        <w:t>Barabbas - autres personnages (Apôtres, Judas, Barnum, Pitre, Larrons)</w:t>
      </w:r>
      <w:r w:rsidR="00510A09" w:rsidRPr="00510A09">
        <w:rPr>
          <w:rFonts w:ascii="Times New Roman" w:hAnsi="Times New Roman"/>
          <w:bCs/>
          <w:sz w:val="24"/>
          <w:szCs w:val="24"/>
        </w:rPr>
        <w:t xml:space="preserve">. </w:t>
      </w:r>
      <w:r w:rsidRPr="00510A09">
        <w:rPr>
          <w:rFonts w:ascii="Times New Roman" w:hAnsi="Times New Roman"/>
          <w:sz w:val="24"/>
          <w:szCs w:val="24"/>
        </w:rPr>
        <w:t>Relation de mépris envers ces personnages pour leur lâcheté face aux événements.</w:t>
      </w:r>
    </w:p>
    <w:p w:rsidR="006A4EED" w:rsidRPr="00510A09" w:rsidRDefault="006A4EED" w:rsidP="006C2776">
      <w:pPr>
        <w:spacing w:after="0" w:line="360" w:lineRule="auto"/>
        <w:ind w:firstLine="284"/>
        <w:jc w:val="both"/>
        <w:rPr>
          <w:rFonts w:ascii="Times New Roman" w:hAnsi="Times New Roman"/>
          <w:sz w:val="24"/>
          <w:szCs w:val="24"/>
        </w:rPr>
      </w:pPr>
      <w:r w:rsidRPr="00510A09">
        <w:rPr>
          <w:rFonts w:ascii="Times New Roman" w:hAnsi="Times New Roman"/>
          <w:sz w:val="24"/>
          <w:szCs w:val="24"/>
        </w:rPr>
        <w:t>S'adressant aux apôtres, d'abord à Pierre : «</w:t>
      </w:r>
      <w:r w:rsidRPr="00510A09">
        <w:rPr>
          <w:rFonts w:ascii="Times New Roman" w:hAnsi="Times New Roman"/>
          <w:i/>
          <w:iCs/>
          <w:sz w:val="24"/>
          <w:szCs w:val="24"/>
        </w:rPr>
        <w:t xml:space="preserve"> Tu n'es pas plus blanc qu'un autre, toi l'ami du Christ. Va-t-en. »</w:t>
      </w:r>
      <w:r w:rsidRPr="00510A09">
        <w:rPr>
          <w:rFonts w:ascii="Times New Roman" w:hAnsi="Times New Roman"/>
          <w:sz w:val="24"/>
          <w:szCs w:val="24"/>
        </w:rPr>
        <w:t xml:space="preserve"> </w:t>
      </w:r>
      <w:r w:rsidR="00173D49" w:rsidRPr="00510A09">
        <w:rPr>
          <w:rFonts w:ascii="Times New Roman" w:hAnsi="Times New Roman"/>
          <w:sz w:val="24"/>
          <w:szCs w:val="24"/>
        </w:rPr>
        <w:t>(</w:t>
      </w:r>
      <w:r w:rsidR="006C2776">
        <w:rPr>
          <w:rFonts w:ascii="Times New Roman" w:hAnsi="Times New Roman"/>
          <w:i/>
          <w:iCs/>
          <w:sz w:val="24"/>
          <w:szCs w:val="24"/>
        </w:rPr>
        <w:t xml:space="preserve">Ibid, </w:t>
      </w:r>
      <w:r w:rsidR="00173D49" w:rsidRPr="00510A09">
        <w:rPr>
          <w:rFonts w:ascii="Times New Roman" w:hAnsi="Times New Roman"/>
          <w:sz w:val="24"/>
          <w:szCs w:val="24"/>
        </w:rPr>
        <w:t>p.120)</w:t>
      </w:r>
      <w:r w:rsidR="006C2776">
        <w:rPr>
          <w:rFonts w:ascii="Times New Roman" w:hAnsi="Times New Roman"/>
          <w:sz w:val="24"/>
          <w:szCs w:val="24"/>
        </w:rPr>
        <w:t>. À</w:t>
      </w:r>
      <w:r w:rsidRPr="00510A09">
        <w:rPr>
          <w:rFonts w:ascii="Times New Roman" w:hAnsi="Times New Roman"/>
          <w:sz w:val="24"/>
          <w:szCs w:val="24"/>
        </w:rPr>
        <w:t xml:space="preserve"> Judas, il reproche : </w:t>
      </w:r>
      <w:r w:rsidRPr="00510A09">
        <w:rPr>
          <w:rFonts w:ascii="Times New Roman" w:hAnsi="Times New Roman"/>
          <w:i/>
          <w:iCs/>
          <w:sz w:val="24"/>
          <w:szCs w:val="24"/>
        </w:rPr>
        <w:t>« Arrière mouche à merde.»</w:t>
      </w:r>
      <w:r w:rsidR="00173D49" w:rsidRPr="00510A09">
        <w:rPr>
          <w:rFonts w:ascii="Times New Roman" w:hAnsi="Times New Roman"/>
          <w:sz w:val="24"/>
          <w:szCs w:val="24"/>
        </w:rPr>
        <w:t xml:space="preserve"> (</w:t>
      </w:r>
      <w:r w:rsidR="006C2776">
        <w:rPr>
          <w:rFonts w:ascii="Times New Roman" w:hAnsi="Times New Roman"/>
          <w:i/>
          <w:iCs/>
          <w:sz w:val="24"/>
          <w:szCs w:val="24"/>
        </w:rPr>
        <w:t xml:space="preserve">Ibid, </w:t>
      </w:r>
      <w:r w:rsidR="00173D49" w:rsidRPr="00510A09">
        <w:rPr>
          <w:rFonts w:ascii="Times New Roman" w:hAnsi="Times New Roman"/>
          <w:sz w:val="24"/>
          <w:szCs w:val="24"/>
        </w:rPr>
        <w:t>p.105)</w:t>
      </w:r>
      <w:r w:rsidR="006C2776">
        <w:rPr>
          <w:rFonts w:ascii="Times New Roman" w:hAnsi="Times New Roman"/>
          <w:sz w:val="24"/>
          <w:szCs w:val="24"/>
        </w:rPr>
        <w:t>.</w:t>
      </w:r>
    </w:p>
    <w:p w:rsidR="006A4EED" w:rsidRPr="00510A09" w:rsidRDefault="006A4EED" w:rsidP="00EE3585">
      <w:pPr>
        <w:spacing w:after="0" w:line="360" w:lineRule="auto"/>
        <w:ind w:firstLine="284"/>
        <w:jc w:val="both"/>
        <w:rPr>
          <w:rFonts w:ascii="Times New Roman" w:hAnsi="Times New Roman"/>
          <w:sz w:val="24"/>
          <w:szCs w:val="24"/>
        </w:rPr>
      </w:pPr>
      <w:r w:rsidRPr="00510A09">
        <w:rPr>
          <w:rFonts w:ascii="Times New Roman" w:hAnsi="Times New Roman"/>
          <w:sz w:val="24"/>
          <w:szCs w:val="24"/>
        </w:rPr>
        <w:t xml:space="preserve">Au Barnum : </w:t>
      </w:r>
      <w:r w:rsidRPr="00510A09">
        <w:rPr>
          <w:rFonts w:ascii="Times New Roman" w:hAnsi="Times New Roman"/>
          <w:i/>
          <w:iCs/>
          <w:sz w:val="24"/>
          <w:szCs w:val="24"/>
        </w:rPr>
        <w:t xml:space="preserve">« Il est probable que les gens aimeraient tes mimiques comateuses. </w:t>
      </w:r>
      <w:r w:rsidR="00F14D81" w:rsidRPr="00510A09">
        <w:rPr>
          <w:rFonts w:ascii="Times New Roman" w:hAnsi="Times New Roman"/>
          <w:i/>
          <w:iCs/>
          <w:sz w:val="24"/>
          <w:szCs w:val="24"/>
        </w:rPr>
        <w:t>Je</w:t>
      </w:r>
      <w:r w:rsidRPr="00510A09">
        <w:rPr>
          <w:rFonts w:ascii="Times New Roman" w:hAnsi="Times New Roman"/>
          <w:i/>
          <w:iCs/>
          <w:sz w:val="24"/>
          <w:szCs w:val="24"/>
        </w:rPr>
        <w:t xml:space="preserve"> te saignerai comme un goret.»</w:t>
      </w:r>
      <w:r w:rsidR="00173D49" w:rsidRPr="00510A09">
        <w:rPr>
          <w:rFonts w:ascii="Times New Roman" w:hAnsi="Times New Roman"/>
          <w:sz w:val="24"/>
          <w:szCs w:val="24"/>
        </w:rPr>
        <w:t xml:space="preserve"> (</w:t>
      </w:r>
      <w:r w:rsidR="003529BF">
        <w:rPr>
          <w:rFonts w:ascii="Times New Roman" w:hAnsi="Times New Roman"/>
          <w:i/>
          <w:iCs/>
          <w:sz w:val="24"/>
          <w:szCs w:val="24"/>
        </w:rPr>
        <w:t xml:space="preserve">Ibid, </w:t>
      </w:r>
      <w:r w:rsidR="00173D49" w:rsidRPr="00510A09">
        <w:rPr>
          <w:rFonts w:ascii="Times New Roman" w:hAnsi="Times New Roman"/>
          <w:sz w:val="24"/>
          <w:szCs w:val="24"/>
        </w:rPr>
        <w:t>p.111)</w:t>
      </w:r>
      <w:r w:rsidR="003529BF">
        <w:rPr>
          <w:rFonts w:ascii="Times New Roman" w:hAnsi="Times New Roman"/>
          <w:sz w:val="24"/>
          <w:szCs w:val="24"/>
        </w:rPr>
        <w:t>.</w:t>
      </w:r>
      <w:r w:rsidRPr="00510A09">
        <w:rPr>
          <w:rFonts w:ascii="Times New Roman" w:hAnsi="Times New Roman"/>
          <w:sz w:val="24"/>
          <w:szCs w:val="24"/>
        </w:rPr>
        <w:t xml:space="preserve"> </w:t>
      </w:r>
    </w:p>
    <w:p w:rsidR="006A4EED" w:rsidRPr="00510A09" w:rsidRDefault="006A4EED" w:rsidP="00EE3585">
      <w:pPr>
        <w:spacing w:after="0" w:line="360" w:lineRule="auto"/>
        <w:ind w:firstLine="284"/>
        <w:jc w:val="both"/>
        <w:rPr>
          <w:rFonts w:ascii="Times New Roman" w:hAnsi="Times New Roman"/>
          <w:sz w:val="24"/>
          <w:szCs w:val="24"/>
        </w:rPr>
      </w:pPr>
      <w:r w:rsidRPr="00510A09">
        <w:rPr>
          <w:rFonts w:ascii="Times New Roman" w:hAnsi="Times New Roman"/>
          <w:sz w:val="24"/>
          <w:szCs w:val="24"/>
        </w:rPr>
        <w:t xml:space="preserve">Au pitre, il reproche son insensible légèreté face aux événements : </w:t>
      </w:r>
      <w:r w:rsidRPr="00510A09">
        <w:rPr>
          <w:rFonts w:ascii="Times New Roman" w:hAnsi="Times New Roman"/>
          <w:i/>
          <w:iCs/>
          <w:sz w:val="24"/>
          <w:szCs w:val="24"/>
        </w:rPr>
        <w:t xml:space="preserve">« Il me faudrait des clous et un marteau, je le clouerai contre la cloison comme une chauve souris» </w:t>
      </w:r>
      <w:r w:rsidR="00173D49" w:rsidRPr="00510A09">
        <w:rPr>
          <w:rFonts w:ascii="Times New Roman" w:hAnsi="Times New Roman"/>
          <w:sz w:val="24"/>
          <w:szCs w:val="24"/>
        </w:rPr>
        <w:t>(</w:t>
      </w:r>
      <w:r w:rsidR="003529BF">
        <w:rPr>
          <w:rFonts w:ascii="Times New Roman" w:hAnsi="Times New Roman"/>
          <w:i/>
          <w:iCs/>
          <w:sz w:val="24"/>
          <w:szCs w:val="24"/>
        </w:rPr>
        <w:t xml:space="preserve">Ibid, </w:t>
      </w:r>
      <w:r w:rsidR="00173D49" w:rsidRPr="00510A09">
        <w:rPr>
          <w:rFonts w:ascii="Times New Roman" w:hAnsi="Times New Roman"/>
          <w:sz w:val="24"/>
          <w:szCs w:val="24"/>
        </w:rPr>
        <w:t>p.113)</w:t>
      </w:r>
      <w:r w:rsidR="003529BF">
        <w:rPr>
          <w:rFonts w:ascii="Times New Roman" w:hAnsi="Times New Roman"/>
          <w:sz w:val="24"/>
          <w:szCs w:val="24"/>
        </w:rPr>
        <w:t>.</w:t>
      </w:r>
    </w:p>
    <w:p w:rsidR="006A4EED" w:rsidRPr="00EE3585" w:rsidRDefault="006A4EED" w:rsidP="00230C65">
      <w:pPr>
        <w:pStyle w:val="Paragraphedeliste"/>
        <w:numPr>
          <w:ilvl w:val="0"/>
          <w:numId w:val="79"/>
        </w:numPr>
        <w:autoSpaceDE w:val="0"/>
        <w:autoSpaceDN w:val="0"/>
        <w:adjustRightInd w:val="0"/>
        <w:spacing w:after="0" w:line="360" w:lineRule="auto"/>
        <w:ind w:left="0" w:firstLine="284"/>
        <w:contextualSpacing w:val="0"/>
        <w:jc w:val="both"/>
        <w:rPr>
          <w:rFonts w:ascii="Times New Roman" w:hAnsi="Times New Roman"/>
          <w:b/>
          <w:bCs/>
          <w:sz w:val="24"/>
          <w:szCs w:val="24"/>
        </w:rPr>
      </w:pPr>
      <w:r w:rsidRPr="00EE3585">
        <w:rPr>
          <w:rFonts w:ascii="Times New Roman" w:hAnsi="Times New Roman"/>
          <w:b/>
          <w:bCs/>
          <w:color w:val="000000"/>
          <w:sz w:val="24"/>
          <w:szCs w:val="24"/>
        </w:rPr>
        <w:t xml:space="preserve">Clôture d’un processus ; mutation accomplie : </w:t>
      </w:r>
      <w:r w:rsidRPr="00EE3585">
        <w:rPr>
          <w:rFonts w:ascii="Times New Roman" w:hAnsi="Times New Roman"/>
          <w:b/>
          <w:bCs/>
          <w:sz w:val="24"/>
          <w:szCs w:val="24"/>
        </w:rPr>
        <w:t>Barabbas et l'autorité politique.</w:t>
      </w:r>
    </w:p>
    <w:p w:rsidR="00B365A3" w:rsidRPr="00EE3585" w:rsidRDefault="006A4EED" w:rsidP="00EE3585">
      <w:pPr>
        <w:numPr>
          <w:ilvl w:val="0"/>
          <w:numId w:val="1"/>
        </w:numPr>
        <w:spacing w:after="0" w:line="360" w:lineRule="auto"/>
        <w:ind w:left="0" w:firstLine="284"/>
        <w:jc w:val="both"/>
        <w:rPr>
          <w:sz w:val="24"/>
          <w:szCs w:val="24"/>
        </w:rPr>
      </w:pPr>
      <w:r w:rsidRPr="00EE3585">
        <w:rPr>
          <w:rFonts w:ascii="Times New Roman" w:hAnsi="Times New Roman"/>
          <w:b/>
          <w:bCs/>
          <w:sz w:val="24"/>
          <w:szCs w:val="24"/>
        </w:rPr>
        <w:t>Barabbas-Hérode</w:t>
      </w:r>
      <w:r w:rsidR="00EE3585" w:rsidRPr="00EE3585">
        <w:rPr>
          <w:rFonts w:ascii="Times New Roman" w:hAnsi="Times New Roman"/>
          <w:b/>
          <w:bCs/>
          <w:sz w:val="24"/>
          <w:szCs w:val="24"/>
        </w:rPr>
        <w:t xml:space="preserve"> : </w:t>
      </w:r>
      <w:r w:rsidRPr="00EE3585">
        <w:rPr>
          <w:rFonts w:ascii="Times New Roman" w:hAnsi="Times New Roman"/>
          <w:sz w:val="24"/>
          <w:szCs w:val="24"/>
        </w:rPr>
        <w:t xml:space="preserve">Une certaine estime naît entre les deux hommes : </w:t>
      </w:r>
      <w:r w:rsidRPr="00EE3585">
        <w:rPr>
          <w:rFonts w:ascii="Times New Roman" w:hAnsi="Times New Roman"/>
          <w:i/>
          <w:iCs/>
          <w:sz w:val="24"/>
          <w:szCs w:val="24"/>
        </w:rPr>
        <w:t xml:space="preserve">« Je suis ému de te revoir, </w:t>
      </w:r>
      <w:r w:rsidR="00BA6B38" w:rsidRPr="00EE3585">
        <w:rPr>
          <w:rFonts w:ascii="Times New Roman" w:hAnsi="Times New Roman"/>
          <w:i/>
          <w:iCs/>
          <w:sz w:val="24"/>
          <w:szCs w:val="24"/>
        </w:rPr>
        <w:t>t</w:t>
      </w:r>
      <w:r w:rsidRPr="00EE3585">
        <w:rPr>
          <w:rFonts w:ascii="Times New Roman" w:hAnsi="Times New Roman"/>
          <w:i/>
          <w:iCs/>
          <w:sz w:val="24"/>
          <w:szCs w:val="24"/>
        </w:rPr>
        <w:t>oi qui me portas tant d'intérêts [...]»</w:t>
      </w:r>
      <w:r w:rsidR="00173D49" w:rsidRPr="00EE3585">
        <w:rPr>
          <w:rFonts w:ascii="Times New Roman" w:hAnsi="Times New Roman"/>
          <w:i/>
          <w:iCs/>
          <w:sz w:val="24"/>
          <w:szCs w:val="24"/>
        </w:rPr>
        <w:t xml:space="preserve"> </w:t>
      </w:r>
      <w:r w:rsidR="00173D49" w:rsidRPr="00EE3585">
        <w:rPr>
          <w:rFonts w:ascii="Times New Roman" w:hAnsi="Times New Roman"/>
          <w:sz w:val="24"/>
          <w:szCs w:val="24"/>
        </w:rPr>
        <w:t>(</w:t>
      </w:r>
      <w:r w:rsidR="00EE3585" w:rsidRPr="00EE3585">
        <w:rPr>
          <w:rFonts w:ascii="Times New Roman" w:hAnsi="Times New Roman"/>
          <w:i/>
          <w:iCs/>
          <w:sz w:val="24"/>
          <w:szCs w:val="24"/>
        </w:rPr>
        <w:t>Ibid</w:t>
      </w:r>
      <w:r w:rsidR="00EE3585" w:rsidRPr="00EE3585">
        <w:rPr>
          <w:rFonts w:ascii="Times New Roman" w:hAnsi="Times New Roman"/>
          <w:sz w:val="24"/>
          <w:szCs w:val="24"/>
        </w:rPr>
        <w:t xml:space="preserve">, </w:t>
      </w:r>
      <w:r w:rsidR="00173D49" w:rsidRPr="00EE3585">
        <w:rPr>
          <w:rFonts w:ascii="Times New Roman" w:hAnsi="Times New Roman"/>
          <w:sz w:val="24"/>
          <w:szCs w:val="24"/>
        </w:rPr>
        <w:t>p.114)</w:t>
      </w:r>
      <w:r w:rsidR="00EE3585" w:rsidRPr="00EE3585">
        <w:rPr>
          <w:rFonts w:ascii="Times New Roman" w:hAnsi="Times New Roman"/>
          <w:sz w:val="24"/>
          <w:szCs w:val="24"/>
        </w:rPr>
        <w:t xml:space="preserve">. </w:t>
      </w:r>
      <w:r w:rsidRPr="00EE3585">
        <w:rPr>
          <w:rFonts w:ascii="Times New Roman" w:hAnsi="Times New Roman"/>
          <w:sz w:val="24"/>
          <w:szCs w:val="24"/>
        </w:rPr>
        <w:t xml:space="preserve">Hérode se lance dans un répertoire de compliments : </w:t>
      </w:r>
      <w:r w:rsidRPr="00EE3585">
        <w:rPr>
          <w:rFonts w:ascii="Times New Roman" w:hAnsi="Times New Roman"/>
          <w:i/>
          <w:iCs/>
          <w:sz w:val="24"/>
          <w:szCs w:val="24"/>
        </w:rPr>
        <w:t>« [...] Je t'aime Barabbas, toi le repris de justice le cheval de retour, tes excentricités sont la preuve de ton original caractère»</w:t>
      </w:r>
      <w:r w:rsidR="00173D49" w:rsidRPr="00EE3585">
        <w:rPr>
          <w:rFonts w:ascii="Times New Roman" w:hAnsi="Times New Roman"/>
          <w:i/>
          <w:iCs/>
          <w:sz w:val="24"/>
          <w:szCs w:val="24"/>
        </w:rPr>
        <w:t xml:space="preserve"> </w:t>
      </w:r>
      <w:r w:rsidR="00173D49" w:rsidRPr="00EE3585">
        <w:rPr>
          <w:rFonts w:ascii="Times New Roman" w:hAnsi="Times New Roman"/>
          <w:sz w:val="24"/>
          <w:szCs w:val="24"/>
        </w:rPr>
        <w:t>(</w:t>
      </w:r>
      <w:r w:rsidR="00EE3585">
        <w:rPr>
          <w:rFonts w:ascii="Times New Roman" w:hAnsi="Times New Roman"/>
          <w:i/>
          <w:iCs/>
          <w:sz w:val="24"/>
          <w:szCs w:val="24"/>
        </w:rPr>
        <w:t xml:space="preserve">Ibid, </w:t>
      </w:r>
      <w:r w:rsidR="00173D49" w:rsidRPr="00EE3585">
        <w:rPr>
          <w:rFonts w:ascii="Times New Roman" w:hAnsi="Times New Roman"/>
          <w:sz w:val="24"/>
          <w:szCs w:val="24"/>
        </w:rPr>
        <w:t>p.114)</w:t>
      </w:r>
      <w:r w:rsidR="00EE3585">
        <w:rPr>
          <w:rFonts w:ascii="Times New Roman" w:hAnsi="Times New Roman"/>
          <w:sz w:val="24"/>
          <w:szCs w:val="24"/>
        </w:rPr>
        <w:t>.</w:t>
      </w:r>
    </w:p>
    <w:p w:rsidR="006A4EED" w:rsidRPr="00EE3585" w:rsidRDefault="006A4EED" w:rsidP="00EE3585">
      <w:pPr>
        <w:numPr>
          <w:ilvl w:val="0"/>
          <w:numId w:val="1"/>
        </w:numPr>
        <w:spacing w:after="0" w:line="360" w:lineRule="auto"/>
        <w:ind w:left="0" w:firstLine="284"/>
        <w:jc w:val="both"/>
        <w:rPr>
          <w:rFonts w:ascii="Times New Roman" w:hAnsi="Times New Roman"/>
          <w:sz w:val="24"/>
          <w:szCs w:val="24"/>
        </w:rPr>
      </w:pPr>
      <w:r w:rsidRPr="00EE3585">
        <w:rPr>
          <w:rFonts w:ascii="Times New Roman" w:hAnsi="Times New Roman"/>
          <w:b/>
          <w:bCs/>
          <w:sz w:val="24"/>
          <w:szCs w:val="24"/>
        </w:rPr>
        <w:t xml:space="preserve">Barabbas et l'autorité religieuse: </w:t>
      </w:r>
      <w:r w:rsidRPr="00EE3585">
        <w:rPr>
          <w:rFonts w:ascii="Times New Roman" w:hAnsi="Times New Roman"/>
          <w:sz w:val="24"/>
          <w:szCs w:val="24"/>
        </w:rPr>
        <w:t xml:space="preserve">C'est une relation d'intérêt pour Caïphe. Barabbas sert les dessins de l'ordre religieux, celui de condamner Jésus à l'insu de l'autorité politique. Barabbas compose avec les prêtres afin de retrouver sa liberté. </w:t>
      </w:r>
      <w:r w:rsidRPr="00EE3585">
        <w:rPr>
          <w:rFonts w:ascii="Times New Roman" w:hAnsi="Times New Roman"/>
          <w:sz w:val="24"/>
          <w:szCs w:val="24"/>
        </w:rPr>
        <w:lastRenderedPageBreak/>
        <w:t xml:space="preserve">Compromissions, complots, chantages, pressions, haines et intérêts sordides alimentent le conflit que se livrent sans scrupules les deux entités politique et religieuse. </w:t>
      </w:r>
    </w:p>
    <w:p w:rsidR="007F7FC5" w:rsidRDefault="007F7FC5" w:rsidP="007F7FC5">
      <w:pPr>
        <w:pStyle w:val="Titre4"/>
        <w:spacing w:before="0" w:after="0" w:line="360" w:lineRule="auto"/>
        <w:ind w:left="0"/>
        <w:jc w:val="both"/>
        <w:rPr>
          <w:rFonts w:ascii="Times New Roman" w:hAnsi="Times New Roman"/>
          <w:i w:val="0"/>
          <w:iCs/>
        </w:rPr>
      </w:pPr>
    </w:p>
    <w:p w:rsidR="006A4EED" w:rsidRPr="00964DBF" w:rsidRDefault="007F7FC5" w:rsidP="007F7FC5">
      <w:pPr>
        <w:pStyle w:val="Titre4"/>
        <w:spacing w:before="0" w:after="0" w:line="360" w:lineRule="auto"/>
        <w:ind w:left="641" w:hanging="357"/>
        <w:jc w:val="both"/>
        <w:rPr>
          <w:rFonts w:ascii="Times New Roman" w:hAnsi="Times New Roman"/>
          <w:i w:val="0"/>
          <w:iCs/>
        </w:rPr>
      </w:pPr>
      <w:bookmarkStart w:id="112" w:name="_Toc471484483"/>
      <w:r>
        <w:rPr>
          <w:rFonts w:ascii="Times New Roman" w:hAnsi="Times New Roman"/>
          <w:i w:val="0"/>
          <w:iCs/>
        </w:rPr>
        <w:t>4.2.</w:t>
      </w:r>
      <w:r w:rsidRPr="00964DBF">
        <w:rPr>
          <w:rFonts w:ascii="Times New Roman" w:hAnsi="Times New Roman"/>
          <w:i w:val="0"/>
          <w:iCs/>
        </w:rPr>
        <w:t xml:space="preserve"> Visualisation</w:t>
      </w:r>
      <w:r w:rsidR="006A4EED" w:rsidRPr="00964DBF">
        <w:rPr>
          <w:rFonts w:ascii="Times New Roman" w:hAnsi="Times New Roman"/>
          <w:i w:val="0"/>
          <w:iCs/>
        </w:rPr>
        <w:t xml:space="preserve"> de la structure du récit : point de vue de Br</w:t>
      </w:r>
      <w:r w:rsidR="00EE3585">
        <w:rPr>
          <w:rFonts w:ascii="Times New Roman" w:hAnsi="Times New Roman"/>
          <w:i w:val="0"/>
          <w:iCs/>
        </w:rPr>
        <w:t>é</w:t>
      </w:r>
      <w:r w:rsidR="006A4EED" w:rsidRPr="00964DBF">
        <w:rPr>
          <w:rFonts w:ascii="Times New Roman" w:hAnsi="Times New Roman"/>
          <w:i w:val="0"/>
          <w:iCs/>
        </w:rPr>
        <w:t>mond</w:t>
      </w:r>
      <w:bookmarkEnd w:id="112"/>
    </w:p>
    <w:p w:rsidR="006A4EED" w:rsidRPr="003B00C8" w:rsidRDefault="006A4EED" w:rsidP="007F7FC5">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Les analyses qui précèdent ont abouti à une situation, qui nous amène à nous appuyer sur deux outils conceptuels, en guise de synthèse de l’analyse des séquences: la structure du récit selon Bremond et le modèle quinaire de Larivaille. Nous avons choisi à dessein ces deux instruments parce que d’une part ils permettent de visualiser le conflit latent qui se dégage de l’analyse des séquences: la discordance de deux points de vue dont l’un se base sur les concepts traditionnels de justice et d’équité et l’autre sur la vision moderne, spirituelle de </w:t>
      </w:r>
      <w:r w:rsidRPr="003B00C8">
        <w:rPr>
          <w:rFonts w:ascii="Times New Roman" w:hAnsi="Times New Roman"/>
          <w:b/>
          <w:i/>
          <w:color w:val="000000"/>
          <w:sz w:val="24"/>
          <w:szCs w:val="24"/>
        </w:rPr>
        <w:t>Barabbas</w:t>
      </w:r>
      <w:r w:rsidRPr="003B00C8">
        <w:rPr>
          <w:rFonts w:ascii="Times New Roman" w:hAnsi="Times New Roman"/>
          <w:color w:val="000000"/>
          <w:sz w:val="24"/>
          <w:szCs w:val="24"/>
        </w:rPr>
        <w:t xml:space="preserve"> de Michel Ghelderode.</w:t>
      </w:r>
    </w:p>
    <w:p w:rsidR="006A4EED" w:rsidRPr="003B00C8" w:rsidRDefault="006A4EED" w:rsidP="007F7FC5">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Le schéma de Bremond permet de mettre en évidence le processus d’enclave</w:t>
      </w:r>
      <w:r w:rsidRPr="003B00C8">
        <w:rPr>
          <w:rFonts w:ascii="Times New Roman" w:hAnsi="Times New Roman"/>
          <w:color w:val="000000"/>
          <w:sz w:val="24"/>
          <w:szCs w:val="24"/>
          <w:vertAlign w:val="superscript"/>
        </w:rPr>
        <w:footnoteReference w:id="203"/>
      </w:r>
      <w:r w:rsidRPr="003B00C8">
        <w:rPr>
          <w:rFonts w:ascii="Times New Roman" w:hAnsi="Times New Roman"/>
          <w:color w:val="000000"/>
          <w:sz w:val="24"/>
          <w:szCs w:val="24"/>
        </w:rPr>
        <w:t xml:space="preserve"> qui caractérise la structuration du récit, tandis que le modèle quinaire est plus précis et explicite mieux les différentes transformations du récit.</w:t>
      </w:r>
    </w:p>
    <w:p w:rsidR="00173D49" w:rsidRPr="007F7FC5" w:rsidRDefault="006A4EED" w:rsidP="007F7FC5">
      <w:pPr>
        <w:autoSpaceDE w:val="0"/>
        <w:autoSpaceDN w:val="0"/>
        <w:adjustRightInd w:val="0"/>
        <w:spacing w:after="0" w:line="360" w:lineRule="auto"/>
        <w:ind w:firstLine="284"/>
        <w:jc w:val="both"/>
        <w:rPr>
          <w:rFonts w:asciiTheme="majorBidi" w:hAnsiTheme="majorBidi" w:cstheme="majorBidi"/>
          <w:sz w:val="24"/>
          <w:szCs w:val="24"/>
        </w:rPr>
      </w:pPr>
      <w:r w:rsidRPr="003B00C8">
        <w:rPr>
          <w:rFonts w:ascii="Times New Roman" w:hAnsi="Times New Roman"/>
          <w:color w:val="000000"/>
          <w:sz w:val="24"/>
          <w:szCs w:val="24"/>
        </w:rPr>
        <w:t xml:space="preserve">Dans sa </w:t>
      </w:r>
      <w:r w:rsidR="007F7FC5">
        <w:rPr>
          <w:rFonts w:ascii="Times New Roman" w:hAnsi="Times New Roman"/>
          <w:color w:val="000000"/>
          <w:sz w:val="24"/>
          <w:szCs w:val="24"/>
        </w:rPr>
        <w:t>« </w:t>
      </w:r>
      <w:r w:rsidRPr="007F7FC5">
        <w:rPr>
          <w:rFonts w:ascii="Times New Roman" w:hAnsi="Times New Roman"/>
          <w:color w:val="000000"/>
          <w:sz w:val="24"/>
          <w:szCs w:val="24"/>
        </w:rPr>
        <w:t>Logique des possibles narratifs</w:t>
      </w:r>
      <w:r w:rsidR="007F7FC5">
        <w:rPr>
          <w:rFonts w:ascii="Times New Roman" w:hAnsi="Times New Roman"/>
          <w:color w:val="000000"/>
          <w:sz w:val="24"/>
          <w:szCs w:val="24"/>
        </w:rPr>
        <w:t> »</w:t>
      </w:r>
      <w:r w:rsidRPr="007F7FC5">
        <w:rPr>
          <w:rFonts w:ascii="Times New Roman" w:hAnsi="Times New Roman"/>
          <w:color w:val="000000"/>
          <w:sz w:val="24"/>
          <w:szCs w:val="24"/>
          <w:vertAlign w:val="superscript"/>
        </w:rPr>
        <w:footnoteReference w:id="204"/>
      </w:r>
      <w:r w:rsidR="007F7FC5">
        <w:rPr>
          <w:rFonts w:ascii="Times New Roman" w:hAnsi="Times New Roman"/>
          <w:color w:val="000000"/>
          <w:sz w:val="24"/>
          <w:szCs w:val="24"/>
        </w:rPr>
        <w:t xml:space="preserve">, </w:t>
      </w:r>
      <w:r w:rsidRPr="003B00C8">
        <w:rPr>
          <w:rFonts w:ascii="Times New Roman" w:hAnsi="Times New Roman"/>
          <w:color w:val="000000"/>
          <w:sz w:val="24"/>
          <w:szCs w:val="24"/>
        </w:rPr>
        <w:t>Claude Br</w:t>
      </w:r>
      <w:r w:rsidR="007F7FC5">
        <w:rPr>
          <w:rFonts w:ascii="Times New Roman" w:hAnsi="Times New Roman"/>
          <w:color w:val="000000"/>
          <w:sz w:val="24"/>
          <w:szCs w:val="24"/>
        </w:rPr>
        <w:t>é</w:t>
      </w:r>
      <w:r w:rsidRPr="003B00C8">
        <w:rPr>
          <w:rFonts w:ascii="Times New Roman" w:hAnsi="Times New Roman"/>
          <w:color w:val="000000"/>
          <w:sz w:val="24"/>
          <w:szCs w:val="24"/>
        </w:rPr>
        <w:t>mond considère l’enclave comme</w:t>
      </w:r>
      <w:r w:rsidRPr="007F7FC5">
        <w:rPr>
          <w:rFonts w:asciiTheme="majorBidi" w:hAnsiTheme="majorBidi" w:cstheme="majorBidi"/>
          <w:color w:val="000000"/>
          <w:sz w:val="24"/>
          <w:szCs w:val="24"/>
        </w:rPr>
        <w:t xml:space="preserve">: </w:t>
      </w:r>
      <w:r w:rsidR="007F7FC5" w:rsidRPr="007F7FC5">
        <w:rPr>
          <w:rFonts w:asciiTheme="majorBidi" w:hAnsiTheme="majorBidi" w:cstheme="majorBidi"/>
          <w:color w:val="000000"/>
          <w:sz w:val="24"/>
          <w:szCs w:val="24"/>
        </w:rPr>
        <w:t>« </w:t>
      </w:r>
      <w:r w:rsidRPr="007F7FC5">
        <w:rPr>
          <w:rFonts w:asciiTheme="majorBidi" w:hAnsiTheme="majorBidi" w:cstheme="majorBidi"/>
          <w:sz w:val="24"/>
          <w:szCs w:val="24"/>
        </w:rPr>
        <w:t>un processus (qui), pour atteindre son but doit en inclure un autre qui lui sert de moyen, celui-ci pouvant à son tour en inclure un troisième, etc</w:t>
      </w:r>
      <w:r w:rsidR="007F7FC5" w:rsidRPr="007F7FC5">
        <w:rPr>
          <w:rFonts w:asciiTheme="majorBidi" w:hAnsiTheme="majorBidi" w:cstheme="majorBidi"/>
          <w:sz w:val="24"/>
          <w:szCs w:val="24"/>
        </w:rPr>
        <w:t> »</w:t>
      </w:r>
      <w:r w:rsidRPr="007F7FC5">
        <w:rPr>
          <w:rFonts w:asciiTheme="majorBidi" w:hAnsiTheme="majorBidi" w:cstheme="majorBidi"/>
          <w:sz w:val="24"/>
          <w:szCs w:val="24"/>
        </w:rPr>
        <w:t xml:space="preserve">. </w:t>
      </w:r>
    </w:p>
    <w:p w:rsidR="006A4EED" w:rsidRPr="003B00C8" w:rsidRDefault="006A4EED" w:rsidP="00DB06E0">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Elle est signalée dans la pièce par l’insertion de deux processus comme moyens possibles à éliminer l’obstacle, la conception traditionnelle de justice et d’équité du personnage Barabbas. Il s’agit nommément de combattre les convictions du juridique et conséquemment de la cour en élaborant des stratégies pour les convaincre, au mieux les y contraindre en usant des voies et moyens les plus drastiques et draconiens. </w:t>
      </w:r>
    </w:p>
    <w:p w:rsidR="006A4EED" w:rsidRPr="00637AFB" w:rsidRDefault="00637AFB" w:rsidP="00637AFB">
      <w:pPr>
        <w:pStyle w:val="Titre3"/>
        <w:spacing w:before="0" w:after="0" w:line="360" w:lineRule="auto"/>
        <w:ind w:left="641" w:hanging="357"/>
        <w:jc w:val="both"/>
        <w:rPr>
          <w:rFonts w:ascii="Times New Roman" w:hAnsi="Times New Roman" w:cs="Times New Roman"/>
          <w:sz w:val="24"/>
          <w:szCs w:val="24"/>
        </w:rPr>
      </w:pPr>
      <w:bookmarkStart w:id="113" w:name="_Toc471484484"/>
      <w:r w:rsidRPr="00637AFB">
        <w:rPr>
          <w:rFonts w:ascii="Times New Roman" w:hAnsi="Times New Roman" w:cs="Times New Roman"/>
          <w:sz w:val="24"/>
          <w:szCs w:val="24"/>
        </w:rPr>
        <w:lastRenderedPageBreak/>
        <w:t>5. Analyse</w:t>
      </w:r>
      <w:r w:rsidR="006A4EED" w:rsidRPr="00637AFB">
        <w:rPr>
          <w:rFonts w:ascii="Times New Roman" w:hAnsi="Times New Roman" w:cs="Times New Roman"/>
          <w:sz w:val="24"/>
          <w:szCs w:val="24"/>
        </w:rPr>
        <w:t xml:space="preserve"> actorielle et actantielle du système des personnages</w:t>
      </w:r>
      <w:bookmarkEnd w:id="113"/>
    </w:p>
    <w:p w:rsidR="00C66603" w:rsidRPr="003B00C8" w:rsidRDefault="006A4EED" w:rsidP="00637AF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Issue du mouvement formaliste russe des années 1920 et du développement structuraliste de la linguistique qui a débuté, en France, dans les années 1950, l’approche narratologique structuraliste des textes littéraires est centrée sur le récit. Celui-ci est traité comme un tout cohérent existant par lui-même où l’on trouve les marques linguistiques sur lesquelles repose l'analyse. Ne pouvant considérer ni l’auteur réel (personne qui écrit le livre dans la réalité) ou impliqué (image mentale de l'auteur construite par le lecteur), ni le lecteur réel (personne qui lit l'ouvrage dans la réalité) ou impliqué (image mentale du lecteur construite par l'auteur), ni le personnage comme un être réel, l'analyste peut s’intéresser, par le truchement du récit, aux rapports entre histoire et récit, aux phénomènes de point de vue, de narrateur (instance fictive qui prend en charge la narration dans le récit) et de narrataire (instance fictive à qui la narration s'adresse ou destinataire fictif de l'acte narratif).</w:t>
      </w:r>
    </w:p>
    <w:p w:rsidR="006A4EED" w:rsidRPr="003B00C8" w:rsidRDefault="006A4EED" w:rsidP="00637AFB">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Selon Mireille P</w:t>
      </w:r>
      <w:r w:rsidR="00637AFB">
        <w:rPr>
          <w:rFonts w:ascii="Times New Roman" w:eastAsia="Times New Roman" w:hAnsi="Times New Roman"/>
          <w:sz w:val="24"/>
          <w:szCs w:val="24"/>
          <w:lang w:eastAsia="fr-FR"/>
        </w:rPr>
        <w:t>awliez</w:t>
      </w:r>
      <w:r w:rsidR="00C66603">
        <w:rPr>
          <w:rStyle w:val="Appelnotedebasdep"/>
          <w:rFonts w:ascii="Times New Roman" w:eastAsia="Times New Roman" w:hAnsi="Times New Roman"/>
          <w:sz w:val="24"/>
          <w:szCs w:val="24"/>
          <w:lang w:eastAsia="fr-FR"/>
        </w:rPr>
        <w:footnoteReference w:id="205"/>
      </w:r>
      <w:r w:rsidRPr="003B00C8">
        <w:rPr>
          <w:rFonts w:ascii="Times New Roman" w:eastAsia="Times New Roman" w:hAnsi="Times New Roman"/>
          <w:sz w:val="24"/>
          <w:szCs w:val="24"/>
          <w:lang w:eastAsia="fr-FR"/>
        </w:rPr>
        <w:t>, C’est dans ce courant qu’est apparue la théorie littéraire narratologique de Gérard G</w:t>
      </w:r>
      <w:r w:rsidR="00637AFB">
        <w:rPr>
          <w:rFonts w:ascii="Times New Roman" w:eastAsia="Times New Roman" w:hAnsi="Times New Roman"/>
          <w:sz w:val="24"/>
          <w:szCs w:val="24"/>
          <w:lang w:eastAsia="fr-FR"/>
        </w:rPr>
        <w:t>enette</w:t>
      </w:r>
      <w:r w:rsidRPr="003B00C8">
        <w:rPr>
          <w:rFonts w:ascii="Times New Roman" w:eastAsia="Times New Roman" w:hAnsi="Times New Roman"/>
          <w:sz w:val="24"/>
          <w:szCs w:val="24"/>
          <w:lang w:eastAsia="fr-FR"/>
        </w:rPr>
        <w:t>, qui a, par la suite, dominé la scène internationale. Pour Genette en effet, la signification d'une œuvre est créée par le jeu combinatoire de trois niveaux narratifs. Il distingue ainsi :</w:t>
      </w:r>
    </w:p>
    <w:p w:rsidR="006A4EED" w:rsidRPr="003B00C8" w:rsidRDefault="006A4EED" w:rsidP="00230C65">
      <w:pPr>
        <w:pStyle w:val="Paragraphedeliste"/>
        <w:numPr>
          <w:ilvl w:val="0"/>
          <w:numId w:val="47"/>
        </w:numPr>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L'histoire et donc l'enchaînement des événements qui constitue l'infrastructure que l'on peut extraire du récit; </w:t>
      </w:r>
    </w:p>
    <w:p w:rsidR="006A4EED" w:rsidRPr="003B00C8" w:rsidRDefault="006A4EED" w:rsidP="00230C65">
      <w:pPr>
        <w:pStyle w:val="Paragraphedeliste"/>
        <w:numPr>
          <w:ilvl w:val="0"/>
          <w:numId w:val="47"/>
        </w:numPr>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 récit, autrement dit  l'énoncé tel qu'il se présente linéairement; </w:t>
      </w:r>
    </w:p>
    <w:p w:rsidR="006A4EED" w:rsidRPr="00E21080" w:rsidRDefault="006A4EED" w:rsidP="00230C65">
      <w:pPr>
        <w:pStyle w:val="Paragraphedeliste"/>
        <w:numPr>
          <w:ilvl w:val="0"/>
          <w:numId w:val="47"/>
        </w:numPr>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narration, qui est l'acte narratif (fictif) qui produit le discours et par extension l'ensemble de la situation fictive dans laquelle il prend place. </w:t>
      </w:r>
    </w:p>
    <w:p w:rsidR="006A4EED" w:rsidRDefault="006A4EED" w:rsidP="008564B7">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Par cette approche, Genette conçoit le récit comme l'instrument qui médiatise les autres niveaux, celui qui permet en fait que soient examinées les relations temporelles entre l'histoire (temps), la manière dont l'information narrative est vue ou perçue dans le récit (mode), et les problèmes d'énonciation (voix) lesquels se situent précisément au niveau des relations récit-narration et des rapports histoire-narration.</w:t>
      </w:r>
    </w:p>
    <w:p w:rsidR="006A4EED" w:rsidRDefault="006A4EED" w:rsidP="008564B7">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L’on sait toutefois que Gérard Genette ne voit pas dans le personnage un élément narratif intrinsèque. Il y fait référence si le personnage occupe un rôle au niveau de la narration ou de la focalisation, sans plus. En cela Genette rejoint tous les narratologues structuralistes qui refusent de voir le personnage comme une personne réelle.</w:t>
      </w:r>
      <w:r w:rsidR="00FB69DE">
        <w:rPr>
          <w:rFonts w:ascii="Times New Roman" w:eastAsia="Times New Roman" w:hAnsi="Times New Roman"/>
          <w:sz w:val="24"/>
          <w:szCs w:val="24"/>
          <w:lang w:eastAsia="fr-FR"/>
        </w:rPr>
        <w:t xml:space="preserve"> </w:t>
      </w:r>
    </w:p>
    <w:p w:rsidR="006A4EED" w:rsidRDefault="006A4EED" w:rsidP="00D9053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Bien plus, Propp et Greimas réduisent les personnages à un rôle abstrait. Il devient difficile avec ces approches, d’étudier des romans dits « psychologiques » où les personnages ont beaucoup plus de profondeur. Aussi convient-il d’étendre les limites de la narratologie structuraliste pour rendre compte de la richesse du personnage dans des œuvres complexes comme </w:t>
      </w:r>
      <w:r w:rsidRPr="00D9053C">
        <w:rPr>
          <w:rFonts w:ascii="Times New Roman" w:eastAsia="Times New Roman" w:hAnsi="Times New Roman"/>
          <w:bCs/>
          <w:i/>
          <w:sz w:val="24"/>
          <w:szCs w:val="24"/>
          <w:lang w:eastAsia="fr-FR"/>
        </w:rPr>
        <w:t>Barabbas</w:t>
      </w:r>
      <w:r w:rsidRPr="003B00C8">
        <w:rPr>
          <w:rFonts w:ascii="Times New Roman" w:eastAsia="Times New Roman" w:hAnsi="Times New Roman"/>
          <w:b/>
          <w:i/>
          <w:sz w:val="24"/>
          <w:szCs w:val="24"/>
          <w:lang w:eastAsia="fr-FR"/>
        </w:rPr>
        <w:t>.</w:t>
      </w:r>
    </w:p>
    <w:p w:rsidR="006A4EED" w:rsidRPr="003B00C8" w:rsidRDefault="006A4EED" w:rsidP="00D9053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Dès lors, afin d’examiner le personnage d’une manière qui soit compatible avec la narratologie structuraliste, il sera utile de recourir à une méthodologie qui fasse la place aux traits de caractère, qui explique et démontre comment sont bâtis les personnages, à travers le récit.  </w:t>
      </w:r>
    </w:p>
    <w:p w:rsidR="006A4EED" w:rsidRPr="003B00C8" w:rsidRDefault="006A4EED" w:rsidP="00D9053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Dans cette optique, la théorie textuelle sémique de Barthes va retenir toute notre attention. Il y analyse les sèmes qui permettent de construire les traits du personnage à partir du récit. Voici son postulat :</w:t>
      </w:r>
    </w:p>
    <w:p w:rsidR="006A4EED" w:rsidRPr="003B00C8" w:rsidRDefault="006A4EED" w:rsidP="009B15FE">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Si des sèmes similaires traversent de nombreuses fois le même Nom propre et semblent s'y fixer, on parle de  personnage. Ce dernier est donc un produit combinatoire: une combinaison relativement stable (à travers le retour des sèmes) mais possiblement</w:t>
      </w:r>
      <w:r w:rsidR="009B15FE">
        <w:rPr>
          <w:rFonts w:ascii="Times New Roman" w:eastAsia="Times New Roman" w:hAnsi="Times New Roman"/>
          <w:sz w:val="24"/>
          <w:szCs w:val="24"/>
          <w:lang w:eastAsia="fr-FR"/>
        </w:rPr>
        <w:t xml:space="preserve"> </w:t>
      </w:r>
      <w:r w:rsidRPr="003B00C8">
        <w:rPr>
          <w:rFonts w:ascii="Times New Roman" w:eastAsia="Times New Roman" w:hAnsi="Times New Roman"/>
          <w:sz w:val="24"/>
          <w:szCs w:val="24"/>
          <w:lang w:eastAsia="fr-FR"/>
        </w:rPr>
        <w:t>complexe (avec des traits parfois  contradictoires), cette complexité va déterminer la “personnalité” du personnage.</w:t>
      </w:r>
    </w:p>
    <w:p w:rsidR="006A4EED" w:rsidRPr="003B00C8" w:rsidRDefault="006A4EED" w:rsidP="00D9053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On retient de ces recherches que le personnage est un concept linguistique qui s’élabore sur les indices sémiques éparpillés tout au long du récit. La méthode reste toutefois difficile à appliquer.</w:t>
      </w:r>
    </w:p>
    <w:p w:rsidR="006A4EED" w:rsidRPr="00E21080" w:rsidRDefault="006A4EED" w:rsidP="00D9053C">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notion de caractérisation directe (explicite) et de caractérisation indirecte (implicite) s’avère plus exploitable. La caractérisation directe transparaît dans le discours des personnages, le personnage est le plus souvent décrit par l'instance responsable de la narration (description physique, psychologique ou sociale, commentaires de l'instance narrative. La caractérisation indirecte quant à elle concerne les actions (unique, répétitive ou itérative; potentielle ou réalisée), par le nom du personnage, par son statut social (généalogie, rôle social ou familial), et par son environnement ou son habillement. </w:t>
      </w:r>
    </w:p>
    <w:p w:rsidR="006A4EED" w:rsidRDefault="006A4EED" w:rsidP="009B15FE">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lastRenderedPageBreak/>
        <w:t>L’approche que nous retenons est finalement celle qui constitue un des postulats fondamentaux de la sémiotique : appréhender le texte comme un système constitué d’éléments ordonnés et interdépendants. Un tout cohérent fait de liens étroits entre les éléments si bien qu’une modification de l’un deux entraîne celle de tous les autres.</w:t>
      </w:r>
    </w:p>
    <w:p w:rsidR="006A4EED" w:rsidRPr="009B15FE" w:rsidRDefault="006A4EED" w:rsidP="009B15FE">
      <w:pPr>
        <w:autoSpaceDE w:val="0"/>
        <w:autoSpaceDN w:val="0"/>
        <w:adjustRightInd w:val="0"/>
        <w:spacing w:after="0" w:line="360" w:lineRule="auto"/>
        <w:ind w:firstLine="360"/>
        <w:jc w:val="both"/>
        <w:rPr>
          <w:rFonts w:asciiTheme="majorBidi" w:hAnsiTheme="majorBidi" w:cstheme="majorBidi"/>
          <w:sz w:val="24"/>
          <w:szCs w:val="24"/>
        </w:rPr>
      </w:pPr>
      <w:r w:rsidRPr="009B15FE">
        <w:rPr>
          <w:rFonts w:asciiTheme="majorBidi" w:hAnsiTheme="majorBidi" w:cstheme="majorBidi"/>
          <w:color w:val="000000"/>
          <w:sz w:val="24"/>
          <w:szCs w:val="24"/>
        </w:rPr>
        <w:t xml:space="preserve">Ainsi nait le système des personnages. Philippe Hamon y voit avant tout l’occasion définir le personnage comme une unité anthropomorphe, mais aussi comme: </w:t>
      </w:r>
      <w:r w:rsidRPr="009B15FE">
        <w:rPr>
          <w:rFonts w:asciiTheme="majorBidi" w:hAnsiTheme="majorBidi" w:cstheme="majorBidi"/>
          <w:sz w:val="24"/>
          <w:szCs w:val="24"/>
        </w:rPr>
        <w:t>« une reconstruction du lecteur, une reconstruction du texte ».</w:t>
      </w:r>
      <w:r w:rsidRPr="009B15FE">
        <w:rPr>
          <w:rFonts w:asciiTheme="majorBidi" w:hAnsiTheme="majorBidi" w:cstheme="majorBidi"/>
          <w:sz w:val="24"/>
          <w:szCs w:val="24"/>
          <w:vertAlign w:val="superscript"/>
        </w:rPr>
        <w:footnoteReference w:id="206"/>
      </w:r>
      <w:r w:rsidRPr="009B15FE">
        <w:rPr>
          <w:rFonts w:asciiTheme="majorBidi" w:hAnsiTheme="majorBidi" w:cstheme="majorBidi"/>
          <w:sz w:val="24"/>
          <w:szCs w:val="24"/>
        </w:rPr>
        <w:t xml:space="preserve"> </w:t>
      </w:r>
    </w:p>
    <w:p w:rsidR="006A4EED" w:rsidRPr="003B00C8" w:rsidRDefault="006A4EED" w:rsidP="00541C66">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Le système des personnages est déterminant et détient une sémiosis particulière. Il participe en effet à la mise en  signification d’une œuvre et concourt, autant que l’action ou le temps, à l’unité du récit.</w:t>
      </w:r>
    </w:p>
    <w:p w:rsidR="0063586E" w:rsidRDefault="006A4EED" w:rsidP="00541C66">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Il nous revient donc d’analyser le système de personnages chez Ghelderode et donc déterminer,  dans ce chapitre, comment et dans quel but Michel Ghelderode utilise </w:t>
      </w:r>
      <w:r w:rsidRPr="0063586E">
        <w:rPr>
          <w:rFonts w:ascii="Times New Roman" w:hAnsi="Times New Roman"/>
          <w:color w:val="000000"/>
          <w:sz w:val="24"/>
          <w:szCs w:val="24"/>
        </w:rPr>
        <w:t>les êtres de papier</w:t>
      </w:r>
      <w:r w:rsidRPr="003B00C8">
        <w:rPr>
          <w:rFonts w:ascii="Times New Roman" w:hAnsi="Times New Roman"/>
          <w:i/>
          <w:iCs/>
          <w:color w:val="000000"/>
          <w:sz w:val="24"/>
          <w:szCs w:val="24"/>
        </w:rPr>
        <w:t xml:space="preserve"> </w:t>
      </w:r>
      <w:r w:rsidRPr="003B00C8">
        <w:rPr>
          <w:rFonts w:ascii="Times New Roman" w:hAnsi="Times New Roman"/>
          <w:color w:val="000000"/>
          <w:sz w:val="24"/>
          <w:szCs w:val="24"/>
        </w:rPr>
        <w:t xml:space="preserve">qu’il crée. </w:t>
      </w:r>
    </w:p>
    <w:p w:rsidR="006A4EED" w:rsidRPr="003B00C8" w:rsidRDefault="006A4EED" w:rsidP="00541C66">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Cela se fera à travers les cinq points suivants: </w:t>
      </w:r>
    </w:p>
    <w:p w:rsidR="006A4EED" w:rsidRPr="003B00C8" w:rsidRDefault="006A4EED" w:rsidP="0063586E">
      <w:pPr>
        <w:pStyle w:val="Paragraphedeliste"/>
        <w:numPr>
          <w:ilvl w:val="0"/>
          <w:numId w:val="24"/>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les personnages selon leur ordre d’apparition, </w:t>
      </w:r>
    </w:p>
    <w:p w:rsidR="006A4EED" w:rsidRPr="003B00C8" w:rsidRDefault="006A4EED" w:rsidP="0063586E">
      <w:pPr>
        <w:pStyle w:val="Paragraphedeliste"/>
        <w:numPr>
          <w:ilvl w:val="0"/>
          <w:numId w:val="24"/>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la dimension actorielle,</w:t>
      </w:r>
    </w:p>
    <w:p w:rsidR="006A4EED" w:rsidRPr="003B00C8" w:rsidRDefault="006A4EED" w:rsidP="0063586E">
      <w:pPr>
        <w:pStyle w:val="Paragraphedeliste"/>
        <w:numPr>
          <w:ilvl w:val="0"/>
          <w:numId w:val="24"/>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la dimension actantielle, </w:t>
      </w:r>
    </w:p>
    <w:p w:rsidR="006A4EED" w:rsidRPr="003B00C8" w:rsidRDefault="006A4EED" w:rsidP="0063586E">
      <w:pPr>
        <w:pStyle w:val="Paragraphedeliste"/>
        <w:numPr>
          <w:ilvl w:val="0"/>
          <w:numId w:val="24"/>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les schémas actantiels, </w:t>
      </w:r>
    </w:p>
    <w:p w:rsidR="006A4EED" w:rsidRDefault="006A4EED" w:rsidP="0063586E">
      <w:pPr>
        <w:pStyle w:val="Paragraphedeliste"/>
        <w:numPr>
          <w:ilvl w:val="0"/>
          <w:numId w:val="24"/>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les programmes narratifs.</w:t>
      </w:r>
    </w:p>
    <w:p w:rsidR="0063586E" w:rsidRDefault="0063586E" w:rsidP="0063586E">
      <w:pPr>
        <w:autoSpaceDE w:val="0"/>
        <w:autoSpaceDN w:val="0"/>
        <w:adjustRightInd w:val="0"/>
        <w:spacing w:after="0" w:line="360" w:lineRule="auto"/>
        <w:ind w:left="720"/>
        <w:jc w:val="both"/>
        <w:rPr>
          <w:rFonts w:ascii="Times New Roman" w:hAnsi="Times New Roman"/>
          <w:color w:val="000000"/>
          <w:sz w:val="24"/>
          <w:szCs w:val="24"/>
        </w:rPr>
      </w:pPr>
    </w:p>
    <w:p w:rsidR="0063586E" w:rsidRDefault="0063586E" w:rsidP="0063586E">
      <w:pPr>
        <w:autoSpaceDE w:val="0"/>
        <w:autoSpaceDN w:val="0"/>
        <w:adjustRightInd w:val="0"/>
        <w:spacing w:after="0" w:line="360" w:lineRule="auto"/>
        <w:ind w:firstLine="284"/>
        <w:jc w:val="both"/>
      </w:pPr>
      <w:r w:rsidRPr="003B00C8">
        <w:rPr>
          <w:rFonts w:ascii="Times New Roman" w:hAnsi="Times New Roman"/>
          <w:color w:val="000000"/>
          <w:sz w:val="24"/>
          <w:szCs w:val="24"/>
        </w:rPr>
        <w:t xml:space="preserve">Le personnage n’a de pertinence que grâce à sa fonctionnalité ou mieux, selon le mot de Barthes: </w:t>
      </w:r>
      <w:r w:rsidRPr="000B629A">
        <w:rPr>
          <w:rFonts w:asciiTheme="majorBidi" w:hAnsiTheme="majorBidi" w:cstheme="majorBidi"/>
          <w:color w:val="000000"/>
          <w:sz w:val="24"/>
          <w:szCs w:val="24"/>
        </w:rPr>
        <w:t>« </w:t>
      </w:r>
      <w:r w:rsidRPr="000B629A">
        <w:rPr>
          <w:rFonts w:asciiTheme="majorBidi" w:hAnsiTheme="majorBidi" w:cstheme="majorBidi"/>
          <w:sz w:val="24"/>
          <w:szCs w:val="24"/>
        </w:rPr>
        <w:t xml:space="preserve">[sa] participation à une sphère d’action. </w:t>
      </w:r>
      <w:r>
        <w:rPr>
          <w:rFonts w:asciiTheme="majorBidi" w:hAnsiTheme="majorBidi" w:cstheme="majorBidi"/>
          <w:sz w:val="24"/>
          <w:szCs w:val="24"/>
        </w:rPr>
        <w:t>[</w:t>
      </w:r>
      <w:r w:rsidRPr="000B629A">
        <w:rPr>
          <w:rFonts w:asciiTheme="majorBidi" w:hAnsiTheme="majorBidi" w:cstheme="majorBidi"/>
          <w:sz w:val="24"/>
          <w:szCs w:val="24"/>
        </w:rPr>
        <w:t>...</w:t>
      </w:r>
      <w:r>
        <w:rPr>
          <w:rFonts w:asciiTheme="majorBidi" w:hAnsiTheme="majorBidi" w:cstheme="majorBidi"/>
          <w:sz w:val="24"/>
          <w:szCs w:val="24"/>
        </w:rPr>
        <w:t>]</w:t>
      </w:r>
      <w:r w:rsidRPr="000B629A">
        <w:rPr>
          <w:rFonts w:asciiTheme="majorBidi" w:hAnsiTheme="majorBidi" w:cstheme="majorBidi"/>
          <w:sz w:val="24"/>
          <w:szCs w:val="24"/>
        </w:rPr>
        <w:t xml:space="preserve"> le mot ne doit donc pas s’entendre ici au sens des menus actes qui forment le tissu du premier niveau, mais au sens des grandes articulations de la praxis (désirer, communiquer, lutter »</w:t>
      </w:r>
      <w:r w:rsidRPr="000B629A">
        <w:rPr>
          <w:rFonts w:asciiTheme="majorBidi" w:hAnsiTheme="majorBidi" w:cstheme="majorBidi"/>
          <w:sz w:val="24"/>
          <w:szCs w:val="24"/>
          <w:vertAlign w:val="superscript"/>
        </w:rPr>
        <w:footnoteReference w:id="207"/>
      </w:r>
      <w:r w:rsidRPr="000B629A">
        <w:rPr>
          <w:rFonts w:asciiTheme="majorBidi" w:hAnsiTheme="majorBidi" w:cstheme="majorBidi"/>
          <w:sz w:val="24"/>
          <w:szCs w:val="24"/>
        </w:rPr>
        <w:t>.</w:t>
      </w:r>
    </w:p>
    <w:p w:rsidR="0063586E" w:rsidRDefault="0063586E" w:rsidP="0063586E">
      <w:pPr>
        <w:autoSpaceDE w:val="0"/>
        <w:autoSpaceDN w:val="0"/>
        <w:adjustRightInd w:val="0"/>
        <w:spacing w:after="0" w:line="360" w:lineRule="auto"/>
        <w:ind w:left="708"/>
        <w:jc w:val="both"/>
        <w:rPr>
          <w:rFonts w:ascii="Times New Roman" w:hAnsi="Times New Roman"/>
          <w:color w:val="000000"/>
          <w:sz w:val="24"/>
          <w:szCs w:val="24"/>
        </w:rPr>
      </w:pPr>
    </w:p>
    <w:p w:rsidR="0063586E" w:rsidRDefault="0063586E" w:rsidP="0063586E">
      <w:pPr>
        <w:autoSpaceDE w:val="0"/>
        <w:autoSpaceDN w:val="0"/>
        <w:adjustRightInd w:val="0"/>
        <w:spacing w:after="0" w:line="360" w:lineRule="auto"/>
        <w:ind w:left="708"/>
        <w:jc w:val="both"/>
        <w:rPr>
          <w:rFonts w:ascii="Times New Roman" w:hAnsi="Times New Roman"/>
          <w:color w:val="000000"/>
          <w:sz w:val="24"/>
          <w:szCs w:val="24"/>
        </w:rPr>
      </w:pPr>
    </w:p>
    <w:p w:rsidR="0063586E" w:rsidRDefault="0063586E" w:rsidP="0063586E">
      <w:pPr>
        <w:autoSpaceDE w:val="0"/>
        <w:autoSpaceDN w:val="0"/>
        <w:adjustRightInd w:val="0"/>
        <w:spacing w:after="0" w:line="360" w:lineRule="auto"/>
        <w:ind w:left="708"/>
        <w:jc w:val="both"/>
        <w:rPr>
          <w:rFonts w:ascii="Times New Roman" w:hAnsi="Times New Roman"/>
          <w:color w:val="000000"/>
          <w:sz w:val="24"/>
          <w:szCs w:val="24"/>
        </w:rPr>
      </w:pPr>
    </w:p>
    <w:p w:rsidR="0063586E" w:rsidRPr="0063586E" w:rsidRDefault="0063586E" w:rsidP="0063586E">
      <w:pPr>
        <w:autoSpaceDE w:val="0"/>
        <w:autoSpaceDN w:val="0"/>
        <w:adjustRightInd w:val="0"/>
        <w:spacing w:after="0" w:line="360" w:lineRule="auto"/>
        <w:ind w:left="708"/>
        <w:jc w:val="both"/>
        <w:rPr>
          <w:rFonts w:ascii="Times New Roman" w:hAnsi="Times New Roman"/>
          <w:color w:val="000000"/>
          <w:sz w:val="24"/>
          <w:szCs w:val="24"/>
        </w:rPr>
      </w:pPr>
    </w:p>
    <w:p w:rsidR="006A4EED" w:rsidRPr="00541C66" w:rsidRDefault="006A4EED" w:rsidP="00541C66">
      <w:pPr>
        <w:autoSpaceDE w:val="0"/>
        <w:autoSpaceDN w:val="0"/>
        <w:adjustRightInd w:val="0"/>
        <w:spacing w:after="0" w:line="360" w:lineRule="auto"/>
        <w:ind w:firstLine="284"/>
        <w:jc w:val="both"/>
        <w:rPr>
          <w:rFonts w:ascii="Times New Roman" w:hAnsi="Times New Roman"/>
          <w:sz w:val="24"/>
          <w:szCs w:val="24"/>
        </w:rPr>
      </w:pPr>
      <w:r w:rsidRPr="00541C66">
        <w:rPr>
          <w:rFonts w:ascii="Times New Roman" w:hAnsi="Times New Roman"/>
          <w:sz w:val="24"/>
          <w:szCs w:val="24"/>
        </w:rPr>
        <w:lastRenderedPageBreak/>
        <w:t>Le tableau infra illustrera mieux nos propos.</w:t>
      </w:r>
    </w:p>
    <w:tbl>
      <w:tblPr>
        <w:tblStyle w:val="Grillemoyenne3-Accent2"/>
        <w:tblpPr w:leftFromText="141" w:rightFromText="141" w:vertAnchor="text" w:horzAnchor="margin" w:tblpXSpec="center" w:tblpY="115"/>
        <w:tblW w:w="8404" w:type="dxa"/>
        <w:tblLayout w:type="fixed"/>
        <w:tblLook w:val="0000"/>
      </w:tblPr>
      <w:tblGrid>
        <w:gridCol w:w="2802"/>
        <w:gridCol w:w="1774"/>
        <w:gridCol w:w="2127"/>
        <w:gridCol w:w="1701"/>
      </w:tblGrid>
      <w:tr w:rsidR="006A4EED" w:rsidRPr="00541C66" w:rsidTr="00CA500D">
        <w:trPr>
          <w:cnfStyle w:val="000000100000"/>
          <w:trHeight w:val="402"/>
        </w:trPr>
        <w:tc>
          <w:tcPr>
            <w:cnfStyle w:val="000010000000"/>
            <w:tcW w:w="2802" w:type="dxa"/>
          </w:tcPr>
          <w:p w:rsidR="006A4EED" w:rsidRPr="00541C66" w:rsidRDefault="006A4EED" w:rsidP="00790972">
            <w:pPr>
              <w:spacing w:after="0" w:line="240" w:lineRule="auto"/>
              <w:jc w:val="center"/>
              <w:rPr>
                <w:rFonts w:asciiTheme="majorBidi" w:hAnsiTheme="majorBidi" w:cstheme="majorBidi"/>
                <w:b/>
                <w:sz w:val="24"/>
                <w:szCs w:val="24"/>
              </w:rPr>
            </w:pPr>
            <w:r w:rsidRPr="00541C66">
              <w:rPr>
                <w:rFonts w:asciiTheme="majorBidi" w:hAnsiTheme="majorBidi" w:cstheme="majorBidi"/>
                <w:b/>
                <w:sz w:val="24"/>
                <w:szCs w:val="24"/>
              </w:rPr>
              <w:t>Personnages</w:t>
            </w:r>
          </w:p>
        </w:tc>
        <w:tc>
          <w:tcPr>
            <w:tcW w:w="1774" w:type="dxa"/>
          </w:tcPr>
          <w:p w:rsidR="006A4EED" w:rsidRPr="00541C66" w:rsidRDefault="006A4EED" w:rsidP="00790972">
            <w:pPr>
              <w:spacing w:after="0" w:line="240" w:lineRule="auto"/>
              <w:jc w:val="center"/>
              <w:cnfStyle w:val="000000100000"/>
              <w:rPr>
                <w:rFonts w:asciiTheme="majorBidi" w:hAnsiTheme="majorBidi" w:cstheme="majorBidi"/>
                <w:b/>
                <w:sz w:val="24"/>
                <w:szCs w:val="24"/>
              </w:rPr>
            </w:pPr>
            <w:r w:rsidRPr="00541C66">
              <w:rPr>
                <w:rFonts w:asciiTheme="majorBidi" w:hAnsiTheme="majorBidi" w:cstheme="majorBidi"/>
                <w:b/>
                <w:sz w:val="24"/>
                <w:szCs w:val="24"/>
              </w:rPr>
              <w:t>Acte I</w:t>
            </w:r>
          </w:p>
        </w:tc>
        <w:tc>
          <w:tcPr>
            <w:cnfStyle w:val="000010000000"/>
            <w:tcW w:w="2127" w:type="dxa"/>
          </w:tcPr>
          <w:p w:rsidR="006A4EED" w:rsidRPr="00541C66" w:rsidRDefault="006A4EED" w:rsidP="00790972">
            <w:pPr>
              <w:spacing w:after="0" w:line="240" w:lineRule="auto"/>
              <w:jc w:val="center"/>
              <w:rPr>
                <w:rFonts w:asciiTheme="majorBidi" w:hAnsiTheme="majorBidi" w:cstheme="majorBidi"/>
                <w:b/>
                <w:sz w:val="24"/>
                <w:szCs w:val="24"/>
              </w:rPr>
            </w:pPr>
            <w:r w:rsidRPr="00541C66">
              <w:rPr>
                <w:rFonts w:asciiTheme="majorBidi" w:hAnsiTheme="majorBidi" w:cstheme="majorBidi"/>
                <w:b/>
                <w:sz w:val="24"/>
                <w:szCs w:val="24"/>
              </w:rPr>
              <w:t>Acte II</w:t>
            </w:r>
          </w:p>
        </w:tc>
        <w:tc>
          <w:tcPr>
            <w:tcW w:w="1701" w:type="dxa"/>
          </w:tcPr>
          <w:p w:rsidR="006A4EED" w:rsidRPr="00541C66" w:rsidRDefault="006A4EED" w:rsidP="00790972">
            <w:pPr>
              <w:spacing w:after="0" w:line="240" w:lineRule="auto"/>
              <w:jc w:val="center"/>
              <w:cnfStyle w:val="000000100000"/>
              <w:rPr>
                <w:rFonts w:asciiTheme="majorBidi" w:hAnsiTheme="majorBidi" w:cstheme="majorBidi"/>
                <w:b/>
                <w:sz w:val="24"/>
                <w:szCs w:val="24"/>
              </w:rPr>
            </w:pPr>
            <w:r w:rsidRPr="00541C66">
              <w:rPr>
                <w:rFonts w:asciiTheme="majorBidi" w:hAnsiTheme="majorBidi" w:cstheme="majorBidi"/>
                <w:b/>
                <w:sz w:val="24"/>
                <w:szCs w:val="24"/>
              </w:rPr>
              <w:t>Acte III</w:t>
            </w:r>
          </w:p>
        </w:tc>
      </w:tr>
      <w:tr w:rsidR="006A4EED" w:rsidRPr="00541C66" w:rsidTr="00CA500D">
        <w:trPr>
          <w:trHeight w:val="410"/>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 xml:space="preserve">Barabbas </w:t>
            </w:r>
          </w:p>
        </w:tc>
        <w:tc>
          <w:tcPr>
            <w:tcW w:w="1774" w:type="dxa"/>
          </w:tcPr>
          <w:p w:rsidR="006A4EED" w:rsidRPr="00541C66" w:rsidRDefault="006A4EED" w:rsidP="00E21080">
            <w:pPr>
              <w:numPr>
                <w:ilvl w:val="0"/>
                <w:numId w:val="2"/>
              </w:numPr>
              <w:spacing w:after="0" w:line="240" w:lineRule="auto"/>
              <w:contextualSpacing/>
              <w:jc w:val="both"/>
              <w:cnfStyle w:val="000000000000"/>
              <w:rPr>
                <w:rFonts w:asciiTheme="majorBidi" w:hAnsiTheme="majorBidi" w:cstheme="majorBidi"/>
                <w:sz w:val="24"/>
                <w:szCs w:val="24"/>
              </w:rPr>
            </w:pPr>
          </w:p>
        </w:tc>
        <w:tc>
          <w:tcPr>
            <w:cnfStyle w:val="000010000000"/>
            <w:tcW w:w="2127" w:type="dxa"/>
          </w:tcPr>
          <w:p w:rsidR="006A4EED" w:rsidRPr="00541C66" w:rsidRDefault="006A4EED" w:rsidP="007A72A4">
            <w:pPr>
              <w:numPr>
                <w:ilvl w:val="0"/>
                <w:numId w:val="2"/>
              </w:numPr>
              <w:spacing w:after="0" w:line="240" w:lineRule="auto"/>
              <w:contextualSpacing/>
              <w:jc w:val="center"/>
              <w:rPr>
                <w:rFonts w:asciiTheme="majorBidi" w:hAnsiTheme="majorBidi" w:cstheme="majorBidi"/>
                <w:sz w:val="24"/>
                <w:szCs w:val="24"/>
              </w:rPr>
            </w:pPr>
          </w:p>
        </w:tc>
        <w:tc>
          <w:tcPr>
            <w:tcW w:w="1701" w:type="dxa"/>
          </w:tcPr>
          <w:p w:rsidR="006A4EED" w:rsidRPr="00541C66" w:rsidRDefault="006A4EED" w:rsidP="007A72A4">
            <w:pPr>
              <w:numPr>
                <w:ilvl w:val="0"/>
                <w:numId w:val="2"/>
              </w:numPr>
              <w:spacing w:after="0" w:line="240" w:lineRule="auto"/>
              <w:contextualSpacing/>
              <w:jc w:val="center"/>
              <w:cnfStyle w:val="000000000000"/>
              <w:rPr>
                <w:rFonts w:asciiTheme="majorBidi" w:hAnsiTheme="majorBidi" w:cstheme="majorBidi"/>
                <w:sz w:val="24"/>
                <w:szCs w:val="24"/>
              </w:rPr>
            </w:pPr>
          </w:p>
        </w:tc>
      </w:tr>
      <w:tr w:rsidR="006A4EED" w:rsidRPr="00541C66" w:rsidTr="00CA500D">
        <w:trPr>
          <w:cnfStyle w:val="000000100000"/>
          <w:trHeight w:val="402"/>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Jésus</w:t>
            </w:r>
          </w:p>
        </w:tc>
        <w:tc>
          <w:tcPr>
            <w:tcW w:w="1774" w:type="dxa"/>
          </w:tcPr>
          <w:p w:rsidR="006A4EED" w:rsidRPr="00541C66" w:rsidRDefault="006A4EED" w:rsidP="00E21080">
            <w:pPr>
              <w:numPr>
                <w:ilvl w:val="0"/>
                <w:numId w:val="2"/>
              </w:numPr>
              <w:spacing w:after="0" w:line="240" w:lineRule="auto"/>
              <w:contextualSpacing/>
              <w:jc w:val="both"/>
              <w:cnfStyle w:val="000000100000"/>
              <w:rPr>
                <w:rFonts w:asciiTheme="majorBidi" w:hAnsiTheme="majorBidi" w:cstheme="majorBidi"/>
                <w:sz w:val="24"/>
                <w:szCs w:val="24"/>
              </w:rPr>
            </w:pPr>
          </w:p>
        </w:tc>
        <w:tc>
          <w:tcPr>
            <w:cnfStyle w:val="000010000000"/>
            <w:tcW w:w="2127" w:type="dxa"/>
          </w:tcPr>
          <w:p w:rsidR="006A4EED" w:rsidRPr="00541C66" w:rsidRDefault="006A4EED" w:rsidP="007A72A4">
            <w:pPr>
              <w:numPr>
                <w:ilvl w:val="0"/>
                <w:numId w:val="2"/>
              </w:numPr>
              <w:spacing w:after="0" w:line="240" w:lineRule="auto"/>
              <w:contextualSpacing/>
              <w:jc w:val="center"/>
              <w:rPr>
                <w:rFonts w:asciiTheme="majorBidi" w:hAnsiTheme="majorBidi" w:cstheme="majorBidi"/>
                <w:sz w:val="24"/>
                <w:szCs w:val="24"/>
              </w:rPr>
            </w:pPr>
          </w:p>
        </w:tc>
        <w:tc>
          <w:tcPr>
            <w:tcW w:w="1701" w:type="dxa"/>
          </w:tcPr>
          <w:p w:rsidR="006A4EED" w:rsidRPr="00541C66" w:rsidRDefault="006A4EED" w:rsidP="007A72A4">
            <w:pPr>
              <w:spacing w:after="0" w:line="240" w:lineRule="auto"/>
              <w:jc w:val="center"/>
              <w:cnfStyle w:val="000000100000"/>
              <w:rPr>
                <w:rFonts w:asciiTheme="majorBidi" w:hAnsiTheme="majorBidi" w:cstheme="majorBidi"/>
                <w:sz w:val="24"/>
                <w:szCs w:val="24"/>
              </w:rPr>
            </w:pPr>
          </w:p>
        </w:tc>
      </w:tr>
      <w:tr w:rsidR="006A4EED" w:rsidRPr="00541C66" w:rsidTr="00CA500D">
        <w:trPr>
          <w:trHeight w:val="408"/>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Apôtres</w:t>
            </w:r>
          </w:p>
        </w:tc>
        <w:tc>
          <w:tcPr>
            <w:tcW w:w="1774" w:type="dxa"/>
          </w:tcPr>
          <w:p w:rsidR="006A4EED" w:rsidRPr="00541C66" w:rsidRDefault="006A4EED" w:rsidP="00E21080">
            <w:pPr>
              <w:numPr>
                <w:ilvl w:val="0"/>
                <w:numId w:val="2"/>
              </w:numPr>
              <w:spacing w:after="0" w:line="240" w:lineRule="auto"/>
              <w:contextualSpacing/>
              <w:jc w:val="both"/>
              <w:cnfStyle w:val="000000000000"/>
              <w:rPr>
                <w:rFonts w:asciiTheme="majorBidi" w:hAnsiTheme="majorBidi" w:cstheme="majorBidi"/>
                <w:sz w:val="24"/>
                <w:szCs w:val="24"/>
              </w:rPr>
            </w:pPr>
          </w:p>
        </w:tc>
        <w:tc>
          <w:tcPr>
            <w:cnfStyle w:val="000010000000"/>
            <w:tcW w:w="2127" w:type="dxa"/>
          </w:tcPr>
          <w:p w:rsidR="006A4EED" w:rsidRPr="00541C66" w:rsidRDefault="006A4EED" w:rsidP="007A72A4">
            <w:pPr>
              <w:numPr>
                <w:ilvl w:val="0"/>
                <w:numId w:val="2"/>
              </w:numPr>
              <w:spacing w:after="0" w:line="240" w:lineRule="auto"/>
              <w:contextualSpacing/>
              <w:jc w:val="center"/>
              <w:rPr>
                <w:rFonts w:asciiTheme="majorBidi" w:hAnsiTheme="majorBidi" w:cstheme="majorBidi"/>
                <w:sz w:val="24"/>
                <w:szCs w:val="24"/>
              </w:rPr>
            </w:pPr>
          </w:p>
        </w:tc>
        <w:tc>
          <w:tcPr>
            <w:tcW w:w="1701" w:type="dxa"/>
          </w:tcPr>
          <w:p w:rsidR="006A4EED" w:rsidRPr="00541C66" w:rsidRDefault="006A4EED" w:rsidP="007A72A4">
            <w:pPr>
              <w:numPr>
                <w:ilvl w:val="0"/>
                <w:numId w:val="2"/>
              </w:numPr>
              <w:spacing w:after="0" w:line="240" w:lineRule="auto"/>
              <w:contextualSpacing/>
              <w:jc w:val="center"/>
              <w:cnfStyle w:val="000000000000"/>
              <w:rPr>
                <w:rFonts w:asciiTheme="majorBidi" w:hAnsiTheme="majorBidi" w:cstheme="majorBidi"/>
                <w:sz w:val="24"/>
                <w:szCs w:val="24"/>
              </w:rPr>
            </w:pPr>
          </w:p>
        </w:tc>
      </w:tr>
      <w:tr w:rsidR="006A4EED" w:rsidRPr="00541C66" w:rsidTr="00CA500D">
        <w:trPr>
          <w:cnfStyle w:val="000000100000"/>
          <w:trHeight w:val="414"/>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Prêtres + Caïphe</w:t>
            </w:r>
          </w:p>
        </w:tc>
        <w:tc>
          <w:tcPr>
            <w:tcW w:w="1774" w:type="dxa"/>
          </w:tcPr>
          <w:p w:rsidR="006A4EED" w:rsidRPr="00541C66" w:rsidRDefault="006A4EED" w:rsidP="00E21080">
            <w:pPr>
              <w:numPr>
                <w:ilvl w:val="0"/>
                <w:numId w:val="2"/>
              </w:numPr>
              <w:spacing w:after="0" w:line="240" w:lineRule="auto"/>
              <w:contextualSpacing/>
              <w:jc w:val="both"/>
              <w:cnfStyle w:val="000000100000"/>
              <w:rPr>
                <w:rFonts w:asciiTheme="majorBidi" w:hAnsiTheme="majorBidi" w:cstheme="majorBidi"/>
                <w:sz w:val="24"/>
                <w:szCs w:val="24"/>
              </w:rPr>
            </w:pPr>
          </w:p>
        </w:tc>
        <w:tc>
          <w:tcPr>
            <w:cnfStyle w:val="000010000000"/>
            <w:tcW w:w="2127" w:type="dxa"/>
          </w:tcPr>
          <w:p w:rsidR="006A4EED" w:rsidRPr="00541C66" w:rsidRDefault="006A4EED" w:rsidP="007A72A4">
            <w:pPr>
              <w:numPr>
                <w:ilvl w:val="0"/>
                <w:numId w:val="2"/>
              </w:numPr>
              <w:spacing w:after="0" w:line="240" w:lineRule="auto"/>
              <w:contextualSpacing/>
              <w:jc w:val="center"/>
              <w:rPr>
                <w:rFonts w:asciiTheme="majorBidi" w:hAnsiTheme="majorBidi" w:cstheme="majorBidi"/>
                <w:sz w:val="24"/>
                <w:szCs w:val="24"/>
              </w:rPr>
            </w:pPr>
          </w:p>
        </w:tc>
        <w:tc>
          <w:tcPr>
            <w:tcW w:w="1701" w:type="dxa"/>
          </w:tcPr>
          <w:p w:rsidR="006A4EED" w:rsidRPr="00541C66" w:rsidRDefault="006A4EED" w:rsidP="007A72A4">
            <w:pPr>
              <w:spacing w:after="0" w:line="240" w:lineRule="auto"/>
              <w:jc w:val="center"/>
              <w:cnfStyle w:val="000000100000"/>
              <w:rPr>
                <w:rFonts w:asciiTheme="majorBidi" w:hAnsiTheme="majorBidi" w:cstheme="majorBidi"/>
                <w:sz w:val="24"/>
                <w:szCs w:val="24"/>
              </w:rPr>
            </w:pPr>
          </w:p>
        </w:tc>
      </w:tr>
      <w:tr w:rsidR="006A4EED" w:rsidRPr="00541C66" w:rsidTr="00CA500D">
        <w:trPr>
          <w:trHeight w:val="406"/>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Pilate + Hérode</w:t>
            </w:r>
          </w:p>
        </w:tc>
        <w:tc>
          <w:tcPr>
            <w:tcW w:w="1774" w:type="dxa"/>
          </w:tcPr>
          <w:p w:rsidR="006A4EED" w:rsidRPr="00541C66" w:rsidRDefault="006A4EED" w:rsidP="00E21080">
            <w:pPr>
              <w:spacing w:after="0" w:line="240" w:lineRule="auto"/>
              <w:jc w:val="both"/>
              <w:cnfStyle w:val="000000000000"/>
              <w:rPr>
                <w:rFonts w:asciiTheme="majorBidi" w:hAnsiTheme="majorBidi" w:cstheme="majorBidi"/>
                <w:sz w:val="24"/>
                <w:szCs w:val="24"/>
              </w:rPr>
            </w:pPr>
          </w:p>
        </w:tc>
        <w:tc>
          <w:tcPr>
            <w:cnfStyle w:val="000010000000"/>
            <w:tcW w:w="2127" w:type="dxa"/>
          </w:tcPr>
          <w:p w:rsidR="006A4EED" w:rsidRPr="00541C66" w:rsidRDefault="006A4EED" w:rsidP="007A72A4">
            <w:pPr>
              <w:numPr>
                <w:ilvl w:val="0"/>
                <w:numId w:val="2"/>
              </w:numPr>
              <w:spacing w:after="0" w:line="240" w:lineRule="auto"/>
              <w:contextualSpacing/>
              <w:jc w:val="center"/>
              <w:rPr>
                <w:rFonts w:asciiTheme="majorBidi" w:hAnsiTheme="majorBidi" w:cstheme="majorBidi"/>
                <w:sz w:val="24"/>
                <w:szCs w:val="24"/>
              </w:rPr>
            </w:pPr>
          </w:p>
        </w:tc>
        <w:tc>
          <w:tcPr>
            <w:tcW w:w="1701" w:type="dxa"/>
          </w:tcPr>
          <w:p w:rsidR="006A4EED" w:rsidRPr="00541C66" w:rsidRDefault="006A4EED" w:rsidP="007A72A4">
            <w:pPr>
              <w:spacing w:after="0" w:line="240" w:lineRule="auto"/>
              <w:jc w:val="center"/>
              <w:cnfStyle w:val="000000000000"/>
              <w:rPr>
                <w:rFonts w:asciiTheme="majorBidi" w:hAnsiTheme="majorBidi" w:cstheme="majorBidi"/>
                <w:sz w:val="24"/>
                <w:szCs w:val="24"/>
              </w:rPr>
            </w:pPr>
          </w:p>
        </w:tc>
      </w:tr>
      <w:tr w:rsidR="006A4EED" w:rsidRPr="00541C66" w:rsidTr="00CA500D">
        <w:trPr>
          <w:cnfStyle w:val="000000100000"/>
          <w:trHeight w:val="398"/>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Pitre</w:t>
            </w:r>
          </w:p>
        </w:tc>
        <w:tc>
          <w:tcPr>
            <w:tcW w:w="1774" w:type="dxa"/>
          </w:tcPr>
          <w:p w:rsidR="006A4EED" w:rsidRPr="00541C66" w:rsidRDefault="006A4EED" w:rsidP="00E21080">
            <w:pPr>
              <w:spacing w:after="0" w:line="240" w:lineRule="auto"/>
              <w:jc w:val="both"/>
              <w:cnfStyle w:val="000000100000"/>
              <w:rPr>
                <w:rFonts w:asciiTheme="majorBidi" w:hAnsiTheme="majorBidi" w:cstheme="majorBidi"/>
                <w:sz w:val="24"/>
                <w:szCs w:val="24"/>
              </w:rPr>
            </w:pPr>
          </w:p>
        </w:tc>
        <w:tc>
          <w:tcPr>
            <w:cnfStyle w:val="000010000000"/>
            <w:tcW w:w="2127" w:type="dxa"/>
          </w:tcPr>
          <w:p w:rsidR="006A4EED" w:rsidRPr="00541C66" w:rsidRDefault="006A4EED" w:rsidP="00E21080">
            <w:pPr>
              <w:spacing w:after="0" w:line="240" w:lineRule="auto"/>
              <w:jc w:val="both"/>
              <w:rPr>
                <w:rFonts w:asciiTheme="majorBidi" w:hAnsiTheme="majorBidi" w:cstheme="majorBidi"/>
                <w:sz w:val="24"/>
                <w:szCs w:val="24"/>
              </w:rPr>
            </w:pPr>
          </w:p>
        </w:tc>
        <w:tc>
          <w:tcPr>
            <w:tcW w:w="1701" w:type="dxa"/>
          </w:tcPr>
          <w:p w:rsidR="006A4EED" w:rsidRPr="00541C66" w:rsidRDefault="006A4EED" w:rsidP="007A72A4">
            <w:pPr>
              <w:numPr>
                <w:ilvl w:val="0"/>
                <w:numId w:val="2"/>
              </w:numPr>
              <w:spacing w:after="0" w:line="240" w:lineRule="auto"/>
              <w:contextualSpacing/>
              <w:jc w:val="center"/>
              <w:cnfStyle w:val="000000100000"/>
              <w:rPr>
                <w:rFonts w:asciiTheme="majorBidi" w:hAnsiTheme="majorBidi" w:cstheme="majorBidi"/>
                <w:sz w:val="24"/>
                <w:szCs w:val="24"/>
              </w:rPr>
            </w:pPr>
          </w:p>
        </w:tc>
      </w:tr>
      <w:tr w:rsidR="006A4EED" w:rsidRPr="00541C66" w:rsidTr="00CA500D">
        <w:trPr>
          <w:trHeight w:val="418"/>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Barnum</w:t>
            </w:r>
          </w:p>
        </w:tc>
        <w:tc>
          <w:tcPr>
            <w:tcW w:w="1774" w:type="dxa"/>
          </w:tcPr>
          <w:p w:rsidR="006A4EED" w:rsidRPr="00541C66" w:rsidRDefault="006A4EED" w:rsidP="00E21080">
            <w:pPr>
              <w:spacing w:after="0" w:line="240" w:lineRule="auto"/>
              <w:jc w:val="both"/>
              <w:cnfStyle w:val="000000000000"/>
              <w:rPr>
                <w:rFonts w:asciiTheme="majorBidi" w:hAnsiTheme="majorBidi" w:cstheme="majorBidi"/>
                <w:sz w:val="24"/>
                <w:szCs w:val="24"/>
              </w:rPr>
            </w:pPr>
          </w:p>
        </w:tc>
        <w:tc>
          <w:tcPr>
            <w:cnfStyle w:val="000010000000"/>
            <w:tcW w:w="2127" w:type="dxa"/>
          </w:tcPr>
          <w:p w:rsidR="006A4EED" w:rsidRPr="00541C66" w:rsidRDefault="006A4EED" w:rsidP="00E21080">
            <w:pPr>
              <w:spacing w:after="0" w:line="240" w:lineRule="auto"/>
              <w:jc w:val="both"/>
              <w:rPr>
                <w:rFonts w:asciiTheme="majorBidi" w:hAnsiTheme="majorBidi" w:cstheme="majorBidi"/>
                <w:sz w:val="24"/>
                <w:szCs w:val="24"/>
              </w:rPr>
            </w:pPr>
          </w:p>
        </w:tc>
        <w:tc>
          <w:tcPr>
            <w:tcW w:w="1701" w:type="dxa"/>
          </w:tcPr>
          <w:p w:rsidR="006A4EED" w:rsidRPr="00541C66" w:rsidRDefault="006A4EED" w:rsidP="007A72A4">
            <w:pPr>
              <w:spacing w:after="0" w:line="240" w:lineRule="auto"/>
              <w:jc w:val="center"/>
              <w:cnfStyle w:val="000000000000"/>
              <w:rPr>
                <w:rFonts w:asciiTheme="majorBidi" w:hAnsiTheme="majorBidi" w:cstheme="majorBidi"/>
                <w:sz w:val="24"/>
                <w:szCs w:val="24"/>
              </w:rPr>
            </w:pPr>
          </w:p>
        </w:tc>
      </w:tr>
      <w:tr w:rsidR="006A4EED" w:rsidRPr="00541C66" w:rsidTr="00CA500D">
        <w:trPr>
          <w:cnfStyle w:val="000000100000"/>
          <w:trHeight w:val="397"/>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Guetteur</w:t>
            </w:r>
          </w:p>
        </w:tc>
        <w:tc>
          <w:tcPr>
            <w:tcW w:w="1774" w:type="dxa"/>
          </w:tcPr>
          <w:p w:rsidR="006A4EED" w:rsidRPr="00541C66" w:rsidRDefault="006A4EED" w:rsidP="00E21080">
            <w:pPr>
              <w:spacing w:after="0" w:line="240" w:lineRule="auto"/>
              <w:jc w:val="both"/>
              <w:cnfStyle w:val="000000100000"/>
              <w:rPr>
                <w:rFonts w:asciiTheme="majorBidi" w:hAnsiTheme="majorBidi" w:cstheme="majorBidi"/>
                <w:sz w:val="24"/>
                <w:szCs w:val="24"/>
              </w:rPr>
            </w:pPr>
          </w:p>
        </w:tc>
        <w:tc>
          <w:tcPr>
            <w:cnfStyle w:val="000010000000"/>
            <w:tcW w:w="2127" w:type="dxa"/>
          </w:tcPr>
          <w:p w:rsidR="006A4EED" w:rsidRPr="00541C66" w:rsidRDefault="006A4EED" w:rsidP="00E21080">
            <w:pPr>
              <w:spacing w:after="0" w:line="240" w:lineRule="auto"/>
              <w:jc w:val="both"/>
              <w:rPr>
                <w:rFonts w:asciiTheme="majorBidi" w:hAnsiTheme="majorBidi" w:cstheme="majorBidi"/>
                <w:sz w:val="24"/>
                <w:szCs w:val="24"/>
              </w:rPr>
            </w:pPr>
          </w:p>
        </w:tc>
        <w:tc>
          <w:tcPr>
            <w:tcW w:w="1701" w:type="dxa"/>
          </w:tcPr>
          <w:p w:rsidR="006A4EED" w:rsidRPr="00541C66" w:rsidRDefault="006A4EED" w:rsidP="007A72A4">
            <w:pPr>
              <w:numPr>
                <w:ilvl w:val="0"/>
                <w:numId w:val="2"/>
              </w:numPr>
              <w:spacing w:after="0" w:line="240" w:lineRule="auto"/>
              <w:contextualSpacing/>
              <w:jc w:val="center"/>
              <w:cnfStyle w:val="000000100000"/>
              <w:rPr>
                <w:rFonts w:asciiTheme="majorBidi" w:hAnsiTheme="majorBidi" w:cstheme="majorBidi"/>
                <w:sz w:val="24"/>
                <w:szCs w:val="24"/>
              </w:rPr>
            </w:pPr>
          </w:p>
        </w:tc>
      </w:tr>
      <w:tr w:rsidR="006A4EED" w:rsidRPr="00541C66" w:rsidTr="00CA500D">
        <w:trPr>
          <w:trHeight w:val="402"/>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Madeleine Yochabeth</w:t>
            </w:r>
          </w:p>
        </w:tc>
        <w:tc>
          <w:tcPr>
            <w:tcW w:w="1774" w:type="dxa"/>
          </w:tcPr>
          <w:p w:rsidR="006A4EED" w:rsidRPr="00541C66" w:rsidRDefault="006A4EED" w:rsidP="00E21080">
            <w:pPr>
              <w:spacing w:after="0" w:line="240" w:lineRule="auto"/>
              <w:jc w:val="both"/>
              <w:cnfStyle w:val="000000000000"/>
              <w:rPr>
                <w:rFonts w:asciiTheme="majorBidi" w:hAnsiTheme="majorBidi" w:cstheme="majorBidi"/>
                <w:sz w:val="24"/>
                <w:szCs w:val="24"/>
              </w:rPr>
            </w:pPr>
          </w:p>
        </w:tc>
        <w:tc>
          <w:tcPr>
            <w:cnfStyle w:val="000010000000"/>
            <w:tcW w:w="2127" w:type="dxa"/>
          </w:tcPr>
          <w:p w:rsidR="006A4EED" w:rsidRPr="00541C66" w:rsidRDefault="006A4EED" w:rsidP="00E21080">
            <w:pPr>
              <w:numPr>
                <w:ilvl w:val="0"/>
                <w:numId w:val="2"/>
              </w:numPr>
              <w:spacing w:after="0" w:line="240" w:lineRule="auto"/>
              <w:contextualSpacing/>
              <w:jc w:val="both"/>
              <w:rPr>
                <w:rFonts w:asciiTheme="majorBidi" w:hAnsiTheme="majorBidi" w:cstheme="majorBidi"/>
                <w:sz w:val="24"/>
                <w:szCs w:val="24"/>
              </w:rPr>
            </w:pPr>
          </w:p>
        </w:tc>
        <w:tc>
          <w:tcPr>
            <w:tcW w:w="1701" w:type="dxa"/>
          </w:tcPr>
          <w:p w:rsidR="006A4EED" w:rsidRPr="00541C66" w:rsidRDefault="006A4EED" w:rsidP="00E21080">
            <w:pPr>
              <w:numPr>
                <w:ilvl w:val="0"/>
                <w:numId w:val="2"/>
              </w:numPr>
              <w:spacing w:after="0" w:line="240" w:lineRule="auto"/>
              <w:contextualSpacing/>
              <w:jc w:val="both"/>
              <w:cnfStyle w:val="000000000000"/>
              <w:rPr>
                <w:rFonts w:asciiTheme="majorBidi" w:hAnsiTheme="majorBidi" w:cstheme="majorBidi"/>
                <w:sz w:val="24"/>
                <w:szCs w:val="24"/>
              </w:rPr>
            </w:pPr>
          </w:p>
        </w:tc>
      </w:tr>
      <w:tr w:rsidR="006A4EED" w:rsidRPr="00541C66" w:rsidTr="00CA500D">
        <w:trPr>
          <w:cnfStyle w:val="000000100000"/>
          <w:trHeight w:val="408"/>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Larrons</w:t>
            </w:r>
          </w:p>
        </w:tc>
        <w:tc>
          <w:tcPr>
            <w:tcW w:w="1774" w:type="dxa"/>
          </w:tcPr>
          <w:p w:rsidR="006A4EED" w:rsidRPr="00541C66" w:rsidRDefault="006A4EED" w:rsidP="007A72A4">
            <w:pPr>
              <w:numPr>
                <w:ilvl w:val="0"/>
                <w:numId w:val="2"/>
              </w:numPr>
              <w:spacing w:after="0" w:line="240" w:lineRule="auto"/>
              <w:contextualSpacing/>
              <w:jc w:val="center"/>
              <w:cnfStyle w:val="000000100000"/>
              <w:rPr>
                <w:rFonts w:asciiTheme="majorBidi" w:hAnsiTheme="majorBidi" w:cstheme="majorBidi"/>
                <w:sz w:val="24"/>
                <w:szCs w:val="24"/>
              </w:rPr>
            </w:pPr>
          </w:p>
        </w:tc>
        <w:tc>
          <w:tcPr>
            <w:cnfStyle w:val="000010000000"/>
            <w:tcW w:w="2127" w:type="dxa"/>
          </w:tcPr>
          <w:p w:rsidR="006A4EED" w:rsidRPr="00541C66" w:rsidRDefault="006A4EED" w:rsidP="00E21080">
            <w:pPr>
              <w:spacing w:after="0" w:line="240" w:lineRule="auto"/>
              <w:jc w:val="both"/>
              <w:rPr>
                <w:rFonts w:asciiTheme="majorBidi" w:hAnsiTheme="majorBidi" w:cstheme="majorBidi"/>
                <w:sz w:val="24"/>
                <w:szCs w:val="24"/>
              </w:rPr>
            </w:pPr>
          </w:p>
        </w:tc>
        <w:tc>
          <w:tcPr>
            <w:tcW w:w="1701" w:type="dxa"/>
          </w:tcPr>
          <w:p w:rsidR="006A4EED" w:rsidRPr="00541C66" w:rsidRDefault="006A4EED" w:rsidP="00E21080">
            <w:pPr>
              <w:spacing w:after="0" w:line="240" w:lineRule="auto"/>
              <w:jc w:val="both"/>
              <w:cnfStyle w:val="000000100000"/>
              <w:rPr>
                <w:rFonts w:asciiTheme="majorBidi" w:hAnsiTheme="majorBidi" w:cstheme="majorBidi"/>
                <w:sz w:val="24"/>
                <w:szCs w:val="24"/>
              </w:rPr>
            </w:pPr>
          </w:p>
        </w:tc>
      </w:tr>
      <w:tr w:rsidR="006A4EED" w:rsidRPr="00541C66" w:rsidTr="00CA500D">
        <w:trPr>
          <w:trHeight w:val="400"/>
        </w:trPr>
        <w:tc>
          <w:tcPr>
            <w:cnfStyle w:val="000010000000"/>
            <w:tcW w:w="2802" w:type="dxa"/>
          </w:tcPr>
          <w:p w:rsidR="006A4EED" w:rsidRPr="00541C66" w:rsidRDefault="006A4EED" w:rsidP="00E21080">
            <w:pPr>
              <w:spacing w:after="0" w:line="240" w:lineRule="auto"/>
              <w:jc w:val="both"/>
              <w:rPr>
                <w:rFonts w:asciiTheme="majorBidi" w:hAnsiTheme="majorBidi" w:cstheme="majorBidi"/>
                <w:sz w:val="24"/>
                <w:szCs w:val="24"/>
              </w:rPr>
            </w:pPr>
            <w:r w:rsidRPr="00541C66">
              <w:rPr>
                <w:rFonts w:asciiTheme="majorBidi" w:hAnsiTheme="majorBidi" w:cstheme="majorBidi"/>
                <w:sz w:val="24"/>
                <w:szCs w:val="24"/>
              </w:rPr>
              <w:t>Gueux</w:t>
            </w:r>
          </w:p>
        </w:tc>
        <w:tc>
          <w:tcPr>
            <w:tcW w:w="1774" w:type="dxa"/>
          </w:tcPr>
          <w:p w:rsidR="006A4EED" w:rsidRPr="00541C66" w:rsidRDefault="006A4EED" w:rsidP="00E21080">
            <w:pPr>
              <w:spacing w:after="0" w:line="240" w:lineRule="auto"/>
              <w:jc w:val="both"/>
              <w:cnfStyle w:val="000000000000"/>
              <w:rPr>
                <w:rFonts w:asciiTheme="majorBidi" w:hAnsiTheme="majorBidi" w:cstheme="majorBidi"/>
                <w:sz w:val="24"/>
                <w:szCs w:val="24"/>
              </w:rPr>
            </w:pPr>
          </w:p>
        </w:tc>
        <w:tc>
          <w:tcPr>
            <w:cnfStyle w:val="000010000000"/>
            <w:tcW w:w="2127" w:type="dxa"/>
          </w:tcPr>
          <w:p w:rsidR="006A4EED" w:rsidRPr="00541C66" w:rsidRDefault="006A4EED" w:rsidP="00E21080">
            <w:pPr>
              <w:numPr>
                <w:ilvl w:val="0"/>
                <w:numId w:val="2"/>
              </w:numPr>
              <w:spacing w:after="0" w:line="240" w:lineRule="auto"/>
              <w:contextualSpacing/>
              <w:jc w:val="both"/>
              <w:rPr>
                <w:rFonts w:asciiTheme="majorBidi" w:hAnsiTheme="majorBidi" w:cstheme="majorBidi"/>
                <w:sz w:val="24"/>
                <w:szCs w:val="24"/>
              </w:rPr>
            </w:pPr>
          </w:p>
        </w:tc>
        <w:tc>
          <w:tcPr>
            <w:tcW w:w="1701" w:type="dxa"/>
          </w:tcPr>
          <w:p w:rsidR="006A4EED" w:rsidRPr="00541C66" w:rsidRDefault="006A4EED" w:rsidP="00E21080">
            <w:pPr>
              <w:numPr>
                <w:ilvl w:val="0"/>
                <w:numId w:val="2"/>
              </w:numPr>
              <w:spacing w:after="0" w:line="240" w:lineRule="auto"/>
              <w:contextualSpacing/>
              <w:jc w:val="both"/>
              <w:cnfStyle w:val="000000000000"/>
              <w:rPr>
                <w:rFonts w:asciiTheme="majorBidi" w:hAnsiTheme="majorBidi" w:cstheme="majorBidi"/>
                <w:sz w:val="24"/>
                <w:szCs w:val="24"/>
              </w:rPr>
            </w:pPr>
          </w:p>
        </w:tc>
      </w:tr>
    </w:tbl>
    <w:p w:rsidR="003A0C61" w:rsidRPr="00043C9C" w:rsidRDefault="00E21080" w:rsidP="00E21080">
      <w:pPr>
        <w:autoSpaceDE w:val="0"/>
        <w:autoSpaceDN w:val="0"/>
        <w:adjustRightInd w:val="0"/>
        <w:spacing w:after="0" w:line="360" w:lineRule="auto"/>
        <w:jc w:val="center"/>
        <w:rPr>
          <w:rFonts w:ascii="Times New Roman" w:hAnsi="Times New Roman"/>
          <w:b/>
          <w:bCs/>
          <w:color w:val="000000"/>
          <w:sz w:val="24"/>
          <w:szCs w:val="24"/>
        </w:rPr>
      </w:pPr>
      <w:r>
        <w:rPr>
          <w:rFonts w:ascii="Times New Roman" w:hAnsi="Times New Roman"/>
          <w:b/>
          <w:bCs/>
          <w:color w:val="000000"/>
          <w:sz w:val="24"/>
          <w:szCs w:val="24"/>
        </w:rPr>
        <w:t>T</w:t>
      </w:r>
      <w:r w:rsidR="006A4EED">
        <w:rPr>
          <w:rFonts w:ascii="Times New Roman" w:hAnsi="Times New Roman"/>
          <w:b/>
          <w:bCs/>
          <w:color w:val="000000"/>
          <w:sz w:val="24"/>
          <w:szCs w:val="24"/>
        </w:rPr>
        <w:t xml:space="preserve">ableau 4 : Les personnages selon </w:t>
      </w:r>
      <w:r w:rsidR="00725041">
        <w:rPr>
          <w:rFonts w:ascii="Times New Roman" w:hAnsi="Times New Roman"/>
          <w:b/>
          <w:bCs/>
          <w:color w:val="000000"/>
          <w:sz w:val="24"/>
          <w:szCs w:val="24"/>
        </w:rPr>
        <w:t>l’</w:t>
      </w:r>
      <w:r w:rsidR="006A4EED">
        <w:rPr>
          <w:rFonts w:ascii="Times New Roman" w:hAnsi="Times New Roman"/>
          <w:b/>
          <w:bCs/>
          <w:color w:val="000000"/>
          <w:sz w:val="24"/>
          <w:szCs w:val="24"/>
        </w:rPr>
        <w:t xml:space="preserve">ordre et </w:t>
      </w:r>
      <w:r w:rsidR="00725041">
        <w:rPr>
          <w:rFonts w:ascii="Times New Roman" w:hAnsi="Times New Roman"/>
          <w:b/>
          <w:bCs/>
          <w:color w:val="000000"/>
          <w:sz w:val="24"/>
          <w:szCs w:val="24"/>
        </w:rPr>
        <w:t xml:space="preserve">la </w:t>
      </w:r>
      <w:r w:rsidR="006A4EED">
        <w:rPr>
          <w:rFonts w:ascii="Times New Roman" w:hAnsi="Times New Roman"/>
          <w:b/>
          <w:bCs/>
          <w:color w:val="000000"/>
          <w:sz w:val="24"/>
          <w:szCs w:val="24"/>
        </w:rPr>
        <w:t>fréquence d’apparition</w:t>
      </w:r>
    </w:p>
    <w:p w:rsidR="0063586E" w:rsidRDefault="0063586E" w:rsidP="00A302BA">
      <w:pPr>
        <w:autoSpaceDE w:val="0"/>
        <w:autoSpaceDN w:val="0"/>
        <w:adjustRightInd w:val="0"/>
        <w:spacing w:after="0" w:line="360" w:lineRule="auto"/>
        <w:ind w:firstLine="284"/>
        <w:jc w:val="both"/>
        <w:rPr>
          <w:rFonts w:ascii="Times New Roman" w:hAnsi="Times New Roman"/>
          <w:color w:val="000000"/>
          <w:sz w:val="24"/>
          <w:szCs w:val="24"/>
        </w:rPr>
      </w:pPr>
    </w:p>
    <w:p w:rsidR="006A4EED" w:rsidRPr="003B00C8" w:rsidRDefault="006A4EED" w:rsidP="00A302BA">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Il s’agit donc de prendre en compte leur qualité de sujet du faire afin de les étudier selon leurs dimensions actantielle et actorielle.</w:t>
      </w:r>
    </w:p>
    <w:p w:rsidR="00D26B93" w:rsidRDefault="00D26B93" w:rsidP="00D26B93">
      <w:pPr>
        <w:pStyle w:val="Titre4"/>
        <w:spacing w:before="0" w:after="0" w:line="360" w:lineRule="auto"/>
        <w:ind w:left="284" w:firstLine="357"/>
        <w:jc w:val="both"/>
        <w:rPr>
          <w:rFonts w:ascii="Times New Roman" w:hAnsi="Times New Roman"/>
          <w:i w:val="0"/>
          <w:iCs/>
        </w:rPr>
      </w:pPr>
    </w:p>
    <w:p w:rsidR="006A4EED" w:rsidRPr="00905A0F" w:rsidRDefault="00241AB0" w:rsidP="00D26B93">
      <w:pPr>
        <w:pStyle w:val="Titre4"/>
        <w:spacing w:before="0" w:after="0" w:line="360" w:lineRule="auto"/>
        <w:ind w:left="284" w:firstLine="357"/>
        <w:jc w:val="both"/>
        <w:rPr>
          <w:rFonts w:ascii="Times New Roman" w:hAnsi="Times New Roman"/>
          <w:i w:val="0"/>
          <w:iCs/>
        </w:rPr>
      </w:pPr>
      <w:bookmarkStart w:id="114" w:name="_Toc471484485"/>
      <w:r>
        <w:rPr>
          <w:rFonts w:ascii="Times New Roman" w:hAnsi="Times New Roman"/>
          <w:i w:val="0"/>
          <w:iCs/>
        </w:rPr>
        <w:t>5.1</w:t>
      </w:r>
      <w:r w:rsidR="00D26B93">
        <w:rPr>
          <w:rFonts w:ascii="Times New Roman" w:hAnsi="Times New Roman"/>
          <w:i w:val="0"/>
          <w:iCs/>
        </w:rPr>
        <w:t>.</w:t>
      </w:r>
      <w:r w:rsidR="00D26B93" w:rsidRPr="00905A0F">
        <w:rPr>
          <w:rFonts w:ascii="Times New Roman" w:hAnsi="Times New Roman"/>
          <w:i w:val="0"/>
          <w:iCs/>
        </w:rPr>
        <w:t xml:space="preserve"> Dimension</w:t>
      </w:r>
      <w:r w:rsidR="006A4EED" w:rsidRPr="00905A0F">
        <w:rPr>
          <w:rFonts w:ascii="Times New Roman" w:hAnsi="Times New Roman"/>
          <w:i w:val="0"/>
          <w:iCs/>
        </w:rPr>
        <w:t xml:space="preserve"> actorielle</w:t>
      </w:r>
      <w:bookmarkEnd w:id="114"/>
    </w:p>
    <w:p w:rsidR="006A4EED" w:rsidRPr="0062043C" w:rsidRDefault="006A4EED" w:rsidP="00E370D0">
      <w:pPr>
        <w:autoSpaceDE w:val="0"/>
        <w:autoSpaceDN w:val="0"/>
        <w:adjustRightInd w:val="0"/>
        <w:spacing w:after="0" w:line="360" w:lineRule="auto"/>
        <w:ind w:firstLine="284"/>
        <w:jc w:val="both"/>
        <w:rPr>
          <w:rFonts w:ascii="Times New Roman" w:hAnsi="Times New Roman"/>
          <w:color w:val="000000"/>
          <w:sz w:val="24"/>
          <w:szCs w:val="24"/>
        </w:rPr>
      </w:pPr>
      <w:r w:rsidRPr="00E370D0">
        <w:rPr>
          <w:rFonts w:ascii="Times New Roman" w:hAnsi="Times New Roman"/>
          <w:color w:val="000000"/>
          <w:sz w:val="24"/>
          <w:szCs w:val="24"/>
        </w:rPr>
        <w:t>Nous prendrons appui sur les travaux de Anne Ubersfeld, sus-citée.</w:t>
      </w:r>
      <w:r w:rsidRPr="00E370D0">
        <w:rPr>
          <w:rStyle w:val="Appelnotedebasdep"/>
          <w:rFonts w:ascii="Times New Roman" w:hAnsi="Times New Roman"/>
          <w:color w:val="000000"/>
          <w:sz w:val="24"/>
          <w:szCs w:val="24"/>
        </w:rPr>
        <w:footnoteReference w:id="208"/>
      </w:r>
      <w:r w:rsidRPr="00E370D0">
        <w:rPr>
          <w:rFonts w:ascii="Times New Roman" w:hAnsi="Times New Roman"/>
          <w:color w:val="000000"/>
          <w:sz w:val="24"/>
          <w:szCs w:val="24"/>
        </w:rPr>
        <w:t xml:space="preserve"> Nous nous </w:t>
      </w:r>
      <w:r w:rsidRPr="0062043C">
        <w:rPr>
          <w:rFonts w:ascii="Times New Roman" w:hAnsi="Times New Roman"/>
          <w:color w:val="000000"/>
          <w:sz w:val="24"/>
          <w:szCs w:val="24"/>
        </w:rPr>
        <w:t>appesantirons sur :</w:t>
      </w:r>
    </w:p>
    <w:p w:rsidR="006A4EED" w:rsidRPr="0062043C" w:rsidRDefault="006A4EED" w:rsidP="00230C65">
      <w:pPr>
        <w:pStyle w:val="Paragraphedeliste"/>
        <w:numPr>
          <w:ilvl w:val="0"/>
          <w:numId w:val="25"/>
        </w:numPr>
        <w:autoSpaceDE w:val="0"/>
        <w:autoSpaceDN w:val="0"/>
        <w:adjustRightInd w:val="0"/>
        <w:spacing w:after="0" w:line="360" w:lineRule="auto"/>
        <w:jc w:val="both"/>
        <w:rPr>
          <w:rFonts w:ascii="Times New Roman" w:hAnsi="Times New Roman"/>
          <w:color w:val="000000"/>
          <w:sz w:val="24"/>
          <w:szCs w:val="24"/>
        </w:rPr>
      </w:pPr>
      <w:r w:rsidRPr="0062043C">
        <w:rPr>
          <w:rFonts w:ascii="Times New Roman" w:hAnsi="Times New Roman"/>
          <w:color w:val="000000"/>
          <w:sz w:val="24"/>
          <w:szCs w:val="24"/>
        </w:rPr>
        <w:t>La caractérisation définitionnelle: l’être est quelque chose</w:t>
      </w:r>
    </w:p>
    <w:p w:rsidR="006A4EED" w:rsidRPr="0062043C" w:rsidRDefault="006A4EED" w:rsidP="00230C65">
      <w:pPr>
        <w:pStyle w:val="Paragraphedeliste"/>
        <w:numPr>
          <w:ilvl w:val="0"/>
          <w:numId w:val="25"/>
        </w:numPr>
        <w:autoSpaceDE w:val="0"/>
        <w:autoSpaceDN w:val="0"/>
        <w:adjustRightInd w:val="0"/>
        <w:spacing w:after="0" w:line="360" w:lineRule="auto"/>
        <w:jc w:val="both"/>
        <w:rPr>
          <w:rFonts w:ascii="Times New Roman" w:hAnsi="Times New Roman"/>
          <w:color w:val="000000"/>
          <w:sz w:val="24"/>
          <w:szCs w:val="24"/>
        </w:rPr>
      </w:pPr>
      <w:r w:rsidRPr="0062043C">
        <w:rPr>
          <w:rFonts w:ascii="Times New Roman" w:hAnsi="Times New Roman"/>
          <w:color w:val="000000"/>
          <w:sz w:val="24"/>
          <w:szCs w:val="24"/>
        </w:rPr>
        <w:t>La caractérisation descriptive comportementale: l’être est faisant quelque chose</w:t>
      </w:r>
    </w:p>
    <w:p w:rsidR="006A4EED" w:rsidRPr="0062043C" w:rsidRDefault="006A4EED" w:rsidP="00230C65">
      <w:pPr>
        <w:pStyle w:val="Paragraphedeliste"/>
        <w:numPr>
          <w:ilvl w:val="0"/>
          <w:numId w:val="25"/>
        </w:numPr>
        <w:autoSpaceDE w:val="0"/>
        <w:autoSpaceDN w:val="0"/>
        <w:adjustRightInd w:val="0"/>
        <w:spacing w:after="0" w:line="360" w:lineRule="auto"/>
        <w:jc w:val="both"/>
        <w:rPr>
          <w:rFonts w:ascii="Times New Roman" w:hAnsi="Times New Roman"/>
          <w:color w:val="000000"/>
          <w:sz w:val="24"/>
          <w:szCs w:val="24"/>
        </w:rPr>
      </w:pPr>
      <w:r w:rsidRPr="0062043C">
        <w:rPr>
          <w:rFonts w:ascii="Times New Roman" w:hAnsi="Times New Roman"/>
          <w:color w:val="000000"/>
          <w:sz w:val="24"/>
          <w:szCs w:val="24"/>
        </w:rPr>
        <w:t>La caractérisation d’appartenance: l’être est ayant quelque chose</w:t>
      </w:r>
    </w:p>
    <w:p w:rsidR="006A4EED" w:rsidRPr="0062043C" w:rsidRDefault="006A4EED" w:rsidP="00230C65">
      <w:pPr>
        <w:pStyle w:val="Paragraphedeliste"/>
        <w:numPr>
          <w:ilvl w:val="0"/>
          <w:numId w:val="25"/>
        </w:numPr>
        <w:autoSpaceDE w:val="0"/>
        <w:autoSpaceDN w:val="0"/>
        <w:adjustRightInd w:val="0"/>
        <w:spacing w:after="0" w:line="360" w:lineRule="auto"/>
        <w:jc w:val="both"/>
        <w:rPr>
          <w:rFonts w:ascii="Times New Roman" w:hAnsi="Times New Roman"/>
          <w:color w:val="000000"/>
          <w:sz w:val="24"/>
          <w:szCs w:val="24"/>
        </w:rPr>
      </w:pPr>
      <w:r w:rsidRPr="0062043C">
        <w:rPr>
          <w:rFonts w:ascii="Times New Roman" w:hAnsi="Times New Roman"/>
          <w:color w:val="000000"/>
          <w:sz w:val="24"/>
          <w:szCs w:val="24"/>
        </w:rPr>
        <w:t>La caractérisation situative: l’être est étant quelque part</w:t>
      </w:r>
    </w:p>
    <w:p w:rsidR="006A4EED" w:rsidRPr="0062043C" w:rsidRDefault="006A4EED" w:rsidP="00230C65">
      <w:pPr>
        <w:pStyle w:val="Paragraphedeliste"/>
        <w:numPr>
          <w:ilvl w:val="0"/>
          <w:numId w:val="25"/>
        </w:numPr>
        <w:autoSpaceDE w:val="0"/>
        <w:autoSpaceDN w:val="0"/>
        <w:adjustRightInd w:val="0"/>
        <w:spacing w:after="0" w:line="360" w:lineRule="auto"/>
        <w:jc w:val="both"/>
        <w:rPr>
          <w:rFonts w:ascii="Times New Roman" w:hAnsi="Times New Roman"/>
          <w:color w:val="000000"/>
          <w:sz w:val="24"/>
          <w:szCs w:val="24"/>
        </w:rPr>
      </w:pPr>
      <w:r w:rsidRPr="0062043C">
        <w:rPr>
          <w:rFonts w:ascii="Times New Roman" w:hAnsi="Times New Roman"/>
          <w:color w:val="000000"/>
          <w:sz w:val="24"/>
          <w:szCs w:val="24"/>
        </w:rPr>
        <w:t>La caractérisation descriptive statique: l’être est étant quelque chose</w:t>
      </w:r>
    </w:p>
    <w:p w:rsidR="006A4EED" w:rsidRPr="00E21080" w:rsidRDefault="006A4EED" w:rsidP="00E21080">
      <w:pPr>
        <w:autoSpaceDE w:val="0"/>
        <w:autoSpaceDN w:val="0"/>
        <w:adjustRightInd w:val="0"/>
        <w:spacing w:after="0" w:line="360" w:lineRule="auto"/>
        <w:jc w:val="both"/>
        <w:rPr>
          <w:rFonts w:ascii="Times New Roman" w:hAnsi="Times New Roman"/>
          <w:b/>
          <w:iCs/>
          <w:color w:val="000000"/>
          <w:sz w:val="24"/>
          <w:szCs w:val="24"/>
          <w:u w:val="single"/>
        </w:rPr>
      </w:pPr>
      <w:r w:rsidRPr="003B00C8">
        <w:rPr>
          <w:rFonts w:ascii="Times New Roman" w:hAnsi="Times New Roman"/>
          <w:iCs/>
          <w:color w:val="000000"/>
          <w:sz w:val="24"/>
          <w:szCs w:val="24"/>
        </w:rPr>
        <w:tab/>
      </w:r>
      <w:r w:rsidRPr="003B00C8">
        <w:rPr>
          <w:rFonts w:ascii="Times New Roman" w:hAnsi="Times New Roman"/>
          <w:iCs/>
          <w:color w:val="000000"/>
          <w:sz w:val="24"/>
          <w:szCs w:val="24"/>
          <w:u w:val="single"/>
        </w:rPr>
        <w:t xml:space="preserve">Ouvrons notre analyse avec le personnage </w:t>
      </w:r>
      <w:r w:rsidRPr="003B00C8">
        <w:rPr>
          <w:rFonts w:ascii="Times New Roman" w:hAnsi="Times New Roman"/>
          <w:b/>
          <w:iCs/>
          <w:color w:val="000000"/>
          <w:sz w:val="24"/>
          <w:szCs w:val="24"/>
          <w:u w:val="single"/>
        </w:rPr>
        <w:t>Barabbas</w:t>
      </w:r>
    </w:p>
    <w:p w:rsidR="006A4EED" w:rsidRPr="003B00C8" w:rsidRDefault="006A4EED" w:rsidP="00230C65">
      <w:pPr>
        <w:pStyle w:val="Paragraphedeliste"/>
        <w:numPr>
          <w:ilvl w:val="0"/>
          <w:numId w:val="26"/>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La caractérisation définitionnelle: le malfrat</w:t>
      </w:r>
    </w:p>
    <w:p w:rsidR="006A4EED" w:rsidRPr="003B00C8" w:rsidRDefault="006A4EED" w:rsidP="00230C65">
      <w:pPr>
        <w:pStyle w:val="Paragraphedeliste"/>
        <w:numPr>
          <w:ilvl w:val="0"/>
          <w:numId w:val="26"/>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La caractérisation descriptive comportementale: Incitateur au désordre public, à la révolte, l’insurrection </w:t>
      </w:r>
    </w:p>
    <w:p w:rsidR="006A4EED" w:rsidRPr="003B00C8" w:rsidRDefault="006A4EED" w:rsidP="00230C65">
      <w:pPr>
        <w:pStyle w:val="Paragraphedeliste"/>
        <w:numPr>
          <w:ilvl w:val="0"/>
          <w:numId w:val="26"/>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lastRenderedPageBreak/>
        <w:t xml:space="preserve">La caractérisation d’appartenance: Barabbas est le personnage par lequel le lecteur lit la symbolique de l’univers carcéral que peint le narrateur dans la pièce de théâtre. Il est influencé par la réalité carcérale empreinte de violence et qui </w:t>
      </w:r>
      <w:proofErr w:type="gramStart"/>
      <w:r w:rsidRPr="003B00C8">
        <w:rPr>
          <w:rFonts w:ascii="Times New Roman" w:hAnsi="Times New Roman"/>
          <w:color w:val="000000"/>
          <w:sz w:val="24"/>
          <w:szCs w:val="24"/>
        </w:rPr>
        <w:t>a</w:t>
      </w:r>
      <w:proofErr w:type="gramEnd"/>
      <w:r w:rsidRPr="003B00C8">
        <w:rPr>
          <w:rFonts w:ascii="Times New Roman" w:hAnsi="Times New Roman"/>
          <w:color w:val="000000"/>
          <w:sz w:val="24"/>
          <w:szCs w:val="24"/>
        </w:rPr>
        <w:t xml:space="preserve"> un tendance à détruire les obstacles pour s’évader, s’échapper, vers la liberté.</w:t>
      </w:r>
    </w:p>
    <w:p w:rsidR="006A4EED" w:rsidRPr="003B00C8" w:rsidRDefault="006A4EED" w:rsidP="00230C65">
      <w:pPr>
        <w:pStyle w:val="Paragraphedeliste"/>
        <w:numPr>
          <w:ilvl w:val="0"/>
          <w:numId w:val="26"/>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La caractérisation situative: ce personnage est aussi la preuve que l’Homme dans ses origines anthropogoniques est prédestiné. Si tant est que le fils de l’homme « Jésus » vint sur terre pour accomplir une mission bien précise, il reste que Dieu Le Père avait tout planifié sur son passage ici-bas. La destinée de Barabbas était préétablie, il n’en était qu’une marionnette : ils ont préféré le bandit au sauveur de l’humanité.</w:t>
      </w:r>
    </w:p>
    <w:p w:rsidR="006A4EED" w:rsidRPr="00E21080" w:rsidRDefault="006A4EED" w:rsidP="00230C65">
      <w:pPr>
        <w:pStyle w:val="Paragraphedeliste"/>
        <w:numPr>
          <w:ilvl w:val="0"/>
          <w:numId w:val="26"/>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La caractérisation descriptive statique: Barabbas est le personnage délivré par la puissance de Jésus qui se conscientise et décide d’entreprendre une rébellion</w:t>
      </w:r>
    </w:p>
    <w:p w:rsidR="006A4EED" w:rsidRPr="003B00C8" w:rsidRDefault="006A4EED" w:rsidP="006A4EED">
      <w:pPr>
        <w:autoSpaceDE w:val="0"/>
        <w:autoSpaceDN w:val="0"/>
        <w:adjustRightInd w:val="0"/>
        <w:spacing w:after="0" w:line="360" w:lineRule="auto"/>
        <w:ind w:firstLine="708"/>
        <w:jc w:val="both"/>
        <w:rPr>
          <w:rFonts w:ascii="Times New Roman" w:hAnsi="Times New Roman"/>
          <w:color w:val="000000"/>
          <w:sz w:val="24"/>
          <w:szCs w:val="24"/>
        </w:rPr>
      </w:pPr>
      <w:r w:rsidRPr="003B00C8">
        <w:rPr>
          <w:rFonts w:ascii="Times New Roman" w:hAnsi="Times New Roman"/>
          <w:color w:val="000000"/>
          <w:sz w:val="24"/>
          <w:szCs w:val="24"/>
        </w:rPr>
        <w:t>En outre, il s’agit de considérer le faire de Barabbas ; de ce fait, nous aurons selon Charaudeau:</w:t>
      </w:r>
    </w:p>
    <w:p w:rsidR="006A4EED" w:rsidRPr="003B00C8" w:rsidRDefault="006A4EED" w:rsidP="00230C65">
      <w:pPr>
        <w:pStyle w:val="Paragraphedeliste"/>
        <w:numPr>
          <w:ilvl w:val="1"/>
          <w:numId w:val="51"/>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w:t>
      </w:r>
      <w:r w:rsidRPr="003B00C8">
        <w:rPr>
          <w:rFonts w:ascii="Times New Roman" w:hAnsi="Times New Roman"/>
          <w:iCs/>
          <w:color w:val="000000"/>
          <w:sz w:val="24"/>
          <w:szCs w:val="24"/>
        </w:rPr>
        <w:t xml:space="preserve"> Barabbas est un homme capable d’action</w:t>
      </w:r>
    </w:p>
    <w:p w:rsidR="006A4EED" w:rsidRPr="003B00C8" w:rsidRDefault="006A4EED" w:rsidP="00230C65">
      <w:pPr>
        <w:pStyle w:val="Paragraphedeliste"/>
        <w:numPr>
          <w:ilvl w:val="1"/>
          <w:numId w:val="51"/>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sur quelque chose :</w:t>
      </w:r>
      <w:r w:rsidRPr="003B00C8">
        <w:rPr>
          <w:rFonts w:ascii="Times New Roman" w:hAnsi="Times New Roman"/>
          <w:iCs/>
          <w:color w:val="000000"/>
          <w:sz w:val="24"/>
          <w:szCs w:val="24"/>
        </w:rPr>
        <w:t xml:space="preserve"> il est un homme d’action</w:t>
      </w:r>
    </w:p>
    <w:p w:rsidR="006A4EED" w:rsidRPr="003B00C8" w:rsidRDefault="006A4EED" w:rsidP="00230C65">
      <w:pPr>
        <w:pStyle w:val="Paragraphedeliste"/>
        <w:numPr>
          <w:ilvl w:val="1"/>
          <w:numId w:val="51"/>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pour quelqu’un :</w:t>
      </w:r>
      <w:r w:rsidRPr="003B00C8">
        <w:rPr>
          <w:rFonts w:ascii="Times New Roman" w:hAnsi="Times New Roman"/>
          <w:iCs/>
          <w:color w:val="000000"/>
          <w:sz w:val="24"/>
          <w:szCs w:val="24"/>
        </w:rPr>
        <w:t xml:space="preserve"> il a agit autrefois pour ses intérêts égoïstes, aujourd’hui, il agit dans l’intérêt du fils de l’homme « Jésus »</w:t>
      </w:r>
    </w:p>
    <w:p w:rsidR="006A4EED" w:rsidRPr="00E21080" w:rsidRDefault="006A4EED" w:rsidP="00230C65">
      <w:pPr>
        <w:pStyle w:val="Paragraphedeliste"/>
        <w:numPr>
          <w:ilvl w:val="1"/>
          <w:numId w:val="51"/>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avec/contre quelqu’un/quelque chose. </w:t>
      </w:r>
      <w:r w:rsidRPr="003B00C8">
        <w:rPr>
          <w:rFonts w:ascii="Times New Roman" w:hAnsi="Times New Roman"/>
          <w:color w:val="000000"/>
          <w:sz w:val="24"/>
          <w:szCs w:val="24"/>
        </w:rPr>
        <w:t>: ayant bénéficié de la mascarade judiciaire du système (Hérode, Pilate) en place, il se révolte et se retourne contre ses avocats d’autrefois « avocats du Diable ».</w:t>
      </w:r>
    </w:p>
    <w:p w:rsidR="006A4EED" w:rsidRPr="00E21080" w:rsidRDefault="006A4EED" w:rsidP="00A06B0A">
      <w:pPr>
        <w:autoSpaceDE w:val="0"/>
        <w:autoSpaceDN w:val="0"/>
        <w:adjustRightInd w:val="0"/>
        <w:spacing w:after="0" w:line="360" w:lineRule="auto"/>
        <w:ind w:firstLine="284"/>
        <w:jc w:val="both"/>
        <w:rPr>
          <w:rFonts w:ascii="Times New Roman" w:hAnsi="Times New Roman"/>
          <w:b/>
          <w:color w:val="000000"/>
          <w:sz w:val="24"/>
          <w:szCs w:val="24"/>
        </w:rPr>
      </w:pPr>
      <w:r w:rsidRPr="003B00C8">
        <w:rPr>
          <w:rFonts w:ascii="Times New Roman" w:hAnsi="Times New Roman"/>
          <w:color w:val="000000"/>
          <w:sz w:val="24"/>
          <w:szCs w:val="24"/>
          <w:u w:val="single"/>
        </w:rPr>
        <w:t xml:space="preserve">Pour ce qui est du personnage </w:t>
      </w:r>
      <w:r w:rsidRPr="003B00C8">
        <w:rPr>
          <w:rFonts w:ascii="Times New Roman" w:hAnsi="Times New Roman"/>
          <w:b/>
          <w:color w:val="000000"/>
          <w:sz w:val="24"/>
          <w:szCs w:val="24"/>
          <w:u w:val="single"/>
        </w:rPr>
        <w:t>Jésus</w:t>
      </w:r>
      <w:r w:rsidRPr="003B00C8">
        <w:rPr>
          <w:rFonts w:ascii="Times New Roman" w:hAnsi="Times New Roman"/>
          <w:b/>
          <w:color w:val="000000"/>
          <w:sz w:val="24"/>
          <w:szCs w:val="24"/>
        </w:rPr>
        <w:t> :</w:t>
      </w:r>
    </w:p>
    <w:p w:rsidR="006A4EED" w:rsidRPr="00E21080" w:rsidRDefault="006A4EED" w:rsidP="00230C65">
      <w:pPr>
        <w:pStyle w:val="Paragraphedeliste"/>
        <w:numPr>
          <w:ilvl w:val="1"/>
          <w:numId w:val="27"/>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 xml:space="preserve">La caractérisation définitionnelle: Il vint du ciel sur la terre pour montrer le chemin ; de la terre à la croix pour payer la dette de tout un chacun ; de la croix au tombeau pour vaincre l’ange de la mort et prendre les clés du séjour des morts ; puis du tombeau pour le ciel pour s’asseoir à la droite du père et intercéder pour </w:t>
      </w:r>
      <w:r w:rsidR="00725041">
        <w:rPr>
          <w:rFonts w:ascii="Times New Roman" w:hAnsi="Times New Roman"/>
          <w:color w:val="000000"/>
          <w:sz w:val="24"/>
          <w:szCs w:val="24"/>
        </w:rPr>
        <w:t>les</w:t>
      </w:r>
      <w:r w:rsidRPr="003B00C8">
        <w:rPr>
          <w:rFonts w:ascii="Times New Roman" w:hAnsi="Times New Roman"/>
          <w:color w:val="000000"/>
          <w:sz w:val="24"/>
          <w:szCs w:val="24"/>
        </w:rPr>
        <w:t xml:space="preserve"> pauvres pécheurs (comme Barabbas).</w:t>
      </w:r>
    </w:p>
    <w:p w:rsidR="006A4EED" w:rsidRPr="00E21080" w:rsidRDefault="006A4EED" w:rsidP="00230C65">
      <w:pPr>
        <w:pStyle w:val="Paragraphedeliste"/>
        <w:numPr>
          <w:ilvl w:val="1"/>
          <w:numId w:val="27"/>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lastRenderedPageBreak/>
        <w:t>La caractérisation descriptive comportementale: il n’avait rien pour attirer le regard d’un homme. C’était un homme de douleur habitué à la souffrance. Il était doux comme un agneau et il accepta de porter sur lui le châtiment qui donne la paix.</w:t>
      </w:r>
    </w:p>
    <w:p w:rsidR="006A4EED" w:rsidRPr="00E21080" w:rsidRDefault="006A4EED" w:rsidP="00230C65">
      <w:pPr>
        <w:pStyle w:val="Paragraphedeliste"/>
        <w:numPr>
          <w:ilvl w:val="1"/>
          <w:numId w:val="27"/>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d’appartenance: il était dans le monde, il s’est fait chair mais il n’était pas du monde. Il est le fils bien aimé et l’unique de Dieu. Sachant que son royaume n’est pas de ce Monde, il rassurait et s’assurait du fait qu’il s’assiérait au droit du père dans son royaume, pour juger les bons et les méchants</w:t>
      </w:r>
    </w:p>
    <w:p w:rsidR="006A4EED" w:rsidRPr="00E21080" w:rsidRDefault="006A4EED" w:rsidP="00230C65">
      <w:pPr>
        <w:pStyle w:val="Paragraphedeliste"/>
        <w:numPr>
          <w:ilvl w:val="1"/>
          <w:numId w:val="27"/>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situative: lui, le fils légitime du propriétaire de la vigne fut condamné par les serviteurs ; lui le sauveur de l’humanité fut rejeté au profit du brigand ; lui l’esprit fut incarcéré pour le bien de la chair « Barabbas »</w:t>
      </w:r>
    </w:p>
    <w:p w:rsidR="006A4EED" w:rsidRPr="00E21080" w:rsidRDefault="006A4EED" w:rsidP="00230C65">
      <w:pPr>
        <w:pStyle w:val="Paragraphedeliste"/>
        <w:numPr>
          <w:ilvl w:val="1"/>
          <w:numId w:val="27"/>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 xml:space="preserve">La caractérisation descriptive statique: bien que nanti de pouvoir, il, a accepté d’être conduit sur le calvaire comme un mouton qu’on mène à l’abattoir. </w:t>
      </w:r>
    </w:p>
    <w:p w:rsidR="006A4EED" w:rsidRPr="003B00C8" w:rsidRDefault="006A4EED" w:rsidP="00A06B0A">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S’agissant du faire nous aurons : </w:t>
      </w:r>
    </w:p>
    <w:p w:rsidR="006A4EED" w:rsidRPr="003B00C8" w:rsidRDefault="006A4EED" w:rsidP="00230C65">
      <w:pPr>
        <w:pStyle w:val="Paragraphedeliste"/>
        <w:numPr>
          <w:ilvl w:val="1"/>
          <w:numId w:val="52"/>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w:t>
      </w:r>
      <w:r w:rsidRPr="003B00C8">
        <w:rPr>
          <w:rFonts w:ascii="Times New Roman" w:hAnsi="Times New Roman"/>
          <w:iCs/>
          <w:color w:val="000000"/>
          <w:sz w:val="24"/>
          <w:szCs w:val="24"/>
        </w:rPr>
        <w:t xml:space="preserve"> il pardonne. Il subit</w:t>
      </w:r>
    </w:p>
    <w:p w:rsidR="006A4EED" w:rsidRPr="003B00C8" w:rsidRDefault="006A4EED" w:rsidP="00230C65">
      <w:pPr>
        <w:pStyle w:val="Paragraphedeliste"/>
        <w:numPr>
          <w:ilvl w:val="1"/>
          <w:numId w:val="52"/>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sur quelque chose :</w:t>
      </w:r>
      <w:r w:rsidRPr="003B00C8">
        <w:rPr>
          <w:rFonts w:ascii="Times New Roman" w:hAnsi="Times New Roman"/>
          <w:iCs/>
          <w:color w:val="000000"/>
          <w:sz w:val="24"/>
          <w:szCs w:val="24"/>
        </w:rPr>
        <w:t xml:space="preserve"> il enseigne par son humilité. Il change le cœur du pécheur </w:t>
      </w:r>
    </w:p>
    <w:p w:rsidR="006A4EED" w:rsidRPr="003B00C8" w:rsidRDefault="006A4EED" w:rsidP="00230C65">
      <w:pPr>
        <w:pStyle w:val="Paragraphedeliste"/>
        <w:numPr>
          <w:ilvl w:val="1"/>
          <w:numId w:val="52"/>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pour quelqu’un :</w:t>
      </w:r>
      <w:r w:rsidRPr="003B00C8">
        <w:rPr>
          <w:rFonts w:ascii="Times New Roman" w:hAnsi="Times New Roman"/>
          <w:iCs/>
          <w:color w:val="000000"/>
          <w:sz w:val="24"/>
          <w:szCs w:val="24"/>
        </w:rPr>
        <w:t xml:space="preserve"> il a fait pour Barabbas ce que les pouvoirs politiques et religieux n’ont pu faire : son changement, sa repentance.</w:t>
      </w:r>
    </w:p>
    <w:p w:rsidR="006A4EED" w:rsidRPr="00E21080" w:rsidRDefault="006A4EED" w:rsidP="00230C65">
      <w:pPr>
        <w:pStyle w:val="Paragraphedeliste"/>
        <w:numPr>
          <w:ilvl w:val="1"/>
          <w:numId w:val="52"/>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avec/contre quelqu’un/quelque chose. </w:t>
      </w:r>
      <w:r w:rsidRPr="003B00C8">
        <w:rPr>
          <w:rFonts w:ascii="Times New Roman" w:hAnsi="Times New Roman"/>
          <w:color w:val="000000"/>
          <w:sz w:val="24"/>
          <w:szCs w:val="24"/>
        </w:rPr>
        <w:t>: Barabbas se range de son coté pour dénoncer et renverser un système corrompu.</w:t>
      </w:r>
    </w:p>
    <w:p w:rsidR="006A4EED" w:rsidRPr="00E21080" w:rsidRDefault="006A4EED" w:rsidP="00A06B0A">
      <w:pPr>
        <w:autoSpaceDE w:val="0"/>
        <w:autoSpaceDN w:val="0"/>
        <w:adjustRightInd w:val="0"/>
        <w:spacing w:after="0" w:line="360" w:lineRule="auto"/>
        <w:ind w:firstLine="284"/>
        <w:jc w:val="both"/>
        <w:rPr>
          <w:rFonts w:ascii="Times New Roman" w:hAnsi="Times New Roman"/>
          <w:color w:val="000000"/>
          <w:sz w:val="24"/>
          <w:szCs w:val="24"/>
          <w:u w:val="single"/>
        </w:rPr>
      </w:pPr>
      <w:r w:rsidRPr="003B00C8">
        <w:rPr>
          <w:rFonts w:ascii="Times New Roman" w:hAnsi="Times New Roman"/>
          <w:color w:val="000000"/>
          <w:sz w:val="24"/>
          <w:szCs w:val="24"/>
          <w:u w:val="single"/>
        </w:rPr>
        <w:t xml:space="preserve">Venons-en aux </w:t>
      </w:r>
      <w:r w:rsidRPr="003B00C8">
        <w:rPr>
          <w:rFonts w:ascii="Times New Roman" w:hAnsi="Times New Roman"/>
          <w:b/>
          <w:color w:val="000000"/>
          <w:sz w:val="24"/>
          <w:szCs w:val="24"/>
          <w:u w:val="single"/>
        </w:rPr>
        <w:t>apôtres</w:t>
      </w:r>
      <w:r w:rsidRPr="003B00C8">
        <w:rPr>
          <w:rFonts w:ascii="Times New Roman" w:hAnsi="Times New Roman"/>
          <w:color w:val="000000"/>
          <w:sz w:val="24"/>
          <w:szCs w:val="24"/>
          <w:u w:val="single"/>
        </w:rPr>
        <w:t xml:space="preserve"> </w:t>
      </w:r>
    </w:p>
    <w:p w:rsidR="006A4EED" w:rsidRPr="00E21080" w:rsidRDefault="006A4EED" w:rsidP="00230C65">
      <w:pPr>
        <w:pStyle w:val="Paragraphedeliste"/>
        <w:numPr>
          <w:ilvl w:val="1"/>
          <w:numId w:val="28"/>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définitionnelle: si tant est que Jésus avait prophétisé sur son reniement par l’Apôtre Pierre, il y a que Barabbas animé d’un zèle pour la justice, reproche à ces témoins oculaires (apôtres) de la vie de Jésus, leur inaction et leur lâcheté face aux événements qui se déroulent sous leurs yeux.</w:t>
      </w:r>
    </w:p>
    <w:p w:rsidR="006A4EED" w:rsidRPr="00E21080" w:rsidRDefault="006A4EED" w:rsidP="00230C65">
      <w:pPr>
        <w:pStyle w:val="Paragraphedeliste"/>
        <w:numPr>
          <w:ilvl w:val="1"/>
          <w:numId w:val="28"/>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lastRenderedPageBreak/>
        <w:t>La caractérisation descriptive comportementale: ces apôtres, disciples de Jésus voient leur maitre maltraité, humilié, injurié et ont le sentiment d’être désormais des brebis sans berger ; des enfants sans père.</w:t>
      </w:r>
    </w:p>
    <w:p w:rsidR="006A4EED" w:rsidRPr="00E21080" w:rsidRDefault="006A4EED" w:rsidP="00230C65">
      <w:pPr>
        <w:pStyle w:val="Paragraphedeliste"/>
        <w:numPr>
          <w:ilvl w:val="1"/>
          <w:numId w:val="28"/>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d’appartenance: ils sont la propriété de Jésus et conséquemment de Dieu. Par analogie, au même titre que le Christ, ils sont dans le monde mais ne sont pas de ce monde.</w:t>
      </w:r>
    </w:p>
    <w:p w:rsidR="006A4EED" w:rsidRPr="00E21080" w:rsidRDefault="006A4EED" w:rsidP="00230C65">
      <w:pPr>
        <w:pStyle w:val="Paragraphedeliste"/>
        <w:numPr>
          <w:ilvl w:val="1"/>
          <w:numId w:val="28"/>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 xml:space="preserve">La caractérisation situative: ils ne peuvent rien face à la tyrannie du système. Ils craignent d’être tués comme leur maitre. </w:t>
      </w:r>
    </w:p>
    <w:p w:rsidR="006A4EED" w:rsidRPr="00E21080" w:rsidRDefault="006A4EED" w:rsidP="00230C65">
      <w:pPr>
        <w:pStyle w:val="Paragraphedeliste"/>
        <w:numPr>
          <w:ilvl w:val="1"/>
          <w:numId w:val="28"/>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 xml:space="preserve">La caractérisation descriptive statique: ils croient sur parole de Jésus que tout ira pour le mieux. Que le fils de l’homme sera condamné et enseveli et qu’il ressuscitera le troisième jour. </w:t>
      </w:r>
    </w:p>
    <w:p w:rsidR="006A4EED" w:rsidRPr="00E21080" w:rsidRDefault="006A4EED" w:rsidP="00A06B0A">
      <w:pPr>
        <w:autoSpaceDE w:val="0"/>
        <w:autoSpaceDN w:val="0"/>
        <w:adjustRightInd w:val="0"/>
        <w:spacing w:after="0" w:line="360" w:lineRule="auto"/>
        <w:ind w:firstLine="284"/>
        <w:jc w:val="both"/>
        <w:rPr>
          <w:rFonts w:ascii="Times New Roman" w:hAnsi="Times New Roman"/>
          <w:iCs/>
          <w:color w:val="000000"/>
          <w:sz w:val="24"/>
          <w:szCs w:val="24"/>
        </w:rPr>
      </w:pPr>
      <w:r w:rsidRPr="003B00C8">
        <w:rPr>
          <w:rFonts w:ascii="Times New Roman" w:hAnsi="Times New Roman"/>
          <w:iCs/>
          <w:color w:val="000000"/>
          <w:sz w:val="24"/>
          <w:szCs w:val="24"/>
        </w:rPr>
        <w:t>Au niveau du faire :</w:t>
      </w:r>
    </w:p>
    <w:p w:rsidR="006A4EED" w:rsidRPr="00A06B0A" w:rsidRDefault="006A4EED" w:rsidP="00230C65">
      <w:pPr>
        <w:pStyle w:val="Paragraphedeliste"/>
        <w:numPr>
          <w:ilvl w:val="1"/>
          <w:numId w:val="53"/>
        </w:numPr>
        <w:autoSpaceDE w:val="0"/>
        <w:autoSpaceDN w:val="0"/>
        <w:adjustRightInd w:val="0"/>
        <w:spacing w:after="0" w:line="360" w:lineRule="auto"/>
        <w:jc w:val="both"/>
        <w:rPr>
          <w:rFonts w:ascii="Times New Roman" w:hAnsi="Times New Roman"/>
          <w:color w:val="000000"/>
          <w:sz w:val="24"/>
          <w:szCs w:val="24"/>
        </w:rPr>
      </w:pPr>
      <w:r w:rsidRPr="00A06B0A">
        <w:rPr>
          <w:rFonts w:ascii="Times New Roman" w:hAnsi="Times New Roman"/>
          <w:color w:val="000000"/>
          <w:sz w:val="24"/>
          <w:szCs w:val="24"/>
        </w:rPr>
        <w:t>le faire agissant : ils sont passifs dans le combat contre la chair, mais actifs dans la lutte contre les esprits malins</w:t>
      </w:r>
    </w:p>
    <w:p w:rsidR="006A4EED" w:rsidRPr="00A06B0A" w:rsidRDefault="006A4EED" w:rsidP="00230C65">
      <w:pPr>
        <w:pStyle w:val="Paragraphedeliste"/>
        <w:numPr>
          <w:ilvl w:val="1"/>
          <w:numId w:val="53"/>
        </w:numPr>
        <w:autoSpaceDE w:val="0"/>
        <w:autoSpaceDN w:val="0"/>
        <w:adjustRightInd w:val="0"/>
        <w:spacing w:after="0" w:line="360" w:lineRule="auto"/>
        <w:jc w:val="both"/>
        <w:rPr>
          <w:rFonts w:ascii="Times New Roman" w:hAnsi="Times New Roman"/>
          <w:color w:val="000000"/>
          <w:sz w:val="24"/>
          <w:szCs w:val="24"/>
        </w:rPr>
      </w:pPr>
      <w:r w:rsidRPr="00A06B0A">
        <w:rPr>
          <w:rFonts w:ascii="Times New Roman" w:hAnsi="Times New Roman"/>
          <w:color w:val="000000"/>
          <w:sz w:val="24"/>
          <w:szCs w:val="24"/>
        </w:rPr>
        <w:t>le faire agissant sur quelque chose : ils ne peuvent rien contre le système en place, mais croient que par la foi ils peuvent déplacer des montagnes</w:t>
      </w:r>
    </w:p>
    <w:p w:rsidR="006A4EED" w:rsidRPr="00A06B0A" w:rsidRDefault="006A4EED" w:rsidP="00230C65">
      <w:pPr>
        <w:pStyle w:val="Paragraphedeliste"/>
        <w:numPr>
          <w:ilvl w:val="1"/>
          <w:numId w:val="53"/>
        </w:numPr>
        <w:autoSpaceDE w:val="0"/>
        <w:autoSpaceDN w:val="0"/>
        <w:adjustRightInd w:val="0"/>
        <w:spacing w:after="0" w:line="360" w:lineRule="auto"/>
        <w:jc w:val="both"/>
        <w:rPr>
          <w:rFonts w:ascii="Times New Roman" w:hAnsi="Times New Roman"/>
          <w:color w:val="000000"/>
          <w:sz w:val="24"/>
          <w:szCs w:val="24"/>
        </w:rPr>
      </w:pPr>
      <w:r w:rsidRPr="00A06B0A">
        <w:rPr>
          <w:rFonts w:ascii="Times New Roman" w:hAnsi="Times New Roman"/>
          <w:color w:val="000000"/>
          <w:sz w:val="24"/>
          <w:szCs w:val="24"/>
        </w:rPr>
        <w:t>le faire agissant pour quelqu’un : ils ne peuvent que prier selon les enseignements du maitre</w:t>
      </w:r>
    </w:p>
    <w:p w:rsidR="003A0C61" w:rsidRPr="00A06B0A" w:rsidRDefault="006A4EED" w:rsidP="00230C65">
      <w:pPr>
        <w:pStyle w:val="Paragraphedeliste"/>
        <w:numPr>
          <w:ilvl w:val="1"/>
          <w:numId w:val="53"/>
        </w:numPr>
        <w:autoSpaceDE w:val="0"/>
        <w:autoSpaceDN w:val="0"/>
        <w:adjustRightInd w:val="0"/>
        <w:spacing w:after="0" w:line="360" w:lineRule="auto"/>
        <w:jc w:val="both"/>
        <w:rPr>
          <w:rFonts w:ascii="Times New Roman" w:hAnsi="Times New Roman"/>
          <w:color w:val="000000"/>
          <w:sz w:val="24"/>
          <w:szCs w:val="24"/>
        </w:rPr>
      </w:pPr>
      <w:r w:rsidRPr="00A06B0A">
        <w:rPr>
          <w:rFonts w:ascii="Times New Roman" w:hAnsi="Times New Roman"/>
          <w:color w:val="000000"/>
          <w:sz w:val="24"/>
          <w:szCs w:val="24"/>
        </w:rPr>
        <w:t>le faire agissant avec/contre quelqu’un/quelque chose : leur combat n’est pas contre la chair et le sang qui condamnent Jésus mais contre les esprits méchants qui agissent dans ces hommes.</w:t>
      </w:r>
    </w:p>
    <w:p w:rsidR="006A4EED" w:rsidRPr="00E21080" w:rsidRDefault="006A4EED" w:rsidP="00A06B0A">
      <w:pPr>
        <w:autoSpaceDE w:val="0"/>
        <w:autoSpaceDN w:val="0"/>
        <w:adjustRightInd w:val="0"/>
        <w:spacing w:after="0" w:line="360" w:lineRule="auto"/>
        <w:ind w:firstLine="284"/>
        <w:jc w:val="both"/>
        <w:rPr>
          <w:rFonts w:ascii="Times New Roman" w:hAnsi="Times New Roman"/>
          <w:b/>
          <w:sz w:val="24"/>
          <w:szCs w:val="24"/>
          <w:u w:val="single"/>
        </w:rPr>
      </w:pPr>
      <w:r w:rsidRPr="003B00C8">
        <w:rPr>
          <w:rFonts w:ascii="Times New Roman" w:hAnsi="Times New Roman"/>
          <w:iCs/>
          <w:color w:val="000000"/>
          <w:sz w:val="24"/>
          <w:szCs w:val="24"/>
          <w:u w:val="single"/>
        </w:rPr>
        <w:t xml:space="preserve">Quant aux </w:t>
      </w:r>
      <w:r w:rsidRPr="003B00C8">
        <w:rPr>
          <w:rFonts w:ascii="Times New Roman" w:hAnsi="Times New Roman"/>
          <w:b/>
          <w:sz w:val="24"/>
          <w:szCs w:val="24"/>
          <w:u w:val="single"/>
        </w:rPr>
        <w:t>Prêtres + Caïphe</w:t>
      </w:r>
    </w:p>
    <w:p w:rsidR="006A4EED" w:rsidRPr="00E21080" w:rsidRDefault="006A4EED" w:rsidP="00230C65">
      <w:pPr>
        <w:pStyle w:val="Paragraphedeliste"/>
        <w:numPr>
          <w:ilvl w:val="1"/>
          <w:numId w:val="29"/>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 xml:space="preserve">La caractérisation définitionnelle: ils ont valeur de ministre du culte. C’est un collège de prêtres que dirige Caïphe. </w:t>
      </w:r>
    </w:p>
    <w:p w:rsidR="006A4EED" w:rsidRPr="00E21080" w:rsidRDefault="006A4EED" w:rsidP="00230C65">
      <w:pPr>
        <w:pStyle w:val="Paragraphedeliste"/>
        <w:numPr>
          <w:ilvl w:val="1"/>
          <w:numId w:val="29"/>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 xml:space="preserve">La caractérisation descriptive comportementale: ils sont les gardiens de la vieille tradition juive. Ils sont dédaigneux du nouveau et conséquemment de la doctrine de Jésus. Ils font image de classiques (Respect scrupuleux des anciennes lois) là où Jésus fait image de moderne (Loin d’abolir la loi, il vint pour l’accomplir. Il marque, comme l’histoire le retiendra plus tard, le début d’une </w:t>
      </w:r>
      <w:r w:rsidRPr="003B00C8">
        <w:rPr>
          <w:rFonts w:ascii="Times New Roman" w:hAnsi="Times New Roman"/>
          <w:color w:val="000000"/>
          <w:sz w:val="24"/>
          <w:szCs w:val="24"/>
        </w:rPr>
        <w:lastRenderedPageBreak/>
        <w:t>nouvelle ère, l’ère de la grâce et de la rédemption par sa résurrection).</w:t>
      </w:r>
    </w:p>
    <w:p w:rsidR="006A4EED" w:rsidRPr="00E21080" w:rsidRDefault="006A4EED" w:rsidP="00230C65">
      <w:pPr>
        <w:pStyle w:val="Paragraphedeliste"/>
        <w:numPr>
          <w:ilvl w:val="1"/>
          <w:numId w:val="29"/>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d’appartenance: si tant est qu’ils appartiennent au clergé juif servant les intérêts de Rome, il reste qu’ils incitent la foule à condamné le juste (Jésus) au profit de la libération du brigand (Barabbas). Les prêtres sous la houlette du Caïphe, supposés vivre selon l’esprit se sont laissés corrompre par la chair et ont à leur tour corrompu la plèbe.</w:t>
      </w:r>
    </w:p>
    <w:p w:rsidR="006A4EED" w:rsidRPr="00E21080" w:rsidRDefault="006A4EED" w:rsidP="00230C65">
      <w:pPr>
        <w:pStyle w:val="Paragraphedeliste"/>
        <w:numPr>
          <w:ilvl w:val="1"/>
          <w:numId w:val="29"/>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situative: il faut un condamné à mort pour une peine de condamnation connu et jour de condamnation connu : Jésus. Il fut condamné par les hommes d’église : Caïphe et ses prêtres.</w:t>
      </w:r>
    </w:p>
    <w:p w:rsidR="006A4EED" w:rsidRPr="00E21080" w:rsidRDefault="006A4EED" w:rsidP="00230C65">
      <w:pPr>
        <w:pStyle w:val="Paragraphedeliste"/>
        <w:numPr>
          <w:ilvl w:val="1"/>
          <w:numId w:val="29"/>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 xml:space="preserve">La caractérisation descriptive statique: ils sont convaincus d’avoir condamné à mort l’impie et le conduisent jusqu’au Golgotha. </w:t>
      </w:r>
    </w:p>
    <w:p w:rsidR="006A4EED" w:rsidRPr="003B00C8" w:rsidRDefault="006A4EED" w:rsidP="00A06B0A">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Concernant le faire, on note : </w:t>
      </w:r>
    </w:p>
    <w:p w:rsidR="006A4EED" w:rsidRPr="003B00C8" w:rsidRDefault="006A4EED" w:rsidP="00230C65">
      <w:pPr>
        <w:pStyle w:val="Paragraphedeliste"/>
        <w:numPr>
          <w:ilvl w:val="1"/>
          <w:numId w:val="54"/>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w:t>
      </w:r>
      <w:r w:rsidRPr="003B00C8">
        <w:rPr>
          <w:rFonts w:ascii="Times New Roman" w:hAnsi="Times New Roman"/>
          <w:iCs/>
          <w:color w:val="000000"/>
          <w:sz w:val="24"/>
          <w:szCs w:val="24"/>
        </w:rPr>
        <w:t xml:space="preserve"> Ministres du culte, les prêtres et le Caïphe protègent </w:t>
      </w:r>
      <w:proofErr w:type="gramStart"/>
      <w:r w:rsidRPr="003B00C8">
        <w:rPr>
          <w:rFonts w:ascii="Times New Roman" w:hAnsi="Times New Roman"/>
          <w:iCs/>
          <w:color w:val="000000"/>
          <w:sz w:val="24"/>
          <w:szCs w:val="24"/>
        </w:rPr>
        <w:t>le</w:t>
      </w:r>
      <w:proofErr w:type="gramEnd"/>
      <w:r w:rsidRPr="003B00C8">
        <w:rPr>
          <w:rFonts w:ascii="Times New Roman" w:hAnsi="Times New Roman"/>
          <w:iCs/>
          <w:color w:val="000000"/>
          <w:sz w:val="24"/>
          <w:szCs w:val="24"/>
        </w:rPr>
        <w:t xml:space="preserve"> veille héritage biblique.</w:t>
      </w:r>
    </w:p>
    <w:p w:rsidR="006A4EED" w:rsidRPr="003B00C8" w:rsidRDefault="006A4EED" w:rsidP="00230C65">
      <w:pPr>
        <w:pStyle w:val="Paragraphedeliste"/>
        <w:numPr>
          <w:ilvl w:val="1"/>
          <w:numId w:val="54"/>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sur quelque chose :</w:t>
      </w:r>
      <w:r w:rsidRPr="003B00C8">
        <w:rPr>
          <w:rFonts w:ascii="Times New Roman" w:hAnsi="Times New Roman"/>
          <w:iCs/>
          <w:color w:val="000000"/>
          <w:sz w:val="24"/>
          <w:szCs w:val="24"/>
        </w:rPr>
        <w:t xml:space="preserve"> ils contrôlent l’univers de croyance du peuple et craignent une intrusion doctrinale qui leur ravirait la vedette.</w:t>
      </w:r>
    </w:p>
    <w:p w:rsidR="006A4EED" w:rsidRPr="003B00C8" w:rsidRDefault="006A4EED" w:rsidP="00230C65">
      <w:pPr>
        <w:pStyle w:val="Paragraphedeliste"/>
        <w:numPr>
          <w:ilvl w:val="1"/>
          <w:numId w:val="54"/>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pour quelqu’un :</w:t>
      </w:r>
      <w:r w:rsidRPr="003B00C8">
        <w:rPr>
          <w:rFonts w:ascii="Times New Roman" w:hAnsi="Times New Roman"/>
          <w:iCs/>
          <w:color w:val="000000"/>
          <w:sz w:val="24"/>
          <w:szCs w:val="24"/>
        </w:rPr>
        <w:t xml:space="preserve"> ils travaillent énergiquement pour la condamnation de Jésus dans l’intérêt de Rome et du Diable (Le Prince des ténèbres).</w:t>
      </w:r>
    </w:p>
    <w:p w:rsidR="006A4EED" w:rsidRPr="00E21080" w:rsidRDefault="006A4EED" w:rsidP="00230C65">
      <w:pPr>
        <w:pStyle w:val="Paragraphedeliste"/>
        <w:numPr>
          <w:ilvl w:val="1"/>
          <w:numId w:val="54"/>
        </w:numPr>
        <w:autoSpaceDE w:val="0"/>
        <w:autoSpaceDN w:val="0"/>
        <w:adjustRightInd w:val="0"/>
        <w:spacing w:after="0" w:line="360" w:lineRule="auto"/>
        <w:jc w:val="both"/>
        <w:rPr>
          <w:rFonts w:ascii="Times New Roman" w:hAnsi="Times New Roman"/>
          <w:iCs/>
          <w:color w:val="000000"/>
          <w:sz w:val="24"/>
          <w:szCs w:val="24"/>
        </w:rPr>
      </w:pPr>
      <w:r w:rsidRPr="003B00C8">
        <w:rPr>
          <w:rFonts w:ascii="Times New Roman" w:hAnsi="Times New Roman"/>
          <w:color w:val="000000"/>
          <w:sz w:val="24"/>
          <w:szCs w:val="24"/>
        </w:rPr>
        <w:t xml:space="preserve">le faire </w:t>
      </w:r>
      <w:r w:rsidRPr="003B00C8">
        <w:rPr>
          <w:rFonts w:ascii="Times New Roman" w:hAnsi="Times New Roman"/>
          <w:i/>
          <w:iCs/>
          <w:color w:val="000000"/>
          <w:sz w:val="24"/>
          <w:szCs w:val="24"/>
        </w:rPr>
        <w:t>agissant avec/contre quelqu’un/quelque chose :</w:t>
      </w:r>
      <w:r w:rsidRPr="003B00C8">
        <w:rPr>
          <w:rFonts w:ascii="Times New Roman" w:hAnsi="Times New Roman"/>
          <w:iCs/>
          <w:color w:val="000000"/>
          <w:sz w:val="24"/>
          <w:szCs w:val="24"/>
        </w:rPr>
        <w:t xml:space="preserve"> ils sont les principaux acteurs favorables à la crucifixion de Jésus ce, dans l’intérêt de Rome et du Diable.</w:t>
      </w:r>
    </w:p>
    <w:p w:rsidR="006A4EED" w:rsidRPr="00E21080" w:rsidRDefault="006A4EED" w:rsidP="00A06B0A">
      <w:pPr>
        <w:autoSpaceDE w:val="0"/>
        <w:autoSpaceDN w:val="0"/>
        <w:adjustRightInd w:val="0"/>
        <w:spacing w:after="0" w:line="360" w:lineRule="auto"/>
        <w:ind w:firstLine="284"/>
        <w:jc w:val="both"/>
        <w:rPr>
          <w:rFonts w:ascii="Times New Roman" w:hAnsi="Times New Roman"/>
          <w:iCs/>
          <w:color w:val="000000"/>
          <w:sz w:val="24"/>
          <w:szCs w:val="24"/>
          <w:u w:val="single"/>
        </w:rPr>
      </w:pPr>
      <w:r w:rsidRPr="003B00C8">
        <w:rPr>
          <w:rFonts w:ascii="Times New Roman" w:hAnsi="Times New Roman"/>
          <w:iCs/>
          <w:color w:val="000000"/>
          <w:sz w:val="24"/>
          <w:szCs w:val="24"/>
          <w:u w:val="single"/>
        </w:rPr>
        <w:t>Au sujet de</w:t>
      </w:r>
      <w:r w:rsidRPr="003B00C8">
        <w:rPr>
          <w:rFonts w:ascii="Times New Roman" w:hAnsi="Times New Roman"/>
          <w:sz w:val="24"/>
          <w:szCs w:val="24"/>
          <w:u w:val="single"/>
        </w:rPr>
        <w:t xml:space="preserve"> </w:t>
      </w:r>
      <w:r w:rsidRPr="003B00C8">
        <w:rPr>
          <w:rFonts w:ascii="Times New Roman" w:hAnsi="Times New Roman"/>
          <w:b/>
          <w:sz w:val="24"/>
          <w:szCs w:val="24"/>
          <w:u w:val="single"/>
        </w:rPr>
        <w:t>Pilate + Hérode</w:t>
      </w:r>
    </w:p>
    <w:p w:rsidR="006A4EED" w:rsidRPr="003B00C8" w:rsidRDefault="006A4EED" w:rsidP="00230C65">
      <w:pPr>
        <w:pStyle w:val="Paragraphedeliste"/>
        <w:numPr>
          <w:ilvl w:val="1"/>
          <w:numId w:val="31"/>
        </w:numPr>
        <w:spacing w:after="0" w:line="360" w:lineRule="auto"/>
        <w:jc w:val="both"/>
        <w:rPr>
          <w:rFonts w:ascii="Times New Roman" w:hAnsi="Times New Roman"/>
          <w:sz w:val="24"/>
          <w:szCs w:val="24"/>
        </w:rPr>
      </w:pPr>
      <w:r w:rsidRPr="003B00C8">
        <w:rPr>
          <w:rFonts w:ascii="Times New Roman" w:hAnsi="Times New Roman"/>
          <w:color w:val="000000"/>
          <w:sz w:val="24"/>
          <w:szCs w:val="24"/>
        </w:rPr>
        <w:t>La caractérisation définitionnelle: Hérode est un p</w:t>
      </w:r>
      <w:r w:rsidRPr="003B00C8">
        <w:rPr>
          <w:rFonts w:ascii="Times New Roman" w:hAnsi="Times New Roman"/>
          <w:sz w:val="24"/>
          <w:szCs w:val="24"/>
        </w:rPr>
        <w:t>ersonnage biblique, aristocrate romain représente l'autorité politique où il occupe la fonction d'administrateur de Rome, il se démarque de ses origines juives à qui, il ne voue aucune estime. Pilate est un personnage biblique, gouverneur de Rome, superstitieux et craintif</w:t>
      </w:r>
    </w:p>
    <w:p w:rsidR="006A4EED" w:rsidRPr="003B00C8" w:rsidRDefault="006A4EED" w:rsidP="00230C65">
      <w:pPr>
        <w:pStyle w:val="Paragraphedeliste"/>
        <w:numPr>
          <w:ilvl w:val="1"/>
          <w:numId w:val="31"/>
        </w:numPr>
        <w:spacing w:after="0" w:line="360" w:lineRule="auto"/>
        <w:jc w:val="both"/>
        <w:rPr>
          <w:rFonts w:ascii="Times New Roman" w:hAnsi="Times New Roman"/>
          <w:sz w:val="24"/>
          <w:szCs w:val="24"/>
        </w:rPr>
      </w:pPr>
      <w:r w:rsidRPr="003B00C8">
        <w:rPr>
          <w:rFonts w:ascii="Times New Roman" w:hAnsi="Times New Roman"/>
          <w:color w:val="000000"/>
          <w:sz w:val="24"/>
          <w:szCs w:val="24"/>
        </w:rPr>
        <w:lastRenderedPageBreak/>
        <w:t xml:space="preserve">La caractérisation descriptive comportementale: Pilate est </w:t>
      </w:r>
      <w:r w:rsidRPr="003B00C8">
        <w:rPr>
          <w:rFonts w:ascii="Times New Roman" w:hAnsi="Times New Roman"/>
          <w:sz w:val="24"/>
          <w:szCs w:val="24"/>
        </w:rPr>
        <w:t>méditatif sur l'avenir du Christ. Hérode est Fêtard et goguenard.</w:t>
      </w:r>
    </w:p>
    <w:p w:rsidR="006A4EED" w:rsidRPr="003B00C8" w:rsidRDefault="006A4EED" w:rsidP="00230C65">
      <w:pPr>
        <w:pStyle w:val="Paragraphedeliste"/>
        <w:numPr>
          <w:ilvl w:val="1"/>
          <w:numId w:val="31"/>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d’appartenance: tous deux servent les intérêts de Rome.</w:t>
      </w:r>
    </w:p>
    <w:p w:rsidR="006A4EED" w:rsidRPr="003B00C8" w:rsidRDefault="006A4EED" w:rsidP="00230C65">
      <w:pPr>
        <w:pStyle w:val="Paragraphedeliste"/>
        <w:numPr>
          <w:ilvl w:val="1"/>
          <w:numId w:val="31"/>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situative: Si l’un est incertain ou encore hésitant sur la décision de condamner Jésus (Pilate), l’autre (Hérode) n’en a que faire. Le condamner pour Hérode aiderait à démontrer au peuple qu’on ne convoite pas le siège du monarque.</w:t>
      </w:r>
    </w:p>
    <w:p w:rsidR="006A4EED" w:rsidRPr="00E21080" w:rsidRDefault="006A4EED" w:rsidP="00230C65">
      <w:pPr>
        <w:pStyle w:val="Paragraphedeliste"/>
        <w:numPr>
          <w:ilvl w:val="1"/>
          <w:numId w:val="31"/>
        </w:numPr>
        <w:autoSpaceDE w:val="0"/>
        <w:autoSpaceDN w:val="0"/>
        <w:adjustRightInd w:val="0"/>
        <w:spacing w:after="0" w:line="360" w:lineRule="auto"/>
        <w:jc w:val="both"/>
        <w:rPr>
          <w:rFonts w:ascii="Times New Roman" w:hAnsi="Times New Roman"/>
          <w:i/>
          <w:iCs/>
          <w:color w:val="000000"/>
          <w:sz w:val="24"/>
          <w:szCs w:val="24"/>
        </w:rPr>
      </w:pPr>
      <w:r w:rsidRPr="003B00C8">
        <w:rPr>
          <w:rFonts w:ascii="Times New Roman" w:hAnsi="Times New Roman"/>
          <w:color w:val="000000"/>
          <w:sz w:val="24"/>
          <w:szCs w:val="24"/>
        </w:rPr>
        <w:t>La caractérisation descriptive statique: Pilate (</w:t>
      </w:r>
      <w:r w:rsidRPr="003B00C8">
        <w:rPr>
          <w:rFonts w:ascii="Times New Roman" w:hAnsi="Times New Roman"/>
          <w:sz w:val="24"/>
          <w:szCs w:val="24"/>
        </w:rPr>
        <w:t>Malgré la pression exercée par Caïphe et les prêtres pour juger le Galiléen et le condamner, il n'abdique pas en essayant de chercher les torts de cet homme). Hérode (plus cruel, sans scrupule, le condamne sans hésitation et scelle son sort à une mort certaine)</w:t>
      </w:r>
    </w:p>
    <w:p w:rsidR="006A4EED" w:rsidRPr="00E21080" w:rsidRDefault="006A4EED" w:rsidP="00A06B0A">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S’agissant du  faire, citons : </w:t>
      </w:r>
    </w:p>
    <w:p w:rsidR="006A4EED" w:rsidRPr="00A06B0A" w:rsidRDefault="006A4EED" w:rsidP="00230C65">
      <w:pPr>
        <w:pStyle w:val="Paragraphedeliste"/>
        <w:numPr>
          <w:ilvl w:val="0"/>
          <w:numId w:val="55"/>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le </w:t>
      </w:r>
      <w:r w:rsidRPr="00A06B0A">
        <w:rPr>
          <w:rFonts w:ascii="Times New Roman" w:hAnsi="Times New Roman"/>
          <w:color w:val="000000"/>
          <w:sz w:val="24"/>
          <w:szCs w:val="24"/>
        </w:rPr>
        <w:t>faire agissant : Pilate est hésitant. Hérode est favorable.</w:t>
      </w:r>
    </w:p>
    <w:p w:rsidR="006A4EED" w:rsidRPr="00A06B0A" w:rsidRDefault="006A4EED" w:rsidP="00230C65">
      <w:pPr>
        <w:pStyle w:val="Paragraphedeliste"/>
        <w:numPr>
          <w:ilvl w:val="0"/>
          <w:numId w:val="55"/>
        </w:numPr>
        <w:autoSpaceDE w:val="0"/>
        <w:autoSpaceDN w:val="0"/>
        <w:adjustRightInd w:val="0"/>
        <w:spacing w:after="0" w:line="360" w:lineRule="auto"/>
        <w:jc w:val="both"/>
        <w:rPr>
          <w:rFonts w:ascii="Times New Roman" w:hAnsi="Times New Roman"/>
          <w:color w:val="000000"/>
          <w:sz w:val="24"/>
          <w:szCs w:val="24"/>
        </w:rPr>
      </w:pPr>
      <w:r w:rsidRPr="00A06B0A">
        <w:rPr>
          <w:rFonts w:ascii="Times New Roman" w:hAnsi="Times New Roman"/>
          <w:color w:val="000000"/>
          <w:sz w:val="24"/>
          <w:szCs w:val="24"/>
        </w:rPr>
        <w:t>le faire agissant sur quelque chose : Pilate se laisse influencé par se femme. Hérode défend son titre, son honneur.</w:t>
      </w:r>
    </w:p>
    <w:p w:rsidR="006A4EED" w:rsidRPr="00A06B0A" w:rsidRDefault="006A4EED" w:rsidP="00230C65">
      <w:pPr>
        <w:pStyle w:val="Paragraphedeliste"/>
        <w:numPr>
          <w:ilvl w:val="0"/>
          <w:numId w:val="55"/>
        </w:numPr>
        <w:autoSpaceDE w:val="0"/>
        <w:autoSpaceDN w:val="0"/>
        <w:adjustRightInd w:val="0"/>
        <w:spacing w:after="0" w:line="360" w:lineRule="auto"/>
        <w:jc w:val="both"/>
        <w:rPr>
          <w:rFonts w:ascii="Times New Roman" w:hAnsi="Times New Roman"/>
          <w:color w:val="000000"/>
          <w:sz w:val="24"/>
          <w:szCs w:val="24"/>
        </w:rPr>
      </w:pPr>
      <w:r w:rsidRPr="00A06B0A">
        <w:rPr>
          <w:rFonts w:ascii="Times New Roman" w:hAnsi="Times New Roman"/>
          <w:color w:val="000000"/>
          <w:sz w:val="24"/>
          <w:szCs w:val="24"/>
        </w:rPr>
        <w:t>le faire agissant pour quelqu’un : Tous deux doivent servir les intérêts de Rome.</w:t>
      </w:r>
    </w:p>
    <w:p w:rsidR="006A4EED" w:rsidRPr="00A06B0A" w:rsidRDefault="006A4EED" w:rsidP="00230C65">
      <w:pPr>
        <w:pStyle w:val="Paragraphedeliste"/>
        <w:numPr>
          <w:ilvl w:val="0"/>
          <w:numId w:val="55"/>
        </w:numPr>
        <w:autoSpaceDE w:val="0"/>
        <w:autoSpaceDN w:val="0"/>
        <w:adjustRightInd w:val="0"/>
        <w:spacing w:after="0" w:line="360" w:lineRule="auto"/>
        <w:jc w:val="both"/>
        <w:rPr>
          <w:rFonts w:ascii="Times New Roman" w:hAnsi="Times New Roman"/>
          <w:color w:val="000000"/>
          <w:sz w:val="24"/>
          <w:szCs w:val="24"/>
        </w:rPr>
      </w:pPr>
      <w:r w:rsidRPr="00A06B0A">
        <w:rPr>
          <w:rFonts w:ascii="Times New Roman" w:hAnsi="Times New Roman"/>
          <w:color w:val="000000"/>
          <w:sz w:val="24"/>
          <w:szCs w:val="24"/>
        </w:rPr>
        <w:t>le faire agissant avec/contre quelqu’un/quelque chose : Les prêtres demandent aux deux rois la condamnation du Galiléen. Ils en veulent à sa vie parce que craignant que la foule s’intéresse de plus en plus à sa doctrine (nouvelle) qui le place comme Fils du Dieu Très haut.</w:t>
      </w:r>
    </w:p>
    <w:p w:rsidR="006A4EED" w:rsidRPr="00A06B0A" w:rsidRDefault="006A4EED" w:rsidP="006A4EED">
      <w:pPr>
        <w:autoSpaceDE w:val="0"/>
        <w:autoSpaceDN w:val="0"/>
        <w:adjustRightInd w:val="0"/>
        <w:spacing w:after="0" w:line="360" w:lineRule="auto"/>
        <w:jc w:val="both"/>
        <w:rPr>
          <w:rFonts w:ascii="Times New Roman" w:hAnsi="Times New Roman"/>
          <w:color w:val="000000"/>
          <w:sz w:val="8"/>
          <w:szCs w:val="8"/>
        </w:rPr>
      </w:pPr>
    </w:p>
    <w:p w:rsidR="00C15A05" w:rsidRDefault="006A4EED" w:rsidP="00A06B0A">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En définitive, l’identification des différents rôles joués par les personnages en sus personnages reflètent déjà en filigrane leur catégorisation en protagonistes conservateurs et protagonistes modernistes. D’un autre point de vue, cette identification nous permet aussi de voir la position de ces acteurs dans </w:t>
      </w:r>
      <w:r w:rsidRPr="003B00C8">
        <w:rPr>
          <w:rFonts w:ascii="Times New Roman" w:hAnsi="Times New Roman"/>
          <w:i/>
          <w:iCs/>
          <w:color w:val="000000"/>
          <w:sz w:val="24"/>
          <w:szCs w:val="24"/>
        </w:rPr>
        <w:t>la grande syntagmatique</w:t>
      </w:r>
      <w:r w:rsidRPr="003B00C8">
        <w:rPr>
          <w:rFonts w:ascii="Times New Roman" w:hAnsi="Times New Roman"/>
          <w:color w:val="000000"/>
          <w:sz w:val="24"/>
          <w:szCs w:val="24"/>
        </w:rPr>
        <w:t xml:space="preserve"> du récit d’où la prochaine articulation de notre analyse des personnages selon la dimension actantielle.</w:t>
      </w:r>
      <w:r w:rsidR="00C15A05">
        <w:rPr>
          <w:rFonts w:ascii="Times New Roman" w:hAnsi="Times New Roman"/>
          <w:color w:val="000000"/>
          <w:sz w:val="24"/>
          <w:szCs w:val="24"/>
        </w:rPr>
        <w:t xml:space="preserve"> </w:t>
      </w:r>
    </w:p>
    <w:p w:rsidR="00C15A05" w:rsidRPr="00905A0F" w:rsidRDefault="00A06B0A" w:rsidP="00A06B0A">
      <w:pPr>
        <w:pStyle w:val="Titre4"/>
        <w:spacing w:before="0" w:after="0" w:line="360" w:lineRule="auto"/>
        <w:ind w:left="284" w:firstLine="357"/>
        <w:jc w:val="both"/>
        <w:rPr>
          <w:rFonts w:ascii="Times New Roman" w:hAnsi="Times New Roman"/>
          <w:i w:val="0"/>
          <w:iCs/>
        </w:rPr>
      </w:pPr>
      <w:bookmarkStart w:id="115" w:name="_Toc471484486"/>
      <w:r>
        <w:rPr>
          <w:rFonts w:ascii="Times New Roman" w:hAnsi="Times New Roman"/>
          <w:i w:val="0"/>
          <w:iCs/>
        </w:rPr>
        <w:t>5.2.</w:t>
      </w:r>
      <w:r w:rsidRPr="00905A0F">
        <w:rPr>
          <w:rFonts w:ascii="Times New Roman" w:hAnsi="Times New Roman"/>
          <w:i w:val="0"/>
          <w:iCs/>
        </w:rPr>
        <w:t xml:space="preserve"> Dimension</w:t>
      </w:r>
      <w:r w:rsidR="00C15A05" w:rsidRPr="00905A0F">
        <w:rPr>
          <w:rFonts w:ascii="Times New Roman" w:hAnsi="Times New Roman"/>
          <w:i w:val="0"/>
          <w:iCs/>
        </w:rPr>
        <w:t xml:space="preserve"> actantielle</w:t>
      </w:r>
      <w:bookmarkEnd w:id="115"/>
      <w:r w:rsidR="00C15A05" w:rsidRPr="00905A0F">
        <w:rPr>
          <w:rFonts w:ascii="Times New Roman" w:hAnsi="Times New Roman"/>
          <w:i w:val="0"/>
          <w:iCs/>
        </w:rPr>
        <w:t xml:space="preserve"> </w:t>
      </w:r>
    </w:p>
    <w:p w:rsidR="001236FC" w:rsidRDefault="00C15A05" w:rsidP="00A06B0A">
      <w:pPr>
        <w:spacing w:after="0" w:line="360" w:lineRule="auto"/>
        <w:ind w:firstLine="284"/>
        <w:jc w:val="both"/>
        <w:rPr>
          <w:rFonts w:ascii="Times New Roman" w:eastAsia="Times New Roman" w:hAnsi="Times New Roman"/>
          <w:sz w:val="24"/>
          <w:szCs w:val="24"/>
          <w:lang w:eastAsia="fr-FR"/>
        </w:rPr>
      </w:pPr>
      <w:r w:rsidRPr="00A06B0A">
        <w:rPr>
          <w:rFonts w:ascii="Times New Roman" w:eastAsia="Times New Roman" w:hAnsi="Times New Roman"/>
          <w:sz w:val="24"/>
          <w:szCs w:val="24"/>
          <w:lang w:eastAsia="fr-FR"/>
        </w:rPr>
        <w:t xml:space="preserve">Le modèle actantiel a été proposé par Julien Greimas. Son approche permet d’appréhender une action autour de ses personnages, lesquels sont classés en six </w:t>
      </w:r>
      <w:r w:rsidRPr="00A06B0A">
        <w:rPr>
          <w:rFonts w:ascii="Times New Roman" w:eastAsia="Times New Roman" w:hAnsi="Times New Roman"/>
          <w:sz w:val="24"/>
          <w:szCs w:val="24"/>
          <w:lang w:eastAsia="fr-FR"/>
        </w:rPr>
        <w:lastRenderedPageBreak/>
        <w:t xml:space="preserve">facettes ou actants : le sujet, l’objet, le destinateur, le destinataire, l’adjuvant et </w:t>
      </w:r>
      <w:r w:rsidR="006A4EED" w:rsidRPr="00A06B0A">
        <w:rPr>
          <w:rFonts w:ascii="Times New Roman" w:eastAsia="Times New Roman" w:hAnsi="Times New Roman"/>
          <w:sz w:val="24"/>
          <w:szCs w:val="24"/>
          <w:lang w:eastAsia="fr-FR"/>
        </w:rPr>
        <w:t>l’opposant</w:t>
      </w:r>
      <w:r w:rsidR="006A4EED" w:rsidRPr="00A06B0A">
        <w:rPr>
          <w:rStyle w:val="Appelnotedebasdep"/>
          <w:rFonts w:ascii="Times New Roman" w:hAnsi="Times New Roman"/>
          <w:sz w:val="24"/>
          <w:szCs w:val="24"/>
          <w:lang w:eastAsia="fr-FR"/>
        </w:rPr>
        <w:footnoteReference w:id="209"/>
      </w:r>
      <w:r w:rsidR="006A4EED" w:rsidRPr="00A06B0A">
        <w:rPr>
          <w:rFonts w:ascii="Times New Roman" w:eastAsia="Times New Roman" w:hAnsi="Times New Roman"/>
          <w:sz w:val="24"/>
          <w:szCs w:val="24"/>
          <w:lang w:eastAsia="fr-FR"/>
        </w:rPr>
        <w:t>.</w:t>
      </w:r>
      <w:r w:rsidRPr="00A06B0A">
        <w:rPr>
          <w:rFonts w:ascii="Times New Roman" w:eastAsia="Times New Roman" w:hAnsi="Times New Roman"/>
          <w:sz w:val="24"/>
          <w:szCs w:val="24"/>
          <w:lang w:eastAsia="fr-FR"/>
        </w:rPr>
        <w:t xml:space="preserve"> </w:t>
      </w:r>
      <w:r w:rsidR="006A4EED" w:rsidRPr="00A06B0A">
        <w:rPr>
          <w:rFonts w:ascii="Times New Roman" w:eastAsia="Times New Roman" w:hAnsi="Times New Roman"/>
          <w:sz w:val="24"/>
          <w:szCs w:val="24"/>
          <w:lang w:eastAsia="fr-FR"/>
        </w:rPr>
        <w:t>Si l’on applique directement, à titre de compréhension et d’illustration,  ce procédé à notre pièce Barrabas, l’on obtient cette vue d’ensemble :</w:t>
      </w:r>
      <w:r w:rsidR="00A06B0A">
        <w:rPr>
          <w:rFonts w:ascii="Times New Roman" w:eastAsia="Times New Roman" w:hAnsi="Times New Roman"/>
          <w:sz w:val="24"/>
          <w:szCs w:val="24"/>
          <w:lang w:eastAsia="fr-FR"/>
        </w:rPr>
        <w:t xml:space="preserve"> </w:t>
      </w:r>
      <w:r w:rsidR="006A4EED" w:rsidRPr="003B00C8">
        <w:rPr>
          <w:rFonts w:ascii="Times New Roman" w:eastAsia="Times New Roman" w:hAnsi="Times New Roman"/>
          <w:sz w:val="24"/>
          <w:szCs w:val="24"/>
          <w:lang w:eastAsia="fr-FR"/>
        </w:rPr>
        <w:t xml:space="preserve">(1) Le sujet c’est Barabbas lequel souhaite (ou ne souhaite pas) être associé à (2) un objet (dans notre cas donc, le changement des conditions existentielles). (3) Le destinateur c’est est ce qui incite à faire l’action, ici sera le despotisme du pouvoir politique et religieux ; l’injustice des juges, tandis que (4) le destinataire est ce qui ou celui qui en bénéficiera. Dans </w:t>
      </w:r>
      <w:r w:rsidR="006A4EED" w:rsidRPr="003B00C8">
        <w:rPr>
          <w:rFonts w:ascii="Times New Roman" w:eastAsia="Times New Roman" w:hAnsi="Times New Roman"/>
          <w:i/>
          <w:sz w:val="24"/>
          <w:szCs w:val="24"/>
          <w:lang w:eastAsia="fr-FR"/>
        </w:rPr>
        <w:t>Barrabas</w:t>
      </w:r>
      <w:r w:rsidR="006A4EED" w:rsidRPr="003B00C8">
        <w:rPr>
          <w:rFonts w:ascii="Times New Roman" w:eastAsia="Times New Roman" w:hAnsi="Times New Roman"/>
          <w:sz w:val="24"/>
          <w:szCs w:val="24"/>
          <w:lang w:eastAsia="fr-FR"/>
        </w:rPr>
        <w:t xml:space="preserve"> de Ghelderode, le destinataire sera Jésus (dans son dessein de sauver l’humanité). Enfin, (5) un adjuvant (Le peuple des gueux) aide à la réalisation de l’action, tandis qu’un (6) opposant (l’autorité religieuse) y nuit.</w:t>
      </w:r>
    </w:p>
    <w:p w:rsidR="006D5C86" w:rsidRPr="003B00C8" w:rsidRDefault="006A4EED" w:rsidP="00AA10A6">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Nous ferons la différence, avec Greimas, entre le modèle actantiel en tant que réseau conceptuel et le même modèle en tant que représentation visuelle de ce réseau. Le réseau conceptuel, représenté sous forme de schéma prendra chez </w:t>
      </w:r>
      <w:r w:rsidRPr="003B00C8">
        <w:rPr>
          <w:rFonts w:ascii="Times New Roman" w:eastAsia="Times New Roman" w:hAnsi="Times New Roman"/>
          <w:i/>
          <w:sz w:val="24"/>
          <w:szCs w:val="24"/>
          <w:lang w:eastAsia="fr-FR"/>
        </w:rPr>
        <w:t>Barrabas</w:t>
      </w:r>
      <w:r w:rsidRPr="003B00C8">
        <w:rPr>
          <w:rFonts w:ascii="Times New Roman" w:eastAsia="Times New Roman" w:hAnsi="Times New Roman"/>
          <w:sz w:val="24"/>
          <w:szCs w:val="24"/>
          <w:lang w:eastAsia="fr-FR"/>
        </w:rPr>
        <w:t xml:space="preserve"> cette allure :</w:t>
      </w:r>
    </w:p>
    <w:p w:rsidR="006A4EED" w:rsidRPr="003B00C8" w:rsidRDefault="00D27910" w:rsidP="007B594F">
      <w:pPr>
        <w:pBdr>
          <w:top w:val="single" w:sz="4" w:space="1" w:color="auto"/>
          <w:left w:val="single" w:sz="4" w:space="4" w:color="auto"/>
          <w:bottom w:val="single" w:sz="4" w:space="1" w:color="auto"/>
          <w:right w:val="single" w:sz="4" w:space="25" w:color="auto"/>
        </w:pBdr>
        <w:spacing w:line="360" w:lineRule="auto"/>
        <w:jc w:val="both"/>
        <w:rPr>
          <w:rFonts w:ascii="Times New Roman" w:hAnsi="Times New Roman"/>
          <w:sz w:val="24"/>
          <w:szCs w:val="24"/>
        </w:rPr>
      </w:pPr>
      <w:r w:rsidRPr="00D27910">
        <w:rPr>
          <w:rFonts w:ascii="Times New Roman" w:hAnsi="Times New Roman"/>
          <w:noProof/>
        </w:rPr>
        <w:pict>
          <v:shape id="Connecteur droit avec flèche 21" o:spid="_x0000_s1075" type="#_x0000_t32" style="position:absolute;left:0;text-align:left;margin-left:255pt;margin-top:23.45pt;width:62.25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">
            <v:stroke endarrow="block"/>
          </v:shape>
        </w:pict>
      </w:r>
      <w:r w:rsidRPr="00D27910">
        <w:rPr>
          <w:rFonts w:ascii="Times New Roman" w:hAnsi="Times New Roman"/>
          <w:noProof/>
        </w:rPr>
        <w:pict>
          <v:shape id="Connecteur droit avec flèche 20" o:spid="_x0000_s1073" type="#_x0000_t32" style="position:absolute;left:0;text-align:left;margin-left:105pt;margin-top:23.45pt;width:69pt;height:.75pt;flip:y;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">
            <v:stroke endarrow="block"/>
          </v:shape>
        </w:pict>
      </w:r>
      <w:r w:rsidRPr="00D27910">
        <w:rPr>
          <w:rFonts w:ascii="Times New Roman" w:hAnsi="Times New Roman"/>
          <w:noProof/>
        </w:rPr>
        <w:pict>
          <v:roundrect id="Rectangle à coins arrondis 19" o:spid="_x0000_s1063" style="position:absolute;left:0;text-align:left;margin-left:177.75pt;margin-top:4.7pt;width:77.25pt;height:34.5pt;z-index:2516490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" fillcolor="#eeece1 [3214]">
            <v:textbox style="mso-next-textbox:#Rectangle à coins arrondis 19">
              <w:txbxContent>
                <w:p w:rsidR="006C092A" w:rsidRPr="001E4DF1" w:rsidRDefault="006C092A" w:rsidP="006A4EED">
                  <w:pPr>
                    <w:jc w:val="center"/>
                    <w:rPr>
                      <w:rFonts w:ascii="Times New Roman" w:hAnsi="Times New Roman"/>
                      <w:sz w:val="24"/>
                      <w:szCs w:val="24"/>
                    </w:rPr>
                  </w:pPr>
                  <w:r w:rsidRPr="001E4DF1">
                    <w:rPr>
                      <w:rFonts w:ascii="Times New Roman" w:hAnsi="Times New Roman"/>
                      <w:sz w:val="24"/>
                      <w:szCs w:val="24"/>
                    </w:rPr>
                    <w:t>SUJET</w:t>
                  </w:r>
                </w:p>
              </w:txbxContent>
            </v:textbox>
          </v:roundrect>
        </w:pict>
      </w:r>
      <w:r w:rsidRPr="00D27910">
        <w:rPr>
          <w:rFonts w:ascii="Times New Roman" w:hAnsi="Times New Roman"/>
          <w:noProof/>
        </w:rPr>
        <w:pict>
          <v:roundrect id="Rectangle à coins arrondis 18" o:spid="_x0000_s1065" style="position:absolute;left:0;text-align:left;margin-left:317.25pt;margin-top:5.45pt;width:115.5pt;height:33.75pt;z-index:2516510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" fillcolor="#eeece1 [3214]">
            <v:textbox style="mso-next-textbox:#Rectangle à coins arrondis 18">
              <w:txbxContent>
                <w:p w:rsidR="006C092A" w:rsidRPr="001E4DF1" w:rsidRDefault="006C092A" w:rsidP="006A4EED">
                  <w:pPr>
                    <w:jc w:val="center"/>
                    <w:rPr>
                      <w:rFonts w:ascii="Times New Roman" w:hAnsi="Times New Roman"/>
                      <w:sz w:val="24"/>
                      <w:szCs w:val="24"/>
                    </w:rPr>
                  </w:pPr>
                  <w:r w:rsidRPr="001E4DF1">
                    <w:rPr>
                      <w:rFonts w:ascii="Times New Roman" w:hAnsi="Times New Roman"/>
                      <w:sz w:val="24"/>
                      <w:szCs w:val="24"/>
                    </w:rPr>
                    <w:t>DESTINATAIRE</w:t>
                  </w:r>
                </w:p>
              </w:txbxContent>
            </v:textbox>
          </v:roundrect>
        </w:pict>
      </w:r>
      <w:r w:rsidRPr="00D27910">
        <w:rPr>
          <w:rFonts w:ascii="Times New Roman" w:hAnsi="Times New Roman"/>
          <w:noProof/>
        </w:rPr>
        <w:pict>
          <v:roundrect id="Rectangle à coins arrondis 17" o:spid="_x0000_s1061" style="position:absolute;left:0;text-align:left;margin-left:-1.5pt;margin-top:5.45pt;width:106.5pt;height:35.25pt;z-index:251646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" fillcolor="#eeece1 [3214]">
            <v:textbox style="mso-next-textbox:#Rectangle à coins arrondis 17">
              <w:txbxContent>
                <w:p w:rsidR="006C092A" w:rsidRPr="001E4DF1" w:rsidRDefault="006C092A" w:rsidP="006A4EED">
                  <w:pPr>
                    <w:jc w:val="center"/>
                    <w:rPr>
                      <w:rFonts w:ascii="Times New Roman" w:hAnsi="Times New Roman"/>
                      <w:sz w:val="24"/>
                      <w:szCs w:val="24"/>
                    </w:rPr>
                  </w:pPr>
                  <w:r w:rsidRPr="001E4DF1">
                    <w:rPr>
                      <w:rFonts w:ascii="Times New Roman" w:hAnsi="Times New Roman"/>
                      <w:sz w:val="24"/>
                      <w:szCs w:val="24"/>
                    </w:rPr>
                    <w:t>DESTINATEUR</w:t>
                  </w:r>
                </w:p>
              </w:txbxContent>
            </v:textbox>
          </v:roundrect>
        </w:pict>
      </w:r>
    </w:p>
    <w:p w:rsidR="006A4EED" w:rsidRPr="003B00C8" w:rsidRDefault="006A4EED" w:rsidP="007B594F">
      <w:pPr>
        <w:pBdr>
          <w:top w:val="single" w:sz="4" w:space="1" w:color="auto"/>
          <w:left w:val="single" w:sz="4" w:space="4" w:color="auto"/>
          <w:bottom w:val="single" w:sz="4" w:space="1" w:color="auto"/>
          <w:right w:val="single" w:sz="4" w:space="25" w:color="auto"/>
        </w:pBdr>
        <w:spacing w:line="360" w:lineRule="auto"/>
        <w:jc w:val="both"/>
        <w:rPr>
          <w:rFonts w:ascii="Times New Roman" w:hAnsi="Times New Roman"/>
          <w:sz w:val="24"/>
          <w:szCs w:val="24"/>
        </w:rPr>
      </w:pPr>
    </w:p>
    <w:p w:rsidR="00AA10A6" w:rsidRDefault="006A4EED" w:rsidP="00AA10A6">
      <w:pPr>
        <w:pBdr>
          <w:top w:val="single" w:sz="4" w:space="1" w:color="auto"/>
          <w:left w:val="single" w:sz="4" w:space="4" w:color="auto"/>
          <w:bottom w:val="single" w:sz="4" w:space="1" w:color="auto"/>
          <w:right w:val="single" w:sz="4" w:space="25" w:color="auto"/>
        </w:pBdr>
        <w:spacing w:after="0" w:line="240" w:lineRule="auto"/>
        <w:jc w:val="both"/>
        <w:rPr>
          <w:rFonts w:ascii="Times New Roman" w:hAnsi="Times New Roman"/>
        </w:rPr>
      </w:pPr>
      <w:r w:rsidRPr="003B00C8">
        <w:rPr>
          <w:rFonts w:ascii="Times New Roman" w:hAnsi="Times New Roman"/>
          <w:sz w:val="24"/>
          <w:szCs w:val="24"/>
        </w:rPr>
        <w:t>-</w:t>
      </w:r>
      <w:r w:rsidRPr="007B594F">
        <w:rPr>
          <w:rFonts w:ascii="Times New Roman" w:hAnsi="Times New Roman"/>
        </w:rPr>
        <w:t>Despotisme du pouvoir politique            Barabbas                            -Jésus et</w:t>
      </w:r>
      <w:r w:rsidR="007B594F" w:rsidRPr="007B594F">
        <w:rPr>
          <w:rFonts w:ascii="Times New Roman" w:hAnsi="Times New Roman"/>
        </w:rPr>
        <w:t xml:space="preserve"> </w:t>
      </w:r>
      <w:r w:rsidRPr="007B594F">
        <w:rPr>
          <w:rFonts w:ascii="Times New Roman" w:hAnsi="Times New Roman"/>
        </w:rPr>
        <w:t xml:space="preserve"> </w:t>
      </w:r>
      <w:r w:rsidR="00AA10A6">
        <w:rPr>
          <w:rFonts w:ascii="Times New Roman" w:hAnsi="Times New Roman"/>
        </w:rPr>
        <w:t>Humanité</w:t>
      </w:r>
      <w:r w:rsidRPr="007B594F">
        <w:rPr>
          <w:rFonts w:ascii="Times New Roman" w:hAnsi="Times New Roman"/>
        </w:rPr>
        <w:t xml:space="preserve"> </w:t>
      </w:r>
    </w:p>
    <w:p w:rsidR="006A4EED" w:rsidRDefault="00D27910" w:rsidP="00AA10A6">
      <w:pPr>
        <w:pBdr>
          <w:top w:val="single" w:sz="4" w:space="1" w:color="auto"/>
          <w:left w:val="single" w:sz="4" w:space="4" w:color="auto"/>
          <w:bottom w:val="single" w:sz="4" w:space="1" w:color="auto"/>
          <w:right w:val="single" w:sz="4" w:space="25" w:color="auto"/>
        </w:pBdr>
        <w:spacing w:after="0" w:line="240" w:lineRule="auto"/>
        <w:jc w:val="both"/>
        <w:rPr>
          <w:rFonts w:ascii="Times New Roman" w:hAnsi="Times New Roman"/>
        </w:rPr>
      </w:pPr>
      <w:r>
        <w:rPr>
          <w:rFonts w:ascii="Times New Roman" w:hAnsi="Times New Roman"/>
          <w:noProof/>
        </w:rPr>
        <w:pict>
          <v:shape id="Connecteur droit avec flèche 16" o:spid="_x0000_s1077" type="#_x0000_t32" style="position:absolute;left:0;text-align:left;margin-left:182.35pt;margin-top:40.5pt;width:71.3pt;height:0;rotation:9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" adj="-100396,-1,-100396">
            <v:stroke endarrow="block"/>
          </v:shape>
        </w:pict>
      </w:r>
      <w:proofErr w:type="gramStart"/>
      <w:r w:rsidR="0063586E">
        <w:rPr>
          <w:rFonts w:ascii="Times New Roman" w:hAnsi="Times New Roman"/>
        </w:rPr>
        <w:t>et</w:t>
      </w:r>
      <w:proofErr w:type="gramEnd"/>
      <w:r w:rsidR="0063586E">
        <w:rPr>
          <w:rFonts w:ascii="Times New Roman" w:hAnsi="Times New Roman"/>
        </w:rPr>
        <w:t xml:space="preserve"> </w:t>
      </w:r>
      <w:r w:rsidR="006A4EED" w:rsidRPr="007B594F">
        <w:rPr>
          <w:rFonts w:ascii="Times New Roman" w:hAnsi="Times New Roman"/>
        </w:rPr>
        <w:t>religieux</w:t>
      </w:r>
    </w:p>
    <w:p w:rsidR="00AA10A6" w:rsidRDefault="00AA10A6" w:rsidP="00AA10A6">
      <w:pPr>
        <w:pBdr>
          <w:top w:val="single" w:sz="4" w:space="1" w:color="auto"/>
          <w:left w:val="single" w:sz="4" w:space="4" w:color="auto"/>
          <w:bottom w:val="single" w:sz="4" w:space="1" w:color="auto"/>
          <w:right w:val="single" w:sz="4" w:space="25" w:color="auto"/>
        </w:pBdr>
        <w:spacing w:after="0" w:line="240" w:lineRule="auto"/>
        <w:jc w:val="both"/>
        <w:rPr>
          <w:rFonts w:ascii="Times New Roman" w:hAnsi="Times New Roman"/>
        </w:rPr>
      </w:pPr>
    </w:p>
    <w:p w:rsidR="006A4EED" w:rsidRPr="007B594F" w:rsidRDefault="006A4EED" w:rsidP="007B594F">
      <w:pPr>
        <w:pBdr>
          <w:top w:val="single" w:sz="4" w:space="1" w:color="auto"/>
          <w:left w:val="single" w:sz="4" w:space="4" w:color="auto"/>
          <w:bottom w:val="single" w:sz="4" w:space="1" w:color="auto"/>
          <w:right w:val="single" w:sz="4" w:space="25" w:color="auto"/>
        </w:pBdr>
        <w:spacing w:line="360" w:lineRule="auto"/>
        <w:jc w:val="both"/>
        <w:rPr>
          <w:rFonts w:ascii="Times New Roman" w:hAnsi="Times New Roman"/>
        </w:rPr>
      </w:pPr>
      <w:r w:rsidRPr="007B594F">
        <w:rPr>
          <w:rFonts w:ascii="Times New Roman" w:hAnsi="Times New Roman"/>
        </w:rPr>
        <w:t xml:space="preserve">-L’injustice des juges                              </w:t>
      </w:r>
    </w:p>
    <w:p w:rsidR="006A4EED" w:rsidRPr="003B00C8" w:rsidRDefault="00D27910" w:rsidP="007B594F">
      <w:pPr>
        <w:pBdr>
          <w:top w:val="single" w:sz="4" w:space="1" w:color="auto"/>
          <w:left w:val="single" w:sz="4" w:space="4" w:color="auto"/>
          <w:bottom w:val="single" w:sz="4" w:space="1" w:color="auto"/>
          <w:right w:val="single" w:sz="4" w:space="25" w:color="auto"/>
        </w:pBdr>
        <w:spacing w:line="360" w:lineRule="auto"/>
        <w:jc w:val="both"/>
        <w:rPr>
          <w:rFonts w:ascii="Times New Roman" w:hAnsi="Times New Roman"/>
          <w:sz w:val="24"/>
          <w:szCs w:val="24"/>
        </w:rPr>
      </w:pPr>
      <w:r w:rsidRPr="00D27910">
        <w:rPr>
          <w:rFonts w:ascii="Times New Roman" w:hAnsi="Times New Roman"/>
          <w:noProof/>
        </w:rPr>
        <w:pict>
          <v:roundrect id="Rectangle à coins arrondis 15" o:spid="_x0000_s1069" style="position:absolute;left:0;text-align:left;margin-left:326.25pt;margin-top:15.35pt;width:106.5pt;height:35.25pt;z-index:251655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" fillcolor="#eeece1 [3214]">
            <v:textbox style="mso-next-textbox:#Rectangle à coins arrondis 15">
              <w:txbxContent>
                <w:p w:rsidR="006C092A" w:rsidRPr="001E4DF1" w:rsidRDefault="006C092A" w:rsidP="006A4EED">
                  <w:pPr>
                    <w:jc w:val="center"/>
                    <w:rPr>
                      <w:rFonts w:ascii="Times New Roman" w:hAnsi="Times New Roman"/>
                      <w:sz w:val="24"/>
                      <w:szCs w:val="24"/>
                    </w:rPr>
                  </w:pPr>
                  <w:r w:rsidRPr="001E4DF1">
                    <w:rPr>
                      <w:rFonts w:ascii="Times New Roman" w:hAnsi="Times New Roman"/>
                      <w:sz w:val="24"/>
                      <w:szCs w:val="24"/>
                    </w:rPr>
                    <w:t>ADJUVANTS</w:t>
                  </w:r>
                </w:p>
              </w:txbxContent>
            </v:textbox>
          </v:roundrect>
        </w:pict>
      </w:r>
      <w:r w:rsidRPr="00D27910">
        <w:rPr>
          <w:rFonts w:ascii="Times New Roman" w:hAnsi="Times New Roman"/>
          <w:noProof/>
        </w:rPr>
        <w:pict>
          <v:roundrect id="Rectangle à coins arrondis 13" o:spid="_x0000_s1067" style="position:absolute;left:0;text-align:left;margin-left:9.75pt;margin-top:26.05pt;width:106.5pt;height:35.25pt;z-index:2516531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" fillcolor="#eeece1 [3214]">
            <v:textbox style="mso-next-textbox:#Rectangle à coins arrondis 13">
              <w:txbxContent>
                <w:p w:rsidR="006C092A" w:rsidRPr="001E4DF1" w:rsidRDefault="006C092A" w:rsidP="006A4EED">
                  <w:pPr>
                    <w:jc w:val="center"/>
                    <w:rPr>
                      <w:rFonts w:ascii="Times New Roman" w:hAnsi="Times New Roman"/>
                      <w:sz w:val="24"/>
                      <w:szCs w:val="24"/>
                    </w:rPr>
                  </w:pPr>
                  <w:r w:rsidRPr="001E4DF1">
                    <w:rPr>
                      <w:rFonts w:ascii="Times New Roman" w:hAnsi="Times New Roman"/>
                      <w:sz w:val="24"/>
                      <w:szCs w:val="24"/>
                    </w:rPr>
                    <w:t>OPPOSANTS</w:t>
                  </w:r>
                </w:p>
              </w:txbxContent>
            </v:textbox>
          </v:roundrect>
        </w:pict>
      </w:r>
      <w:r w:rsidRPr="00D27910">
        <w:rPr>
          <w:rFonts w:ascii="Times New Roman" w:hAnsi="Times New Roman"/>
          <w:noProof/>
        </w:rPr>
        <w:pict>
          <v:roundrect id="Rectangle à coins arrondis 14" o:spid="_x0000_s1071" style="position:absolute;left:0;text-align:left;margin-left:189.75pt;margin-top:21.85pt;width:65.25pt;height:35.25pt;z-index:2516572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" fillcolor="#eeece1 [3214]">
            <v:textbox style="mso-next-textbox:#Rectangle à coins arrondis 14">
              <w:txbxContent>
                <w:p w:rsidR="006C092A" w:rsidRPr="001E4DF1" w:rsidRDefault="006C092A" w:rsidP="006A4EED">
                  <w:pPr>
                    <w:jc w:val="center"/>
                    <w:rPr>
                      <w:rFonts w:ascii="Times New Roman" w:hAnsi="Times New Roman"/>
                      <w:sz w:val="24"/>
                      <w:szCs w:val="24"/>
                    </w:rPr>
                  </w:pPr>
                  <w:r w:rsidRPr="001E4DF1">
                    <w:rPr>
                      <w:rFonts w:ascii="Times New Roman" w:hAnsi="Times New Roman"/>
                      <w:sz w:val="24"/>
                      <w:szCs w:val="24"/>
                    </w:rPr>
                    <w:t>OBJET</w:t>
                  </w:r>
                </w:p>
              </w:txbxContent>
            </v:textbox>
          </v:roundrect>
        </w:pict>
      </w:r>
      <w:r w:rsidR="006A4EED" w:rsidRPr="003B00C8">
        <w:rPr>
          <w:rFonts w:ascii="Times New Roman" w:hAnsi="Times New Roman"/>
          <w:sz w:val="24"/>
          <w:szCs w:val="24"/>
        </w:rPr>
        <w:t xml:space="preserve">                                                                                                    </w:t>
      </w:r>
    </w:p>
    <w:p w:rsidR="006A4EED" w:rsidRPr="003B00C8" w:rsidRDefault="00D27910" w:rsidP="007B594F">
      <w:pPr>
        <w:pBdr>
          <w:top w:val="single" w:sz="4" w:space="1" w:color="auto"/>
          <w:left w:val="single" w:sz="4" w:space="4" w:color="auto"/>
          <w:bottom w:val="single" w:sz="4" w:space="1" w:color="auto"/>
          <w:right w:val="single" w:sz="4" w:space="25" w:color="auto"/>
        </w:pBdr>
        <w:spacing w:line="360" w:lineRule="auto"/>
        <w:jc w:val="both"/>
        <w:rPr>
          <w:rFonts w:ascii="Times New Roman" w:hAnsi="Times New Roman"/>
          <w:sz w:val="24"/>
          <w:szCs w:val="24"/>
        </w:rPr>
      </w:pPr>
      <w:r w:rsidRPr="00D27910">
        <w:rPr>
          <w:rFonts w:ascii="Times New Roman" w:hAnsi="Times New Roman"/>
          <w:noProof/>
        </w:rPr>
        <w:pict>
          <v:line id="Connecteur droit 12" o:spid="_x0000_s1085" style="position:absolute;left:0;text-align:left;z-index:251671552;visibility:visible" from="312.6pt,19.95pt" to="312.6pt,1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"/>
        </w:pict>
      </w:r>
      <w:r w:rsidRPr="00D27910">
        <w:rPr>
          <w:rFonts w:ascii="Times New Roman" w:hAnsi="Times New Roman"/>
          <w:noProof/>
        </w:rPr>
        <w:pict>
          <v:line id="Connecteur droit 11" o:spid="_x0000_s1083" style="position:absolute;left:0;text-align:left;z-index:251669504;visibility:visible" from="124.45pt,23.4pt" to="124.45pt,1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"/>
        </w:pict>
      </w:r>
      <w:r w:rsidRPr="00D27910">
        <w:rPr>
          <w:rFonts w:ascii="Times New Roman" w:hAnsi="Times New Roman"/>
          <w:noProof/>
        </w:rPr>
        <w:pict>
          <v:shape id="Connecteur droit avec flèche 9" o:spid="_x0000_s1079" type="#_x0000_t34" style="position:absolute;left:0;text-align:left;margin-left:116.25pt;margin-top:19.9pt;width:70.35pt;height:.0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" adj="10792,-252374400,-70511">
            <v:stroke endarrow="block"/>
          </v:shape>
        </w:pict>
      </w:r>
      <w:r w:rsidRPr="00D27910">
        <w:rPr>
          <w:rFonts w:ascii="Times New Roman" w:hAnsi="Times New Roman"/>
          <w:noProof/>
        </w:rPr>
        <w:pict>
          <v:shape id="Connecteur droit avec flèche 10" o:spid="_x0000_s1081" type="#_x0000_t32" style="position:absolute;left:0;text-align:left;margin-left:265.15pt;margin-top:13.5pt;width:58.8pt;height:0;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" adj="-135331,-1,-135331">
            <v:stroke endarrow="block"/>
          </v:shape>
        </w:pict>
      </w:r>
    </w:p>
    <w:p w:rsidR="006A4EED" w:rsidRPr="003B00C8" w:rsidRDefault="006A4EED" w:rsidP="007B594F">
      <w:pPr>
        <w:pBdr>
          <w:top w:val="single" w:sz="4" w:space="1" w:color="auto"/>
          <w:left w:val="single" w:sz="4" w:space="4" w:color="auto"/>
          <w:bottom w:val="single" w:sz="4" w:space="1" w:color="auto"/>
          <w:right w:val="single" w:sz="4" w:space="25" w:color="auto"/>
        </w:pBdr>
        <w:spacing w:line="360" w:lineRule="auto"/>
        <w:jc w:val="both"/>
        <w:rPr>
          <w:rFonts w:ascii="Times New Roman" w:hAnsi="Times New Roman"/>
          <w:sz w:val="24"/>
          <w:szCs w:val="24"/>
        </w:rPr>
      </w:pPr>
    </w:p>
    <w:p w:rsidR="006A4EED" w:rsidRPr="003B00C8" w:rsidRDefault="006A4EED" w:rsidP="00AA10A6">
      <w:pPr>
        <w:pBdr>
          <w:top w:val="single" w:sz="4" w:space="1" w:color="auto"/>
          <w:left w:val="single" w:sz="4" w:space="4" w:color="auto"/>
          <w:bottom w:val="single" w:sz="4" w:space="1" w:color="auto"/>
          <w:right w:val="single" w:sz="4" w:space="25" w:color="auto"/>
        </w:pBdr>
        <w:spacing w:after="0" w:line="360" w:lineRule="auto"/>
        <w:jc w:val="both"/>
        <w:rPr>
          <w:rFonts w:ascii="Times New Roman" w:hAnsi="Times New Roman"/>
        </w:rPr>
      </w:pPr>
      <w:r w:rsidRPr="003B00C8">
        <w:rPr>
          <w:rFonts w:ascii="Times New Roman" w:hAnsi="Times New Roman"/>
          <w:b/>
          <w:bCs/>
        </w:rPr>
        <w:t>-</w:t>
      </w:r>
      <w:r w:rsidRPr="003B00C8">
        <w:rPr>
          <w:rFonts w:ascii="Times New Roman" w:hAnsi="Times New Roman"/>
        </w:rPr>
        <w:t xml:space="preserve">L’autorité politique               </w:t>
      </w:r>
      <w:r w:rsidRPr="003B00C8">
        <w:rPr>
          <w:rFonts w:ascii="Times New Roman" w:hAnsi="Times New Roman"/>
          <w:b/>
          <w:bCs/>
        </w:rPr>
        <w:t>-</w:t>
      </w:r>
      <w:r w:rsidRPr="003B00C8">
        <w:rPr>
          <w:rFonts w:ascii="Times New Roman" w:hAnsi="Times New Roman"/>
        </w:rPr>
        <w:t xml:space="preserve"> Changer les conditions  existentielles          -  Le peuple</w:t>
      </w:r>
      <w:r w:rsidR="00AA10A6">
        <w:rPr>
          <w:rFonts w:ascii="Times New Roman" w:hAnsi="Times New Roman"/>
        </w:rPr>
        <w:t xml:space="preserve"> </w:t>
      </w:r>
      <w:r w:rsidR="00AA10A6" w:rsidRPr="003B00C8">
        <w:rPr>
          <w:rFonts w:ascii="Times New Roman" w:hAnsi="Times New Roman"/>
        </w:rPr>
        <w:t>des</w:t>
      </w:r>
      <w:r w:rsidRPr="003B00C8">
        <w:rPr>
          <w:rFonts w:ascii="Times New Roman" w:hAnsi="Times New Roman"/>
        </w:rPr>
        <w:t xml:space="preserve">                                                                                                                </w:t>
      </w:r>
    </w:p>
    <w:p w:rsidR="006A4EED" w:rsidRPr="003B00C8" w:rsidRDefault="006A4EED" w:rsidP="007B594F">
      <w:pPr>
        <w:pBdr>
          <w:top w:val="single" w:sz="4" w:space="1" w:color="auto"/>
          <w:left w:val="single" w:sz="4" w:space="4" w:color="auto"/>
          <w:bottom w:val="single" w:sz="4" w:space="1" w:color="auto"/>
          <w:right w:val="single" w:sz="4" w:space="25" w:color="auto"/>
        </w:pBdr>
        <w:spacing w:after="0" w:line="360" w:lineRule="auto"/>
        <w:jc w:val="both"/>
        <w:rPr>
          <w:rFonts w:ascii="Times New Roman" w:hAnsi="Times New Roman"/>
        </w:rPr>
      </w:pPr>
      <w:r w:rsidRPr="003B00C8">
        <w:rPr>
          <w:rFonts w:ascii="Times New Roman" w:hAnsi="Times New Roman"/>
        </w:rPr>
        <w:t xml:space="preserve">                                                                                                                                 </w:t>
      </w:r>
      <w:proofErr w:type="gramStart"/>
      <w:r w:rsidRPr="003B00C8">
        <w:rPr>
          <w:rFonts w:ascii="Times New Roman" w:hAnsi="Times New Roman"/>
        </w:rPr>
        <w:t>gueux</w:t>
      </w:r>
      <w:proofErr w:type="gramEnd"/>
    </w:p>
    <w:p w:rsidR="006A4EED" w:rsidRPr="003B00C8" w:rsidRDefault="006A4EED" w:rsidP="007B594F">
      <w:pPr>
        <w:pBdr>
          <w:top w:val="single" w:sz="4" w:space="1" w:color="auto"/>
          <w:left w:val="single" w:sz="4" w:space="4" w:color="auto"/>
          <w:bottom w:val="single" w:sz="4" w:space="1" w:color="auto"/>
          <w:right w:val="single" w:sz="4" w:space="25" w:color="auto"/>
        </w:pBdr>
        <w:spacing w:after="0" w:line="360" w:lineRule="auto"/>
        <w:jc w:val="both"/>
        <w:rPr>
          <w:rFonts w:ascii="Times New Roman" w:hAnsi="Times New Roman"/>
          <w:sz w:val="24"/>
          <w:szCs w:val="24"/>
        </w:rPr>
      </w:pPr>
      <w:r w:rsidRPr="003B00C8">
        <w:rPr>
          <w:rFonts w:ascii="Times New Roman" w:hAnsi="Times New Roman"/>
          <w:b/>
          <w:bCs/>
        </w:rPr>
        <w:t xml:space="preserve"> -</w:t>
      </w:r>
      <w:r w:rsidRPr="003B00C8">
        <w:rPr>
          <w:rFonts w:ascii="Times New Roman" w:hAnsi="Times New Roman"/>
        </w:rPr>
        <w:t xml:space="preserve">Les gueux et la religieuse                </w:t>
      </w:r>
      <w:r w:rsidRPr="003B00C8">
        <w:rPr>
          <w:rFonts w:ascii="Times New Roman" w:hAnsi="Times New Roman"/>
          <w:b/>
          <w:bCs/>
        </w:rPr>
        <w:t>-</w:t>
      </w:r>
      <w:r w:rsidRPr="003B00C8">
        <w:rPr>
          <w:rFonts w:ascii="Times New Roman" w:hAnsi="Times New Roman"/>
        </w:rPr>
        <w:t>Vengeances</w:t>
      </w:r>
      <w:r w:rsidRPr="003B00C8">
        <w:rPr>
          <w:rFonts w:ascii="Times New Roman" w:hAnsi="Times New Roman"/>
          <w:sz w:val="24"/>
          <w:szCs w:val="24"/>
        </w:rPr>
        <w:t>.</w:t>
      </w:r>
    </w:p>
    <w:p w:rsidR="006A4EED" w:rsidRPr="002B7B1C" w:rsidRDefault="006A4EED" w:rsidP="006A4EED">
      <w:pPr>
        <w:rPr>
          <w:rFonts w:ascii="Times New Roman" w:hAnsi="Times New Roman"/>
          <w:b/>
          <w:bCs/>
          <w:sz w:val="12"/>
          <w:szCs w:val="12"/>
        </w:rPr>
      </w:pPr>
      <w:r>
        <w:rPr>
          <w:rFonts w:ascii="Times New Roman" w:hAnsi="Times New Roman"/>
          <w:b/>
          <w:bCs/>
          <w:sz w:val="24"/>
          <w:szCs w:val="24"/>
        </w:rPr>
        <w:t xml:space="preserve">                                          </w:t>
      </w:r>
    </w:p>
    <w:p w:rsidR="006A4EED" w:rsidRPr="00E21080" w:rsidRDefault="006A4EED" w:rsidP="00F834B2">
      <w:pPr>
        <w:jc w:val="center"/>
        <w:rPr>
          <w:rFonts w:ascii="Times New Roman" w:hAnsi="Times New Roman"/>
          <w:b/>
          <w:bCs/>
          <w:sz w:val="24"/>
          <w:szCs w:val="24"/>
        </w:rPr>
      </w:pPr>
      <w:r w:rsidRPr="005B1F67">
        <w:rPr>
          <w:rFonts w:ascii="Times New Roman" w:hAnsi="Times New Roman"/>
          <w:b/>
          <w:bCs/>
          <w:sz w:val="24"/>
          <w:szCs w:val="24"/>
        </w:rPr>
        <w:t xml:space="preserve">Figure 7 : </w:t>
      </w:r>
      <w:r w:rsidR="00F834B2">
        <w:rPr>
          <w:rFonts w:ascii="Times New Roman" w:hAnsi="Times New Roman"/>
          <w:b/>
          <w:bCs/>
          <w:sz w:val="24"/>
          <w:szCs w:val="24"/>
        </w:rPr>
        <w:t>S</w:t>
      </w:r>
      <w:r>
        <w:rPr>
          <w:rFonts w:ascii="Times New Roman" w:hAnsi="Times New Roman"/>
          <w:b/>
          <w:bCs/>
          <w:sz w:val="24"/>
          <w:szCs w:val="24"/>
        </w:rPr>
        <w:t xml:space="preserve">chéma actanciel de </w:t>
      </w:r>
      <w:r w:rsidRPr="005B1F67">
        <w:rPr>
          <w:rFonts w:ascii="Times New Roman" w:hAnsi="Times New Roman"/>
          <w:b/>
          <w:bCs/>
          <w:i/>
          <w:iCs/>
          <w:sz w:val="24"/>
          <w:szCs w:val="24"/>
        </w:rPr>
        <w:t>Bara</w:t>
      </w:r>
      <w:r w:rsidR="000E08F0">
        <w:rPr>
          <w:rFonts w:ascii="Times New Roman" w:hAnsi="Times New Roman"/>
          <w:b/>
          <w:bCs/>
          <w:i/>
          <w:iCs/>
          <w:sz w:val="24"/>
          <w:szCs w:val="24"/>
        </w:rPr>
        <w:t>b</w:t>
      </w:r>
      <w:r w:rsidRPr="005B1F67">
        <w:rPr>
          <w:rFonts w:ascii="Times New Roman" w:hAnsi="Times New Roman"/>
          <w:b/>
          <w:bCs/>
          <w:i/>
          <w:iCs/>
          <w:sz w:val="24"/>
          <w:szCs w:val="24"/>
        </w:rPr>
        <w:t>bas</w:t>
      </w:r>
    </w:p>
    <w:p w:rsidR="000578E7" w:rsidRDefault="006A4EED" w:rsidP="007B594F">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Alors qu’est ce qu’un actant ? Selon Louis Hébert qui nous inspire ici, il ne correspond pas toujours à un personnage, au sens classique du terme. Du point de vue en effet de l’ontologie naïve,  un actant,  nous dit Hebert</w:t>
      </w:r>
      <w:r w:rsidR="000578E7">
        <w:rPr>
          <w:rStyle w:val="Appelnotedebasdep"/>
          <w:rFonts w:ascii="Times New Roman" w:eastAsia="Times New Roman" w:hAnsi="Times New Roman"/>
          <w:sz w:val="24"/>
          <w:szCs w:val="24"/>
          <w:lang w:eastAsia="fr-FR"/>
        </w:rPr>
        <w:footnoteReference w:id="210"/>
      </w:r>
      <w:r w:rsidRPr="003B00C8">
        <w:rPr>
          <w:rFonts w:ascii="Times New Roman" w:eastAsia="Times New Roman" w:hAnsi="Times New Roman"/>
          <w:sz w:val="24"/>
          <w:szCs w:val="24"/>
          <w:lang w:eastAsia="fr-FR"/>
        </w:rPr>
        <w:t>, peut représenter : (1) un être anthropomorphe ; (2) un élément inanimé concret, incluant les choses, mais ne s’y limitant pas; (3) un concept. Par ailleurs, il peut être individuel ou collectif.</w:t>
      </w:r>
    </w:p>
    <w:p w:rsidR="000578E7" w:rsidRDefault="006A4EED" w:rsidP="00DF66D2">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Cela dit, un même élément peut se retrouver selon Hebert dans une, plusieurs, voire toutes les classes actantielles. La notion de  syncrétisme actantiel désigne dès lors le fait qu’un même élément, appelé acteur (un personnage, au sens classique du mot), « contienne » plusieurs actants de classes différentes (il peut-être à la fois sujet et adjuvant, par exemple) ou de la même classe mais pour des actions distinctes.</w:t>
      </w:r>
    </w:p>
    <w:p w:rsidR="000578E7" w:rsidRDefault="006A4EED" w:rsidP="00DF66D2">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description actantielle à laquelle nous allons nous livrer plus bas doit ainsi tenir compte des sujets observateurs qui procèdent à l’intégration des éléments dans les classes (et les sous-classes) actantielles. </w:t>
      </w:r>
    </w:p>
    <w:p w:rsidR="006A4EED" w:rsidRPr="00DF66D2" w:rsidRDefault="006A4EED" w:rsidP="00DF66D2">
      <w:pPr>
        <w:spacing w:after="0" w:line="360" w:lineRule="auto"/>
        <w:ind w:firstLine="284"/>
        <w:jc w:val="both"/>
        <w:rPr>
          <w:rFonts w:ascii="Times New Roman" w:eastAsia="Times New Roman" w:hAnsi="Times New Roman"/>
          <w:sz w:val="24"/>
          <w:szCs w:val="24"/>
          <w:lang w:eastAsia="fr-FR"/>
        </w:rPr>
      </w:pPr>
      <w:r w:rsidRPr="00DF66D2">
        <w:rPr>
          <w:rFonts w:ascii="Times New Roman" w:eastAsia="Times New Roman" w:hAnsi="Times New Roman"/>
          <w:sz w:val="24"/>
          <w:szCs w:val="24"/>
          <w:lang w:eastAsia="fr-FR"/>
        </w:rPr>
        <w:t>L’analyse actantielle tirera partie de l’opposition entre tout et partie. Ainsi dire que le courage de Barabbas est un adjuvant pour sa propre cause est plus précis que de rapporter que Barabbas est globalement un adjuvant. Mieux : l’analyse située au niveau des parties permet de rendre compte du différentiel susceptible de poindre entre la description du tout et celle des parties. Par exemple, elle pourra faire ressortir que Barabbas, globalement adjuvant pour sa propre cause, recèle cependant des caractéristiques qui forment des opposants.</w:t>
      </w:r>
    </w:p>
    <w:p w:rsidR="006A4EED" w:rsidRPr="00DF66D2" w:rsidRDefault="006A4EED" w:rsidP="00DF66D2">
      <w:pPr>
        <w:spacing w:after="0" w:line="360" w:lineRule="auto"/>
        <w:ind w:firstLine="284"/>
        <w:jc w:val="both"/>
        <w:rPr>
          <w:rFonts w:ascii="Times New Roman" w:eastAsia="Times New Roman" w:hAnsi="Times New Roman"/>
          <w:sz w:val="24"/>
          <w:szCs w:val="24"/>
          <w:lang w:eastAsia="fr-FR"/>
        </w:rPr>
      </w:pPr>
      <w:r w:rsidRPr="00DF66D2">
        <w:rPr>
          <w:rFonts w:ascii="Times New Roman" w:eastAsia="Times New Roman" w:hAnsi="Times New Roman"/>
          <w:sz w:val="24"/>
          <w:szCs w:val="24"/>
          <w:lang w:eastAsia="fr-FR"/>
        </w:rPr>
        <w:t xml:space="preserve">Appliquons la méthode du Modèle actantiel de Louis Hebert à notre pièce </w:t>
      </w:r>
      <w:r w:rsidRPr="00DF66D2">
        <w:rPr>
          <w:rFonts w:ascii="Times New Roman" w:eastAsia="Times New Roman" w:hAnsi="Times New Roman"/>
          <w:i/>
          <w:sz w:val="24"/>
          <w:szCs w:val="24"/>
          <w:lang w:eastAsia="fr-FR"/>
        </w:rPr>
        <w:t>Bara</w:t>
      </w:r>
      <w:r w:rsidR="000E08F0" w:rsidRPr="00DF66D2">
        <w:rPr>
          <w:rFonts w:ascii="Times New Roman" w:eastAsia="Times New Roman" w:hAnsi="Times New Roman"/>
          <w:i/>
          <w:sz w:val="24"/>
          <w:szCs w:val="24"/>
          <w:lang w:eastAsia="fr-FR"/>
        </w:rPr>
        <w:t>b</w:t>
      </w:r>
      <w:r w:rsidRPr="00DF66D2">
        <w:rPr>
          <w:rFonts w:ascii="Times New Roman" w:eastAsia="Times New Roman" w:hAnsi="Times New Roman"/>
          <w:i/>
          <w:sz w:val="24"/>
          <w:szCs w:val="24"/>
          <w:lang w:eastAsia="fr-FR"/>
        </w:rPr>
        <w:t>bas</w:t>
      </w:r>
      <w:r w:rsidRPr="00DF66D2">
        <w:rPr>
          <w:rStyle w:val="Appelnotedebasdep"/>
          <w:rFonts w:ascii="Times New Roman" w:hAnsi="Times New Roman"/>
          <w:sz w:val="24"/>
          <w:szCs w:val="24"/>
          <w:lang w:eastAsia="fr-FR"/>
        </w:rPr>
        <w:footnoteReference w:id="211"/>
      </w:r>
    </w:p>
    <w:p w:rsidR="006A4EED" w:rsidRPr="00DF66D2" w:rsidRDefault="00DF66D2" w:rsidP="00DF66D2">
      <w:pPr>
        <w:pStyle w:val="Titre5"/>
        <w:spacing w:before="0" w:after="0"/>
        <w:ind w:left="641" w:hanging="357"/>
        <w:jc w:val="both"/>
        <w:rPr>
          <w:rFonts w:ascii="Times New Roman" w:hAnsi="Times New Roman"/>
          <w:color w:val="auto"/>
          <w:lang w:eastAsia="fr-FR"/>
        </w:rPr>
      </w:pPr>
      <w:bookmarkStart w:id="116" w:name="_Toc471484487"/>
      <w:r w:rsidRPr="00DF66D2">
        <w:rPr>
          <w:rFonts w:ascii="Times New Roman" w:hAnsi="Times New Roman"/>
          <w:color w:val="auto"/>
          <w:lang w:eastAsia="fr-FR"/>
        </w:rPr>
        <w:t>5.2.1. Sujet</w:t>
      </w:r>
      <w:r w:rsidR="006A4EED" w:rsidRPr="00DF66D2">
        <w:rPr>
          <w:rFonts w:ascii="Times New Roman" w:hAnsi="Times New Roman"/>
          <w:color w:val="auto"/>
          <w:lang w:eastAsia="fr-FR"/>
        </w:rPr>
        <w:t xml:space="preserve"> et objet</w:t>
      </w:r>
      <w:bookmarkEnd w:id="116"/>
    </w:p>
    <w:p w:rsidR="006A4EED" w:rsidRPr="003B00C8" w:rsidRDefault="006A4EED" w:rsidP="00DF66D2">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Nous posons comme modèle actantiel principal de la pièce de théâtre de Michel Ghelderode celui dans lequel </w:t>
      </w:r>
      <w:r w:rsidRPr="003B00C8">
        <w:rPr>
          <w:rFonts w:ascii="Times New Roman" w:eastAsia="Times New Roman" w:hAnsi="Times New Roman"/>
          <w:i/>
          <w:sz w:val="24"/>
          <w:szCs w:val="24"/>
          <w:lang w:eastAsia="fr-FR"/>
        </w:rPr>
        <w:t>Barabbas</w:t>
      </w:r>
      <w:r w:rsidRPr="003B00C8">
        <w:rPr>
          <w:rFonts w:ascii="Times New Roman" w:eastAsia="Times New Roman" w:hAnsi="Times New Roman"/>
          <w:sz w:val="24"/>
          <w:szCs w:val="24"/>
          <w:lang w:eastAsia="fr-FR"/>
        </w:rPr>
        <w:t xml:space="preserve"> doit changer l’ordre des choses, dans l’intérêt du Royaume des cieux  (représenté par Jésus).</w:t>
      </w:r>
    </w:p>
    <w:p w:rsidR="006A4EED" w:rsidRPr="00DF66D2" w:rsidRDefault="00DF66D2" w:rsidP="00DF66D2">
      <w:pPr>
        <w:pStyle w:val="Titre5"/>
        <w:spacing w:before="0" w:after="0"/>
        <w:ind w:left="641" w:hanging="357"/>
        <w:jc w:val="both"/>
        <w:rPr>
          <w:rFonts w:ascii="Times New Roman" w:hAnsi="Times New Roman"/>
          <w:color w:val="auto"/>
          <w:lang w:eastAsia="fr-FR"/>
        </w:rPr>
      </w:pPr>
      <w:bookmarkStart w:id="117" w:name="_Toc471484488"/>
      <w:r w:rsidRPr="00DF66D2">
        <w:rPr>
          <w:rFonts w:ascii="Times New Roman" w:hAnsi="Times New Roman"/>
          <w:color w:val="auto"/>
          <w:lang w:eastAsia="fr-FR"/>
        </w:rPr>
        <w:t>5.2.2. Destinateurs</w:t>
      </w:r>
      <w:bookmarkEnd w:id="117"/>
    </w:p>
    <w:p w:rsidR="006A4EED" w:rsidRPr="003B00C8" w:rsidRDefault="006A4EED" w:rsidP="00DF66D2">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Les destinateurs de notre modèle sont les suivants :</w:t>
      </w:r>
    </w:p>
    <w:p w:rsidR="006A4EED" w:rsidRPr="003B00C8" w:rsidRDefault="006A4EED" w:rsidP="00DF66D2">
      <w:pPr>
        <w:pStyle w:val="Paragraphedeliste"/>
        <w:numPr>
          <w:ilvl w:val="0"/>
          <w:numId w:val="2"/>
        </w:numPr>
        <w:spacing w:after="0" w:line="360" w:lineRule="auto"/>
        <w:ind w:left="0" w:firstLine="284"/>
        <w:contextualSpacing w:val="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Le Despotisme des autorités politique et religieuse</w:t>
      </w:r>
    </w:p>
    <w:p w:rsidR="006A4EED" w:rsidRPr="00E21080" w:rsidRDefault="006A4EED" w:rsidP="00DF66D2">
      <w:pPr>
        <w:pStyle w:val="Paragraphedeliste"/>
        <w:numPr>
          <w:ilvl w:val="0"/>
          <w:numId w:val="2"/>
        </w:numPr>
        <w:spacing w:after="0" w:line="360" w:lineRule="auto"/>
        <w:ind w:left="0" w:firstLine="284"/>
        <w:contextualSpacing w:val="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Un système judiciaire corrompu</w:t>
      </w:r>
    </w:p>
    <w:p w:rsidR="006A4EED" w:rsidRPr="004365C1" w:rsidRDefault="004365C1" w:rsidP="004365C1">
      <w:pPr>
        <w:pStyle w:val="Titre5"/>
        <w:spacing w:before="0" w:after="0"/>
        <w:ind w:left="641" w:hanging="357"/>
        <w:jc w:val="both"/>
        <w:rPr>
          <w:rFonts w:ascii="Times New Roman" w:hAnsi="Times New Roman"/>
          <w:color w:val="auto"/>
          <w:lang w:eastAsia="fr-FR"/>
        </w:rPr>
      </w:pPr>
      <w:bookmarkStart w:id="118" w:name="_Toc471484489"/>
      <w:r w:rsidRPr="004365C1">
        <w:rPr>
          <w:rFonts w:ascii="Times New Roman" w:hAnsi="Times New Roman"/>
          <w:color w:val="auto"/>
          <w:lang w:eastAsia="fr-FR"/>
        </w:rPr>
        <w:t>5.2.3. Destinataire</w:t>
      </w:r>
      <w:bookmarkEnd w:id="118"/>
    </w:p>
    <w:p w:rsidR="006A4EED" w:rsidRPr="00E21080" w:rsidRDefault="006A4EED" w:rsidP="004365C1">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Si on interprète le destinataire comme celui qui bénéficierait de la réalisation de la jonction souhaitée entre le sujet et son objet, Jésus est le destinataire direct de l’action (dans sa volonté de sauver l’humanité à travers son sacrifice). In fine, l’humanité devient donc, dans </w:t>
      </w:r>
      <w:r w:rsidRPr="003B00C8">
        <w:rPr>
          <w:rFonts w:ascii="Times New Roman" w:eastAsia="Times New Roman" w:hAnsi="Times New Roman"/>
          <w:i/>
          <w:sz w:val="24"/>
          <w:szCs w:val="24"/>
          <w:lang w:eastAsia="fr-FR"/>
        </w:rPr>
        <w:t>Barrabas,</w:t>
      </w:r>
      <w:r w:rsidRPr="003B00C8">
        <w:rPr>
          <w:rFonts w:ascii="Times New Roman" w:eastAsia="Times New Roman" w:hAnsi="Times New Roman"/>
          <w:sz w:val="24"/>
          <w:szCs w:val="24"/>
          <w:lang w:eastAsia="fr-FR"/>
        </w:rPr>
        <w:t xml:space="preserve">  le vrai destinataire de l’action. </w:t>
      </w:r>
    </w:p>
    <w:p w:rsidR="006A4EED" w:rsidRPr="001402F8" w:rsidRDefault="001402F8" w:rsidP="001402F8">
      <w:pPr>
        <w:pStyle w:val="Titre5"/>
        <w:spacing w:before="0" w:after="0"/>
        <w:ind w:left="641" w:hanging="357"/>
        <w:jc w:val="both"/>
        <w:rPr>
          <w:rFonts w:ascii="Times New Roman" w:hAnsi="Times New Roman"/>
          <w:color w:val="auto"/>
          <w:lang w:eastAsia="fr-FR"/>
        </w:rPr>
      </w:pPr>
      <w:bookmarkStart w:id="119" w:name="_Toc471484490"/>
      <w:r w:rsidRPr="001402F8">
        <w:rPr>
          <w:rFonts w:ascii="Times New Roman" w:hAnsi="Times New Roman"/>
          <w:color w:val="auto"/>
          <w:lang w:eastAsia="fr-FR"/>
        </w:rPr>
        <w:t>5.2.4. Adjuvants</w:t>
      </w:r>
      <w:r w:rsidR="006A4EED" w:rsidRPr="001402F8">
        <w:rPr>
          <w:rFonts w:ascii="Times New Roman" w:hAnsi="Times New Roman"/>
          <w:color w:val="auto"/>
          <w:lang w:eastAsia="fr-FR"/>
        </w:rPr>
        <w:t xml:space="preserve"> et opposants</w:t>
      </w:r>
      <w:bookmarkEnd w:id="119"/>
    </w:p>
    <w:p w:rsidR="006A4EED" w:rsidRPr="003B00C8" w:rsidRDefault="006A4EED" w:rsidP="001402F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Pour bien dégager les adjuvants et les opposants dans le modèle actantiel soumis à l’analyse, il importe de distinguer entre plusieurs actions importantes reliées, c’est-à-dire constituant une structure de modèles actantiels. Pour obtenir le salut des hommes (et donc parvenir à réaliser l’action), Jésus doit ressusciter; pour ressusciter, il doit mourir, plus exactement être exécuté; pour être exécuté, il doit être arrêté et jugé </w:t>
      </w:r>
    </w:p>
    <w:p w:rsidR="006A4EED" w:rsidRPr="003B00C8" w:rsidRDefault="006A4EED" w:rsidP="001402F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Parmi les personnages adjuvants de l’action (1), on trouve : Judas, qui vend Jésus; les juges; le peuple des gueux, qui choisit de libérer Barrabas plutôt que Jésus; les soldats qui procèdent à l’arrestation et à l’exécution de Jésus. Tous ces adjuvants aident à la réalisation de l’action.</w:t>
      </w:r>
    </w:p>
    <w:p w:rsidR="006A4EED" w:rsidRPr="003B00C8" w:rsidRDefault="006A4EED" w:rsidP="001402F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Les personnages opposants apparaissent éphémères et moins nombreux ne se transforment guère en opposant factuels.  Ainsi, on peut dire que l’autorité religieuse nuit à l’action.</w:t>
      </w:r>
    </w:p>
    <w:p w:rsidR="000578E7" w:rsidRDefault="006A4EED" w:rsidP="001402F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D’autres personnages sont difficiles à situer. Ponce Pilate, qui refuse de condamner ou de libérer Jésus (il s’en lave les mains, dit-il), refuse de se situer sur l’axe des adjuvants/opposants : il joue le rôle d’un non-adjuvant-non-opposant. On peut voir les choses autrement et considérer que ne pas intervenir, c’est favoriser la tendance lourde, ici la mort de Jésus : Ponce Pilate est alors un adjuvant passif. </w:t>
      </w:r>
    </w:p>
    <w:p w:rsidR="006A4EED" w:rsidRPr="003B00C8" w:rsidRDefault="000578E7" w:rsidP="001402F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Jésus</w:t>
      </w:r>
      <w:r w:rsidR="006A4EED" w:rsidRPr="003B00C8">
        <w:rPr>
          <w:rFonts w:ascii="Times New Roman" w:eastAsia="Times New Roman" w:hAnsi="Times New Roman"/>
          <w:sz w:val="24"/>
          <w:szCs w:val="24"/>
          <w:lang w:eastAsia="fr-FR"/>
        </w:rPr>
        <w:t xml:space="preserve">, quant à lui, relève plus clairement des adjuvants passifs : il ne se défend pas directement devant les juges. Crucifié, il a un « moment de faiblesse », corrélatif de sa nature temporairement mi-humaine mi-divine, et se plaint du sort qui lui est réservé; mais il n’entrave pas personnellement le destin (peut-être est-il alors de toute façon dépossédé de ses capacités miraculeuses à ce moment). </w:t>
      </w:r>
    </w:p>
    <w:p w:rsidR="006A4EED" w:rsidRPr="003B00C8" w:rsidRDefault="006A4EED" w:rsidP="001402F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 modèle actantiel de Louis Hebert, tel que nous l’avons exploité ici et appliqué à </w:t>
      </w:r>
      <w:r w:rsidRPr="003B00C8">
        <w:rPr>
          <w:rFonts w:ascii="Times New Roman" w:eastAsia="Times New Roman" w:hAnsi="Times New Roman"/>
          <w:i/>
          <w:sz w:val="24"/>
          <w:szCs w:val="24"/>
          <w:lang w:eastAsia="fr-FR"/>
        </w:rPr>
        <w:t>Barrabas</w:t>
      </w:r>
      <w:r w:rsidRPr="003B00C8">
        <w:rPr>
          <w:rFonts w:ascii="Times New Roman" w:eastAsia="Times New Roman" w:hAnsi="Times New Roman"/>
          <w:sz w:val="24"/>
          <w:szCs w:val="24"/>
          <w:lang w:eastAsia="fr-FR"/>
        </w:rPr>
        <w:t xml:space="preserve"> revêt certainement une dimension surtout métaphysique, les </w:t>
      </w:r>
      <w:r w:rsidRPr="003B00C8">
        <w:rPr>
          <w:rFonts w:ascii="Times New Roman" w:eastAsia="Times New Roman" w:hAnsi="Times New Roman"/>
          <w:sz w:val="24"/>
          <w:szCs w:val="24"/>
          <w:lang w:eastAsia="fr-FR"/>
        </w:rPr>
        <w:lastRenderedPageBreak/>
        <w:t xml:space="preserve">hommes y intervenant de façon imprévue ou impromptue  à titre de destinateurs et destinataires. Le rôle de ces personnages devient cependant crucial dans l’un des messages soulignés par Ghelderode : celui autour du modèle du salut individuel : le salut collectif étant assuré par la rédemption offerte par Jésus, il revient maintenant à chaque homme de « gagner son paradis » par ses bonnes actions et – aide-toi et le ciel t’aidera – par la grâce divine. Rien n’est donc définitivement gagné pour quiconque et le sacrifice de Jésus, si l’on en croit le dramaturge belge, pourrait aussi n’avoir servi à rien. </w:t>
      </w:r>
    </w:p>
    <w:p w:rsidR="006A4EED" w:rsidRPr="007B15E9" w:rsidRDefault="007B15E9" w:rsidP="007B15E9">
      <w:pPr>
        <w:pStyle w:val="Titre3"/>
        <w:spacing w:before="0" w:after="0" w:line="360" w:lineRule="auto"/>
        <w:ind w:left="641" w:hanging="357"/>
        <w:jc w:val="both"/>
        <w:rPr>
          <w:rFonts w:ascii="Times New Roman" w:hAnsi="Times New Roman" w:cs="Times New Roman"/>
          <w:sz w:val="24"/>
          <w:szCs w:val="24"/>
        </w:rPr>
      </w:pPr>
      <w:bookmarkStart w:id="120" w:name="_Toc471484491"/>
      <w:r w:rsidRPr="007B15E9">
        <w:rPr>
          <w:rFonts w:ascii="Times New Roman" w:hAnsi="Times New Roman" w:cs="Times New Roman"/>
          <w:sz w:val="24"/>
          <w:szCs w:val="24"/>
        </w:rPr>
        <w:t>6. Le</w:t>
      </w:r>
      <w:r w:rsidR="006A4EED" w:rsidRPr="007B15E9">
        <w:rPr>
          <w:rFonts w:ascii="Times New Roman" w:hAnsi="Times New Roman" w:cs="Times New Roman"/>
          <w:sz w:val="24"/>
          <w:szCs w:val="24"/>
        </w:rPr>
        <w:t xml:space="preserve"> chronotope : le poids du contexte</w:t>
      </w:r>
      <w:bookmarkEnd w:id="120"/>
      <w:r w:rsidR="006A4EED" w:rsidRPr="007B15E9">
        <w:rPr>
          <w:rFonts w:ascii="Times New Roman" w:hAnsi="Times New Roman" w:cs="Times New Roman"/>
          <w:sz w:val="24"/>
          <w:szCs w:val="24"/>
        </w:rPr>
        <w:t xml:space="preserve"> </w:t>
      </w:r>
    </w:p>
    <w:p w:rsidR="000578E7" w:rsidRDefault="006A4EED" w:rsidP="007B15E9">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De prime abord, les éléments d’un texte (littéraire), ou plus généralement d’un message, ne doivent jamais être considérés d’une manière isolée, ponctuelle, mais comme les diverses composantes d’un tout, d’un ensemble à la fois organisé, structuré et corrélatif. </w:t>
      </w:r>
    </w:p>
    <w:p w:rsidR="000578E7" w:rsidRDefault="006A4EED" w:rsidP="007B15E9">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Le texte est à priori basé sur la volonté de communiquer d’un locuteur qui utilise le code de la langue pour exprimer sa pensée et véhiculer des messages. Le tout vers un interlocuteur auquel les messages sont destinés. Le texte est par conséquent une succession de caractères organisés selon un langage. </w:t>
      </w:r>
    </w:p>
    <w:p w:rsidR="006A4EED" w:rsidRPr="003B00C8" w:rsidRDefault="006A4EED" w:rsidP="007B15E9">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Mais l’approche du texte n’est pas uniquement structurelle. La compréhension du texte apparait comme un objet autonome et susceptible de générer par lui-même le sens ou de secréter tous les ingrédients sémiques utiles à sa signification.  L’acte producteur de l’énoncé est donc essentiel : l’énonciation ; et les conditions dans lesquelles s’effectue cette énonciation deviennent riches de sens. </w:t>
      </w:r>
    </w:p>
    <w:p w:rsidR="006A4EED" w:rsidRPr="003B00C8" w:rsidRDefault="006A4EED" w:rsidP="007B15E9">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Cet essai de définition du texte en rapport avec le contexte, nous permet de questionner les tenants et les aboutissants du paysage littéraire belge pour mieux situer le chronotope </w:t>
      </w:r>
      <w:r w:rsidR="00173D49">
        <w:rPr>
          <w:rFonts w:ascii="Times New Roman" w:hAnsi="Times New Roman"/>
          <w:color w:val="000000"/>
          <w:sz w:val="24"/>
          <w:szCs w:val="24"/>
        </w:rPr>
        <w:t xml:space="preserve">chez </w:t>
      </w:r>
      <w:r w:rsidRPr="003B00C8">
        <w:rPr>
          <w:rFonts w:ascii="Times New Roman" w:hAnsi="Times New Roman"/>
          <w:color w:val="000000"/>
          <w:sz w:val="24"/>
          <w:szCs w:val="24"/>
        </w:rPr>
        <w:t>Gheldero</w:t>
      </w:r>
      <w:r w:rsidR="00173D49">
        <w:rPr>
          <w:rFonts w:ascii="Times New Roman" w:hAnsi="Times New Roman"/>
          <w:color w:val="000000"/>
          <w:sz w:val="24"/>
          <w:szCs w:val="24"/>
        </w:rPr>
        <w:t>de</w:t>
      </w:r>
      <w:r w:rsidRPr="003B00C8">
        <w:rPr>
          <w:rFonts w:ascii="Times New Roman" w:hAnsi="Times New Roman"/>
          <w:color w:val="000000"/>
          <w:sz w:val="24"/>
          <w:szCs w:val="24"/>
        </w:rPr>
        <w:t>.</w:t>
      </w:r>
    </w:p>
    <w:p w:rsidR="006A4EED" w:rsidRPr="003B00C8" w:rsidRDefault="006A4EED" w:rsidP="007B15E9">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Les écrivains belges ont connu leur aventure littéraire spécifique dans des conditions historiques, géographiques, sociologiques et morales qui leur étaient propres. </w:t>
      </w:r>
    </w:p>
    <w:p w:rsidR="006A4EED" w:rsidRPr="003B00C8" w:rsidRDefault="006A4EED" w:rsidP="007B15E9">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Ils ont conduit un combat à plusieurs niveaux :</w:t>
      </w:r>
    </w:p>
    <w:p w:rsidR="006A4EED" w:rsidRPr="003B00C8" w:rsidRDefault="006A4EED" w:rsidP="00E21080">
      <w:pPr>
        <w:numPr>
          <w:ilvl w:val="0"/>
          <w:numId w:val="3"/>
        </w:numPr>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ils ont participé au mouvement d'autonomisation de la littérature en Belgique, se réclament d'un art libre, aspirent à la reconnaissance nationale,</w:t>
      </w:r>
    </w:p>
    <w:p w:rsidR="006A4EED" w:rsidRPr="003B00C8" w:rsidRDefault="006A4EED" w:rsidP="00E21080">
      <w:pPr>
        <w:numPr>
          <w:ilvl w:val="0"/>
          <w:numId w:val="3"/>
        </w:numPr>
        <w:spacing w:after="0" w:line="360" w:lineRule="auto"/>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ils se sont </w:t>
      </w:r>
      <w:r w:rsidR="000578E7" w:rsidRPr="003B00C8">
        <w:rPr>
          <w:rFonts w:ascii="Times New Roman" w:eastAsia="Times New Roman" w:hAnsi="Times New Roman"/>
          <w:sz w:val="24"/>
          <w:szCs w:val="24"/>
          <w:lang w:eastAsia="fr-FR"/>
        </w:rPr>
        <w:t>tournés</w:t>
      </w:r>
      <w:r w:rsidRPr="003B00C8">
        <w:rPr>
          <w:rFonts w:ascii="Times New Roman" w:eastAsia="Times New Roman" w:hAnsi="Times New Roman"/>
          <w:sz w:val="24"/>
          <w:szCs w:val="24"/>
          <w:lang w:eastAsia="fr-FR"/>
        </w:rPr>
        <w:t xml:space="preserve"> vers un puissant modèle esthétique, le symbolisme français</w:t>
      </w:r>
    </w:p>
    <w:p w:rsidR="006A4EED" w:rsidRPr="003B00C8" w:rsidRDefault="006A4EED" w:rsidP="007B15E9">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 xml:space="preserve">Les écrivains belges d’expression française ont en avec les écrivains français quelques aspects: </w:t>
      </w:r>
    </w:p>
    <w:p w:rsidR="006A4EED" w:rsidRPr="003B00C8" w:rsidRDefault="006A4EED" w:rsidP="00F37179">
      <w:pPr>
        <w:numPr>
          <w:ilvl w:val="0"/>
          <w:numId w:val="3"/>
        </w:numPr>
        <w:spacing w:after="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l'aspiration à la transcendance, à un élan vers la spiritualité, l'occulte, le mystère de l'être et du cosmos,</w:t>
      </w:r>
    </w:p>
    <w:p w:rsidR="006A4EED" w:rsidRPr="003B00C8" w:rsidRDefault="006A4EED" w:rsidP="00F37179">
      <w:pPr>
        <w:numPr>
          <w:ilvl w:val="0"/>
          <w:numId w:val="3"/>
        </w:numPr>
        <w:spacing w:after="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 recherche de garants dans la philosophie: mystique flamande, philosophie allemande et doctrines ésotériques,</w:t>
      </w:r>
    </w:p>
    <w:p w:rsidR="006A4EED" w:rsidRPr="003B00C8" w:rsidRDefault="006A4EED" w:rsidP="00F37179">
      <w:pPr>
        <w:numPr>
          <w:ilvl w:val="0"/>
          <w:numId w:val="3"/>
        </w:numPr>
        <w:spacing w:after="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Ils introduisent des modifications dans le système hiérarchisé des genres qui marque la fin du siècle</w:t>
      </w:r>
      <w:r w:rsidR="005B574F">
        <w:rPr>
          <w:rFonts w:ascii="Times New Roman" w:eastAsia="Times New Roman" w:hAnsi="Times New Roman"/>
          <w:sz w:val="24"/>
          <w:szCs w:val="24"/>
          <w:lang w:eastAsia="fr-FR"/>
        </w:rPr>
        <w:t>.</w:t>
      </w:r>
      <w:r w:rsidRPr="003B00C8">
        <w:rPr>
          <w:rFonts w:ascii="Times New Roman" w:eastAsia="Times New Roman" w:hAnsi="Times New Roman"/>
          <w:sz w:val="24"/>
          <w:szCs w:val="24"/>
          <w:lang w:eastAsia="fr-FR"/>
        </w:rPr>
        <w:t xml:space="preserve"> </w:t>
      </w:r>
    </w:p>
    <w:p w:rsidR="00183395" w:rsidRPr="00183395" w:rsidRDefault="00183395" w:rsidP="00183395">
      <w:pPr>
        <w:spacing w:after="0" w:line="360" w:lineRule="auto"/>
        <w:ind w:firstLine="284"/>
        <w:jc w:val="both"/>
        <w:rPr>
          <w:rFonts w:ascii="Times New Roman" w:eastAsia="Times New Roman" w:hAnsi="Times New Roman"/>
          <w:sz w:val="8"/>
          <w:szCs w:val="8"/>
          <w:lang w:eastAsia="fr-FR"/>
        </w:rPr>
      </w:pPr>
    </w:p>
    <w:p w:rsidR="006A4EED" w:rsidRPr="003B00C8" w:rsidRDefault="006A4EED" w:rsidP="0018339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Toutefois, les écrivains belges d’expression française ont leur nuances et  se distinguent des écrivains français par</w:t>
      </w:r>
      <w:r w:rsidR="007B15E9">
        <w:rPr>
          <w:rFonts w:ascii="Times New Roman" w:eastAsia="Times New Roman" w:hAnsi="Times New Roman"/>
          <w:sz w:val="24"/>
          <w:szCs w:val="24"/>
          <w:lang w:eastAsia="fr-FR"/>
        </w:rPr>
        <w:t> :</w:t>
      </w:r>
      <w:r w:rsidRPr="003B00C8">
        <w:rPr>
          <w:rFonts w:ascii="Times New Roman" w:eastAsia="Times New Roman" w:hAnsi="Times New Roman"/>
          <w:sz w:val="24"/>
          <w:szCs w:val="24"/>
          <w:lang w:eastAsia="fr-FR"/>
        </w:rPr>
        <w:t xml:space="preserve">  </w:t>
      </w:r>
    </w:p>
    <w:p w:rsidR="006A4EED" w:rsidRPr="003B00C8" w:rsidRDefault="006A4EED" w:rsidP="00F37179">
      <w:pPr>
        <w:numPr>
          <w:ilvl w:val="0"/>
          <w:numId w:val="3"/>
        </w:numPr>
        <w:spacing w:after="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un rapport concret au monde, précisément un enracinement profond dans la réalité de leur temps, </w:t>
      </w:r>
    </w:p>
    <w:p w:rsidR="006A4EED" w:rsidRPr="003B00C8" w:rsidRDefault="006A4EED" w:rsidP="00F37179">
      <w:pPr>
        <w:numPr>
          <w:ilvl w:val="0"/>
          <w:numId w:val="3"/>
        </w:numPr>
        <w:spacing w:after="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une sensibilité aux grands courants internationaux et particulièrement nordiques, aspect souvent absents de la littérature française </w:t>
      </w:r>
    </w:p>
    <w:p w:rsidR="006A4EED" w:rsidRPr="003B00C8" w:rsidRDefault="006A4EED" w:rsidP="00F37179">
      <w:pPr>
        <w:numPr>
          <w:ilvl w:val="0"/>
          <w:numId w:val="3"/>
        </w:numPr>
        <w:spacing w:after="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l’idée du symbole et la conception du symbole: la place de celui-ci, la force qu'ils lui prêtent et l'usage qu'ils en font</w:t>
      </w:r>
    </w:p>
    <w:p w:rsidR="006A4EED" w:rsidRPr="003B00C8" w:rsidRDefault="006A4EED" w:rsidP="00F37179">
      <w:pPr>
        <w:numPr>
          <w:ilvl w:val="0"/>
          <w:numId w:val="3"/>
        </w:numPr>
        <w:spacing w:after="0"/>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des sources souvent extérieures à la tradition française.</w:t>
      </w:r>
    </w:p>
    <w:tbl>
      <w:tblPr>
        <w:tblW w:w="5000" w:type="pct"/>
        <w:jc w:val="center"/>
        <w:tblCellSpacing w:w="15" w:type="dxa"/>
        <w:tblCellMar>
          <w:top w:w="15" w:type="dxa"/>
          <w:left w:w="15" w:type="dxa"/>
          <w:bottom w:w="15" w:type="dxa"/>
          <w:right w:w="15" w:type="dxa"/>
        </w:tblCellMar>
        <w:tblLook w:val="04A0"/>
      </w:tblPr>
      <w:tblGrid>
        <w:gridCol w:w="8084"/>
      </w:tblGrid>
      <w:tr w:rsidR="006A4EED" w:rsidRPr="003B00C8" w:rsidTr="0097019D">
        <w:trPr>
          <w:tblCellSpacing w:w="15" w:type="dxa"/>
          <w:jc w:val="center"/>
        </w:trPr>
        <w:tc>
          <w:tcPr>
            <w:tcW w:w="4967" w:type="pct"/>
            <w:vAlign w:val="center"/>
            <w:hideMark/>
          </w:tcPr>
          <w:p w:rsidR="006A4EED" w:rsidRPr="00BE1BF8" w:rsidRDefault="006A4EED" w:rsidP="00893D48">
            <w:pPr>
              <w:spacing w:after="0" w:line="360" w:lineRule="auto"/>
              <w:jc w:val="both"/>
              <w:rPr>
                <w:rFonts w:ascii="Times New Roman" w:eastAsia="Times New Roman" w:hAnsi="Times New Roman"/>
                <w:sz w:val="2"/>
                <w:szCs w:val="2"/>
                <w:lang w:eastAsia="fr-FR"/>
              </w:rPr>
            </w:pPr>
          </w:p>
        </w:tc>
      </w:tr>
      <w:tr w:rsidR="006A4EED" w:rsidRPr="003B00C8" w:rsidTr="0097019D">
        <w:trPr>
          <w:tblCellSpacing w:w="15" w:type="dxa"/>
          <w:jc w:val="center"/>
        </w:trPr>
        <w:tc>
          <w:tcPr>
            <w:tcW w:w="4967" w:type="pct"/>
            <w:vAlign w:val="center"/>
            <w:hideMark/>
          </w:tcPr>
          <w:p w:rsidR="006A4EED" w:rsidRPr="003B00C8" w:rsidRDefault="006A4EED" w:rsidP="00893D48">
            <w:pPr>
              <w:spacing w:after="0" w:line="360" w:lineRule="auto"/>
              <w:jc w:val="both"/>
              <w:rPr>
                <w:rFonts w:ascii="Times New Roman" w:eastAsia="Times New Roman" w:hAnsi="Times New Roman"/>
                <w:sz w:val="24"/>
                <w:szCs w:val="24"/>
                <w:lang w:eastAsia="fr-FR"/>
              </w:rPr>
            </w:pPr>
          </w:p>
        </w:tc>
      </w:tr>
    </w:tbl>
    <w:p w:rsidR="006A4EED" w:rsidRPr="003B00C8" w:rsidRDefault="006A4EED" w:rsidP="007B15E9">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Regroupés sous le terme générique de chronotope, l’espace et le temps constituent des notions essentielles dans le roman, en ce qu’ils sont des unités incontournables de cette structure qu’est le récit. En effet, on ne peut imaginer un récit a - chronique ou a - topique, les personnages évoluent dans un espace-temps en relation avec leur thymie, c’est à dire leur humeur, leur comportement.</w:t>
      </w:r>
    </w:p>
    <w:p w:rsidR="006A4EED" w:rsidRPr="003B00C8" w:rsidRDefault="006A4EED" w:rsidP="00BE1BF8">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Parlant d’espace, Julien Greimas le définit comme une forme et en tant que telle </w:t>
      </w:r>
    </w:p>
    <w:p w:rsidR="00183395" w:rsidRDefault="006A4EED" w:rsidP="007B15E9">
      <w:pPr>
        <w:pStyle w:val="Citationintense"/>
        <w:spacing w:before="0" w:after="0"/>
        <w:ind w:left="567" w:right="0"/>
        <w:rPr>
          <w:sz w:val="20"/>
          <w:szCs w:val="20"/>
        </w:rPr>
      </w:pPr>
      <w:r w:rsidRPr="00893D48">
        <w:rPr>
          <w:sz w:val="20"/>
          <w:szCs w:val="20"/>
        </w:rPr>
        <w:t>est donc une construction qui ne choisit, pour signifier que telles ou telles propriétés des objets réels , que l’un ou l’autre de ses niveaux de pertinence possible :(...) On remarquera d’abord qu’un lieu quelconque ne peut être saisie qu’en le fixant par rapport à un lieu autre qu’il ne se définit que par ce qu’il n’est pas.(...) L’important est de voir que les conditions se trouvent réunies pour considérer l’espace comme forme susceptible de s’ériger en un langage spatial permettant de parler d’autre chose que de l’espace </w:t>
      </w:r>
      <w:r w:rsidRPr="00893D48">
        <w:rPr>
          <w:sz w:val="20"/>
          <w:szCs w:val="20"/>
          <w:vertAlign w:val="superscript"/>
        </w:rPr>
        <w:footnoteReference w:id="212"/>
      </w:r>
    </w:p>
    <w:p w:rsidR="00183395" w:rsidRPr="00BE1BF8" w:rsidRDefault="00183395" w:rsidP="00183395">
      <w:pPr>
        <w:tabs>
          <w:tab w:val="left" w:pos="7188"/>
        </w:tabs>
        <w:rPr>
          <w:rFonts w:ascii="Times New Roman" w:hAnsi="Times New Roman"/>
          <w:color w:val="000000"/>
          <w:sz w:val="16"/>
          <w:szCs w:val="16"/>
        </w:rPr>
      </w:pPr>
    </w:p>
    <w:p w:rsidR="006A4EED" w:rsidRPr="007B15E9" w:rsidRDefault="00183395" w:rsidP="00F37179">
      <w:pPr>
        <w:tabs>
          <w:tab w:val="left" w:pos="7188"/>
        </w:tabs>
        <w:spacing w:line="360" w:lineRule="auto"/>
        <w:jc w:val="both"/>
        <w:rPr>
          <w:rFonts w:asciiTheme="majorBidi" w:hAnsiTheme="majorBidi" w:cstheme="majorBidi"/>
          <w:sz w:val="24"/>
          <w:szCs w:val="24"/>
        </w:rPr>
      </w:pPr>
      <w:r>
        <w:rPr>
          <w:rFonts w:ascii="Times New Roman" w:hAnsi="Times New Roman"/>
          <w:color w:val="000000"/>
          <w:sz w:val="24"/>
          <w:szCs w:val="24"/>
        </w:rPr>
        <w:t xml:space="preserve">     </w:t>
      </w:r>
      <w:r w:rsidRPr="003B00C8">
        <w:rPr>
          <w:rFonts w:ascii="Times New Roman" w:hAnsi="Times New Roman"/>
          <w:color w:val="000000"/>
          <w:sz w:val="24"/>
          <w:szCs w:val="24"/>
        </w:rPr>
        <w:t>Dans le même ordre d’idées, Roland Bourneuf et Réal Ouellet</w:t>
      </w:r>
      <w:r>
        <w:rPr>
          <w:rFonts w:ascii="Times New Roman" w:hAnsi="Times New Roman"/>
          <w:color w:val="000000"/>
          <w:sz w:val="24"/>
          <w:szCs w:val="24"/>
        </w:rPr>
        <w:t xml:space="preserve"> </w:t>
      </w:r>
      <w:r w:rsidRPr="003B00C8">
        <w:rPr>
          <w:rFonts w:ascii="Times New Roman" w:hAnsi="Times New Roman"/>
          <w:color w:val="000000"/>
          <w:sz w:val="24"/>
          <w:szCs w:val="24"/>
        </w:rPr>
        <w:t>pensent que</w:t>
      </w:r>
      <w:r w:rsidRPr="007B15E9">
        <w:rPr>
          <w:rFonts w:asciiTheme="majorBidi" w:hAnsiTheme="majorBidi" w:cstheme="majorBidi"/>
          <w:color w:val="000000"/>
          <w:sz w:val="24"/>
          <w:szCs w:val="24"/>
        </w:rPr>
        <w:t>:</w:t>
      </w:r>
      <w:r>
        <w:rPr>
          <w:rFonts w:asciiTheme="majorBidi" w:hAnsiTheme="majorBidi" w:cstheme="majorBidi"/>
          <w:color w:val="000000"/>
          <w:sz w:val="24"/>
          <w:szCs w:val="24"/>
        </w:rPr>
        <w:t xml:space="preserve">   « l’espace </w:t>
      </w:r>
      <w:r w:rsidR="00BE1BF8">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loin </w:t>
      </w:r>
      <w:r w:rsidR="00BE1BF8">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d’être </w:t>
      </w:r>
      <w:r w:rsidR="00BE1BF8">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indifférent,  </w:t>
      </w:r>
      <w:r w:rsidR="00BE1BF8">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s’exprime </w:t>
      </w:r>
      <w:r w:rsidR="00BE1BF8">
        <w:rPr>
          <w:rFonts w:asciiTheme="majorBidi" w:hAnsiTheme="majorBidi" w:cstheme="majorBidi"/>
          <w:color w:val="000000"/>
          <w:sz w:val="24"/>
          <w:szCs w:val="24"/>
        </w:rPr>
        <w:t xml:space="preserve"> </w:t>
      </w:r>
      <w:r>
        <w:rPr>
          <w:rFonts w:asciiTheme="majorBidi" w:hAnsiTheme="majorBidi" w:cstheme="majorBidi"/>
          <w:color w:val="000000"/>
          <w:sz w:val="24"/>
          <w:szCs w:val="24"/>
        </w:rPr>
        <w:t>dans des formes et revêt des sens</w:t>
      </w:r>
      <w:r w:rsidR="00F37179">
        <w:rPr>
          <w:rFonts w:asciiTheme="majorBidi" w:hAnsiTheme="majorBidi" w:cstheme="majorBidi"/>
          <w:color w:val="000000"/>
          <w:sz w:val="24"/>
          <w:szCs w:val="24"/>
        </w:rPr>
        <w:t xml:space="preserve"> </w:t>
      </w:r>
      <w:r w:rsidR="006A4EED" w:rsidRPr="007B15E9">
        <w:rPr>
          <w:rFonts w:asciiTheme="majorBidi" w:hAnsiTheme="majorBidi" w:cstheme="majorBidi"/>
          <w:color w:val="000000"/>
          <w:sz w:val="24"/>
          <w:szCs w:val="24"/>
        </w:rPr>
        <w:t xml:space="preserve"> </w:t>
      </w:r>
      <w:r w:rsidR="006A4EED" w:rsidRPr="007B15E9">
        <w:rPr>
          <w:rFonts w:asciiTheme="majorBidi" w:hAnsiTheme="majorBidi" w:cstheme="majorBidi"/>
          <w:sz w:val="24"/>
          <w:szCs w:val="24"/>
        </w:rPr>
        <w:t>multiples jusqu’à constituer parfois la raison d’être de l’œuvre»</w:t>
      </w:r>
      <w:r w:rsidR="007B15E9" w:rsidRPr="007B15E9">
        <w:rPr>
          <w:rFonts w:asciiTheme="majorBidi" w:hAnsiTheme="majorBidi" w:cstheme="majorBidi"/>
          <w:sz w:val="24"/>
          <w:szCs w:val="24"/>
        </w:rPr>
        <w:t>.</w:t>
      </w:r>
      <w:r w:rsidR="00173D49" w:rsidRPr="007B15E9">
        <w:rPr>
          <w:rFonts w:asciiTheme="majorBidi" w:hAnsiTheme="majorBidi" w:cstheme="majorBidi"/>
          <w:color w:val="000000"/>
          <w:sz w:val="24"/>
          <w:szCs w:val="24"/>
          <w:vertAlign w:val="superscript"/>
        </w:rPr>
        <w:t xml:space="preserve"> </w:t>
      </w:r>
      <w:r w:rsidR="00173D49" w:rsidRPr="007B15E9">
        <w:rPr>
          <w:rFonts w:asciiTheme="majorBidi" w:hAnsiTheme="majorBidi" w:cstheme="majorBidi"/>
          <w:color w:val="000000"/>
          <w:sz w:val="24"/>
          <w:szCs w:val="24"/>
          <w:vertAlign w:val="superscript"/>
        </w:rPr>
        <w:footnoteReference w:id="213"/>
      </w:r>
    </w:p>
    <w:p w:rsidR="006A4EED" w:rsidRPr="000A2A3E" w:rsidRDefault="006A4EED" w:rsidP="000A2A3E">
      <w:pPr>
        <w:autoSpaceDE w:val="0"/>
        <w:autoSpaceDN w:val="0"/>
        <w:adjustRightInd w:val="0"/>
        <w:spacing w:after="0" w:line="360" w:lineRule="auto"/>
        <w:ind w:firstLine="284"/>
        <w:jc w:val="both"/>
        <w:rPr>
          <w:rFonts w:asciiTheme="majorBidi" w:hAnsiTheme="majorBidi" w:cstheme="majorBidi"/>
          <w:color w:val="000000"/>
          <w:sz w:val="24"/>
          <w:szCs w:val="24"/>
        </w:rPr>
      </w:pPr>
      <w:r w:rsidRPr="000A2A3E">
        <w:rPr>
          <w:rFonts w:asciiTheme="majorBidi" w:hAnsiTheme="majorBidi" w:cstheme="majorBidi"/>
          <w:color w:val="000000"/>
          <w:sz w:val="24"/>
          <w:szCs w:val="24"/>
        </w:rPr>
        <w:lastRenderedPageBreak/>
        <w:t>Il s’agira donc, dans l’étude de l’espace, de considérer sa fonctionnalité par rapport aux éléments constitutifs d’une pièce de théâtre qui sont l’intrigue, les personnages et le temps.</w:t>
      </w:r>
    </w:p>
    <w:p w:rsidR="006A4EED" w:rsidRPr="000A2A3E" w:rsidRDefault="006A4EED" w:rsidP="000A2A3E">
      <w:pPr>
        <w:autoSpaceDE w:val="0"/>
        <w:autoSpaceDN w:val="0"/>
        <w:adjustRightInd w:val="0"/>
        <w:spacing w:after="0" w:line="360" w:lineRule="auto"/>
        <w:ind w:firstLine="284"/>
        <w:jc w:val="both"/>
        <w:rPr>
          <w:rFonts w:asciiTheme="majorBidi" w:hAnsiTheme="majorBidi" w:cstheme="majorBidi"/>
          <w:sz w:val="24"/>
          <w:szCs w:val="24"/>
        </w:rPr>
      </w:pPr>
      <w:r w:rsidRPr="000A2A3E">
        <w:rPr>
          <w:rFonts w:asciiTheme="majorBidi" w:hAnsiTheme="majorBidi" w:cstheme="majorBidi"/>
          <w:color w:val="000000"/>
          <w:sz w:val="24"/>
          <w:szCs w:val="24"/>
        </w:rPr>
        <w:t xml:space="preserve">Quant au temps, </w:t>
      </w:r>
      <w:r w:rsidRPr="000A2A3E">
        <w:rPr>
          <w:rFonts w:asciiTheme="majorBidi" w:hAnsiTheme="majorBidi" w:cstheme="majorBidi"/>
          <w:iCs/>
          <w:color w:val="000000"/>
          <w:sz w:val="24"/>
          <w:szCs w:val="24"/>
        </w:rPr>
        <w:t>« </w:t>
      </w:r>
      <w:r w:rsidRPr="000A2A3E">
        <w:rPr>
          <w:rFonts w:asciiTheme="majorBidi" w:hAnsiTheme="majorBidi" w:cstheme="majorBidi"/>
          <w:iCs/>
          <w:sz w:val="24"/>
          <w:szCs w:val="24"/>
        </w:rPr>
        <w:t>il n’est plus seulement un thème ou la condition d’un accomplissement, mais le sujet même de l’œuvre »</w:t>
      </w:r>
      <w:r w:rsidRPr="000A2A3E">
        <w:rPr>
          <w:rFonts w:asciiTheme="majorBidi" w:hAnsiTheme="majorBidi" w:cstheme="majorBidi"/>
          <w:sz w:val="24"/>
          <w:szCs w:val="24"/>
          <w:vertAlign w:val="superscript"/>
        </w:rPr>
        <w:footnoteReference w:id="214"/>
      </w:r>
      <w:r w:rsidRPr="000A2A3E">
        <w:rPr>
          <w:rFonts w:asciiTheme="majorBidi" w:hAnsiTheme="majorBidi" w:cstheme="majorBidi"/>
          <w:sz w:val="24"/>
          <w:szCs w:val="24"/>
        </w:rPr>
        <w:t>.</w:t>
      </w:r>
    </w:p>
    <w:p w:rsidR="006A4EED" w:rsidRPr="000A2A3E" w:rsidRDefault="006A4EED" w:rsidP="000A2A3E">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i/>
          <w:iCs/>
          <w:color w:val="000000"/>
          <w:sz w:val="24"/>
          <w:szCs w:val="24"/>
        </w:rPr>
        <w:t xml:space="preserve"> </w:t>
      </w:r>
      <w:r w:rsidRPr="000A2A3E">
        <w:rPr>
          <w:rFonts w:ascii="Times New Roman" w:hAnsi="Times New Roman"/>
          <w:color w:val="000000"/>
          <w:sz w:val="24"/>
          <w:szCs w:val="24"/>
        </w:rPr>
        <w:t xml:space="preserve">Il faudra donc envisager </w:t>
      </w:r>
    </w:p>
    <w:p w:rsidR="006A4EED" w:rsidRPr="00B466CC" w:rsidRDefault="006A4EED" w:rsidP="00B466CC">
      <w:pPr>
        <w:pStyle w:val="Citationintense"/>
        <w:spacing w:before="0" w:after="0"/>
        <w:ind w:left="567" w:right="0"/>
        <w:rPr>
          <w:sz w:val="20"/>
          <w:szCs w:val="20"/>
        </w:rPr>
      </w:pPr>
      <w:proofErr w:type="gramStart"/>
      <w:r w:rsidRPr="00B466CC">
        <w:rPr>
          <w:sz w:val="20"/>
          <w:szCs w:val="20"/>
        </w:rPr>
        <w:t>le</w:t>
      </w:r>
      <w:proofErr w:type="gramEnd"/>
      <w:r w:rsidRPr="00B466CC">
        <w:rPr>
          <w:sz w:val="20"/>
          <w:szCs w:val="20"/>
        </w:rPr>
        <w:t xml:space="preserve"> temps du discours (qui) est, dans un certain sens un temps linéaire, alors que le temps de l’histoire est pluridimensionnel. Dans l’histoire, plusieurs événements peuvent se dérouler en même temps, mais le discours doit obligatoirement les mettre à la suite l’un de l’autre</w:t>
      </w:r>
      <w:r w:rsidRPr="00B466CC">
        <w:rPr>
          <w:sz w:val="20"/>
          <w:szCs w:val="20"/>
          <w:vertAlign w:val="superscript"/>
        </w:rPr>
        <w:footnoteReference w:id="215"/>
      </w:r>
      <w:r w:rsidRPr="00B466CC">
        <w:rPr>
          <w:sz w:val="20"/>
          <w:szCs w:val="20"/>
          <w:vertAlign w:val="superscript"/>
        </w:rPr>
        <w:t>.</w:t>
      </w:r>
      <w:r w:rsidRPr="00B466CC">
        <w:rPr>
          <w:sz w:val="20"/>
          <w:szCs w:val="20"/>
        </w:rPr>
        <w:t xml:space="preserve"> </w:t>
      </w:r>
    </w:p>
    <w:p w:rsidR="00BE1BF8" w:rsidRPr="00BE1BF8" w:rsidRDefault="00BE1BF8" w:rsidP="00D47618">
      <w:pPr>
        <w:autoSpaceDE w:val="0"/>
        <w:autoSpaceDN w:val="0"/>
        <w:adjustRightInd w:val="0"/>
        <w:spacing w:after="0" w:line="360" w:lineRule="auto"/>
        <w:ind w:firstLine="284"/>
        <w:jc w:val="both"/>
        <w:rPr>
          <w:rFonts w:ascii="Times New Roman" w:hAnsi="Times New Roman"/>
          <w:color w:val="000000"/>
          <w:sz w:val="10"/>
          <w:szCs w:val="10"/>
        </w:rPr>
      </w:pPr>
    </w:p>
    <w:p w:rsidR="006A4EED" w:rsidRPr="003B00C8" w:rsidRDefault="006A4EED" w:rsidP="00BE1BF8">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color w:val="000000"/>
          <w:sz w:val="24"/>
          <w:szCs w:val="24"/>
        </w:rPr>
        <w:t>C’est donc dire que l’espace et le temps se trouvent associés, voire intégrés aux personnages comme ils sont à l’action.</w:t>
      </w:r>
      <w:r w:rsidR="00BE1BF8">
        <w:rPr>
          <w:rFonts w:ascii="Times New Roman" w:hAnsi="Times New Roman"/>
          <w:color w:val="000000"/>
          <w:sz w:val="24"/>
          <w:szCs w:val="24"/>
        </w:rPr>
        <w:t xml:space="preserve"> </w:t>
      </w:r>
      <w:r w:rsidRPr="003B00C8">
        <w:rPr>
          <w:rFonts w:ascii="Times New Roman" w:hAnsi="Times New Roman"/>
          <w:sz w:val="24"/>
          <w:szCs w:val="24"/>
        </w:rPr>
        <w:t>De fait, toute pièce de théâtre, parce qu’elle est une fiction, possède un cadre, un espace/temps ou encore un chronotope</w:t>
      </w:r>
      <w:r w:rsidRPr="003B00C8">
        <w:rPr>
          <w:rFonts w:ascii="Times New Roman" w:hAnsi="Times New Roman"/>
          <w:sz w:val="24"/>
          <w:szCs w:val="24"/>
          <w:vertAlign w:val="superscript"/>
        </w:rPr>
        <w:footnoteReference w:id="216"/>
      </w:r>
      <w:r w:rsidRPr="003B00C8">
        <w:rPr>
          <w:rFonts w:ascii="Times New Roman" w:hAnsi="Times New Roman"/>
          <w:sz w:val="24"/>
          <w:szCs w:val="24"/>
        </w:rPr>
        <w:t xml:space="preserve"> dans lequel se déroule les événements qui constituent l’intrigue.</w:t>
      </w:r>
    </w:p>
    <w:p w:rsidR="00F37179" w:rsidRDefault="006A4EED" w:rsidP="00F37179">
      <w:pPr>
        <w:spacing w:after="0" w:line="360" w:lineRule="auto"/>
        <w:ind w:firstLine="284"/>
        <w:jc w:val="both"/>
        <w:rPr>
          <w:rFonts w:ascii="Times New Roman" w:hAnsi="Times New Roman"/>
          <w:sz w:val="24"/>
          <w:szCs w:val="24"/>
        </w:rPr>
      </w:pPr>
      <w:r w:rsidRPr="003B00C8">
        <w:rPr>
          <w:rFonts w:ascii="Times New Roman" w:hAnsi="Times New Roman"/>
          <w:sz w:val="24"/>
          <w:szCs w:val="24"/>
        </w:rPr>
        <w:t>C'est la période des fêtes de Pâques .Les événements de la pièce se déroulent pendant cette fête religieuse sacrée qui annonce la fin du carême observé .C'est aussi la fête de l'abondance et du carnaval des Saturnales romaines ou les citoyens ont une liberté absolu de mascarade pendant sept jours.</w:t>
      </w:r>
      <w:r w:rsidR="00F37179">
        <w:rPr>
          <w:rFonts w:ascii="Times New Roman" w:hAnsi="Times New Roman"/>
          <w:sz w:val="24"/>
          <w:szCs w:val="24"/>
        </w:rPr>
        <w:t xml:space="preserve"> </w:t>
      </w:r>
    </w:p>
    <w:p w:rsidR="006A4EED" w:rsidRDefault="006A4EED" w:rsidP="00F37179">
      <w:pPr>
        <w:spacing w:after="0" w:line="360" w:lineRule="auto"/>
        <w:ind w:firstLine="284"/>
        <w:jc w:val="both"/>
        <w:rPr>
          <w:rFonts w:ascii="Times New Roman" w:hAnsi="Times New Roman"/>
          <w:sz w:val="24"/>
          <w:szCs w:val="24"/>
        </w:rPr>
      </w:pPr>
      <w:r w:rsidRPr="003B00C8">
        <w:rPr>
          <w:rFonts w:ascii="Times New Roman" w:eastAsia="Times New Roman" w:hAnsi="Times New Roman"/>
          <w:sz w:val="24"/>
          <w:szCs w:val="24"/>
          <w:lang w:eastAsia="fr-FR"/>
        </w:rPr>
        <w:t xml:space="preserve">Le temps tout comme l’espace dans la dramaturgie est un concept qui joue un rôle déterminant dans la perception du monde. </w:t>
      </w:r>
      <w:r w:rsidRPr="003B00C8">
        <w:rPr>
          <w:rFonts w:ascii="Times New Roman" w:eastAsia="Times New Roman" w:hAnsi="Times New Roman"/>
          <w:color w:val="000000"/>
          <w:sz w:val="24"/>
          <w:szCs w:val="24"/>
          <w:lang w:eastAsia="fr-FR"/>
        </w:rPr>
        <w:t>L'espace/temps scénique s'insère dans un espace/temps dramatique</w:t>
      </w:r>
      <w:r w:rsidRPr="003B00C8">
        <w:rPr>
          <w:rFonts w:ascii="Times New Roman" w:eastAsia="Times New Roman" w:hAnsi="Times New Roman"/>
          <w:i/>
          <w:iCs/>
          <w:color w:val="000000"/>
          <w:sz w:val="24"/>
          <w:szCs w:val="24"/>
          <w:lang w:eastAsia="fr-FR"/>
        </w:rPr>
        <w:t>.</w:t>
      </w:r>
      <w:r w:rsidRPr="003B00C8">
        <w:rPr>
          <w:rFonts w:ascii="Times New Roman" w:eastAsia="Times New Roman" w:hAnsi="Times New Roman"/>
          <w:color w:val="000000"/>
          <w:sz w:val="24"/>
          <w:szCs w:val="24"/>
          <w:lang w:eastAsia="fr-FR"/>
        </w:rPr>
        <w:t xml:space="preserve"> Ajoutons que ce dernier s'insère lui-même dans un espace/temps diégétique plus large. C'est pourquoi Anne Ubersfeld a proposé les linéaments d'une </w:t>
      </w:r>
      <w:r w:rsidR="00BE1E32" w:rsidRPr="0029490F">
        <w:rPr>
          <w:rFonts w:ascii="Times New Roman" w:eastAsia="Times New Roman" w:hAnsi="Times New Roman"/>
          <w:color w:val="000000"/>
          <w:sz w:val="24"/>
          <w:szCs w:val="24"/>
          <w:lang w:eastAsia="fr-FR"/>
        </w:rPr>
        <w:t>sémiotique</w:t>
      </w:r>
      <w:r w:rsidRPr="0029490F">
        <w:rPr>
          <w:rFonts w:ascii="Times New Roman" w:eastAsia="Times New Roman" w:hAnsi="Times New Roman"/>
          <w:color w:val="000000"/>
          <w:sz w:val="24"/>
          <w:szCs w:val="24"/>
          <w:lang w:eastAsia="fr-FR"/>
        </w:rPr>
        <w:t xml:space="preserve"> du temps et de l'espace</w:t>
      </w:r>
      <w:r w:rsidRPr="0029490F">
        <w:rPr>
          <w:rFonts w:ascii="Times New Roman" w:eastAsia="Times New Roman" w:hAnsi="Times New Roman"/>
          <w:color w:val="000000"/>
          <w:sz w:val="24"/>
          <w:szCs w:val="24"/>
          <w:vertAlign w:val="superscript"/>
          <w:lang w:eastAsia="fr-FR"/>
        </w:rPr>
        <w:footnoteReference w:id="217"/>
      </w:r>
      <w:r w:rsidRPr="0029490F">
        <w:rPr>
          <w:rFonts w:ascii="Times New Roman" w:eastAsia="Times New Roman" w:hAnsi="Times New Roman"/>
          <w:color w:val="000000"/>
          <w:sz w:val="24"/>
          <w:szCs w:val="24"/>
          <w:lang w:eastAsia="fr-FR"/>
        </w:rPr>
        <w:t>,</w:t>
      </w:r>
      <w:r w:rsidRPr="003B00C8">
        <w:rPr>
          <w:rFonts w:ascii="Times New Roman" w:eastAsia="Times New Roman" w:hAnsi="Times New Roman"/>
          <w:color w:val="000000"/>
          <w:sz w:val="24"/>
          <w:szCs w:val="24"/>
          <w:lang w:eastAsia="fr-FR"/>
        </w:rPr>
        <w:t xml:space="preserve"> suggérant d'interpréter des listes établies à partir de toutes les manifestations, dans le texte, des champs lexicaux du temps et de l'espace. C'est par rapport à cet ensemble (diégétique mais aussi symbolique) que les lieux et les moments du </w:t>
      </w:r>
      <w:r w:rsidR="0097019D">
        <w:rPr>
          <w:rFonts w:ascii="Times New Roman" w:eastAsia="Times New Roman" w:hAnsi="Times New Roman"/>
          <w:color w:val="000000"/>
          <w:sz w:val="24"/>
          <w:szCs w:val="24"/>
          <w:lang w:eastAsia="fr-FR"/>
        </w:rPr>
        <w:t>d</w:t>
      </w:r>
      <w:r w:rsidRPr="003B00C8">
        <w:rPr>
          <w:rFonts w:ascii="Times New Roman" w:eastAsia="Times New Roman" w:hAnsi="Times New Roman"/>
          <w:color w:val="000000"/>
          <w:sz w:val="24"/>
          <w:szCs w:val="24"/>
          <w:lang w:eastAsia="fr-FR"/>
        </w:rPr>
        <w:t>ram</w:t>
      </w:r>
      <w:r w:rsidRPr="003B00C8">
        <w:rPr>
          <w:rFonts w:ascii="Times New Roman" w:eastAsia="Times New Roman" w:hAnsi="Times New Roman"/>
          <w:i/>
          <w:iCs/>
          <w:color w:val="000000"/>
          <w:sz w:val="24"/>
          <w:szCs w:val="24"/>
          <w:lang w:eastAsia="fr-FR"/>
        </w:rPr>
        <w:t>e</w:t>
      </w:r>
      <w:r w:rsidRPr="003B00C8">
        <w:rPr>
          <w:rFonts w:ascii="Times New Roman" w:eastAsia="Times New Roman" w:hAnsi="Times New Roman"/>
          <w:color w:val="000000"/>
          <w:sz w:val="24"/>
          <w:szCs w:val="24"/>
          <w:lang w:eastAsia="fr-FR"/>
        </w:rPr>
        <w:t xml:space="preserve"> vont </w:t>
      </w:r>
      <w:r w:rsidRPr="00893D48">
        <w:rPr>
          <w:rFonts w:ascii="Times New Roman" w:eastAsia="Times New Roman" w:hAnsi="Times New Roman"/>
          <w:color w:val="000000"/>
          <w:sz w:val="24"/>
          <w:szCs w:val="24"/>
          <w:lang w:eastAsia="fr-FR"/>
        </w:rPr>
        <w:t>prendre sens.</w:t>
      </w:r>
      <w:r w:rsidRPr="00893D48">
        <w:rPr>
          <w:rFonts w:ascii="Times New Roman" w:hAnsi="Times New Roman"/>
          <w:sz w:val="24"/>
          <w:szCs w:val="24"/>
        </w:rPr>
        <w:t xml:space="preserve"> La scène thématise des enjeux liés au temps (postérité, gloire, souvenir, regret, attente, espérance, crainte de l'avenir, hantise du temps qui passe:) et spatiaux (conquête, fuite, emprisonnement, pouvoir).</w:t>
      </w:r>
      <w:r w:rsidRPr="00893D48">
        <w:rPr>
          <w:rFonts w:ascii="Times New Roman" w:hAnsi="Times New Roman"/>
          <w:sz w:val="24"/>
          <w:szCs w:val="24"/>
          <w:vertAlign w:val="superscript"/>
        </w:rPr>
        <w:footnoteReference w:id="218"/>
      </w:r>
    </w:p>
    <w:p w:rsidR="006A4EED" w:rsidRPr="00E8644F" w:rsidRDefault="00F1041F" w:rsidP="00840B67">
      <w:pPr>
        <w:pStyle w:val="Titre4"/>
        <w:spacing w:before="0" w:after="0" w:line="360" w:lineRule="auto"/>
        <w:ind w:left="641" w:hanging="357"/>
        <w:jc w:val="both"/>
        <w:rPr>
          <w:rFonts w:ascii="Times New Roman" w:hAnsi="Times New Roman"/>
          <w:i w:val="0"/>
          <w:iCs/>
        </w:rPr>
      </w:pPr>
      <w:bookmarkStart w:id="121" w:name="_Toc471484492"/>
      <w:r>
        <w:rPr>
          <w:rFonts w:ascii="Times New Roman" w:hAnsi="Times New Roman"/>
          <w:i w:val="0"/>
          <w:iCs/>
        </w:rPr>
        <w:lastRenderedPageBreak/>
        <w:t>6.1</w:t>
      </w:r>
      <w:r w:rsidR="00840B67">
        <w:rPr>
          <w:rFonts w:ascii="Times New Roman" w:hAnsi="Times New Roman"/>
          <w:i w:val="0"/>
          <w:iCs/>
        </w:rPr>
        <w:t>.</w:t>
      </w:r>
      <w:r w:rsidR="00840B67" w:rsidRPr="00E8644F">
        <w:rPr>
          <w:rFonts w:ascii="Times New Roman" w:hAnsi="Times New Roman"/>
          <w:i w:val="0"/>
          <w:iCs/>
        </w:rPr>
        <w:t xml:space="preserve"> L’espace</w:t>
      </w:r>
      <w:bookmarkEnd w:id="121"/>
    </w:p>
    <w:p w:rsidR="006A4EED" w:rsidRPr="003B00C8" w:rsidRDefault="006A4EED" w:rsidP="00840B67">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Nous emploierons, dans un premier niveau, pour identifier les lieux, la disjonction ouvert /clos. Dans cette optique, nous effectuerons une première classification matérialisée d’une part par l’énumération des lieux ouverts et d’autre part par celle des lieux clos.</w:t>
      </w:r>
    </w:p>
    <w:p w:rsidR="006A4EED" w:rsidRPr="007051AC" w:rsidRDefault="00E15BBC" w:rsidP="00E15BBC">
      <w:pPr>
        <w:pStyle w:val="Titre5"/>
        <w:spacing w:before="0" w:after="0"/>
        <w:ind w:left="641" w:hanging="357"/>
        <w:jc w:val="both"/>
        <w:rPr>
          <w:rFonts w:ascii="Times New Roman" w:hAnsi="Times New Roman"/>
          <w:color w:val="auto"/>
        </w:rPr>
      </w:pPr>
      <w:bookmarkStart w:id="122" w:name="_Toc471484493"/>
      <w:r>
        <w:rPr>
          <w:rFonts w:ascii="Times New Roman" w:hAnsi="Times New Roman"/>
          <w:color w:val="auto"/>
        </w:rPr>
        <w:t>6.1.1.</w:t>
      </w:r>
      <w:r w:rsidRPr="007051AC">
        <w:rPr>
          <w:rFonts w:ascii="Times New Roman" w:hAnsi="Times New Roman"/>
          <w:color w:val="auto"/>
        </w:rPr>
        <w:t xml:space="preserve"> Les</w:t>
      </w:r>
      <w:r w:rsidR="006A4EED" w:rsidRPr="007051AC">
        <w:rPr>
          <w:rFonts w:ascii="Times New Roman" w:hAnsi="Times New Roman"/>
          <w:color w:val="auto"/>
        </w:rPr>
        <w:t xml:space="preserve"> lieux ouverts</w:t>
      </w:r>
      <w:r w:rsidR="00D72BD0">
        <w:rPr>
          <w:rFonts w:ascii="Times New Roman" w:hAnsi="Times New Roman"/>
          <w:color w:val="auto"/>
        </w:rPr>
        <w:t xml:space="preserve"> et les lieux clos</w:t>
      </w:r>
      <w:bookmarkEnd w:id="122"/>
    </w:p>
    <w:p w:rsidR="006A4EED" w:rsidRDefault="006A4EED" w:rsidP="00E15BBC">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Nous entendons par </w:t>
      </w:r>
      <w:r w:rsidRPr="003B00C8">
        <w:rPr>
          <w:rFonts w:ascii="Times New Roman" w:hAnsi="Times New Roman"/>
          <w:i/>
          <w:iCs/>
          <w:color w:val="000000"/>
          <w:sz w:val="24"/>
          <w:szCs w:val="24"/>
        </w:rPr>
        <w:t xml:space="preserve">lieux ouverts </w:t>
      </w:r>
      <w:r w:rsidRPr="003B00C8">
        <w:rPr>
          <w:rFonts w:ascii="Times New Roman" w:hAnsi="Times New Roman"/>
          <w:color w:val="000000"/>
          <w:sz w:val="24"/>
          <w:szCs w:val="24"/>
        </w:rPr>
        <w:t xml:space="preserve">un espace non fini, illimité par une frontière matérialisée d’une manière ou d’une autre. Dans ce paradigme, nous retrouvons les </w:t>
      </w:r>
      <w:r w:rsidRPr="003B00C8">
        <w:rPr>
          <w:rFonts w:ascii="Times New Roman" w:hAnsi="Times New Roman"/>
          <w:sz w:val="24"/>
          <w:szCs w:val="24"/>
        </w:rPr>
        <w:t>Bas-fonds de Jérusalem</w:t>
      </w:r>
      <w:r w:rsidRPr="003B00C8">
        <w:rPr>
          <w:rFonts w:ascii="Times New Roman" w:hAnsi="Times New Roman"/>
          <w:color w:val="000000"/>
          <w:sz w:val="24"/>
          <w:szCs w:val="24"/>
        </w:rPr>
        <w:t>.</w:t>
      </w:r>
    </w:p>
    <w:p w:rsidR="0097019D" w:rsidRPr="00893D48" w:rsidRDefault="006A4EED" w:rsidP="00E15BBC">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Par opposition aux lieux ouverts qui sont illimités, les lieux clos sont fermés par des murs, des cloisons. Parmi ceux énumérés dans </w:t>
      </w:r>
      <w:r w:rsidRPr="008401A3">
        <w:rPr>
          <w:rFonts w:ascii="Times New Roman" w:hAnsi="Times New Roman"/>
          <w:b/>
          <w:bCs/>
          <w:i/>
          <w:iCs/>
          <w:color w:val="000000"/>
          <w:sz w:val="24"/>
          <w:szCs w:val="24"/>
        </w:rPr>
        <w:t>Barabbas</w:t>
      </w:r>
      <w:r w:rsidRPr="003B00C8">
        <w:rPr>
          <w:rFonts w:ascii="Times New Roman" w:hAnsi="Times New Roman"/>
          <w:b/>
          <w:bCs/>
          <w:color w:val="000000"/>
          <w:sz w:val="24"/>
          <w:szCs w:val="24"/>
        </w:rPr>
        <w:t xml:space="preserve"> </w:t>
      </w:r>
      <w:r w:rsidRPr="003B00C8">
        <w:rPr>
          <w:rFonts w:ascii="Times New Roman" w:hAnsi="Times New Roman"/>
          <w:bCs/>
          <w:color w:val="000000"/>
          <w:sz w:val="24"/>
          <w:szCs w:val="24"/>
        </w:rPr>
        <w:t>de Michel Ghelderode</w:t>
      </w:r>
      <w:r w:rsidRPr="003B00C8">
        <w:rPr>
          <w:rFonts w:ascii="Times New Roman" w:hAnsi="Times New Roman"/>
          <w:b/>
          <w:bCs/>
          <w:color w:val="000000"/>
          <w:sz w:val="24"/>
          <w:szCs w:val="24"/>
        </w:rPr>
        <w:t xml:space="preserve"> </w:t>
      </w:r>
      <w:r w:rsidRPr="003B00C8">
        <w:rPr>
          <w:rFonts w:ascii="Times New Roman" w:hAnsi="Times New Roman"/>
          <w:color w:val="000000"/>
          <w:sz w:val="24"/>
          <w:szCs w:val="24"/>
        </w:rPr>
        <w:t xml:space="preserve">à savoir le palais de Ponce Pilate et la prison ont été retenus pour leur fonctionnalité ou plus précisément parce qu’il </w:t>
      </w:r>
      <w:r w:rsidR="00E15BBC" w:rsidRPr="00E15BBC">
        <w:rPr>
          <w:rFonts w:ascii="Times New Roman" w:hAnsi="Times New Roman"/>
          <w:color w:val="000000"/>
          <w:sz w:val="24"/>
          <w:szCs w:val="24"/>
        </w:rPr>
        <w:t>« </w:t>
      </w:r>
      <w:r w:rsidRPr="00E15BBC">
        <w:rPr>
          <w:rFonts w:ascii="Times New Roman" w:hAnsi="Times New Roman"/>
          <w:color w:val="000000"/>
          <w:sz w:val="24"/>
          <w:szCs w:val="24"/>
        </w:rPr>
        <w:t>s’y passe quelque chose. Le lieu présuppose les personnages et l’action, non l’inverse</w:t>
      </w:r>
      <w:r w:rsidR="00E15BBC" w:rsidRPr="00E15BBC">
        <w:rPr>
          <w:rFonts w:ascii="Times New Roman" w:hAnsi="Times New Roman"/>
          <w:color w:val="000000"/>
          <w:sz w:val="24"/>
          <w:szCs w:val="24"/>
        </w:rPr>
        <w:t> »</w:t>
      </w:r>
      <w:r w:rsidRPr="00E15BBC">
        <w:rPr>
          <w:rFonts w:ascii="Times New Roman" w:hAnsi="Times New Roman"/>
          <w:color w:val="000000"/>
          <w:sz w:val="24"/>
          <w:szCs w:val="24"/>
          <w:vertAlign w:val="superscript"/>
        </w:rPr>
        <w:footnoteReference w:id="219"/>
      </w:r>
      <w:r w:rsidR="00E15BBC">
        <w:rPr>
          <w:rFonts w:ascii="Times New Roman" w:hAnsi="Times New Roman"/>
          <w:color w:val="000000"/>
          <w:sz w:val="24"/>
          <w:szCs w:val="24"/>
        </w:rPr>
        <w:t xml:space="preserve">. </w:t>
      </w:r>
      <w:r w:rsidRPr="003B00C8">
        <w:rPr>
          <w:rFonts w:ascii="Times New Roman" w:hAnsi="Times New Roman"/>
          <w:color w:val="000000"/>
          <w:sz w:val="24"/>
          <w:szCs w:val="24"/>
        </w:rPr>
        <w:t xml:space="preserve">Nous maintiendrons donc ces endroits pour leur importance notable. </w:t>
      </w:r>
    </w:p>
    <w:p w:rsidR="00F37179" w:rsidRDefault="006A4EED" w:rsidP="00E15BBC">
      <w:pPr>
        <w:spacing w:after="0" w:line="360" w:lineRule="auto"/>
        <w:ind w:firstLine="284"/>
        <w:jc w:val="both"/>
        <w:rPr>
          <w:rFonts w:ascii="Times New Roman" w:hAnsi="Times New Roman"/>
          <w:sz w:val="24"/>
          <w:szCs w:val="24"/>
        </w:rPr>
      </w:pPr>
      <w:r w:rsidRPr="003B00C8">
        <w:rPr>
          <w:rFonts w:ascii="Times New Roman" w:hAnsi="Times New Roman"/>
          <w:sz w:val="24"/>
          <w:szCs w:val="24"/>
        </w:rPr>
        <w:t>L'espace scénique du premier acte est une prison, celui du deuxième acte est le palais de Ponce Pilate. L'espace scénique du troisième acte représente les bas-fonds de Jérusalem.</w:t>
      </w:r>
      <w:r w:rsidR="0097019D">
        <w:rPr>
          <w:rFonts w:ascii="Times New Roman" w:hAnsi="Times New Roman"/>
          <w:sz w:val="24"/>
          <w:szCs w:val="24"/>
        </w:rPr>
        <w:t xml:space="preserve"> </w:t>
      </w:r>
    </w:p>
    <w:p w:rsidR="00F37179" w:rsidRDefault="00F37179" w:rsidP="00E15BBC">
      <w:pPr>
        <w:spacing w:after="0" w:line="360" w:lineRule="auto"/>
        <w:ind w:firstLine="284"/>
        <w:jc w:val="both"/>
        <w:rPr>
          <w:rFonts w:ascii="Times New Roman" w:hAnsi="Times New Roman"/>
          <w:sz w:val="24"/>
          <w:szCs w:val="24"/>
        </w:rPr>
      </w:pPr>
    </w:p>
    <w:p w:rsidR="006A4EED" w:rsidRPr="003B00C8" w:rsidRDefault="0097019D" w:rsidP="00E15BBC">
      <w:pPr>
        <w:spacing w:after="0" w:line="360" w:lineRule="auto"/>
        <w:ind w:firstLine="284"/>
        <w:jc w:val="both"/>
        <w:rPr>
          <w:rFonts w:ascii="Times New Roman" w:hAnsi="Times New Roman"/>
          <w:sz w:val="24"/>
          <w:szCs w:val="24"/>
        </w:rPr>
      </w:pPr>
      <w:r>
        <w:rPr>
          <w:rFonts w:ascii="Times New Roman" w:hAnsi="Times New Roman"/>
          <w:sz w:val="24"/>
          <w:szCs w:val="24"/>
        </w:rPr>
        <w:t>Ces espaces peuvent donc se schématiser de la façon représentée par la figure suivante :</w:t>
      </w:r>
    </w:p>
    <w:p w:rsidR="006A4EED" w:rsidRPr="003B00C8" w:rsidRDefault="00D27910" w:rsidP="006A4EED">
      <w:pPr>
        <w:spacing w:line="360" w:lineRule="auto"/>
        <w:ind w:right="-337"/>
        <w:jc w:val="both"/>
        <w:rPr>
          <w:rFonts w:ascii="Times New Roman" w:hAnsi="Times New Roman"/>
          <w:sz w:val="24"/>
          <w:szCs w:val="24"/>
        </w:rPr>
      </w:pPr>
      <w:r w:rsidRPr="00D27910">
        <w:rPr>
          <w:rFonts w:ascii="Times New Roman" w:hAnsi="Times New Roman"/>
        </w:rPr>
      </w:r>
      <w:r w:rsidRPr="00D27910">
        <w:rPr>
          <w:rFonts w:ascii="Times New Roman" w:hAnsi="Times New Roman"/>
        </w:rPr>
        <w:pict>
          <v:group id="Zone de dessin 8" o:spid="_x0000_s1026" editas="canvas" style="width:405pt;height:309.3pt;mso-position-horizontal-relative:char;mso-position-vertical-relative:line" coordsize="5143500,39281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143500;height:3928110;visibility:visible">
              <v:fill o:detectmouseclick="t"/>
              <v:path o:connecttype="none"/>
            </v:shape>
            <v:oval id="Oval 4" o:spid="_x0000_s1028" style="position:absolute;left:788670;width:3381375;height:38411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0aNsIA&#10;AADaAAAADwAAAGRycy9kb3ducmV2LnhtbESPQWvCQBSE74L/YXmCN91oUErqKlIR7MGDsb0/ss8k&#10;mH0bsq8x/ffdguBxmJlvmM1ucI3qqQu1ZwOLeQKKuPC25tLA1/U4ewMVBNli45kM/FKA3XY82mBm&#10;/YMv1OdSqgjhkKGBSqTNtA5FRQ7D3LfE0bv5zqFE2ZXadviIcNfoZZKstcOa40KFLX1UVNzzH2fg&#10;UO7zda9TWaW3w0lW9+/zZ7owZjoZ9u+ghAZ5hZ/tkzWwhP8r8Qbo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3Ro2wgAAANoAAAAPAAAAAAAAAAAAAAAAAJgCAABkcnMvZG93&#10;bnJldi54bWxQSwUGAAAAAAQABAD1AAAAhwMAAAAA&#10;"/>
            <v:oval id="Oval 5" o:spid="_x0000_s1029" style="position:absolute;left:1360170;top:135255;width:2381250;height:2554605;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v7GsEA&#10;AADaAAAADwAAAGRycy9kb3ducmV2LnhtbESPQYvCMBSE74L/ITzBm6YqyNI1lmVBqHhZXS/eXptn&#10;G7Z5KU2s9d9vBMHjMDPfMJtssI3oqfPGsYLFPAFBXDptuFJw/t3NPkD4gKyxcUwKHuQh245HG0y1&#10;u/OR+lOoRISwT1FBHUKbSunLmiz6uWuJo3d1ncUQZVdJ3eE9wm0jl0mylhYNx4UaW/quqfw73ayC&#10;/c/eIhXmYItVnh+Ty8HgtVBqOhm+PkEEGsI7/GrnWsEKnlfiDZD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b+xrBAAAA2gAAAA8AAAAAAAAAAAAAAAAAmAIAAGRycy9kb3du&#10;cmV2LnhtbFBLBQYAAAAABAAEAPUAAACGAwAAAAA=&#10;"/>
            <v:oval id="Oval 6" o:spid="_x0000_s1030" style="position:absolute;left:1855470;top:1099185;width:1371600;height:11334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gn2cIA&#10;AADaAAAADwAAAGRycy9kb3ducmV2LnhtbESPQWvCQBSE74X+h+UVvNWNjUpJXUUqgh48NLb3R/aZ&#10;BLNvQ/YZ4793BaHHYWa+YRarwTWqpy7Ung1Mxgko4sLbmksDv8ft+yeoIMgWG89k4EYBVsvXlwVm&#10;1l/5h/pcShUhHDI0UIm0mdahqMhhGPuWOHon3zmUKLtS2w6vEe4a/ZEkc+2w5rhQYUvfFRXn/OIM&#10;bMp1Pu91KrP0tNnJ7Px32KcTY0Zvw/oLlNAg/+Fne2cNTOFxJd4Av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eCfZwgAAANoAAAAPAAAAAAAAAAAAAAAAAJgCAABkcnMvZG93&#10;bnJldi54bWxQSwUGAAAAAAQABAD1AAAAhwMAAAAA&#10;"/>
            <v:shape id="_x0000_s1031" type="#_x0000_t202" style="position:absolute;left:2103120;top:1413510;width:752475;height:342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style="mso-next-textbox:#_x0000_s1031">
                <w:txbxContent>
                  <w:p w:rsidR="006C092A" w:rsidRPr="00E15BBC" w:rsidRDefault="006C092A" w:rsidP="006A4EED">
                    <w:pPr>
                      <w:rPr>
                        <w:rFonts w:asciiTheme="majorBidi" w:hAnsiTheme="majorBidi" w:cstheme="majorBidi"/>
                      </w:rPr>
                    </w:pPr>
                    <w:r>
                      <w:t xml:space="preserve">  </w:t>
                    </w:r>
                    <w:r w:rsidRPr="00E15BBC">
                      <w:rPr>
                        <w:rFonts w:asciiTheme="majorBidi" w:hAnsiTheme="majorBidi" w:cstheme="majorBidi"/>
                      </w:rPr>
                      <w:t>Prison</w:t>
                    </w:r>
                  </w:p>
                </w:txbxContent>
              </v:textbox>
            </v:shape>
            <v:shape id="Text Box 8" o:spid="_x0000_s1032" type="#_x0000_t202" style="position:absolute;left:2036445;top:518160;width:914400;height:457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style="mso-next-textbox:#Text Box 8">
                <w:txbxContent>
                  <w:p w:rsidR="006C092A" w:rsidRPr="00E15BBC" w:rsidRDefault="006C092A" w:rsidP="006A4EED">
                    <w:pPr>
                      <w:rPr>
                        <w:rFonts w:asciiTheme="majorBidi" w:hAnsiTheme="majorBidi" w:cstheme="majorBidi"/>
                      </w:rPr>
                    </w:pPr>
                    <w:r w:rsidRPr="00E15BBC">
                      <w:rPr>
                        <w:rFonts w:asciiTheme="majorBidi" w:hAnsiTheme="majorBidi" w:cstheme="majorBidi"/>
                      </w:rPr>
                      <w:t>Palais de  Ponce Pilate</w:t>
                    </w:r>
                  </w:p>
                </w:txbxContent>
              </v:textbox>
            </v:shape>
            <v:shape id="Text Box 9" o:spid="_x0000_s1033" type="#_x0000_t202" style="position:absolute;left:1988820;top:2754630;width:1028700;height:4305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style="mso-next-textbox:#Text Box 9">
                <w:txbxContent>
                  <w:p w:rsidR="006C092A" w:rsidRPr="00E15BBC" w:rsidRDefault="006C092A" w:rsidP="006A4EED">
                    <w:pPr>
                      <w:rPr>
                        <w:rFonts w:asciiTheme="majorBidi" w:hAnsiTheme="majorBidi" w:cstheme="majorBidi"/>
                      </w:rPr>
                    </w:pPr>
                    <w:r w:rsidRPr="00E15BBC">
                      <w:rPr>
                        <w:rFonts w:asciiTheme="majorBidi" w:hAnsiTheme="majorBidi" w:cstheme="majorBidi"/>
                      </w:rPr>
                      <w:t>Bas-fonds de Jérusalem</w:t>
                    </w:r>
                  </w:p>
                </w:txbxContent>
              </v:textbox>
            </v:shape>
            <w10:wrap type="none"/>
            <w10:anchorlock/>
          </v:group>
        </w:pict>
      </w:r>
    </w:p>
    <w:p w:rsidR="00F37179" w:rsidRPr="00893D48" w:rsidRDefault="006A4EED" w:rsidP="00F37179">
      <w:pPr>
        <w:spacing w:line="360" w:lineRule="auto"/>
        <w:ind w:right="-337"/>
        <w:jc w:val="both"/>
        <w:rPr>
          <w:rFonts w:ascii="Times New Roman" w:hAnsi="Times New Roman"/>
          <w:b/>
          <w:bCs/>
          <w:sz w:val="24"/>
          <w:szCs w:val="24"/>
        </w:rPr>
      </w:pPr>
      <w:r w:rsidRPr="003A0C61">
        <w:rPr>
          <w:rFonts w:ascii="Times New Roman" w:hAnsi="Times New Roman"/>
          <w:b/>
          <w:bCs/>
          <w:sz w:val="24"/>
          <w:szCs w:val="24"/>
        </w:rPr>
        <w:t xml:space="preserve">                    </w:t>
      </w:r>
      <w:r w:rsidR="00F37179" w:rsidRPr="003A0C61">
        <w:rPr>
          <w:rFonts w:ascii="Times New Roman" w:hAnsi="Times New Roman"/>
          <w:b/>
          <w:bCs/>
          <w:sz w:val="24"/>
          <w:szCs w:val="24"/>
        </w:rPr>
        <w:t>Figure 8 :</w:t>
      </w:r>
      <w:r w:rsidR="00F37179">
        <w:rPr>
          <w:rFonts w:ascii="Times New Roman" w:hAnsi="Times New Roman"/>
          <w:sz w:val="24"/>
          <w:szCs w:val="24"/>
        </w:rPr>
        <w:t xml:space="preserve"> </w:t>
      </w:r>
      <w:r w:rsidR="00F37179" w:rsidRPr="003B00C8">
        <w:rPr>
          <w:rFonts w:ascii="Times New Roman" w:hAnsi="Times New Roman"/>
          <w:b/>
          <w:bCs/>
          <w:sz w:val="24"/>
          <w:szCs w:val="24"/>
        </w:rPr>
        <w:t>Les espaces définis dans chaque acte de la pièce</w:t>
      </w:r>
    </w:p>
    <w:p w:rsidR="006A4EED" w:rsidRPr="003B00C8" w:rsidRDefault="006A4EED" w:rsidP="00E15BBC">
      <w:pPr>
        <w:spacing w:after="0" w:line="360" w:lineRule="auto"/>
        <w:ind w:firstLine="284"/>
        <w:jc w:val="both"/>
        <w:rPr>
          <w:rFonts w:ascii="Times New Roman" w:hAnsi="Times New Roman"/>
          <w:color w:val="000000"/>
          <w:sz w:val="24"/>
          <w:szCs w:val="24"/>
        </w:rPr>
      </w:pPr>
      <w:r w:rsidRPr="003B00C8">
        <w:rPr>
          <w:rFonts w:ascii="Times New Roman" w:hAnsi="Times New Roman"/>
          <w:sz w:val="24"/>
          <w:szCs w:val="24"/>
        </w:rPr>
        <w:t xml:space="preserve">L'espace dramatique est l'espace qui se situe au niveau du texte dramatique tandis que l'espace théâtral c'est le lieu de théâtralité concrète entendu comme l'aire de jeu. C'est, en d'autres termes, l'espace physique de la fiction dramatique que les personnages investissent dans l'accomplissement de leur action. </w:t>
      </w:r>
      <w:r w:rsidRPr="003B00C8">
        <w:rPr>
          <w:rFonts w:ascii="Times New Roman" w:hAnsi="Times New Roman"/>
          <w:color w:val="000000"/>
          <w:sz w:val="24"/>
          <w:szCs w:val="24"/>
        </w:rPr>
        <w:t xml:space="preserve">Nul doute  que la dramaturgie utilise l’espace en crescendo passant d’un espace clos à un espace ouvert.  En effet les théories littéraires décrivent  le système général des possibles dramatiques comme un système qui  recoupe en partie le système général des possibles narratifs. Ne serait-ce que parce que </w:t>
      </w:r>
      <w:r w:rsidRPr="008401A3">
        <w:rPr>
          <w:rFonts w:ascii="Times New Roman" w:hAnsi="Times New Roman"/>
          <w:color w:val="000000"/>
          <w:sz w:val="24"/>
          <w:szCs w:val="24"/>
        </w:rPr>
        <w:t>les deux modes de représentation</w:t>
      </w:r>
      <w:r w:rsidRPr="003B00C8">
        <w:rPr>
          <w:rFonts w:ascii="Times New Roman" w:hAnsi="Times New Roman"/>
          <w:color w:val="000000"/>
          <w:sz w:val="24"/>
          <w:szCs w:val="24"/>
        </w:rPr>
        <w:t xml:space="preserve"> prennent en charge le même type de contenus: des histoires. </w:t>
      </w:r>
    </w:p>
    <w:p w:rsidR="006A4EED" w:rsidRPr="00E15BBC" w:rsidRDefault="006A4EED" w:rsidP="00E15BBC">
      <w:pPr>
        <w:spacing w:after="0" w:line="360" w:lineRule="auto"/>
        <w:ind w:firstLine="284"/>
        <w:jc w:val="both"/>
        <w:rPr>
          <w:rFonts w:asciiTheme="majorBidi" w:eastAsia="Times New Roman" w:hAnsiTheme="majorBidi" w:cstheme="majorBidi"/>
          <w:i/>
          <w:sz w:val="24"/>
          <w:szCs w:val="24"/>
          <w:lang w:eastAsia="fr-FR"/>
        </w:rPr>
      </w:pPr>
      <w:r w:rsidRPr="003B00C8">
        <w:rPr>
          <w:rFonts w:ascii="Times New Roman" w:hAnsi="Times New Roman"/>
          <w:color w:val="000000"/>
          <w:sz w:val="24"/>
          <w:szCs w:val="24"/>
        </w:rPr>
        <w:t>Pour Ubersfeld</w:t>
      </w:r>
      <w:r w:rsidR="00E15BBC">
        <w:rPr>
          <w:rFonts w:ascii="Times New Roman" w:hAnsi="Times New Roman"/>
          <w:color w:val="000000"/>
          <w:sz w:val="24"/>
          <w:szCs w:val="24"/>
        </w:rPr>
        <w:t xml:space="preserve">, </w:t>
      </w:r>
      <w:r w:rsidR="00E15BBC" w:rsidRPr="00E15BBC">
        <w:rPr>
          <w:rFonts w:asciiTheme="majorBidi" w:hAnsiTheme="majorBidi" w:cstheme="majorBidi"/>
          <w:color w:val="000000"/>
          <w:sz w:val="24"/>
          <w:szCs w:val="24"/>
        </w:rPr>
        <w:t>« </w:t>
      </w:r>
      <w:r w:rsidR="00E15BBC">
        <w:rPr>
          <w:rFonts w:asciiTheme="majorBidi" w:hAnsiTheme="majorBidi" w:cstheme="majorBidi"/>
          <w:color w:val="000000"/>
          <w:sz w:val="24"/>
          <w:szCs w:val="24"/>
        </w:rPr>
        <w:t>s</w:t>
      </w:r>
      <w:r w:rsidRPr="00E15BBC">
        <w:rPr>
          <w:rFonts w:asciiTheme="majorBidi" w:hAnsiTheme="majorBidi" w:cstheme="majorBidi"/>
          <w:sz w:val="24"/>
          <w:szCs w:val="24"/>
        </w:rPr>
        <w:t>i la première caractéristique du texte de théâtre est l'utilisation  des personnes qui sont figurées par des existences humaines, la  seconde indissolublement liée à la première est l'existence d'un espace où ces êtres vivants sont présents</w:t>
      </w:r>
      <w:r w:rsidR="00E15BBC" w:rsidRPr="00E15BBC">
        <w:rPr>
          <w:rFonts w:asciiTheme="majorBidi" w:hAnsiTheme="majorBidi" w:cstheme="majorBidi"/>
          <w:sz w:val="24"/>
          <w:szCs w:val="24"/>
        </w:rPr>
        <w:t> »</w:t>
      </w:r>
      <w:r w:rsidRPr="00E15BBC">
        <w:rPr>
          <w:rFonts w:asciiTheme="majorBidi" w:eastAsia="Times New Roman" w:hAnsiTheme="majorBidi" w:cstheme="majorBidi"/>
          <w:sz w:val="24"/>
          <w:szCs w:val="24"/>
          <w:vertAlign w:val="superscript"/>
          <w:lang w:eastAsia="fr-FR"/>
        </w:rPr>
        <w:footnoteReference w:id="220"/>
      </w:r>
      <w:r w:rsidR="00E15BBC">
        <w:rPr>
          <w:rFonts w:asciiTheme="majorBidi" w:hAnsiTheme="majorBidi" w:cstheme="majorBidi"/>
          <w:sz w:val="24"/>
          <w:szCs w:val="24"/>
        </w:rPr>
        <w:t>.</w:t>
      </w:r>
    </w:p>
    <w:p w:rsidR="006A4EED" w:rsidRPr="003B00C8" w:rsidRDefault="006A4EED" w:rsidP="00CC3C6F">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lastRenderedPageBreak/>
        <w:t>L’espace ayant ainsi été analysé, il convient à présent de procéder à l’étude du temps, autre élément permettant de situer le personnage dans ses mutations, dans son évolution dans son récit</w:t>
      </w:r>
      <w:r w:rsidR="00CC3C6F">
        <w:rPr>
          <w:rFonts w:ascii="Times New Roman" w:hAnsi="Times New Roman"/>
          <w:color w:val="000000"/>
          <w:sz w:val="24"/>
          <w:szCs w:val="24"/>
        </w:rPr>
        <w:t>.</w:t>
      </w:r>
    </w:p>
    <w:p w:rsidR="006A4EED" w:rsidRDefault="00CC3C6F" w:rsidP="00CC3C6F">
      <w:pPr>
        <w:pStyle w:val="Titre4"/>
        <w:spacing w:before="0" w:after="0" w:line="360" w:lineRule="auto"/>
        <w:ind w:left="641" w:hanging="357"/>
        <w:jc w:val="both"/>
        <w:rPr>
          <w:rFonts w:ascii="Times New Roman" w:hAnsi="Times New Roman"/>
          <w:i w:val="0"/>
          <w:iCs/>
        </w:rPr>
      </w:pPr>
      <w:bookmarkStart w:id="123" w:name="_Toc471484494"/>
      <w:r>
        <w:rPr>
          <w:rFonts w:ascii="Times New Roman" w:hAnsi="Times New Roman"/>
          <w:i w:val="0"/>
          <w:iCs/>
        </w:rPr>
        <w:t>6.2.</w:t>
      </w:r>
      <w:r w:rsidRPr="00340EA8">
        <w:rPr>
          <w:rFonts w:ascii="Times New Roman" w:hAnsi="Times New Roman"/>
          <w:i w:val="0"/>
          <w:iCs/>
        </w:rPr>
        <w:t xml:space="preserve"> Le</w:t>
      </w:r>
      <w:r w:rsidR="006A4EED" w:rsidRPr="00340EA8">
        <w:rPr>
          <w:rFonts w:ascii="Times New Roman" w:hAnsi="Times New Roman"/>
          <w:i w:val="0"/>
          <w:iCs/>
        </w:rPr>
        <w:t xml:space="preserve"> temps</w:t>
      </w:r>
      <w:bookmarkEnd w:id="123"/>
    </w:p>
    <w:p w:rsidR="008401A3" w:rsidRDefault="006A4EED" w:rsidP="00CC3C6F">
      <w:pPr>
        <w:autoSpaceDE w:val="0"/>
        <w:autoSpaceDN w:val="0"/>
        <w:adjustRightInd w:val="0"/>
        <w:spacing w:after="0" w:line="360" w:lineRule="auto"/>
        <w:ind w:firstLine="284"/>
        <w:jc w:val="both"/>
        <w:rPr>
          <w:rFonts w:asciiTheme="majorBidi" w:hAnsiTheme="majorBidi" w:cstheme="majorBidi"/>
          <w:sz w:val="24"/>
          <w:szCs w:val="24"/>
        </w:rPr>
      </w:pPr>
      <w:r w:rsidRPr="003B00C8">
        <w:rPr>
          <w:rFonts w:ascii="Times New Roman" w:hAnsi="Times New Roman"/>
          <w:color w:val="000000"/>
          <w:sz w:val="24"/>
          <w:szCs w:val="24"/>
        </w:rPr>
        <w:t xml:space="preserve">Le récit a une dualité temporelle qu’il convient de signaliser ici. Comme le dit Todorov, </w:t>
      </w:r>
      <w:r w:rsidR="00CC3C6F" w:rsidRPr="00CC3C6F">
        <w:rPr>
          <w:rFonts w:asciiTheme="majorBidi" w:hAnsiTheme="majorBidi" w:cstheme="majorBidi"/>
          <w:color w:val="000000"/>
          <w:sz w:val="24"/>
          <w:szCs w:val="24"/>
        </w:rPr>
        <w:t>« </w:t>
      </w:r>
      <w:r w:rsidRPr="00CC3C6F">
        <w:rPr>
          <w:rFonts w:asciiTheme="majorBidi" w:hAnsiTheme="majorBidi" w:cstheme="majorBidi"/>
          <w:sz w:val="24"/>
          <w:szCs w:val="24"/>
        </w:rPr>
        <w:t xml:space="preserve">la catégorie du temps touche au rapport entre deux lignes temporelles: celle du discours fictionnel (figuré par nous par l’enchaînement linéaire des lettres sur la page et des pages dans le </w:t>
      </w:r>
      <w:r w:rsidR="008401A3" w:rsidRPr="00CC3C6F">
        <w:rPr>
          <w:rFonts w:asciiTheme="majorBidi" w:hAnsiTheme="majorBidi" w:cstheme="majorBidi"/>
          <w:sz w:val="24"/>
          <w:szCs w:val="24"/>
        </w:rPr>
        <w:t>volume)</w:t>
      </w:r>
      <w:r w:rsidRPr="00CC3C6F">
        <w:rPr>
          <w:rFonts w:asciiTheme="majorBidi" w:hAnsiTheme="majorBidi" w:cstheme="majorBidi"/>
          <w:sz w:val="24"/>
          <w:szCs w:val="24"/>
        </w:rPr>
        <w:t xml:space="preserve"> et celle de l’univers fictif plus complexe</w:t>
      </w:r>
      <w:r w:rsidR="00CC3C6F">
        <w:rPr>
          <w:rFonts w:asciiTheme="majorBidi" w:hAnsiTheme="majorBidi" w:cstheme="majorBidi"/>
          <w:sz w:val="24"/>
          <w:szCs w:val="24"/>
        </w:rPr>
        <w:t> »</w:t>
      </w:r>
      <w:r w:rsidRPr="00CC3C6F">
        <w:rPr>
          <w:rFonts w:asciiTheme="majorBidi" w:hAnsiTheme="majorBidi" w:cstheme="majorBidi"/>
          <w:sz w:val="24"/>
          <w:szCs w:val="24"/>
          <w:vertAlign w:val="superscript"/>
        </w:rPr>
        <w:footnoteReference w:id="221"/>
      </w:r>
      <w:r w:rsidR="00CC3C6F">
        <w:rPr>
          <w:rFonts w:asciiTheme="majorBidi" w:hAnsiTheme="majorBidi" w:cstheme="majorBidi"/>
          <w:sz w:val="24"/>
          <w:szCs w:val="24"/>
        </w:rPr>
        <w:t>.</w:t>
      </w:r>
    </w:p>
    <w:p w:rsidR="005A734D" w:rsidRPr="005A734D" w:rsidRDefault="005A734D" w:rsidP="00CC3C6F">
      <w:pPr>
        <w:autoSpaceDE w:val="0"/>
        <w:autoSpaceDN w:val="0"/>
        <w:adjustRightInd w:val="0"/>
        <w:spacing w:after="0" w:line="360" w:lineRule="auto"/>
        <w:ind w:firstLine="284"/>
        <w:jc w:val="both"/>
        <w:rPr>
          <w:rFonts w:asciiTheme="majorBidi" w:hAnsiTheme="majorBidi" w:cstheme="majorBidi"/>
          <w:b/>
          <w:bCs/>
          <w:sz w:val="24"/>
          <w:szCs w:val="24"/>
        </w:rPr>
      </w:pPr>
      <w:r>
        <w:rPr>
          <w:rFonts w:asciiTheme="majorBidi" w:hAnsiTheme="majorBidi" w:cstheme="majorBidi"/>
          <w:b/>
          <w:bCs/>
          <w:sz w:val="24"/>
          <w:szCs w:val="24"/>
        </w:rPr>
        <w:t>6.2.1 La temporalité de l’univers et la temporalité du discours</w:t>
      </w:r>
    </w:p>
    <w:p w:rsidR="006A4EED" w:rsidRPr="003B00C8" w:rsidRDefault="006A4EED" w:rsidP="00CC3C6F">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Ces deux temporalités mises en rapport, temporalité de l’univers représenté, et temporalité du discours le représentant nous permettront d’analyser la question du temps dans </w:t>
      </w:r>
      <w:r w:rsidRPr="008401A3">
        <w:rPr>
          <w:rFonts w:ascii="Times New Roman" w:hAnsi="Times New Roman"/>
          <w:b/>
          <w:bCs/>
          <w:i/>
          <w:iCs/>
          <w:color w:val="000000"/>
          <w:sz w:val="24"/>
          <w:szCs w:val="24"/>
        </w:rPr>
        <w:t xml:space="preserve">Barabbas </w:t>
      </w:r>
      <w:r w:rsidRPr="003B00C8">
        <w:rPr>
          <w:rFonts w:ascii="Times New Roman" w:hAnsi="Times New Roman"/>
          <w:bCs/>
          <w:color w:val="000000"/>
          <w:sz w:val="24"/>
          <w:szCs w:val="24"/>
        </w:rPr>
        <w:t>de Michel Ghelderode</w:t>
      </w:r>
      <w:r w:rsidRPr="003B00C8">
        <w:rPr>
          <w:rFonts w:ascii="Times New Roman" w:hAnsi="Times New Roman"/>
          <w:b/>
          <w:bCs/>
          <w:color w:val="000000"/>
          <w:sz w:val="24"/>
          <w:szCs w:val="24"/>
        </w:rPr>
        <w:t xml:space="preserve"> </w:t>
      </w:r>
      <w:r w:rsidRPr="003B00C8">
        <w:rPr>
          <w:rFonts w:ascii="Times New Roman" w:hAnsi="Times New Roman"/>
          <w:color w:val="000000"/>
          <w:sz w:val="24"/>
          <w:szCs w:val="24"/>
        </w:rPr>
        <w:t>en répondant aux questions suivantes:</w:t>
      </w:r>
    </w:p>
    <w:p w:rsidR="006A4EED" w:rsidRPr="003B00C8" w:rsidRDefault="006A4EED" w:rsidP="00230C65">
      <w:pPr>
        <w:pStyle w:val="Paragraphedeliste"/>
        <w:numPr>
          <w:ilvl w:val="0"/>
          <w:numId w:val="22"/>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à quel moment se situe l’histoire</w:t>
      </w:r>
    </w:p>
    <w:p w:rsidR="006A4EED" w:rsidRPr="003B00C8" w:rsidRDefault="006A4EED" w:rsidP="00230C65">
      <w:pPr>
        <w:pStyle w:val="Paragraphedeliste"/>
        <w:numPr>
          <w:ilvl w:val="0"/>
          <w:numId w:val="22"/>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quelle est sa durée</w:t>
      </w:r>
    </w:p>
    <w:p w:rsidR="006A4EED" w:rsidRPr="003B00C8" w:rsidRDefault="006A4EED" w:rsidP="00230C65">
      <w:pPr>
        <w:pStyle w:val="Paragraphedeliste"/>
        <w:numPr>
          <w:ilvl w:val="0"/>
          <w:numId w:val="22"/>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le temps de l’histoire coïncide t- il avec le temps de la narration</w:t>
      </w:r>
    </w:p>
    <w:p w:rsidR="006A4EED" w:rsidRPr="00893D48" w:rsidRDefault="006A4EED" w:rsidP="00230C65">
      <w:pPr>
        <w:pStyle w:val="Paragraphedeliste"/>
        <w:numPr>
          <w:ilvl w:val="0"/>
          <w:numId w:val="22"/>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quel est son lien avec l’intrigue et les préoccupations des personnages</w:t>
      </w:r>
    </w:p>
    <w:p w:rsidR="006A4EED" w:rsidRPr="003B00C8" w:rsidRDefault="006A4EED" w:rsidP="00241273">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Dans la pièce, ce temps des Saturnales permet aux personnages de donner libre cours à leurs instincts, il inscrit la pièce dans un espace/temps sans limites et prépare le lecteur à un défilé sans précèdent des </w:t>
      </w:r>
      <w:r w:rsidR="00340EA8" w:rsidRPr="003B00C8">
        <w:rPr>
          <w:rFonts w:ascii="Times New Roman" w:hAnsi="Times New Roman"/>
          <w:color w:val="000000"/>
          <w:sz w:val="24"/>
          <w:szCs w:val="24"/>
        </w:rPr>
        <w:t>personnages</w:t>
      </w:r>
      <w:r w:rsidRPr="003B00C8">
        <w:rPr>
          <w:rFonts w:ascii="Times New Roman" w:hAnsi="Times New Roman"/>
          <w:color w:val="000000"/>
          <w:sz w:val="24"/>
          <w:szCs w:val="24"/>
        </w:rPr>
        <w:t xml:space="preserve"> dans la pièce. Le début de la première </w:t>
      </w:r>
      <w:r w:rsidRPr="003B00C8">
        <w:rPr>
          <w:rFonts w:ascii="Times New Roman" w:hAnsi="Times New Roman"/>
          <w:i/>
          <w:iCs/>
          <w:color w:val="000000"/>
          <w:sz w:val="24"/>
          <w:szCs w:val="24"/>
        </w:rPr>
        <w:t>scène</w:t>
      </w:r>
      <w:r w:rsidRPr="003B00C8">
        <w:rPr>
          <w:rFonts w:ascii="Times New Roman" w:hAnsi="Times New Roman"/>
          <w:color w:val="000000"/>
          <w:sz w:val="24"/>
          <w:szCs w:val="24"/>
        </w:rPr>
        <w:t xml:space="preserve"> coïncide avec le début d’un déferlement d’actions. Celui-ci fait généralement l'objet d'une </w:t>
      </w:r>
      <w:r w:rsidRPr="003B00C8">
        <w:rPr>
          <w:rFonts w:ascii="Times New Roman" w:hAnsi="Times New Roman"/>
          <w:i/>
          <w:iCs/>
          <w:color w:val="000000"/>
          <w:sz w:val="24"/>
          <w:szCs w:val="24"/>
        </w:rPr>
        <w:t>ellipse</w:t>
      </w:r>
      <w:r w:rsidRPr="003B00C8">
        <w:rPr>
          <w:rFonts w:ascii="Times New Roman" w:hAnsi="Times New Roman"/>
          <w:color w:val="000000"/>
          <w:sz w:val="24"/>
          <w:szCs w:val="24"/>
        </w:rPr>
        <w:t xml:space="preserve"> inaugurale que l'</w:t>
      </w:r>
      <w:r w:rsidRPr="003B00C8">
        <w:rPr>
          <w:rFonts w:ascii="Times New Roman" w:hAnsi="Times New Roman"/>
          <w:i/>
          <w:iCs/>
          <w:color w:val="000000"/>
          <w:sz w:val="24"/>
          <w:szCs w:val="24"/>
        </w:rPr>
        <w:t>exposition</w:t>
      </w:r>
      <w:r w:rsidRPr="003B00C8">
        <w:rPr>
          <w:rFonts w:ascii="Times New Roman" w:hAnsi="Times New Roman"/>
          <w:color w:val="000000"/>
          <w:sz w:val="24"/>
          <w:szCs w:val="24"/>
        </w:rPr>
        <w:t xml:space="preserve"> prend en charge sous la forme d'un récit. Le régime temporel de cette forme dramatique est  sujet à  projection dans un espace historique et religieux significatifs. Historicité et religiosité s’entremêlent pour ancrer l’action.</w:t>
      </w:r>
    </w:p>
    <w:p w:rsidR="006A4EED" w:rsidRPr="00241273" w:rsidRDefault="006A4EED" w:rsidP="00241273">
      <w:pPr>
        <w:pStyle w:val="Citationintense"/>
        <w:spacing w:before="0" w:after="0"/>
        <w:ind w:left="567" w:right="0"/>
        <w:rPr>
          <w:sz w:val="20"/>
          <w:szCs w:val="20"/>
        </w:rPr>
      </w:pPr>
      <w:r w:rsidRPr="00241273">
        <w:rPr>
          <w:sz w:val="20"/>
          <w:szCs w:val="20"/>
        </w:rPr>
        <w:t xml:space="preserve">Dans les dimensions du drame converge en effet tout un monde, le monde fictif dans lequel </w:t>
      </w:r>
      <w:r w:rsidR="00340EA8" w:rsidRPr="00241273">
        <w:rPr>
          <w:sz w:val="20"/>
          <w:szCs w:val="20"/>
        </w:rPr>
        <w:t>évoluent</w:t>
      </w:r>
      <w:r w:rsidRPr="00241273">
        <w:rPr>
          <w:sz w:val="20"/>
          <w:szCs w:val="20"/>
        </w:rPr>
        <w:t xml:space="preserve"> les personnages et auquel ceux-ci font référence dans leur discours. Car les personnages, fictivement, ont eu et auront une existence hors des bornes de l'Action. Ce monde de la diégèse excède donc la portion limitée qui est prise en charge par le Drame.</w:t>
      </w:r>
      <w:r w:rsidRPr="00241273">
        <w:rPr>
          <w:sz w:val="20"/>
          <w:szCs w:val="20"/>
          <w:vertAlign w:val="superscript"/>
        </w:rPr>
        <w:footnoteReference w:id="222"/>
      </w:r>
    </w:p>
    <w:p w:rsidR="00183395" w:rsidRPr="00183395" w:rsidRDefault="006A4EED" w:rsidP="00183395">
      <w:pPr>
        <w:spacing w:line="360" w:lineRule="auto"/>
        <w:jc w:val="both"/>
        <w:rPr>
          <w:rFonts w:ascii="Times New Roman" w:hAnsi="Times New Roman"/>
          <w:color w:val="000000"/>
          <w:sz w:val="6"/>
          <w:szCs w:val="6"/>
        </w:rPr>
      </w:pPr>
      <w:r w:rsidRPr="003B00C8">
        <w:rPr>
          <w:rFonts w:ascii="Times New Roman" w:hAnsi="Times New Roman"/>
          <w:color w:val="000000"/>
          <w:sz w:val="24"/>
          <w:szCs w:val="24"/>
        </w:rPr>
        <w:t xml:space="preserve">       </w:t>
      </w:r>
    </w:p>
    <w:p w:rsidR="006A4EED" w:rsidRDefault="006A4EED" w:rsidP="00183395">
      <w:pPr>
        <w:spacing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Les prophéties, comme certains grands panoramas rétrospectifs -illustrée dans cette pièce par la fête de l’abondance - inscrivent le Drame dans un univers de </w:t>
      </w:r>
      <w:r w:rsidRPr="003B00C8">
        <w:rPr>
          <w:rFonts w:ascii="Times New Roman" w:hAnsi="Times New Roman"/>
          <w:color w:val="000000"/>
          <w:sz w:val="24"/>
          <w:szCs w:val="24"/>
        </w:rPr>
        <w:lastRenderedPageBreak/>
        <w:t>référence qui est nécessaire à la compréhension mais qui importe beaucoup aux personnages eux-mêmes.</w:t>
      </w:r>
    </w:p>
    <w:p w:rsidR="006A4EED" w:rsidRPr="003B00C8" w:rsidRDefault="006A4EED" w:rsidP="00241273">
      <w:pPr>
        <w:spacing w:after="0" w:line="360" w:lineRule="auto"/>
        <w:ind w:firstLine="284"/>
        <w:jc w:val="both"/>
        <w:rPr>
          <w:rFonts w:ascii="Times New Roman" w:hAnsi="Times New Roman"/>
          <w:sz w:val="24"/>
          <w:szCs w:val="24"/>
        </w:rPr>
      </w:pPr>
      <w:r w:rsidRPr="003B00C8">
        <w:rPr>
          <w:rFonts w:ascii="Times New Roman" w:hAnsi="Times New Roman"/>
          <w:sz w:val="24"/>
          <w:szCs w:val="24"/>
        </w:rPr>
        <w:t>Il nous faut souligner que dans l'œuvre, le temps n'est pas une dimension d'ordre purement cumulatif où les moments et les jours se suivent et s'additionnent. Le temps dans cette pièce est d'une toute autre valeur parce qu'il motive et détermine très précisément tant les phases générales de l'action que les comportements individuels des personnages.</w:t>
      </w:r>
    </w:p>
    <w:p w:rsidR="00340EA8" w:rsidRDefault="006A4EED" w:rsidP="00C37027">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Les pitreries, les cris, les façons de passer le temps ne sont là que pour nous faire buter, sur les silences, les vertiges de ce temps de l’attente recouvert par des micro-actions, des mini-comédies, des parodies s’enchaînant comme une mosaïque d’instants qui essaient de durer pour contrer ce qui les plombe. En superficie, elles organisent une foule de non-événements, essaient de dissimuler ce qu’il y a dessous sans y arriver tout à fait. Mais le tissu est plein de trous et les personnages sont périodiquement ramenés au temps sous-jacent, permanent, dont rien ne peut être dit. </w:t>
      </w:r>
    </w:p>
    <w:p w:rsidR="006D5C86" w:rsidRDefault="006A4EED" w:rsidP="00183395">
      <w:pPr>
        <w:spacing w:after="0" w:line="360" w:lineRule="auto"/>
        <w:ind w:firstLine="284"/>
        <w:jc w:val="both"/>
        <w:rPr>
          <w:rFonts w:ascii="Times New Roman" w:hAnsi="Times New Roman"/>
          <w:sz w:val="24"/>
          <w:szCs w:val="24"/>
        </w:rPr>
      </w:pPr>
      <w:r w:rsidRPr="003B00C8">
        <w:rPr>
          <w:rFonts w:ascii="Times New Roman" w:hAnsi="Times New Roman"/>
          <w:sz w:val="24"/>
          <w:szCs w:val="24"/>
        </w:rPr>
        <w:t>Finalement, dans cette sorte de stéréoscopie de l’expérience temporelle, il apparait un fond où rien ne se passe. Ce fond absorbe tout ce qui est autour, réduisant toute action au silence. La meilleure manifestation se trouve dans ces nombreuses répliques isolées : cris, traits d’humour noir, remarques amères... toutes ces tentatives d’expression désordonnée et désespérées, viennent buter sur ce fond, sur ce silence.</w:t>
      </w:r>
    </w:p>
    <w:p w:rsidR="00A34148" w:rsidRPr="003B00C8" w:rsidRDefault="00A34148" w:rsidP="00A34148">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En définitive, l’espace comme le temps </w:t>
      </w:r>
      <w:proofErr w:type="gramStart"/>
      <w:r w:rsidRPr="003B00C8">
        <w:rPr>
          <w:rFonts w:ascii="Times New Roman" w:hAnsi="Times New Roman"/>
          <w:color w:val="000000"/>
          <w:sz w:val="24"/>
          <w:szCs w:val="24"/>
        </w:rPr>
        <w:t>agissent</w:t>
      </w:r>
      <w:proofErr w:type="gramEnd"/>
      <w:r w:rsidRPr="003B00C8">
        <w:rPr>
          <w:rFonts w:ascii="Times New Roman" w:hAnsi="Times New Roman"/>
          <w:color w:val="000000"/>
          <w:sz w:val="24"/>
          <w:szCs w:val="24"/>
        </w:rPr>
        <w:t xml:space="preserve"> sur le comportement des personnages à travers notamment un surgissement qui les désoriente et bouscule leurs habitudes. Le chronotope est donc essentiel dans le récit parce qu’il place les personnages dans un espace-temps limité, en rapport avec leur thymie. </w:t>
      </w:r>
    </w:p>
    <w:p w:rsidR="00A34148" w:rsidRDefault="00A34148" w:rsidP="00A34148">
      <w:pPr>
        <w:spacing w:line="360" w:lineRule="auto"/>
        <w:ind w:right="-159"/>
        <w:jc w:val="both"/>
        <w:rPr>
          <w:rFonts w:ascii="Times New Roman" w:hAnsi="Times New Roman"/>
          <w:sz w:val="24"/>
          <w:szCs w:val="24"/>
        </w:rPr>
      </w:pPr>
      <w:r>
        <w:rPr>
          <w:rFonts w:ascii="Times New Roman" w:hAnsi="Times New Roman"/>
          <w:sz w:val="24"/>
          <w:szCs w:val="24"/>
        </w:rPr>
        <w:t xml:space="preserve">     </w:t>
      </w:r>
    </w:p>
    <w:p w:rsidR="006A4EED" w:rsidRDefault="00A34148" w:rsidP="00A34148">
      <w:pPr>
        <w:spacing w:line="360" w:lineRule="auto"/>
        <w:ind w:right="-159"/>
        <w:jc w:val="both"/>
        <w:rPr>
          <w:rFonts w:ascii="Times New Roman" w:hAnsi="Times New Roman"/>
          <w:sz w:val="24"/>
          <w:szCs w:val="24"/>
        </w:rPr>
      </w:pPr>
      <w:r>
        <w:rPr>
          <w:rFonts w:ascii="Times New Roman" w:hAnsi="Times New Roman"/>
          <w:sz w:val="24"/>
          <w:szCs w:val="24"/>
        </w:rPr>
        <w:t xml:space="preserve">     Dans la figure suivante, le temps et l’espace sont définis suivant la conception de la narratologie et de la dramaturgie :  </w:t>
      </w:r>
      <w:r w:rsidR="006A4EED" w:rsidRPr="003B00C8">
        <w:rPr>
          <w:rFonts w:ascii="Times New Roman" w:hAnsi="Times New Roman"/>
          <w:sz w:val="24"/>
          <w:szCs w:val="24"/>
        </w:rPr>
        <w:t xml:space="preserve">          </w:t>
      </w:r>
    </w:p>
    <w:p w:rsidR="00A34148" w:rsidRDefault="00A34148" w:rsidP="006A4EED">
      <w:pPr>
        <w:spacing w:line="360" w:lineRule="auto"/>
        <w:ind w:right="-159"/>
        <w:jc w:val="both"/>
        <w:rPr>
          <w:rFonts w:ascii="Times New Roman" w:hAnsi="Times New Roman"/>
          <w:sz w:val="24"/>
          <w:szCs w:val="24"/>
        </w:rPr>
      </w:pPr>
    </w:p>
    <w:p w:rsidR="00A34148" w:rsidRPr="003B00C8" w:rsidRDefault="00A34148" w:rsidP="006A4EED">
      <w:pPr>
        <w:spacing w:line="360" w:lineRule="auto"/>
        <w:ind w:right="-159"/>
        <w:jc w:val="both"/>
        <w:rPr>
          <w:rFonts w:ascii="Times New Roman" w:hAnsi="Times New Roman"/>
          <w:color w:val="000000"/>
          <w:sz w:val="24"/>
          <w:szCs w:val="24"/>
        </w:rPr>
      </w:pPr>
    </w:p>
    <w:p w:rsidR="006A4EED" w:rsidRPr="003B00C8" w:rsidRDefault="00A34148" w:rsidP="006A4EED">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noProof/>
          <w:color w:val="000000"/>
          <w:sz w:val="24"/>
          <w:szCs w:val="24"/>
          <w:lang w:eastAsia="fr-FR"/>
        </w:rPr>
        <w:lastRenderedPageBreak/>
        <w:drawing>
          <wp:anchor distT="0" distB="0" distL="114300" distR="114300" simplePos="0" relativeHeight="251695104" behindDoc="0" locked="0" layoutInCell="1" allowOverlap="1">
            <wp:simplePos x="0" y="0"/>
            <wp:positionH relativeFrom="column">
              <wp:posOffset>893445</wp:posOffset>
            </wp:positionH>
            <wp:positionV relativeFrom="paragraph">
              <wp:posOffset>-160655</wp:posOffset>
            </wp:positionV>
            <wp:extent cx="3775710" cy="4740910"/>
            <wp:effectExtent l="38100" t="19050" r="15240" b="21590"/>
            <wp:wrapNone/>
            <wp:docPr id="88" name="Image 1" descr="Description : dramaturg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ramaturgie"/>
                    <pic:cNvPicPr>
                      <a:picLocks noChangeAspect="1" noChangeArrowheads="1"/>
                    </pic:cNvPicPr>
                  </pic:nvPicPr>
                  <pic:blipFill>
                    <a:blip r:embed="rId88" cstate="print"/>
                    <a:srcRect/>
                    <a:stretch>
                      <a:fillRect/>
                    </a:stretch>
                  </pic:blipFill>
                  <pic:spPr bwMode="auto">
                    <a:xfrm>
                      <a:off x="0" y="0"/>
                      <a:ext cx="3775710" cy="4740910"/>
                    </a:xfrm>
                    <a:prstGeom prst="rect">
                      <a:avLst/>
                    </a:prstGeom>
                    <a:noFill/>
                    <a:ln w="9525">
                      <a:solidFill>
                        <a:srgbClr val="A6A6A6"/>
                      </a:solidFill>
                      <a:miter lim="800000"/>
                      <a:headEnd/>
                      <a:tailEnd/>
                    </a:ln>
                  </pic:spPr>
                </pic:pic>
              </a:graphicData>
            </a:graphic>
          </wp:anchor>
        </w:drawing>
      </w: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Default="006A4EED" w:rsidP="006A4EED">
      <w:pPr>
        <w:autoSpaceDE w:val="0"/>
        <w:autoSpaceDN w:val="0"/>
        <w:adjustRightInd w:val="0"/>
        <w:spacing w:after="0" w:line="360" w:lineRule="auto"/>
        <w:jc w:val="both"/>
        <w:rPr>
          <w:rFonts w:ascii="Times New Roman" w:hAnsi="Times New Roman"/>
          <w:color w:val="000000"/>
          <w:sz w:val="24"/>
          <w:szCs w:val="24"/>
        </w:rPr>
      </w:pPr>
    </w:p>
    <w:p w:rsidR="00A34148" w:rsidRDefault="00A34148" w:rsidP="006A4EED">
      <w:pPr>
        <w:autoSpaceDE w:val="0"/>
        <w:autoSpaceDN w:val="0"/>
        <w:adjustRightInd w:val="0"/>
        <w:spacing w:after="0" w:line="360" w:lineRule="auto"/>
        <w:jc w:val="both"/>
        <w:rPr>
          <w:rFonts w:ascii="Times New Roman" w:hAnsi="Times New Roman"/>
          <w:color w:val="000000"/>
          <w:sz w:val="24"/>
          <w:szCs w:val="24"/>
        </w:rPr>
      </w:pPr>
    </w:p>
    <w:p w:rsidR="00A34148" w:rsidRDefault="00A34148" w:rsidP="006A4EED">
      <w:pPr>
        <w:autoSpaceDE w:val="0"/>
        <w:autoSpaceDN w:val="0"/>
        <w:adjustRightInd w:val="0"/>
        <w:spacing w:after="0" w:line="360" w:lineRule="auto"/>
        <w:jc w:val="both"/>
        <w:rPr>
          <w:rFonts w:ascii="Times New Roman" w:hAnsi="Times New Roman"/>
          <w:color w:val="000000"/>
          <w:sz w:val="24"/>
          <w:szCs w:val="24"/>
        </w:rPr>
      </w:pPr>
    </w:p>
    <w:p w:rsidR="00A34148" w:rsidRDefault="00A34148" w:rsidP="006A4EED">
      <w:pPr>
        <w:autoSpaceDE w:val="0"/>
        <w:autoSpaceDN w:val="0"/>
        <w:adjustRightInd w:val="0"/>
        <w:spacing w:after="0" w:line="360" w:lineRule="auto"/>
        <w:jc w:val="both"/>
        <w:rPr>
          <w:rFonts w:ascii="Times New Roman" w:hAnsi="Times New Roman"/>
          <w:color w:val="000000"/>
          <w:sz w:val="24"/>
          <w:szCs w:val="24"/>
        </w:rPr>
      </w:pPr>
    </w:p>
    <w:p w:rsidR="00A34148" w:rsidRDefault="00A34148" w:rsidP="006A4EED">
      <w:pPr>
        <w:autoSpaceDE w:val="0"/>
        <w:autoSpaceDN w:val="0"/>
        <w:adjustRightInd w:val="0"/>
        <w:spacing w:after="0" w:line="360" w:lineRule="auto"/>
        <w:jc w:val="both"/>
        <w:rPr>
          <w:rFonts w:ascii="Times New Roman" w:hAnsi="Times New Roman"/>
          <w:color w:val="000000"/>
          <w:sz w:val="24"/>
          <w:szCs w:val="24"/>
        </w:rPr>
      </w:pPr>
    </w:p>
    <w:p w:rsidR="00A34148" w:rsidRDefault="00A34148" w:rsidP="006A4EED">
      <w:pPr>
        <w:autoSpaceDE w:val="0"/>
        <w:autoSpaceDN w:val="0"/>
        <w:adjustRightInd w:val="0"/>
        <w:spacing w:after="0" w:line="360" w:lineRule="auto"/>
        <w:jc w:val="both"/>
        <w:rPr>
          <w:rFonts w:ascii="Times New Roman" w:hAnsi="Times New Roman"/>
          <w:color w:val="000000"/>
          <w:sz w:val="24"/>
          <w:szCs w:val="24"/>
        </w:rPr>
      </w:pPr>
    </w:p>
    <w:p w:rsidR="00A34148" w:rsidRDefault="00A34148" w:rsidP="006A4EED">
      <w:pPr>
        <w:autoSpaceDE w:val="0"/>
        <w:autoSpaceDN w:val="0"/>
        <w:adjustRightInd w:val="0"/>
        <w:spacing w:after="0" w:line="360" w:lineRule="auto"/>
        <w:jc w:val="both"/>
        <w:rPr>
          <w:rFonts w:ascii="Times New Roman" w:hAnsi="Times New Roman"/>
          <w:color w:val="000000"/>
          <w:sz w:val="24"/>
          <w:szCs w:val="24"/>
        </w:rPr>
      </w:pPr>
    </w:p>
    <w:p w:rsidR="00A34148" w:rsidRPr="003B00C8" w:rsidRDefault="00A34148" w:rsidP="006A4EED">
      <w:pPr>
        <w:autoSpaceDE w:val="0"/>
        <w:autoSpaceDN w:val="0"/>
        <w:adjustRightInd w:val="0"/>
        <w:spacing w:after="0" w:line="360" w:lineRule="auto"/>
        <w:jc w:val="both"/>
        <w:rPr>
          <w:rFonts w:ascii="Times New Roman" w:hAnsi="Times New Roman"/>
          <w:color w:val="000000"/>
          <w:sz w:val="24"/>
          <w:szCs w:val="24"/>
        </w:rPr>
      </w:pPr>
    </w:p>
    <w:p w:rsidR="006A4EED" w:rsidRPr="00893D48" w:rsidRDefault="006A4EED" w:rsidP="00C37027">
      <w:pPr>
        <w:jc w:val="center"/>
      </w:pPr>
      <w:r>
        <w:rPr>
          <w:rFonts w:ascii="Times New Roman" w:hAnsi="Times New Roman"/>
          <w:b/>
          <w:bCs/>
          <w:color w:val="000000"/>
          <w:sz w:val="24"/>
          <w:szCs w:val="24"/>
        </w:rPr>
        <w:t xml:space="preserve">Figure </w:t>
      </w:r>
      <w:r w:rsidR="003A0C61">
        <w:rPr>
          <w:rFonts w:ascii="Times New Roman" w:hAnsi="Times New Roman"/>
          <w:b/>
          <w:bCs/>
          <w:color w:val="000000"/>
          <w:sz w:val="24"/>
          <w:szCs w:val="24"/>
        </w:rPr>
        <w:t>9</w:t>
      </w:r>
      <w:r>
        <w:rPr>
          <w:rFonts w:ascii="Times New Roman" w:hAnsi="Times New Roman"/>
          <w:b/>
          <w:bCs/>
          <w:color w:val="000000"/>
          <w:sz w:val="24"/>
          <w:szCs w:val="24"/>
        </w:rPr>
        <w:t xml:space="preserve"> : </w:t>
      </w:r>
      <w:r w:rsidRPr="003B00C8">
        <w:rPr>
          <w:rFonts w:ascii="Times New Roman" w:hAnsi="Times New Roman"/>
          <w:b/>
          <w:bCs/>
          <w:sz w:val="24"/>
          <w:szCs w:val="24"/>
        </w:rPr>
        <w:t>Conception du temps et de l’espace narratologie</w:t>
      </w:r>
      <w:r>
        <w:rPr>
          <w:rFonts w:ascii="Times New Roman" w:hAnsi="Times New Roman"/>
          <w:b/>
          <w:bCs/>
          <w:sz w:val="24"/>
          <w:szCs w:val="24"/>
        </w:rPr>
        <w:t xml:space="preserve"> et dramaturgie</w:t>
      </w:r>
    </w:p>
    <w:p w:rsidR="006A41A5" w:rsidRDefault="006A41A5" w:rsidP="00893D48">
      <w:pPr>
        <w:autoSpaceDE w:val="0"/>
        <w:autoSpaceDN w:val="0"/>
        <w:adjustRightInd w:val="0"/>
        <w:spacing w:after="0" w:line="360" w:lineRule="auto"/>
        <w:ind w:firstLine="708"/>
        <w:jc w:val="both"/>
        <w:rPr>
          <w:rFonts w:ascii="Times New Roman" w:hAnsi="Times New Roman"/>
          <w:color w:val="000000"/>
          <w:sz w:val="24"/>
          <w:szCs w:val="24"/>
        </w:rPr>
      </w:pPr>
    </w:p>
    <w:p w:rsidR="00340EA8" w:rsidRDefault="006A4EED" w:rsidP="00A13916">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Au terme de cette étude sur le chronotope appliqué à </w:t>
      </w:r>
      <w:r w:rsidR="008401A3" w:rsidRPr="003B00C8">
        <w:rPr>
          <w:rFonts w:ascii="Times New Roman" w:hAnsi="Times New Roman"/>
          <w:b/>
          <w:bCs/>
          <w:i/>
          <w:color w:val="000000"/>
          <w:sz w:val="24"/>
          <w:szCs w:val="24"/>
        </w:rPr>
        <w:t>Barabbas</w:t>
      </w:r>
      <w:r w:rsidRPr="003B00C8">
        <w:rPr>
          <w:rFonts w:ascii="Times New Roman" w:hAnsi="Times New Roman"/>
          <w:b/>
          <w:bCs/>
          <w:color w:val="000000"/>
          <w:sz w:val="24"/>
          <w:szCs w:val="24"/>
        </w:rPr>
        <w:t xml:space="preserve"> </w:t>
      </w:r>
      <w:r w:rsidRPr="003B00C8">
        <w:rPr>
          <w:rFonts w:ascii="Times New Roman" w:hAnsi="Times New Roman"/>
          <w:color w:val="000000"/>
          <w:sz w:val="24"/>
          <w:szCs w:val="24"/>
        </w:rPr>
        <w:t xml:space="preserve">; nous pouvons dire que l’étude de la logique des séquences, du système des personnages, du temps et de l’espace nous a permis de déterminer le rôle de chacune des strates susmentionnées du récit. </w:t>
      </w:r>
    </w:p>
    <w:p w:rsidR="006A4EED" w:rsidRPr="003B00C8" w:rsidRDefault="006A4EED" w:rsidP="00A13916">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Ainsi, la logique des séquences nous a aidée à unifier celles-ci, le système des personnages quant à lui, à identifier le rôle de chacun selon sa motivation, et enfin le chronotope à déterminer le rôle de l’espace et du temps dans la dynamique des personnages. </w:t>
      </w:r>
    </w:p>
    <w:p w:rsidR="006A4EED" w:rsidRPr="003B00C8" w:rsidRDefault="006A4EED" w:rsidP="00A13916">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Il s’agit dans les pages qui suivent, de procéder à l’interprétation des données ainsi découvertes pour dégager les préoccupations narratives du dramaturge Ghelderode, tout comme celles de Kaki. Cela se fera par une confrontation des personnages narrateurs dans les deux pièces.</w:t>
      </w:r>
      <w:r w:rsidRPr="003B00C8">
        <w:rPr>
          <w:rFonts w:ascii="Times New Roman" w:hAnsi="Times New Roman"/>
          <w:b/>
          <w:bCs/>
          <w:color w:val="000000"/>
          <w:sz w:val="24"/>
          <w:szCs w:val="24"/>
        </w:rPr>
        <w:t xml:space="preserve"> </w:t>
      </w:r>
    </w:p>
    <w:p w:rsidR="006A4EED" w:rsidRPr="002E6B28" w:rsidRDefault="006A4EED" w:rsidP="002E6B28">
      <w:pPr>
        <w:pStyle w:val="Titre2"/>
        <w:spacing w:before="0" w:after="0"/>
        <w:jc w:val="both"/>
        <w:rPr>
          <w:rFonts w:ascii="Times New Roman" w:hAnsi="Times New Roman" w:cs="Times New Roman"/>
          <w:sz w:val="24"/>
          <w:szCs w:val="24"/>
        </w:rPr>
      </w:pPr>
      <w:bookmarkStart w:id="124" w:name="_Toc449044144"/>
      <w:bookmarkStart w:id="125" w:name="_Toc471484495"/>
      <w:r w:rsidRPr="002E6B28">
        <w:rPr>
          <w:rFonts w:ascii="Times New Roman" w:hAnsi="Times New Roman" w:cs="Times New Roman"/>
          <w:i w:val="0"/>
          <w:sz w:val="24"/>
          <w:szCs w:val="24"/>
        </w:rPr>
        <w:lastRenderedPageBreak/>
        <w:t xml:space="preserve">Chapitre </w:t>
      </w:r>
      <w:r w:rsidR="00157DE4" w:rsidRPr="002E6B28">
        <w:rPr>
          <w:rFonts w:ascii="Times New Roman" w:hAnsi="Times New Roman" w:cs="Times New Roman"/>
          <w:i w:val="0"/>
          <w:sz w:val="24"/>
          <w:szCs w:val="24"/>
        </w:rPr>
        <w:t>3</w:t>
      </w:r>
      <w:r w:rsidR="002E6B28">
        <w:rPr>
          <w:rFonts w:ascii="Times New Roman" w:hAnsi="Times New Roman" w:cs="Times New Roman"/>
          <w:i w:val="0"/>
          <w:sz w:val="24"/>
          <w:szCs w:val="24"/>
        </w:rPr>
        <w:t> :</w:t>
      </w:r>
      <w:r w:rsidRPr="002E6B28">
        <w:rPr>
          <w:rFonts w:ascii="Times New Roman" w:hAnsi="Times New Roman" w:cs="Times New Roman"/>
          <w:sz w:val="24"/>
          <w:szCs w:val="24"/>
        </w:rPr>
        <w:t> </w:t>
      </w:r>
      <w:r w:rsidR="00A26185" w:rsidRPr="002E6B28">
        <w:rPr>
          <w:rFonts w:ascii="Times New Roman" w:hAnsi="Times New Roman" w:cs="Times New Roman"/>
          <w:i w:val="0"/>
          <w:iCs w:val="0"/>
          <w:sz w:val="24"/>
          <w:szCs w:val="24"/>
        </w:rPr>
        <w:t>Étude comparative du personnage</w:t>
      </w:r>
      <w:r w:rsidR="00340EA8" w:rsidRPr="002E6B28">
        <w:rPr>
          <w:rFonts w:ascii="Times New Roman" w:hAnsi="Times New Roman" w:cs="Times New Roman"/>
          <w:i w:val="0"/>
          <w:iCs w:val="0"/>
          <w:sz w:val="24"/>
          <w:szCs w:val="24"/>
        </w:rPr>
        <w:t>-</w:t>
      </w:r>
      <w:r w:rsidR="00A26185" w:rsidRPr="002E6B28">
        <w:rPr>
          <w:rFonts w:ascii="Times New Roman" w:hAnsi="Times New Roman" w:cs="Times New Roman"/>
          <w:i w:val="0"/>
          <w:iCs w:val="0"/>
          <w:sz w:val="24"/>
          <w:szCs w:val="24"/>
        </w:rPr>
        <w:t>narrateur des deux pièces</w:t>
      </w:r>
      <w:bookmarkEnd w:id="124"/>
      <w:bookmarkEnd w:id="125"/>
      <w:r w:rsidRPr="002E6B28">
        <w:rPr>
          <w:rFonts w:ascii="Times New Roman" w:hAnsi="Times New Roman" w:cs="Times New Roman"/>
          <w:sz w:val="24"/>
          <w:szCs w:val="24"/>
        </w:rPr>
        <w:t xml:space="preserve"> </w:t>
      </w:r>
    </w:p>
    <w:p w:rsidR="006A4EED" w:rsidRPr="003B00C8" w:rsidRDefault="006A4EED" w:rsidP="006A4EED">
      <w:pPr>
        <w:ind w:left="360"/>
        <w:rPr>
          <w:rFonts w:ascii="Times New Roman" w:hAnsi="Times New Roman"/>
          <w:b/>
          <w:bCs/>
          <w:sz w:val="10"/>
          <w:szCs w:val="10"/>
        </w:rPr>
      </w:pPr>
    </w:p>
    <w:p w:rsidR="006A4EED" w:rsidRPr="003B00C8" w:rsidRDefault="006A4EED" w:rsidP="008436C3">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Ce dernier Chapitre de la Partie II permet de clore l’analyse narratologique des deux pièces par une confrontation des personnages-narrateurs dans les deux œuvres. </w:t>
      </w:r>
    </w:p>
    <w:p w:rsidR="006A4EED" w:rsidRDefault="006A4EED" w:rsidP="008436C3">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Ubersfeld disait à dessein : </w:t>
      </w:r>
    </w:p>
    <w:p w:rsidR="006A4EED" w:rsidRPr="008436C3" w:rsidRDefault="006A4EED" w:rsidP="008436C3">
      <w:pPr>
        <w:pStyle w:val="Citationintense"/>
        <w:spacing w:before="0" w:after="0"/>
        <w:ind w:left="567" w:right="0"/>
        <w:rPr>
          <w:sz w:val="20"/>
          <w:szCs w:val="20"/>
          <w:lang w:eastAsia="fr-FR"/>
        </w:rPr>
      </w:pPr>
      <w:r w:rsidRPr="008436C3">
        <w:rPr>
          <w:sz w:val="20"/>
          <w:szCs w:val="20"/>
          <w:lang w:eastAsia="fr-FR"/>
        </w:rPr>
        <w:t>Dans la mesure où le texte théâtral est essentiellement non linéaire mais tabulaire, le personnage est un élément décisif de la verticalité du texte; il est ce qui permet d’unifier la dispersion des signes simultanés. Le personnage figure alors dans l’espace textuel ce point de croisement ou plus exactement de rabattement du paradigme sur le syntagme: il est un lieu proprement poétique. Dans le domaine de la représentation, il apparaît ce point d’ancrage où s’unifie la diversité des signes</w:t>
      </w:r>
      <w:r w:rsidRPr="008436C3">
        <w:rPr>
          <w:rStyle w:val="Appelnotedebasdep"/>
          <w:sz w:val="20"/>
          <w:szCs w:val="20"/>
          <w:lang w:eastAsia="fr-FR"/>
        </w:rPr>
        <w:footnoteReference w:id="223"/>
      </w:r>
    </w:p>
    <w:p w:rsidR="006A41A5" w:rsidRPr="00893D48" w:rsidRDefault="006A41A5" w:rsidP="00893D48">
      <w:pPr>
        <w:spacing w:after="0" w:line="360" w:lineRule="auto"/>
        <w:ind w:left="1416" w:firstLine="360"/>
        <w:jc w:val="both"/>
        <w:rPr>
          <w:rFonts w:ascii="Times New Roman" w:eastAsia="Times New Roman" w:hAnsi="Times New Roman"/>
          <w:sz w:val="20"/>
          <w:szCs w:val="20"/>
          <w:lang w:eastAsia="fr-FR"/>
        </w:rPr>
      </w:pPr>
    </w:p>
    <w:p w:rsidR="006A4EED" w:rsidRPr="003B00C8" w:rsidRDefault="006A4EED" w:rsidP="00A54B67">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Quelle est la nature du personnage principal dans le théâtre? Et comment est-il considéré dans le cadre de la </w:t>
      </w:r>
      <w:r w:rsidR="00BE1E32">
        <w:rPr>
          <w:rFonts w:ascii="Times New Roman" w:eastAsia="Times New Roman" w:hAnsi="Times New Roman"/>
          <w:sz w:val="24"/>
          <w:szCs w:val="24"/>
          <w:lang w:eastAsia="fr-FR"/>
        </w:rPr>
        <w:t>sémiotique</w:t>
      </w:r>
      <w:r w:rsidRPr="003B00C8">
        <w:rPr>
          <w:rFonts w:ascii="Times New Roman" w:eastAsia="Times New Roman" w:hAnsi="Times New Roman"/>
          <w:sz w:val="24"/>
          <w:szCs w:val="24"/>
          <w:lang w:eastAsia="fr-FR"/>
        </w:rPr>
        <w:t xml:space="preserve"> de théâtre? Qu’en est-il des deux pièces que nous étudions ? Autour de ces questions s’articule notre étude pour mettre en valeur les narrateur-personnages dans nos deux pièces,  du point de vue de la métadiégèse et même du point de vue sémiotique. C’est ce que nous allons proposer dans ce Chapitre.</w:t>
      </w:r>
    </w:p>
    <w:p w:rsidR="006A4EED" w:rsidRDefault="006A4EED" w:rsidP="00A54B67">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L’ambition n’est pas de proposer une description exhaustive mais plutôt de nous attacher aux points comparatifs pertinents, lesquels permettent de soutenir les développements </w:t>
      </w:r>
      <w:r w:rsidRPr="005D60A8">
        <w:rPr>
          <w:rFonts w:ascii="Times New Roman" w:eastAsia="Times New Roman" w:hAnsi="Times New Roman"/>
          <w:sz w:val="24"/>
          <w:szCs w:val="24"/>
          <w:lang w:eastAsia="fr-FR"/>
        </w:rPr>
        <w:t>théoriques et descriptifs proposés dans les chapitres précédents.</w:t>
      </w:r>
    </w:p>
    <w:p w:rsidR="000058F2" w:rsidRPr="005D60A8" w:rsidRDefault="000058F2" w:rsidP="005D60A8">
      <w:pPr>
        <w:spacing w:after="0" w:line="360" w:lineRule="auto"/>
        <w:ind w:firstLine="360"/>
        <w:jc w:val="both"/>
        <w:rPr>
          <w:rFonts w:ascii="Times New Roman" w:eastAsia="Times New Roman" w:hAnsi="Times New Roman"/>
          <w:sz w:val="24"/>
          <w:szCs w:val="24"/>
          <w:lang w:eastAsia="fr-FR"/>
        </w:rPr>
      </w:pPr>
    </w:p>
    <w:p w:rsidR="006A4EED" w:rsidRPr="005D60A8" w:rsidRDefault="00A54B67" w:rsidP="00A54B67">
      <w:pPr>
        <w:pStyle w:val="Titre3"/>
        <w:spacing w:before="0" w:after="0" w:line="360" w:lineRule="auto"/>
        <w:ind w:left="641" w:hanging="357"/>
        <w:jc w:val="both"/>
        <w:rPr>
          <w:rFonts w:ascii="Times New Roman" w:hAnsi="Times New Roman" w:cs="Times New Roman"/>
          <w:sz w:val="24"/>
          <w:szCs w:val="24"/>
        </w:rPr>
      </w:pPr>
      <w:bookmarkStart w:id="126" w:name="_Toc471484496"/>
      <w:r>
        <w:rPr>
          <w:rFonts w:ascii="Times New Roman" w:hAnsi="Times New Roman" w:cs="Times New Roman"/>
          <w:sz w:val="24"/>
          <w:szCs w:val="24"/>
        </w:rPr>
        <w:t>1.</w:t>
      </w:r>
      <w:r w:rsidRPr="005D60A8">
        <w:rPr>
          <w:rFonts w:ascii="Times New Roman" w:hAnsi="Times New Roman" w:cs="Times New Roman"/>
          <w:sz w:val="24"/>
          <w:szCs w:val="24"/>
        </w:rPr>
        <w:t xml:space="preserve"> Quel</w:t>
      </w:r>
      <w:r w:rsidR="006A4EED" w:rsidRPr="005D60A8">
        <w:rPr>
          <w:rFonts w:ascii="Times New Roman" w:hAnsi="Times New Roman" w:cs="Times New Roman"/>
          <w:sz w:val="24"/>
          <w:szCs w:val="24"/>
        </w:rPr>
        <w:t xml:space="preserve"> type de narrateur-personnage ? (description du personnage-narrateur)</w:t>
      </w:r>
      <w:bookmarkEnd w:id="126"/>
      <w:r w:rsidR="006A4EED" w:rsidRPr="005D60A8">
        <w:rPr>
          <w:rFonts w:ascii="Times New Roman" w:hAnsi="Times New Roman" w:cs="Times New Roman"/>
          <w:sz w:val="24"/>
          <w:szCs w:val="24"/>
        </w:rPr>
        <w:t xml:space="preserve"> </w:t>
      </w:r>
    </w:p>
    <w:p w:rsidR="006A4EED" w:rsidRPr="003B00C8" w:rsidRDefault="006A4EED" w:rsidP="001233BC">
      <w:pPr>
        <w:spacing w:after="0" w:line="360" w:lineRule="auto"/>
        <w:ind w:firstLine="284"/>
        <w:jc w:val="both"/>
        <w:rPr>
          <w:rFonts w:ascii="Times New Roman" w:eastAsia="Times New Roman" w:hAnsi="Times New Roman"/>
          <w:sz w:val="24"/>
          <w:szCs w:val="24"/>
          <w:lang w:eastAsia="fr-FR"/>
        </w:rPr>
      </w:pPr>
      <w:r w:rsidRPr="005D60A8">
        <w:rPr>
          <w:rFonts w:ascii="Times New Roman" w:eastAsia="Times New Roman" w:hAnsi="Times New Roman"/>
          <w:sz w:val="24"/>
          <w:szCs w:val="24"/>
          <w:lang w:eastAsia="fr-FR"/>
        </w:rPr>
        <w:t>Il est question d’entrée de présenter le narrateur-personnage</w:t>
      </w:r>
      <w:r w:rsidRPr="003B00C8">
        <w:rPr>
          <w:rFonts w:ascii="Times New Roman" w:eastAsia="Times New Roman" w:hAnsi="Times New Roman"/>
          <w:sz w:val="24"/>
          <w:szCs w:val="24"/>
          <w:lang w:eastAsia="fr-FR"/>
        </w:rPr>
        <w:t xml:space="preserve"> dans chacune des œuvres : qui est-il, que représente t-il ? A quel niveau intervient-il et sous quelle forme ?</w:t>
      </w:r>
    </w:p>
    <w:p w:rsidR="006A4EED" w:rsidRPr="00344EBB" w:rsidRDefault="001233BC" w:rsidP="001233BC">
      <w:pPr>
        <w:pStyle w:val="Titre4"/>
        <w:spacing w:before="0" w:after="0" w:line="360" w:lineRule="auto"/>
        <w:ind w:left="641" w:hanging="357"/>
        <w:jc w:val="both"/>
        <w:rPr>
          <w:rFonts w:ascii="Times New Roman" w:hAnsi="Times New Roman"/>
          <w:i w:val="0"/>
          <w:iCs/>
          <w:lang w:eastAsia="fr-FR"/>
        </w:rPr>
      </w:pPr>
      <w:bookmarkStart w:id="127" w:name="_Toc471484497"/>
      <w:r>
        <w:rPr>
          <w:rFonts w:ascii="Times New Roman" w:hAnsi="Times New Roman"/>
          <w:i w:val="0"/>
          <w:iCs/>
          <w:lang w:eastAsia="fr-FR"/>
        </w:rPr>
        <w:t>1.1.</w:t>
      </w:r>
      <w:r w:rsidRPr="00344EBB">
        <w:rPr>
          <w:rFonts w:ascii="Times New Roman" w:hAnsi="Times New Roman"/>
          <w:i w:val="0"/>
          <w:iCs/>
          <w:lang w:eastAsia="fr-FR"/>
        </w:rPr>
        <w:t xml:space="preserve"> Slimane</w:t>
      </w:r>
      <w:r w:rsidR="006A4EED" w:rsidRPr="00344EBB">
        <w:rPr>
          <w:rFonts w:ascii="Times New Roman" w:hAnsi="Times New Roman"/>
          <w:i w:val="0"/>
          <w:iCs/>
          <w:lang w:eastAsia="fr-FR"/>
        </w:rPr>
        <w:t xml:space="preserve"> de Kaki</w:t>
      </w:r>
      <w:bookmarkEnd w:id="127"/>
    </w:p>
    <w:p w:rsidR="00340EA8" w:rsidRDefault="006A4EED" w:rsidP="001233BC">
      <w:pPr>
        <w:autoSpaceDE w:val="0"/>
        <w:autoSpaceDN w:val="0"/>
        <w:adjustRightInd w:val="0"/>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color w:val="000000"/>
          <w:sz w:val="24"/>
          <w:szCs w:val="24"/>
          <w:lang w:eastAsia="fr-FR"/>
        </w:rPr>
        <w:t>Slimane est le principal des personnages de l’œuvre. Il est le témoin oculaire des actions et des aventures des marabouts</w:t>
      </w:r>
      <w:r w:rsidRPr="003B00C8">
        <w:rPr>
          <w:rFonts w:ascii="Times New Roman" w:eastAsia="Times New Roman" w:hAnsi="Times New Roman"/>
          <w:i/>
          <w:iCs/>
          <w:color w:val="000000"/>
          <w:sz w:val="24"/>
          <w:szCs w:val="24"/>
          <w:lang w:eastAsia="fr-FR"/>
        </w:rPr>
        <w:t xml:space="preserve"> </w:t>
      </w:r>
      <w:r w:rsidRPr="003B00C8">
        <w:rPr>
          <w:rFonts w:ascii="Times New Roman" w:eastAsia="Times New Roman" w:hAnsi="Times New Roman"/>
          <w:iCs/>
          <w:color w:val="000000"/>
          <w:sz w:val="24"/>
          <w:szCs w:val="24"/>
          <w:lang w:eastAsia="fr-FR"/>
        </w:rPr>
        <w:t>vertueux</w:t>
      </w:r>
      <w:r w:rsidRPr="003B00C8">
        <w:rPr>
          <w:rFonts w:ascii="Times New Roman" w:eastAsia="Times New Roman" w:hAnsi="Times New Roman"/>
          <w:color w:val="000000"/>
          <w:sz w:val="24"/>
          <w:szCs w:val="24"/>
          <w:lang w:eastAsia="fr-FR"/>
        </w:rPr>
        <w:t xml:space="preserve">. En cela il fait office de personnage-narrateur. Comme on l’a noté plus haut, à un moment du récit, Slimane ne se définit que par et pour les marabouts vertueux d’où le renoncement à ses propres aspirations vérifié dans la grande majorité de l’acte premier ; tout le </w:t>
      </w:r>
      <w:r w:rsidRPr="003B00C8">
        <w:rPr>
          <w:rFonts w:ascii="Times New Roman" w:eastAsia="Times New Roman" w:hAnsi="Times New Roman"/>
          <w:color w:val="000000"/>
          <w:sz w:val="24"/>
          <w:szCs w:val="24"/>
          <w:lang w:eastAsia="fr-FR"/>
        </w:rPr>
        <w:lastRenderedPageBreak/>
        <w:t>deuxième acte et la première moitié du dernier acte: la logique des séquences.  De plus, sa sollicitude quasi existentielle eu égard au confort matériel nous le schématise comme un personnage errant, errant sous prétexte de porter et de vendre de l’eau -. L’aventure intra-scénique qu’entreprend ce personnage en quête d’hospitalité pour les trois marabouts vertueux (</w:t>
      </w:r>
      <w:r w:rsidR="006A41A5" w:rsidRPr="003B00C8">
        <w:rPr>
          <w:rFonts w:ascii="Times New Roman" w:eastAsia="Times New Roman" w:hAnsi="Times New Roman"/>
          <w:bCs/>
          <w:sz w:val="24"/>
          <w:szCs w:val="24"/>
          <w:lang w:eastAsia="fr-FR"/>
        </w:rPr>
        <w:t>Si</w:t>
      </w:r>
      <w:r w:rsidR="006A41A5">
        <w:rPr>
          <w:rFonts w:ascii="Times New Roman" w:eastAsia="Times New Roman" w:hAnsi="Times New Roman"/>
          <w:bCs/>
          <w:sz w:val="24"/>
          <w:szCs w:val="24"/>
          <w:lang w:eastAsia="fr-FR"/>
        </w:rPr>
        <w:t>di-Boumédiène- Sidi-Abdelkader e</w:t>
      </w:r>
      <w:r w:rsidR="006A41A5" w:rsidRPr="003B00C8">
        <w:rPr>
          <w:rFonts w:ascii="Times New Roman" w:eastAsia="Times New Roman" w:hAnsi="Times New Roman"/>
          <w:bCs/>
          <w:sz w:val="24"/>
          <w:szCs w:val="24"/>
          <w:lang w:eastAsia="fr-FR"/>
        </w:rPr>
        <w:t>t Sidi-Abderrahmane</w:t>
      </w:r>
      <w:r w:rsidRPr="003B00C8">
        <w:rPr>
          <w:rFonts w:ascii="Times New Roman" w:eastAsia="Times New Roman" w:hAnsi="Times New Roman"/>
          <w:bCs/>
          <w:sz w:val="24"/>
          <w:szCs w:val="24"/>
          <w:lang w:eastAsia="fr-FR"/>
        </w:rPr>
        <w:t xml:space="preserve">-). </w:t>
      </w:r>
    </w:p>
    <w:p w:rsidR="006A4EED" w:rsidRPr="005D60A8" w:rsidRDefault="006A4EED" w:rsidP="00BE4A2D">
      <w:pPr>
        <w:autoSpaceDE w:val="0"/>
        <w:autoSpaceDN w:val="0"/>
        <w:adjustRightInd w:val="0"/>
        <w:spacing w:after="0" w:line="360" w:lineRule="auto"/>
        <w:ind w:firstLine="284"/>
        <w:jc w:val="both"/>
        <w:rPr>
          <w:rFonts w:ascii="Times New Roman" w:eastAsia="Times New Roman" w:hAnsi="Times New Roman"/>
          <w:bCs/>
          <w:sz w:val="24"/>
          <w:szCs w:val="24"/>
          <w:lang w:eastAsia="fr-FR"/>
        </w:rPr>
      </w:pPr>
      <w:r w:rsidRPr="003B00C8">
        <w:rPr>
          <w:rFonts w:ascii="Times New Roman" w:eastAsia="Times New Roman" w:hAnsi="Times New Roman"/>
          <w:bCs/>
          <w:sz w:val="24"/>
          <w:szCs w:val="24"/>
          <w:lang w:eastAsia="fr-FR"/>
        </w:rPr>
        <w:t>Slimane est un personnage modeste : il ne possède rien, est indigent et n’a pour seul héritage que son eau portée et vendue. C’est aussi un personnage qui apparait comme vrai et authentique : il s’impose la philosophie du Kaddour à savoir que « </w:t>
      </w:r>
      <w:r w:rsidRPr="003B00C8">
        <w:rPr>
          <w:rFonts w:ascii="Times New Roman" w:eastAsia="Times New Roman" w:hAnsi="Times New Roman"/>
          <w:bCs/>
          <w:i/>
          <w:sz w:val="24"/>
          <w:szCs w:val="24"/>
          <w:lang w:eastAsia="fr-FR"/>
        </w:rPr>
        <w:t>pour manger, il faut travailler ; le paresseux n’a pas droit au pain</w:t>
      </w:r>
      <w:r w:rsidRPr="003B00C8">
        <w:rPr>
          <w:rFonts w:ascii="Times New Roman" w:eastAsia="Times New Roman" w:hAnsi="Times New Roman"/>
          <w:bCs/>
          <w:sz w:val="24"/>
          <w:szCs w:val="24"/>
          <w:lang w:eastAsia="fr-FR"/>
        </w:rPr>
        <w:t xml:space="preserve"> » afin que la famine qui frappait le pays n’ait pas raison de lui. Slimane suggère enfin au lecteur une </w:t>
      </w:r>
      <w:r w:rsidRPr="003B00C8">
        <w:rPr>
          <w:rFonts w:ascii="Times New Roman" w:eastAsia="Times New Roman" w:hAnsi="Times New Roman"/>
          <w:color w:val="000000"/>
          <w:sz w:val="24"/>
          <w:szCs w:val="24"/>
          <w:lang w:eastAsia="fr-FR"/>
        </w:rPr>
        <w:t>impression d’apathie, mais aussi une certaine empathie : il est le souffre-douleur des autres, l’objet vers lequel ils libèrent leurs pulsions belliqueuses. Il est balloté entre plusieurs pressions : celle brutale et injuste des hommes et celle spirituelle mais exigeante des marabouts vertueux (les anges) qu’il suit et qu’il sert.</w:t>
      </w:r>
    </w:p>
    <w:p w:rsidR="002A0B10" w:rsidRPr="00A34148" w:rsidRDefault="002A0B10" w:rsidP="002A0B10">
      <w:pPr>
        <w:pStyle w:val="Titre4"/>
        <w:spacing w:before="0" w:after="0" w:line="360" w:lineRule="auto"/>
        <w:ind w:left="641" w:hanging="357"/>
        <w:jc w:val="both"/>
        <w:rPr>
          <w:rFonts w:ascii="Times New Roman" w:hAnsi="Times New Roman"/>
          <w:i w:val="0"/>
          <w:iCs/>
          <w:sz w:val="2"/>
          <w:szCs w:val="4"/>
          <w:lang w:eastAsia="fr-FR"/>
        </w:rPr>
      </w:pPr>
    </w:p>
    <w:p w:rsidR="006A4EED" w:rsidRPr="00344EBB" w:rsidRDefault="002A0B10" w:rsidP="002A0B10">
      <w:pPr>
        <w:pStyle w:val="Titre4"/>
        <w:spacing w:before="0" w:after="0" w:line="360" w:lineRule="auto"/>
        <w:ind w:left="641" w:hanging="357"/>
        <w:jc w:val="both"/>
        <w:rPr>
          <w:rFonts w:ascii="Times New Roman" w:hAnsi="Times New Roman"/>
          <w:i w:val="0"/>
          <w:iCs/>
          <w:lang w:eastAsia="fr-FR"/>
        </w:rPr>
      </w:pPr>
      <w:bookmarkStart w:id="128" w:name="_Toc471484498"/>
      <w:r>
        <w:rPr>
          <w:rFonts w:ascii="Times New Roman" w:hAnsi="Times New Roman"/>
          <w:i w:val="0"/>
          <w:iCs/>
          <w:lang w:eastAsia="fr-FR"/>
        </w:rPr>
        <w:t>1.2.</w:t>
      </w:r>
      <w:r w:rsidRPr="00344EBB">
        <w:rPr>
          <w:rFonts w:ascii="Times New Roman" w:hAnsi="Times New Roman"/>
          <w:i w:val="0"/>
          <w:iCs/>
          <w:lang w:eastAsia="fr-FR"/>
        </w:rPr>
        <w:t xml:space="preserve"> Barabbas</w:t>
      </w:r>
      <w:r w:rsidR="006A4EED" w:rsidRPr="00344EBB">
        <w:rPr>
          <w:rFonts w:ascii="Times New Roman" w:hAnsi="Times New Roman"/>
          <w:i w:val="0"/>
          <w:iCs/>
          <w:lang w:eastAsia="fr-FR"/>
        </w:rPr>
        <w:t xml:space="preserve"> de Ghelderode</w:t>
      </w:r>
      <w:bookmarkEnd w:id="128"/>
    </w:p>
    <w:p w:rsidR="00340EA8" w:rsidRPr="005D60A8" w:rsidRDefault="006A4EED" w:rsidP="002A0B10">
      <w:pPr>
        <w:spacing w:after="0" w:line="360" w:lineRule="auto"/>
        <w:ind w:firstLine="284"/>
        <w:jc w:val="both"/>
        <w:rPr>
          <w:rFonts w:ascii="Times New Roman" w:eastAsia="Times New Roman" w:hAnsi="Times New Roman"/>
          <w:color w:val="000000"/>
          <w:sz w:val="24"/>
          <w:szCs w:val="24"/>
          <w:lang w:eastAsia="fr-FR"/>
        </w:rPr>
      </w:pPr>
      <w:r w:rsidRPr="003B00C8">
        <w:rPr>
          <w:rFonts w:ascii="Times New Roman" w:eastAsia="Times New Roman" w:hAnsi="Times New Roman"/>
          <w:color w:val="000000"/>
          <w:sz w:val="24"/>
          <w:szCs w:val="24"/>
          <w:lang w:eastAsia="fr-FR"/>
        </w:rPr>
        <w:t>Bara</w:t>
      </w:r>
      <w:r w:rsidR="00340EA8">
        <w:rPr>
          <w:rFonts w:ascii="Times New Roman" w:eastAsia="Times New Roman" w:hAnsi="Times New Roman"/>
          <w:color w:val="000000"/>
          <w:sz w:val="24"/>
          <w:szCs w:val="24"/>
          <w:lang w:eastAsia="fr-FR"/>
        </w:rPr>
        <w:t>b</w:t>
      </w:r>
      <w:r w:rsidRPr="003B00C8">
        <w:rPr>
          <w:rFonts w:ascii="Times New Roman" w:eastAsia="Times New Roman" w:hAnsi="Times New Roman"/>
          <w:color w:val="000000"/>
          <w:sz w:val="24"/>
          <w:szCs w:val="24"/>
          <w:lang w:eastAsia="fr-FR"/>
        </w:rPr>
        <w:t xml:space="preserve">bas est le principal des personnages de l’œuvre de Ghelderode. Le fait que ce personnage tienne le même nom que le titre de l’œuvre tend à le placer, d’emblée, au centre de l’intrigue… et comme on le verra, au cœur de la narration. </w:t>
      </w:r>
    </w:p>
    <w:p w:rsidR="00340EA8" w:rsidRPr="005D60A8" w:rsidRDefault="006A4EED" w:rsidP="002A0B10">
      <w:pPr>
        <w:spacing w:after="0" w:line="360" w:lineRule="auto"/>
        <w:ind w:firstLine="284"/>
        <w:jc w:val="both"/>
        <w:rPr>
          <w:rFonts w:ascii="Times New Roman" w:hAnsi="Times New Roman"/>
          <w:sz w:val="24"/>
          <w:szCs w:val="24"/>
        </w:rPr>
      </w:pPr>
      <w:r w:rsidRPr="003B00C8">
        <w:rPr>
          <w:rFonts w:ascii="Times New Roman" w:hAnsi="Times New Roman"/>
          <w:color w:val="000000"/>
          <w:sz w:val="24"/>
          <w:szCs w:val="24"/>
        </w:rPr>
        <w:t>Bara</w:t>
      </w:r>
      <w:r w:rsidR="00340EA8">
        <w:rPr>
          <w:rFonts w:ascii="Times New Roman" w:hAnsi="Times New Roman"/>
          <w:color w:val="000000"/>
          <w:sz w:val="24"/>
          <w:szCs w:val="24"/>
        </w:rPr>
        <w:t>b</w:t>
      </w:r>
      <w:r w:rsidRPr="003B00C8">
        <w:rPr>
          <w:rFonts w:ascii="Times New Roman" w:hAnsi="Times New Roman"/>
          <w:color w:val="000000"/>
          <w:sz w:val="24"/>
          <w:szCs w:val="24"/>
        </w:rPr>
        <w:t>bas est un bandit notoire, incitateur au désordre public, à la révolte et l’insurrection</w:t>
      </w:r>
      <w:r w:rsidRPr="003B00C8">
        <w:rPr>
          <w:rFonts w:ascii="Times New Roman" w:hAnsi="Times New Roman"/>
          <w:sz w:val="24"/>
          <w:szCs w:val="24"/>
        </w:rPr>
        <w:t>. Bara</w:t>
      </w:r>
      <w:r w:rsidR="00340EA8">
        <w:rPr>
          <w:rFonts w:ascii="Times New Roman" w:hAnsi="Times New Roman"/>
          <w:sz w:val="24"/>
          <w:szCs w:val="24"/>
        </w:rPr>
        <w:t>b</w:t>
      </w:r>
      <w:r w:rsidRPr="003B00C8">
        <w:rPr>
          <w:rFonts w:ascii="Times New Roman" w:hAnsi="Times New Roman"/>
          <w:sz w:val="24"/>
          <w:szCs w:val="24"/>
        </w:rPr>
        <w:t>bas sert les dessins de l'ordre religieux, celui de condamner Jésus à l'insu de l'autorité politique. Barabbas compose avec les prêtres afin de retrouver sa liberté. Compromissions, complots, chantages, pressions, haines et intérêts sordides alimentent le conflit que se livrent sans scrupules les deux entités politique et religieuse.</w:t>
      </w:r>
    </w:p>
    <w:p w:rsidR="00340EA8" w:rsidRDefault="006A4EED" w:rsidP="009D5FBF">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Barabbas est le personnage par lequel le lecteur lit la symbolique de l’univers carcéral que peint le narrateur dans la pièce de théâtre. Il est influencé par la réalité carcérale empreinte de violence et qui </w:t>
      </w:r>
      <w:proofErr w:type="gramStart"/>
      <w:r w:rsidRPr="003B00C8">
        <w:rPr>
          <w:rFonts w:ascii="Times New Roman" w:hAnsi="Times New Roman"/>
          <w:color w:val="000000"/>
          <w:sz w:val="24"/>
          <w:szCs w:val="24"/>
        </w:rPr>
        <w:t>a</w:t>
      </w:r>
      <w:proofErr w:type="gramEnd"/>
      <w:r w:rsidRPr="003B00C8">
        <w:rPr>
          <w:rFonts w:ascii="Times New Roman" w:hAnsi="Times New Roman"/>
          <w:color w:val="000000"/>
          <w:sz w:val="24"/>
          <w:szCs w:val="24"/>
        </w:rPr>
        <w:t xml:space="preserve"> un tendance à détruire les obstacles pour s’évader, s’échapper, vers la liberté.</w:t>
      </w:r>
    </w:p>
    <w:p w:rsidR="006A4EED" w:rsidRPr="003B00C8" w:rsidRDefault="006A4EED" w:rsidP="009D5FBF">
      <w:pPr>
        <w:spacing w:after="0" w:line="360" w:lineRule="auto"/>
        <w:ind w:firstLine="284"/>
        <w:jc w:val="both"/>
        <w:rPr>
          <w:rFonts w:ascii="Times New Roman" w:hAnsi="Times New Roman"/>
          <w:sz w:val="24"/>
          <w:szCs w:val="24"/>
        </w:rPr>
      </w:pPr>
      <w:r w:rsidRPr="003B00C8">
        <w:rPr>
          <w:rFonts w:ascii="Times New Roman" w:hAnsi="Times New Roman"/>
          <w:color w:val="000000"/>
          <w:sz w:val="24"/>
          <w:szCs w:val="24"/>
        </w:rPr>
        <w:t>Barabbas est aussi le personnage délivré par la puissance de Jésus qui se conscientise et décide d’entreprendre une rébellion</w:t>
      </w:r>
      <w:r w:rsidRPr="003B00C8">
        <w:rPr>
          <w:rFonts w:ascii="Times New Roman" w:hAnsi="Times New Roman"/>
          <w:sz w:val="24"/>
          <w:szCs w:val="24"/>
        </w:rPr>
        <w:t>.</w:t>
      </w:r>
    </w:p>
    <w:p w:rsidR="006A4EED" w:rsidRPr="003B00C8" w:rsidRDefault="006A4EED" w:rsidP="006A4EED">
      <w:pPr>
        <w:spacing w:after="0" w:line="360" w:lineRule="auto"/>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 </w:t>
      </w:r>
    </w:p>
    <w:p w:rsidR="006A4EED" w:rsidRPr="005D60A8" w:rsidRDefault="009D5FBF" w:rsidP="009D5FBF">
      <w:pPr>
        <w:pStyle w:val="Titre3"/>
        <w:spacing w:before="0" w:after="0" w:line="360" w:lineRule="auto"/>
        <w:ind w:left="641" w:hanging="357"/>
        <w:jc w:val="both"/>
        <w:rPr>
          <w:rFonts w:ascii="Times New Roman" w:hAnsi="Times New Roman" w:cs="Times New Roman"/>
          <w:sz w:val="24"/>
          <w:szCs w:val="24"/>
        </w:rPr>
      </w:pPr>
      <w:bookmarkStart w:id="129" w:name="_Toc471484499"/>
      <w:r>
        <w:rPr>
          <w:rFonts w:ascii="Times New Roman" w:hAnsi="Times New Roman" w:cs="Times New Roman"/>
          <w:sz w:val="24"/>
          <w:szCs w:val="24"/>
        </w:rPr>
        <w:lastRenderedPageBreak/>
        <w:t>2.</w:t>
      </w:r>
      <w:r w:rsidRPr="005D60A8">
        <w:rPr>
          <w:rFonts w:ascii="Times New Roman" w:hAnsi="Times New Roman" w:cs="Times New Roman"/>
          <w:sz w:val="24"/>
          <w:szCs w:val="24"/>
        </w:rPr>
        <w:t xml:space="preserve"> Quel</w:t>
      </w:r>
      <w:r w:rsidR="006A4EED" w:rsidRPr="005D60A8">
        <w:rPr>
          <w:rFonts w:ascii="Times New Roman" w:hAnsi="Times New Roman" w:cs="Times New Roman"/>
          <w:sz w:val="24"/>
          <w:szCs w:val="24"/>
        </w:rPr>
        <w:t xml:space="preserve"> type de narrateur-présentateur ?</w:t>
      </w:r>
      <w:bookmarkEnd w:id="129"/>
    </w:p>
    <w:p w:rsidR="006A4EED" w:rsidRPr="005D60A8" w:rsidRDefault="006A4EED" w:rsidP="009D5FBF">
      <w:pPr>
        <w:spacing w:after="0" w:line="360" w:lineRule="auto"/>
        <w:ind w:firstLine="284"/>
        <w:jc w:val="both"/>
        <w:rPr>
          <w:rFonts w:ascii="Times New Roman" w:hAnsi="Times New Roman"/>
          <w:color w:val="000000"/>
          <w:sz w:val="24"/>
          <w:szCs w:val="24"/>
        </w:rPr>
      </w:pPr>
      <w:r w:rsidRPr="005D60A8">
        <w:rPr>
          <w:rFonts w:ascii="Times New Roman" w:hAnsi="Times New Roman"/>
          <w:color w:val="000000"/>
          <w:sz w:val="24"/>
          <w:szCs w:val="24"/>
        </w:rPr>
        <w:t>Il s’agit ici d’appréhender comment chaque narrateur décrit la scène et comment il raconte son histoire.</w:t>
      </w:r>
    </w:p>
    <w:p w:rsidR="006A4EED" w:rsidRPr="005D60A8" w:rsidRDefault="003C7395" w:rsidP="003C7395">
      <w:pPr>
        <w:pStyle w:val="Titre4"/>
        <w:spacing w:before="0" w:after="0" w:line="360" w:lineRule="auto"/>
        <w:ind w:left="641" w:hanging="357"/>
        <w:jc w:val="both"/>
        <w:rPr>
          <w:rFonts w:ascii="Times New Roman" w:hAnsi="Times New Roman"/>
          <w:i w:val="0"/>
          <w:iCs/>
          <w:szCs w:val="24"/>
          <w:lang w:eastAsia="fr-FR"/>
        </w:rPr>
      </w:pPr>
      <w:bookmarkStart w:id="130" w:name="_Toc471484500"/>
      <w:r>
        <w:rPr>
          <w:rFonts w:ascii="Times New Roman" w:hAnsi="Times New Roman"/>
          <w:i w:val="0"/>
          <w:iCs/>
          <w:szCs w:val="24"/>
          <w:lang w:eastAsia="fr-FR"/>
        </w:rPr>
        <w:t>2.1</w:t>
      </w:r>
      <w:r w:rsidR="00FF18E5">
        <w:rPr>
          <w:rFonts w:ascii="Times New Roman" w:hAnsi="Times New Roman"/>
          <w:i w:val="0"/>
          <w:iCs/>
          <w:szCs w:val="24"/>
          <w:lang w:eastAsia="fr-FR"/>
        </w:rPr>
        <w:t>.</w:t>
      </w:r>
      <w:r w:rsidR="00FF18E5" w:rsidRPr="005D60A8">
        <w:rPr>
          <w:rFonts w:ascii="Times New Roman" w:hAnsi="Times New Roman"/>
          <w:i w:val="0"/>
          <w:iCs/>
          <w:szCs w:val="24"/>
          <w:lang w:eastAsia="fr-FR"/>
        </w:rPr>
        <w:t xml:space="preserve"> Chez</w:t>
      </w:r>
      <w:r w:rsidR="006A4EED" w:rsidRPr="005D60A8">
        <w:rPr>
          <w:rFonts w:ascii="Times New Roman" w:hAnsi="Times New Roman"/>
          <w:i w:val="0"/>
          <w:iCs/>
          <w:szCs w:val="24"/>
          <w:lang w:eastAsia="fr-FR"/>
        </w:rPr>
        <w:t xml:space="preserve"> Slimane de Kaki</w:t>
      </w:r>
      <w:bookmarkEnd w:id="130"/>
    </w:p>
    <w:p w:rsidR="006A4EED" w:rsidRPr="003B00C8" w:rsidRDefault="006A4EED" w:rsidP="00FF18E5">
      <w:pPr>
        <w:spacing w:after="0" w:line="360" w:lineRule="auto"/>
        <w:ind w:firstLine="284"/>
        <w:jc w:val="both"/>
        <w:rPr>
          <w:rFonts w:ascii="Times New Roman" w:hAnsi="Times New Roman"/>
          <w:color w:val="000000"/>
          <w:sz w:val="24"/>
          <w:szCs w:val="24"/>
        </w:rPr>
      </w:pPr>
      <w:r w:rsidRPr="005D60A8">
        <w:rPr>
          <w:rFonts w:ascii="Times New Roman" w:hAnsi="Times New Roman"/>
          <w:color w:val="000000"/>
          <w:sz w:val="24"/>
          <w:szCs w:val="24"/>
        </w:rPr>
        <w:t xml:space="preserve">S’agissant de cet aspect de la façon dont le </w:t>
      </w:r>
      <w:r w:rsidRPr="003B00C8">
        <w:rPr>
          <w:rFonts w:ascii="Times New Roman" w:hAnsi="Times New Roman"/>
          <w:color w:val="000000"/>
          <w:sz w:val="24"/>
          <w:szCs w:val="24"/>
        </w:rPr>
        <w:t>narrateur raconte, la dramaturgie de cette pièce de Kaki s’inscrit comme on l’a longuement décrit,  dans une structure narrative - une forme - combinant les deux modes, épique et dramatique, d'exposition de la fable.</w:t>
      </w:r>
    </w:p>
    <w:p w:rsidR="006A4EED" w:rsidRPr="00344EBB" w:rsidRDefault="009963B2" w:rsidP="009963B2">
      <w:pPr>
        <w:pStyle w:val="Titre4"/>
        <w:spacing w:before="0" w:after="0" w:line="360" w:lineRule="auto"/>
        <w:ind w:left="641" w:hanging="357"/>
        <w:jc w:val="both"/>
        <w:rPr>
          <w:rFonts w:ascii="Times New Roman" w:hAnsi="Times New Roman"/>
          <w:i w:val="0"/>
          <w:iCs/>
          <w:lang w:eastAsia="fr-FR"/>
        </w:rPr>
      </w:pPr>
      <w:bookmarkStart w:id="131" w:name="_Toc471484501"/>
      <w:r>
        <w:rPr>
          <w:rFonts w:ascii="Times New Roman" w:hAnsi="Times New Roman"/>
          <w:i w:val="0"/>
          <w:iCs/>
          <w:lang w:eastAsia="fr-FR"/>
        </w:rPr>
        <w:t>2.2.</w:t>
      </w:r>
      <w:r w:rsidRPr="00344EBB">
        <w:rPr>
          <w:rFonts w:ascii="Times New Roman" w:hAnsi="Times New Roman"/>
          <w:i w:val="0"/>
          <w:iCs/>
          <w:lang w:eastAsia="fr-FR"/>
        </w:rPr>
        <w:t xml:space="preserve"> Chez</w:t>
      </w:r>
      <w:r w:rsidR="006A4EED" w:rsidRPr="00344EBB">
        <w:rPr>
          <w:rFonts w:ascii="Times New Roman" w:hAnsi="Times New Roman"/>
          <w:i w:val="0"/>
          <w:iCs/>
          <w:lang w:eastAsia="fr-FR"/>
        </w:rPr>
        <w:t xml:space="preserve"> Bara</w:t>
      </w:r>
      <w:r w:rsidR="004426EF">
        <w:rPr>
          <w:rFonts w:ascii="Times New Roman" w:hAnsi="Times New Roman"/>
          <w:i w:val="0"/>
          <w:iCs/>
          <w:lang w:eastAsia="fr-FR"/>
        </w:rPr>
        <w:t>b</w:t>
      </w:r>
      <w:r w:rsidR="006A4EED" w:rsidRPr="00344EBB">
        <w:rPr>
          <w:rFonts w:ascii="Times New Roman" w:hAnsi="Times New Roman"/>
          <w:i w:val="0"/>
          <w:iCs/>
          <w:lang w:eastAsia="fr-FR"/>
        </w:rPr>
        <w:t>bas de Ghelderode</w:t>
      </w:r>
      <w:bookmarkEnd w:id="131"/>
    </w:p>
    <w:p w:rsidR="006A4EED" w:rsidRPr="009F5F52" w:rsidRDefault="006A4EED" w:rsidP="009F5F52">
      <w:pPr>
        <w:spacing w:after="0" w:line="360" w:lineRule="auto"/>
        <w:ind w:firstLine="284"/>
        <w:jc w:val="both"/>
        <w:rPr>
          <w:rFonts w:asciiTheme="majorBidi" w:hAnsiTheme="majorBidi" w:cstheme="majorBidi"/>
          <w:sz w:val="24"/>
          <w:szCs w:val="24"/>
        </w:rPr>
      </w:pPr>
      <w:r w:rsidRPr="009963B2">
        <w:rPr>
          <w:rFonts w:ascii="Times New Roman" w:hAnsi="Times New Roman"/>
          <w:color w:val="000000"/>
          <w:sz w:val="24"/>
          <w:szCs w:val="24"/>
        </w:rPr>
        <w:t xml:space="preserve">La dramaturgie du </w:t>
      </w:r>
      <w:r w:rsidRPr="009963B2">
        <w:rPr>
          <w:rFonts w:ascii="Times New Roman" w:hAnsi="Times New Roman"/>
          <w:i/>
          <w:iCs/>
          <w:color w:val="000000"/>
          <w:sz w:val="24"/>
          <w:szCs w:val="24"/>
        </w:rPr>
        <w:t xml:space="preserve">Barabbas </w:t>
      </w:r>
      <w:r w:rsidRPr="009963B2">
        <w:rPr>
          <w:rFonts w:ascii="Times New Roman" w:hAnsi="Times New Roman"/>
          <w:color w:val="000000"/>
          <w:sz w:val="24"/>
          <w:szCs w:val="24"/>
        </w:rPr>
        <w:t>de Ghelderode est quant à elle spéciale davantage dans le choix de l’aspect. L’auteur nous présente la Passion du Christ vue par un « épisodiste » qui devient cette fois « protagoniste ». C’est ce que confirme Gabrielle Hegyesi dans son article sur l’analyse des personnages et du récit dans les pièces de Michel de Ghelderode</w:t>
      </w:r>
      <w:r w:rsidRPr="009963B2">
        <w:rPr>
          <w:rStyle w:val="Appelnotedebasdep"/>
          <w:rFonts w:ascii="Times New Roman" w:hAnsi="Times New Roman"/>
          <w:color w:val="000000"/>
          <w:sz w:val="24"/>
          <w:szCs w:val="24"/>
        </w:rPr>
        <w:footnoteReference w:id="224"/>
      </w:r>
      <w:r w:rsidRPr="009963B2">
        <w:rPr>
          <w:rFonts w:ascii="Times New Roman" w:hAnsi="Times New Roman"/>
          <w:color w:val="000000"/>
          <w:sz w:val="24"/>
          <w:szCs w:val="24"/>
        </w:rPr>
        <w:t xml:space="preserve">. C’est une approche originale que revendiquera clairement l’auteur de </w:t>
      </w:r>
      <w:r w:rsidRPr="009963B2">
        <w:rPr>
          <w:rFonts w:ascii="Times New Roman" w:hAnsi="Times New Roman"/>
          <w:i/>
          <w:color w:val="000000"/>
          <w:sz w:val="24"/>
          <w:szCs w:val="24"/>
        </w:rPr>
        <w:t>Bara</w:t>
      </w:r>
      <w:r w:rsidR="004426EF" w:rsidRPr="009963B2">
        <w:rPr>
          <w:rFonts w:ascii="Times New Roman" w:hAnsi="Times New Roman"/>
          <w:i/>
          <w:color w:val="000000"/>
          <w:sz w:val="24"/>
          <w:szCs w:val="24"/>
        </w:rPr>
        <w:t>b</w:t>
      </w:r>
      <w:r w:rsidRPr="009963B2">
        <w:rPr>
          <w:rFonts w:ascii="Times New Roman" w:hAnsi="Times New Roman"/>
          <w:i/>
          <w:color w:val="000000"/>
          <w:sz w:val="24"/>
          <w:szCs w:val="24"/>
        </w:rPr>
        <w:t>bas</w:t>
      </w:r>
      <w:r w:rsidRPr="009963B2">
        <w:rPr>
          <w:rFonts w:ascii="Times New Roman" w:hAnsi="Times New Roman"/>
          <w:color w:val="000000"/>
          <w:sz w:val="24"/>
          <w:szCs w:val="24"/>
        </w:rPr>
        <w:t xml:space="preserve"> lorsqu’il faudra expliquer sa version de la passion du Christ. Ainsi, à la veille de proposer son œuvre au Théâtre populaire flamand, il déclare en 1928 :</w:t>
      </w:r>
      <w:r w:rsidR="009F5F52">
        <w:rPr>
          <w:rFonts w:ascii="Times New Roman" w:hAnsi="Times New Roman"/>
          <w:color w:val="000000"/>
          <w:sz w:val="24"/>
          <w:szCs w:val="24"/>
        </w:rPr>
        <w:t xml:space="preserve"> </w:t>
      </w:r>
      <w:r w:rsidR="009F5F52" w:rsidRPr="009F5F52">
        <w:rPr>
          <w:rFonts w:asciiTheme="majorBidi" w:hAnsiTheme="majorBidi" w:cstheme="majorBidi"/>
          <w:color w:val="000000"/>
          <w:sz w:val="24"/>
          <w:szCs w:val="24"/>
        </w:rPr>
        <w:t>« </w:t>
      </w:r>
      <w:r w:rsidRPr="009F5F52">
        <w:rPr>
          <w:rFonts w:asciiTheme="majorBidi" w:hAnsiTheme="majorBidi" w:cstheme="majorBidi"/>
          <w:sz w:val="24"/>
          <w:szCs w:val="24"/>
        </w:rPr>
        <w:t>Ne voulant pas écrire une Passion classique, et ne voulant surtout pas tremper ma plume au bénitier et faire un pastiche des Mystères anciens, j'ai pensé à composer quelque chose de contrariant, d'inattendu et de populaire pourtant</w:t>
      </w:r>
      <w:r w:rsidR="009F5F52">
        <w:rPr>
          <w:rFonts w:asciiTheme="majorBidi" w:hAnsiTheme="majorBidi" w:cstheme="majorBidi"/>
          <w:sz w:val="24"/>
          <w:szCs w:val="24"/>
        </w:rPr>
        <w:t> »</w:t>
      </w:r>
      <w:r w:rsidRPr="009F5F52">
        <w:rPr>
          <w:rStyle w:val="Appelnotedebasdep"/>
          <w:rFonts w:asciiTheme="majorBidi" w:hAnsiTheme="majorBidi" w:cstheme="majorBidi"/>
          <w:sz w:val="24"/>
          <w:szCs w:val="24"/>
        </w:rPr>
        <w:footnoteReference w:id="225"/>
      </w:r>
      <w:r w:rsidR="009F5F52">
        <w:rPr>
          <w:rFonts w:asciiTheme="majorBidi" w:hAnsiTheme="majorBidi" w:cstheme="majorBidi"/>
          <w:sz w:val="24"/>
          <w:szCs w:val="24"/>
        </w:rPr>
        <w:t>.</w:t>
      </w:r>
    </w:p>
    <w:p w:rsidR="00786D2D" w:rsidRPr="00A34148" w:rsidRDefault="00786D2D" w:rsidP="00786D2D">
      <w:pPr>
        <w:pStyle w:val="Titre3"/>
        <w:spacing w:before="0" w:after="0" w:line="360" w:lineRule="auto"/>
        <w:ind w:left="641" w:hanging="357"/>
        <w:jc w:val="both"/>
        <w:rPr>
          <w:rFonts w:ascii="Times New Roman" w:hAnsi="Times New Roman" w:cs="Times New Roman"/>
          <w:sz w:val="16"/>
          <w:szCs w:val="16"/>
        </w:rPr>
      </w:pPr>
    </w:p>
    <w:p w:rsidR="006A4EED" w:rsidRPr="00786D2D" w:rsidRDefault="00786D2D" w:rsidP="00786D2D">
      <w:pPr>
        <w:pStyle w:val="Titre3"/>
        <w:spacing w:before="0" w:after="0" w:line="360" w:lineRule="auto"/>
        <w:ind w:left="641" w:hanging="357"/>
        <w:jc w:val="both"/>
        <w:rPr>
          <w:rFonts w:ascii="Times New Roman" w:hAnsi="Times New Roman" w:cs="Times New Roman"/>
          <w:sz w:val="24"/>
          <w:szCs w:val="24"/>
        </w:rPr>
      </w:pPr>
      <w:bookmarkStart w:id="132" w:name="_Toc471484502"/>
      <w:r w:rsidRPr="00786D2D">
        <w:rPr>
          <w:rFonts w:ascii="Times New Roman" w:hAnsi="Times New Roman" w:cs="Times New Roman"/>
          <w:sz w:val="24"/>
          <w:szCs w:val="24"/>
        </w:rPr>
        <w:t>3. Quel</w:t>
      </w:r>
      <w:r w:rsidR="006A4EED" w:rsidRPr="00786D2D">
        <w:rPr>
          <w:rFonts w:ascii="Times New Roman" w:hAnsi="Times New Roman" w:cs="Times New Roman"/>
          <w:sz w:val="24"/>
          <w:szCs w:val="24"/>
        </w:rPr>
        <w:t xml:space="preserve"> type de narrateur-commentateur ?</w:t>
      </w:r>
      <w:bookmarkEnd w:id="132"/>
    </w:p>
    <w:p w:rsidR="006A4EED" w:rsidRPr="003B00C8" w:rsidRDefault="00786D2D" w:rsidP="00786D2D">
      <w:pPr>
        <w:spacing w:after="0" w:line="360" w:lineRule="auto"/>
        <w:ind w:firstLine="284"/>
        <w:jc w:val="both"/>
        <w:rPr>
          <w:rFonts w:ascii="Times New Roman" w:hAnsi="Times New Roman"/>
          <w:sz w:val="24"/>
          <w:szCs w:val="24"/>
        </w:rPr>
      </w:pPr>
      <w:r>
        <w:rPr>
          <w:rFonts w:ascii="Times New Roman" w:hAnsi="Times New Roman"/>
          <w:sz w:val="24"/>
          <w:szCs w:val="24"/>
        </w:rPr>
        <w:t>À</w:t>
      </w:r>
      <w:r w:rsidR="006A4EED" w:rsidRPr="003B00C8">
        <w:rPr>
          <w:rFonts w:ascii="Times New Roman" w:hAnsi="Times New Roman"/>
          <w:sz w:val="24"/>
          <w:szCs w:val="24"/>
        </w:rPr>
        <w:t xml:space="preserve"> ce niveau narratologique, notre ambition est de comprendre comment le narrateur se positionne par rapport à l’histoire qu’il raconte. Dans quel sens et à quelles fins il peut être amené à analyser soi-même l’histoire qu’il doit narrer. L’on ne se situe donc plus dans le registre strict de l’histoire racontée, narrée par le personnage principal. L’on se situe plutôt à un autre niveau, un second degré qui permet au narrateur d’expliquer, de commenter soi-même son histoire, même s’il n’est pas encore question de d’interprétation ni de mise en perspective qui seront le propre, on le verra, de la metanarration. </w:t>
      </w:r>
    </w:p>
    <w:p w:rsidR="006A4EED" w:rsidRPr="005D60A8" w:rsidRDefault="006A41A5" w:rsidP="00786D2D">
      <w:pPr>
        <w:spacing w:after="0" w:line="360" w:lineRule="auto"/>
        <w:ind w:firstLine="284"/>
        <w:jc w:val="both"/>
        <w:rPr>
          <w:rFonts w:ascii="Times New Roman" w:hAnsi="Times New Roman"/>
          <w:sz w:val="24"/>
          <w:szCs w:val="24"/>
        </w:rPr>
      </w:pPr>
      <w:r>
        <w:rPr>
          <w:rFonts w:ascii="Times New Roman" w:hAnsi="Times New Roman"/>
          <w:sz w:val="24"/>
          <w:szCs w:val="24"/>
        </w:rPr>
        <w:lastRenderedPageBreak/>
        <w:t xml:space="preserve">Il est question de déterminer </w:t>
      </w:r>
      <w:r w:rsidR="006A4EED" w:rsidRPr="003B00C8">
        <w:rPr>
          <w:rFonts w:ascii="Times New Roman" w:hAnsi="Times New Roman"/>
          <w:sz w:val="24"/>
          <w:szCs w:val="24"/>
        </w:rPr>
        <w:t>comment le narrateur-commentateur s’exprime dans les deux œuvres.</w:t>
      </w:r>
    </w:p>
    <w:p w:rsidR="006A4EED" w:rsidRPr="00982BAF" w:rsidRDefault="00786D2D" w:rsidP="00786D2D">
      <w:pPr>
        <w:pStyle w:val="Titre4"/>
        <w:spacing w:before="0" w:after="0" w:line="360" w:lineRule="auto"/>
        <w:ind w:left="0" w:firstLine="284"/>
        <w:jc w:val="both"/>
        <w:rPr>
          <w:rFonts w:ascii="Times New Roman" w:hAnsi="Times New Roman"/>
          <w:i w:val="0"/>
          <w:iCs/>
          <w:lang w:eastAsia="fr-FR"/>
        </w:rPr>
      </w:pPr>
      <w:bookmarkStart w:id="133" w:name="_Toc471484503"/>
      <w:r>
        <w:rPr>
          <w:rFonts w:ascii="Times New Roman" w:hAnsi="Times New Roman"/>
          <w:i w:val="0"/>
          <w:iCs/>
          <w:lang w:eastAsia="fr-FR"/>
        </w:rPr>
        <w:t>3.1.</w:t>
      </w:r>
      <w:r w:rsidRPr="00982BAF">
        <w:rPr>
          <w:rFonts w:ascii="Times New Roman" w:hAnsi="Times New Roman"/>
          <w:i w:val="0"/>
          <w:iCs/>
          <w:lang w:eastAsia="fr-FR"/>
        </w:rPr>
        <w:t xml:space="preserve"> Chez</w:t>
      </w:r>
      <w:r w:rsidR="006A4EED" w:rsidRPr="00982BAF">
        <w:rPr>
          <w:rFonts w:ascii="Times New Roman" w:hAnsi="Times New Roman"/>
          <w:i w:val="0"/>
          <w:iCs/>
          <w:lang w:eastAsia="fr-FR"/>
        </w:rPr>
        <w:t xml:space="preserve"> Slimane de Kaki</w:t>
      </w:r>
      <w:bookmarkEnd w:id="133"/>
    </w:p>
    <w:p w:rsidR="006A4EED" w:rsidRDefault="00786D2D" w:rsidP="00786D2D">
      <w:pPr>
        <w:spacing w:after="0" w:line="360" w:lineRule="auto"/>
        <w:ind w:firstLine="284"/>
        <w:jc w:val="both"/>
        <w:rPr>
          <w:rFonts w:ascii="Times New Roman" w:hAnsi="Times New Roman"/>
          <w:sz w:val="24"/>
          <w:szCs w:val="24"/>
        </w:rPr>
      </w:pPr>
      <w:r>
        <w:rPr>
          <w:rFonts w:ascii="Times New Roman" w:hAnsi="Times New Roman"/>
          <w:sz w:val="24"/>
          <w:szCs w:val="24"/>
        </w:rPr>
        <w:t>À</w:t>
      </w:r>
      <w:r w:rsidR="006A4EED" w:rsidRPr="003B00C8">
        <w:rPr>
          <w:rFonts w:ascii="Times New Roman" w:hAnsi="Times New Roman"/>
          <w:sz w:val="24"/>
          <w:szCs w:val="24"/>
        </w:rPr>
        <w:t xml:space="preserve"> titre de comment le narrateur se positionne par rapport à l’histoire qu’il raconte, on note chez le narrateur Slimane, une réflexion -un contenu- mettant en jeu les catégories modernes de l'éthique et de la morale. Slimane narre et les commentant des épisodes ou des scènes révélant la légèreté, l’incongruité voire tout simplement la méchanceté de la nature humaine. Dans le même temps, il relate, en les commentant donc aussi des scènes révélant la capacité de l’homme à s’élever vers cette sorte d’ascèse (sous l’influence des trois marabouts anges), laquelle viendrait purifier l’âme des personnages racontés.</w:t>
      </w:r>
    </w:p>
    <w:p w:rsidR="006A4EED" w:rsidRPr="00344EBB" w:rsidRDefault="00C41219" w:rsidP="00C41219">
      <w:pPr>
        <w:pStyle w:val="Titre4"/>
        <w:spacing w:before="0" w:after="0" w:line="360" w:lineRule="auto"/>
        <w:ind w:left="641" w:hanging="357"/>
        <w:jc w:val="both"/>
        <w:rPr>
          <w:rFonts w:ascii="Times New Roman" w:hAnsi="Times New Roman"/>
          <w:i w:val="0"/>
          <w:iCs/>
          <w:lang w:eastAsia="fr-FR"/>
        </w:rPr>
      </w:pPr>
      <w:bookmarkStart w:id="134" w:name="_Toc471484504"/>
      <w:r>
        <w:rPr>
          <w:rFonts w:ascii="Times New Roman" w:hAnsi="Times New Roman"/>
          <w:i w:val="0"/>
          <w:iCs/>
          <w:lang w:eastAsia="fr-FR"/>
        </w:rPr>
        <w:t>3.2.</w:t>
      </w:r>
      <w:r w:rsidRPr="00344EBB">
        <w:rPr>
          <w:rFonts w:ascii="Times New Roman" w:hAnsi="Times New Roman"/>
          <w:i w:val="0"/>
          <w:iCs/>
          <w:lang w:eastAsia="fr-FR"/>
        </w:rPr>
        <w:t xml:space="preserve"> Chez</w:t>
      </w:r>
      <w:r w:rsidR="006A4EED" w:rsidRPr="00344EBB">
        <w:rPr>
          <w:rFonts w:ascii="Times New Roman" w:hAnsi="Times New Roman"/>
          <w:i w:val="0"/>
          <w:iCs/>
          <w:lang w:eastAsia="fr-FR"/>
        </w:rPr>
        <w:t xml:space="preserve"> Bara</w:t>
      </w:r>
      <w:r w:rsidR="004426EF">
        <w:rPr>
          <w:rFonts w:ascii="Times New Roman" w:hAnsi="Times New Roman"/>
          <w:i w:val="0"/>
          <w:iCs/>
          <w:lang w:eastAsia="fr-FR"/>
        </w:rPr>
        <w:t>b</w:t>
      </w:r>
      <w:r w:rsidR="006A4EED" w:rsidRPr="00344EBB">
        <w:rPr>
          <w:rFonts w:ascii="Times New Roman" w:hAnsi="Times New Roman"/>
          <w:i w:val="0"/>
          <w:iCs/>
          <w:lang w:eastAsia="fr-FR"/>
        </w:rPr>
        <w:t>bas de Ghelderode</w:t>
      </w:r>
      <w:bookmarkEnd w:id="134"/>
    </w:p>
    <w:p w:rsidR="006A4EED" w:rsidRPr="00B32E70" w:rsidRDefault="006A4EED" w:rsidP="00B32E70">
      <w:pPr>
        <w:spacing w:after="0" w:line="360" w:lineRule="auto"/>
        <w:ind w:firstLine="284"/>
        <w:jc w:val="both"/>
        <w:rPr>
          <w:rFonts w:ascii="Times New Roman" w:hAnsi="Times New Roman"/>
          <w:sz w:val="24"/>
          <w:szCs w:val="24"/>
        </w:rPr>
      </w:pPr>
      <w:r w:rsidRPr="00B32E70">
        <w:rPr>
          <w:rFonts w:ascii="Times New Roman" w:hAnsi="Times New Roman"/>
          <w:sz w:val="24"/>
          <w:szCs w:val="24"/>
        </w:rPr>
        <w:t>L’on sait que le belge Michel de Ghelderode, tend à se tourne vers le temps de la Passion, au regard de ses œuvres sur le sujet. Il semble qu’en tant qu’artiste de l’entre-deux-guerres il pose les mêmes questions que les grands mythes classiques et il espère y trouver des réponses. Son personnage Bara</w:t>
      </w:r>
      <w:r w:rsidR="004426EF" w:rsidRPr="00B32E70">
        <w:rPr>
          <w:rFonts w:ascii="Times New Roman" w:hAnsi="Times New Roman"/>
          <w:sz w:val="24"/>
          <w:szCs w:val="24"/>
        </w:rPr>
        <w:t>b</w:t>
      </w:r>
      <w:r w:rsidRPr="00B32E70">
        <w:rPr>
          <w:rFonts w:ascii="Times New Roman" w:hAnsi="Times New Roman"/>
          <w:sz w:val="24"/>
          <w:szCs w:val="24"/>
        </w:rPr>
        <w:t>bas va beaucoup s’interroger sur lui-même et sur les autres.</w:t>
      </w:r>
    </w:p>
    <w:p w:rsidR="006A4EED" w:rsidRPr="00B32E70" w:rsidRDefault="006A4EED" w:rsidP="00B32E70">
      <w:pPr>
        <w:spacing w:after="0" w:line="360" w:lineRule="auto"/>
        <w:ind w:firstLine="284"/>
        <w:jc w:val="both"/>
        <w:rPr>
          <w:rFonts w:ascii="Times New Roman" w:hAnsi="Times New Roman"/>
          <w:color w:val="000000"/>
          <w:sz w:val="24"/>
          <w:szCs w:val="24"/>
        </w:rPr>
      </w:pPr>
      <w:r w:rsidRPr="00B32E70">
        <w:rPr>
          <w:rFonts w:ascii="Times New Roman" w:hAnsi="Times New Roman"/>
          <w:color w:val="000000"/>
          <w:sz w:val="24"/>
          <w:szCs w:val="24"/>
        </w:rPr>
        <w:t>La nouveauté du drame est de présenter la Passion du point de vue d’un personnage secondaire, celui de Barabbas qui raconte et commente la passion du Christ</w:t>
      </w:r>
      <w:r w:rsidRPr="00B32E70">
        <w:rPr>
          <w:rStyle w:val="Appelnotedebasdep"/>
          <w:rFonts w:ascii="Times New Roman" w:hAnsi="Times New Roman"/>
          <w:color w:val="000000"/>
          <w:sz w:val="24"/>
          <w:szCs w:val="24"/>
        </w:rPr>
        <w:footnoteReference w:id="226"/>
      </w:r>
      <w:r w:rsidRPr="00B32E70">
        <w:rPr>
          <w:rFonts w:ascii="Times New Roman" w:hAnsi="Times New Roman"/>
          <w:color w:val="000000"/>
          <w:sz w:val="24"/>
          <w:szCs w:val="24"/>
        </w:rPr>
        <w:t xml:space="preserve"> : au début du drame, Barabbas est enfermé dans une cage avec les deux larrons dont la médiocrité ne lui inspire que mépris. Il pense qu’il mourra « </w:t>
      </w:r>
      <w:r w:rsidRPr="00B32E70">
        <w:rPr>
          <w:rFonts w:ascii="Times New Roman" w:hAnsi="Times New Roman"/>
          <w:i/>
          <w:color w:val="000000"/>
          <w:sz w:val="24"/>
          <w:szCs w:val="24"/>
        </w:rPr>
        <w:t>sans se rendre, en blasphémant, au-dessus des lois</w:t>
      </w:r>
      <w:r w:rsidRPr="00B32E70">
        <w:rPr>
          <w:rFonts w:ascii="Times New Roman" w:hAnsi="Times New Roman"/>
          <w:color w:val="000000"/>
          <w:sz w:val="24"/>
          <w:szCs w:val="24"/>
        </w:rPr>
        <w:t xml:space="preserve">». Mais dans un coin de la cage il aperçoit Jésus, étendu sur le sol et priant. Barabbas est incapable de le frapper. Il se rend compte que « </w:t>
      </w:r>
      <w:r w:rsidRPr="00B32E70">
        <w:rPr>
          <w:rFonts w:ascii="Times New Roman" w:hAnsi="Times New Roman"/>
          <w:i/>
          <w:color w:val="000000"/>
          <w:sz w:val="24"/>
          <w:szCs w:val="24"/>
        </w:rPr>
        <w:t>cet homme n’est pas comme nous</w:t>
      </w:r>
      <w:r w:rsidRPr="00B32E70">
        <w:rPr>
          <w:rFonts w:ascii="Times New Roman" w:hAnsi="Times New Roman"/>
          <w:color w:val="000000"/>
          <w:sz w:val="24"/>
          <w:szCs w:val="24"/>
        </w:rPr>
        <w:t xml:space="preserve"> », comme le dit le mauvais larron. Contemplant « </w:t>
      </w:r>
      <w:r w:rsidRPr="00B32E70">
        <w:rPr>
          <w:rFonts w:ascii="Times New Roman" w:hAnsi="Times New Roman"/>
          <w:i/>
          <w:color w:val="000000"/>
          <w:sz w:val="24"/>
          <w:szCs w:val="24"/>
        </w:rPr>
        <w:t>la statue de la Douleur</w:t>
      </w:r>
      <w:r w:rsidRPr="00B32E70">
        <w:rPr>
          <w:rFonts w:ascii="Times New Roman" w:hAnsi="Times New Roman"/>
          <w:color w:val="000000"/>
          <w:sz w:val="24"/>
          <w:szCs w:val="24"/>
        </w:rPr>
        <w:t xml:space="preserve"> », il est complètement transformé par Jésus :</w:t>
      </w:r>
    </w:p>
    <w:p w:rsidR="006A4EED" w:rsidRPr="005A0F3B" w:rsidRDefault="006A4EED" w:rsidP="00BE50C9">
      <w:pPr>
        <w:pStyle w:val="Citationintense"/>
        <w:spacing w:before="0" w:after="0"/>
        <w:ind w:left="567" w:right="0"/>
        <w:rPr>
          <w:sz w:val="20"/>
          <w:szCs w:val="20"/>
        </w:rPr>
      </w:pPr>
      <w:r w:rsidRPr="005A0F3B">
        <w:rPr>
          <w:sz w:val="20"/>
          <w:szCs w:val="20"/>
        </w:rPr>
        <w:t>Nous n’avons rien pu changer à tout ce que nous trouvions néfaste, révoltant et détestable. Et, après notre vaine mort, la Justice ne sera pas encore rendue, et le mensonge régnera non moins souverainement comme il règne depuis qu’il existe des humains. Voilà ce qui désespère cet homme, et voilà ce qui me désespère aussi. […] Bientôt, plus rien ne restera de ce que nous sommes. Il n’y a plus qu’à attendre et à se laisser faire, comme lui-même se laisse faire</w:t>
      </w:r>
      <w:r w:rsidR="00BE50C9">
        <w:rPr>
          <w:sz w:val="20"/>
          <w:szCs w:val="20"/>
        </w:rPr>
        <w:t xml:space="preserve">. </w:t>
      </w:r>
      <w:r w:rsidR="005A0F3B" w:rsidRPr="005A0F3B">
        <w:rPr>
          <w:sz w:val="20"/>
          <w:szCs w:val="20"/>
        </w:rPr>
        <w:t>(</w:t>
      </w:r>
      <w:r w:rsidR="005A0F3B" w:rsidRPr="005A0F3B">
        <w:rPr>
          <w:sz w:val="20"/>
          <w:szCs w:val="20"/>
          <w:lang w:eastAsia="fr-FR"/>
        </w:rPr>
        <w:t>M. De Ghelderode, 1984, p.58).</w:t>
      </w:r>
    </w:p>
    <w:p w:rsidR="005A0F3B" w:rsidRDefault="005A0F3B" w:rsidP="005D60A8">
      <w:pPr>
        <w:spacing w:after="0" w:line="360" w:lineRule="auto"/>
        <w:ind w:firstLine="357"/>
        <w:jc w:val="both"/>
        <w:rPr>
          <w:rFonts w:ascii="Times New Roman" w:hAnsi="Times New Roman"/>
          <w:color w:val="000000"/>
          <w:sz w:val="24"/>
          <w:szCs w:val="24"/>
        </w:rPr>
      </w:pPr>
    </w:p>
    <w:p w:rsidR="006A4EED" w:rsidRPr="003B00C8" w:rsidRDefault="006A4EED" w:rsidP="00822D20">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lastRenderedPageBreak/>
        <w:t>Barabbas, libéré, ne comprend rien de ce qui s’est passé autour de lui mais, en regardant la Passion du Christ derrière les coulisses, il se convertit enfin.</w:t>
      </w:r>
    </w:p>
    <w:p w:rsidR="006A4EED" w:rsidRPr="002C3072" w:rsidRDefault="006A4EED" w:rsidP="002C3072">
      <w:pPr>
        <w:spacing w:after="0" w:line="360" w:lineRule="auto"/>
        <w:ind w:firstLine="284"/>
        <w:jc w:val="both"/>
        <w:rPr>
          <w:rFonts w:asciiTheme="majorBidi" w:hAnsiTheme="majorBidi" w:cstheme="majorBidi"/>
          <w:sz w:val="24"/>
          <w:szCs w:val="24"/>
        </w:rPr>
      </w:pPr>
      <w:r w:rsidRPr="003B00C8">
        <w:rPr>
          <w:rFonts w:ascii="Times New Roman" w:hAnsi="Times New Roman"/>
          <w:color w:val="000000"/>
          <w:sz w:val="24"/>
          <w:szCs w:val="24"/>
        </w:rPr>
        <w:t>Ce passage nous permet de constater les états d’âmes du personnage -narrateur Bara</w:t>
      </w:r>
      <w:r w:rsidR="004426EF">
        <w:rPr>
          <w:rFonts w:ascii="Times New Roman" w:hAnsi="Times New Roman"/>
          <w:color w:val="000000"/>
          <w:sz w:val="24"/>
          <w:szCs w:val="24"/>
        </w:rPr>
        <w:t>b</w:t>
      </w:r>
      <w:r w:rsidRPr="003B00C8">
        <w:rPr>
          <w:rFonts w:ascii="Times New Roman" w:hAnsi="Times New Roman"/>
          <w:color w:val="000000"/>
          <w:sz w:val="24"/>
          <w:szCs w:val="24"/>
        </w:rPr>
        <w:t>bas qui devient commentateur de son propre récit. Révolté par la machination dont il vient de profiter, Barabbas, décide de venger Jésus. Il pose des questions à Hérode, il voudrait savoir si Jésus a ressuscité les morts et guéri les malades, s’il est vrai qu’il meurt pour le rachat des âmes. Mais Hérode se moque de lui, les apôtres ne l’écoutent pas, alors il décide d’agir sans leur aide. Ils recrutent ses anciens camarades, et à la tête de cette bande il excite à la violence.</w:t>
      </w:r>
      <w:r w:rsidR="002C3072">
        <w:rPr>
          <w:rFonts w:ascii="Times New Roman" w:hAnsi="Times New Roman"/>
          <w:color w:val="000000"/>
          <w:sz w:val="24"/>
          <w:szCs w:val="24"/>
        </w:rPr>
        <w:t xml:space="preserve"> </w:t>
      </w:r>
      <w:r w:rsidR="002C3072" w:rsidRPr="002C3072">
        <w:rPr>
          <w:rFonts w:asciiTheme="majorBidi" w:hAnsiTheme="majorBidi" w:cstheme="majorBidi"/>
          <w:color w:val="000000"/>
          <w:sz w:val="24"/>
          <w:szCs w:val="24"/>
        </w:rPr>
        <w:t>« </w:t>
      </w:r>
      <w:r w:rsidRPr="002C3072">
        <w:rPr>
          <w:rFonts w:asciiTheme="majorBidi" w:hAnsiTheme="majorBidi" w:cstheme="majorBidi"/>
          <w:sz w:val="24"/>
          <w:szCs w:val="24"/>
        </w:rPr>
        <w:t>À bas le servage ! À bas le mensonge! […] Moi le brigand, je vous le dis, et je le jure devant ces croix : les temps sont révolus ! Camarades, en avant ! Ouvrez les portes des prisons ! Il n’y aura plus de pauvres. […] Et le Crucifié reviendra parmi nous, dans trois jours. Il sera notre roi. Allez ! Vive l’anarchie!</w:t>
      </w:r>
      <w:r w:rsidR="002C3072">
        <w:rPr>
          <w:rFonts w:asciiTheme="majorBidi" w:hAnsiTheme="majorBidi" w:cstheme="majorBidi"/>
          <w:sz w:val="24"/>
          <w:szCs w:val="24"/>
        </w:rPr>
        <w:t> »</w:t>
      </w:r>
      <w:r w:rsidRPr="002C3072">
        <w:rPr>
          <w:rStyle w:val="Appelnotedebasdep"/>
          <w:rFonts w:asciiTheme="majorBidi" w:hAnsiTheme="majorBidi" w:cstheme="majorBidi"/>
          <w:sz w:val="24"/>
          <w:szCs w:val="24"/>
        </w:rPr>
        <w:footnoteReference w:id="227"/>
      </w:r>
    </w:p>
    <w:p w:rsidR="006A4EED" w:rsidRPr="003B00C8" w:rsidRDefault="006A4EED" w:rsidP="00F92059">
      <w:pPr>
        <w:spacing w:after="0" w:line="360" w:lineRule="auto"/>
        <w:ind w:firstLine="284"/>
        <w:jc w:val="both"/>
        <w:rPr>
          <w:rFonts w:ascii="Times New Roman" w:hAnsi="Times New Roman"/>
          <w:sz w:val="24"/>
          <w:szCs w:val="24"/>
        </w:rPr>
      </w:pPr>
      <w:r w:rsidRPr="003B00C8">
        <w:rPr>
          <w:rFonts w:ascii="Times New Roman" w:hAnsi="Times New Roman"/>
          <w:sz w:val="24"/>
          <w:szCs w:val="24"/>
        </w:rPr>
        <w:t>Jusqu’à ce qu’il paie le prix fort pour ce retournement. Un poignard planté dans le dos. L’on verra plus loin, au niveau metanarratif que cet épisode tient un aspect interprétatif fort, notamment du point de vue du rite sacrificiel.</w:t>
      </w:r>
    </w:p>
    <w:p w:rsidR="006A4EED" w:rsidRPr="000F3D76" w:rsidRDefault="006A4EED" w:rsidP="003D73B8">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Une chose est certaine, le double sacrifice est au centre de la pièce. Sacrifice de Jésus, sacrifice de Barrabas. Mais pour quel résultat ? Au début, Barabbas, en tant que bandit, accepte le rôle de la victime, du coupable condamné à mort à cause de ses crimes. Mais selon les prêtres, Jésus est plus dangereux que lui parce qu’il</w:t>
      </w:r>
      <w:r>
        <w:rPr>
          <w:rFonts w:ascii="Times New Roman" w:hAnsi="Times New Roman"/>
          <w:sz w:val="24"/>
          <w:szCs w:val="24"/>
        </w:rPr>
        <w:t xml:space="preserve"> </w:t>
      </w:r>
      <w:r w:rsidRPr="000F3D76">
        <w:rPr>
          <w:rFonts w:asciiTheme="majorBidi" w:hAnsiTheme="majorBidi" w:cstheme="majorBidi"/>
          <w:sz w:val="24"/>
          <w:szCs w:val="24"/>
        </w:rPr>
        <w:t>«a blasphémé contre les lois divines, […] contre notre séculaire autorité. Cet homme est l’ennemi de la Nation »</w:t>
      </w:r>
      <w:r w:rsidR="000F3D76" w:rsidRPr="000F3D76">
        <w:rPr>
          <w:rFonts w:asciiTheme="majorBidi" w:hAnsiTheme="majorBidi" w:cstheme="majorBidi"/>
          <w:sz w:val="24"/>
          <w:szCs w:val="24"/>
        </w:rPr>
        <w:t>. (</w:t>
      </w:r>
      <w:r w:rsidR="000F3D76" w:rsidRPr="000F3D76">
        <w:rPr>
          <w:rFonts w:ascii="Times New Roman" w:hAnsi="Times New Roman"/>
          <w:color w:val="000000"/>
          <w:sz w:val="24"/>
          <w:szCs w:val="24"/>
        </w:rPr>
        <w:t xml:space="preserve">R. </w:t>
      </w:r>
      <w:r w:rsidR="000F3D76" w:rsidRPr="000F3D76">
        <w:rPr>
          <w:rFonts w:ascii="Times New Roman" w:hAnsi="Times New Roman"/>
          <w:sz w:val="24"/>
          <w:szCs w:val="24"/>
        </w:rPr>
        <w:t>Boumeuf et</w:t>
      </w:r>
      <w:r w:rsidR="000F3D76" w:rsidRPr="000F3D76">
        <w:rPr>
          <w:rFonts w:ascii="Times New Roman" w:hAnsi="Times New Roman"/>
          <w:color w:val="000000"/>
          <w:sz w:val="24"/>
          <w:szCs w:val="24"/>
        </w:rPr>
        <w:t xml:space="preserve"> R. Ouellet, 1972)</w:t>
      </w:r>
      <w:r w:rsidR="000F3D76">
        <w:rPr>
          <w:rFonts w:ascii="Times New Roman" w:hAnsi="Times New Roman"/>
          <w:color w:val="000000"/>
          <w:sz w:val="24"/>
          <w:szCs w:val="24"/>
        </w:rPr>
        <w:t xml:space="preserve">, </w:t>
      </w:r>
      <w:r w:rsidRPr="003B00C8">
        <w:rPr>
          <w:rFonts w:ascii="Times New Roman" w:hAnsi="Times New Roman"/>
          <w:sz w:val="24"/>
          <w:szCs w:val="24"/>
        </w:rPr>
        <w:t xml:space="preserve">dit Caïphe, qui  </w:t>
      </w:r>
      <w:r w:rsidRPr="000F3D76">
        <w:rPr>
          <w:rFonts w:asciiTheme="majorBidi" w:hAnsiTheme="majorBidi" w:cstheme="majorBidi"/>
          <w:sz w:val="24"/>
          <w:szCs w:val="24"/>
        </w:rPr>
        <w:t xml:space="preserve">ajoute : «Il nous faut sacrifier la brebis galeuse qui contamine le troupeau ». </w:t>
      </w:r>
      <w:r w:rsidR="000F3D76">
        <w:rPr>
          <w:rFonts w:asciiTheme="majorBidi" w:hAnsiTheme="majorBidi" w:cstheme="majorBidi"/>
          <w:sz w:val="24"/>
          <w:szCs w:val="24"/>
        </w:rPr>
        <w:t>(</w:t>
      </w:r>
      <w:r w:rsidR="000F3D76">
        <w:rPr>
          <w:rFonts w:asciiTheme="majorBidi" w:hAnsiTheme="majorBidi" w:cstheme="majorBidi"/>
          <w:i/>
          <w:iCs/>
          <w:sz w:val="24"/>
          <w:szCs w:val="24"/>
        </w:rPr>
        <w:t>Ibid</w:t>
      </w:r>
      <w:r w:rsidR="000F3D76">
        <w:rPr>
          <w:rFonts w:asciiTheme="majorBidi" w:hAnsiTheme="majorBidi" w:cstheme="majorBidi"/>
          <w:sz w:val="24"/>
          <w:szCs w:val="24"/>
        </w:rPr>
        <w:t>).</w:t>
      </w:r>
    </w:p>
    <w:p w:rsidR="006A4EED" w:rsidRPr="003D73B8" w:rsidRDefault="006A4EED" w:rsidP="003D73B8">
      <w:pPr>
        <w:spacing w:after="0" w:line="360" w:lineRule="auto"/>
        <w:ind w:firstLine="284"/>
        <w:jc w:val="both"/>
        <w:rPr>
          <w:rFonts w:asciiTheme="majorBidi" w:hAnsiTheme="majorBidi" w:cstheme="majorBidi"/>
          <w:sz w:val="24"/>
          <w:szCs w:val="24"/>
        </w:rPr>
      </w:pPr>
      <w:r w:rsidRPr="003D73B8">
        <w:rPr>
          <w:rFonts w:asciiTheme="majorBidi" w:hAnsiTheme="majorBidi" w:cstheme="majorBidi"/>
          <w:sz w:val="24"/>
          <w:szCs w:val="24"/>
        </w:rPr>
        <w:t>Mais le sacrifice de Jésus n’apporte pas la réconciliation puisqu’il n’est pas coupable et le sacrifice de Bara</w:t>
      </w:r>
      <w:r w:rsidR="004426EF" w:rsidRPr="003D73B8">
        <w:rPr>
          <w:rFonts w:asciiTheme="majorBidi" w:hAnsiTheme="majorBidi" w:cstheme="majorBidi"/>
          <w:sz w:val="24"/>
          <w:szCs w:val="24"/>
        </w:rPr>
        <w:t>b</w:t>
      </w:r>
      <w:r w:rsidRPr="003D73B8">
        <w:rPr>
          <w:rFonts w:asciiTheme="majorBidi" w:hAnsiTheme="majorBidi" w:cstheme="majorBidi"/>
          <w:sz w:val="24"/>
          <w:szCs w:val="24"/>
        </w:rPr>
        <w:t xml:space="preserve">bas non plus. Alors pourquoi avoir donné sa vie ? </w:t>
      </w:r>
    </w:p>
    <w:p w:rsidR="006A4EED" w:rsidRPr="003D73B8" w:rsidRDefault="006A4EED" w:rsidP="003D73B8">
      <w:pPr>
        <w:spacing w:after="0" w:line="360" w:lineRule="auto"/>
        <w:ind w:firstLine="284"/>
        <w:jc w:val="both"/>
        <w:rPr>
          <w:rFonts w:asciiTheme="majorBidi" w:hAnsiTheme="majorBidi" w:cstheme="majorBidi"/>
          <w:sz w:val="24"/>
          <w:szCs w:val="24"/>
        </w:rPr>
      </w:pPr>
      <w:r w:rsidRPr="003D73B8">
        <w:rPr>
          <w:rFonts w:asciiTheme="majorBidi" w:hAnsiTheme="majorBidi" w:cstheme="majorBidi"/>
          <w:sz w:val="24"/>
          <w:szCs w:val="24"/>
        </w:rPr>
        <w:t>Comme le revèle Hegyesi, « Barabbas lui-même prend conscience du caractère mensonger du sacrifice comme institution sociale, et de la création arbitraire d’un bouc émissaire »</w:t>
      </w:r>
      <w:r w:rsidRPr="003D73B8">
        <w:rPr>
          <w:rStyle w:val="Appelnotedebasdep"/>
          <w:rFonts w:asciiTheme="majorBidi" w:hAnsiTheme="majorBidi" w:cstheme="majorBidi"/>
          <w:sz w:val="24"/>
          <w:szCs w:val="24"/>
        </w:rPr>
        <w:t xml:space="preserve"> </w:t>
      </w:r>
      <w:r w:rsidRPr="003D73B8">
        <w:rPr>
          <w:rStyle w:val="Appelnotedebasdep"/>
          <w:rFonts w:asciiTheme="majorBidi" w:hAnsiTheme="majorBidi" w:cstheme="majorBidi"/>
          <w:sz w:val="24"/>
          <w:szCs w:val="24"/>
        </w:rPr>
        <w:footnoteReference w:id="228"/>
      </w:r>
      <w:r w:rsidRPr="003D73B8">
        <w:rPr>
          <w:rFonts w:asciiTheme="majorBidi" w:hAnsiTheme="majorBidi" w:cstheme="majorBidi"/>
          <w:sz w:val="24"/>
          <w:szCs w:val="24"/>
        </w:rPr>
        <w:t>.</w:t>
      </w:r>
    </w:p>
    <w:p w:rsidR="006A4EED" w:rsidRPr="003D73B8" w:rsidRDefault="006A4EED" w:rsidP="003D73B8">
      <w:pPr>
        <w:spacing w:after="0" w:line="360" w:lineRule="auto"/>
        <w:ind w:firstLine="284"/>
        <w:jc w:val="both"/>
        <w:rPr>
          <w:rFonts w:ascii="Times New Roman" w:hAnsi="Times New Roman"/>
          <w:sz w:val="24"/>
          <w:szCs w:val="24"/>
        </w:rPr>
      </w:pPr>
      <w:r w:rsidRPr="003D73B8">
        <w:rPr>
          <w:rFonts w:ascii="Times New Roman" w:hAnsi="Times New Roman"/>
          <w:sz w:val="24"/>
          <w:szCs w:val="24"/>
        </w:rPr>
        <w:t xml:space="preserve">Le malfrat comprend enfin le jeu de la substitution des victimes et cela justifie en lui son désir de détruire une telle société. Mais, comme Roland Beyen le constate, Barabbas, en voyant que la révolte violente contre l’injustice sociale est </w:t>
      </w:r>
      <w:r w:rsidRPr="003D73B8">
        <w:rPr>
          <w:rFonts w:ascii="Times New Roman" w:hAnsi="Times New Roman"/>
          <w:sz w:val="24"/>
          <w:szCs w:val="24"/>
        </w:rPr>
        <w:lastRenderedPageBreak/>
        <w:t>inutile, devient de plus en plus sceptique et ce scepticisme le pousse vers l’acceptation de la non-violence du Christ</w:t>
      </w:r>
      <w:r w:rsidRPr="003D73B8">
        <w:rPr>
          <w:rStyle w:val="Appelnotedebasdep"/>
          <w:rFonts w:ascii="Times New Roman" w:hAnsi="Times New Roman"/>
          <w:sz w:val="24"/>
          <w:szCs w:val="24"/>
        </w:rPr>
        <w:footnoteReference w:id="229"/>
      </w:r>
      <w:r w:rsidRPr="003D73B8">
        <w:rPr>
          <w:rFonts w:ascii="Times New Roman" w:hAnsi="Times New Roman"/>
          <w:sz w:val="24"/>
          <w:szCs w:val="24"/>
        </w:rPr>
        <w:t xml:space="preserve">. </w:t>
      </w:r>
    </w:p>
    <w:p w:rsidR="006A4EED" w:rsidRPr="003D73B8" w:rsidRDefault="006A4EED" w:rsidP="003D73B8">
      <w:pPr>
        <w:spacing w:after="0" w:line="360" w:lineRule="auto"/>
        <w:ind w:firstLine="284"/>
        <w:jc w:val="both"/>
        <w:rPr>
          <w:rFonts w:ascii="Times New Roman" w:hAnsi="Times New Roman"/>
          <w:sz w:val="24"/>
          <w:szCs w:val="24"/>
        </w:rPr>
      </w:pPr>
      <w:r w:rsidRPr="003D73B8">
        <w:rPr>
          <w:rFonts w:ascii="Times New Roman" w:hAnsi="Times New Roman"/>
          <w:sz w:val="24"/>
          <w:szCs w:val="24"/>
        </w:rPr>
        <w:t>Ce sont ces niveaux de commentaires qui, comme on le verra plus loin dans la réinterprétation, conduiront Ghelderode à poser un jugement sévère sur la société, et plus particulièrement sur la société de l’entre-deux-guerres.</w:t>
      </w:r>
    </w:p>
    <w:p w:rsidR="006A4EED" w:rsidRPr="003B00C8" w:rsidRDefault="006A4EED" w:rsidP="006A4EED">
      <w:pPr>
        <w:rPr>
          <w:rFonts w:ascii="Times New Roman" w:hAnsi="Times New Roman"/>
          <w:lang w:eastAsia="fr-FR"/>
        </w:rPr>
      </w:pPr>
    </w:p>
    <w:p w:rsidR="006A4EED" w:rsidRPr="003D73B8" w:rsidRDefault="003D73B8" w:rsidP="003D73B8">
      <w:pPr>
        <w:pStyle w:val="Titre3"/>
        <w:spacing w:before="0" w:after="0" w:line="360" w:lineRule="auto"/>
        <w:ind w:left="641" w:hanging="357"/>
        <w:jc w:val="both"/>
        <w:rPr>
          <w:rFonts w:ascii="Times New Roman" w:hAnsi="Times New Roman" w:cs="Times New Roman"/>
          <w:sz w:val="24"/>
          <w:szCs w:val="24"/>
        </w:rPr>
      </w:pPr>
      <w:bookmarkStart w:id="135" w:name="_Toc471484505"/>
      <w:r w:rsidRPr="003D73B8">
        <w:rPr>
          <w:rFonts w:ascii="Times New Roman" w:hAnsi="Times New Roman" w:cs="Times New Roman"/>
          <w:sz w:val="24"/>
          <w:szCs w:val="24"/>
        </w:rPr>
        <w:t>4. Quel</w:t>
      </w:r>
      <w:r w:rsidR="006A4EED" w:rsidRPr="003D73B8">
        <w:rPr>
          <w:rFonts w:ascii="Times New Roman" w:hAnsi="Times New Roman" w:cs="Times New Roman"/>
          <w:sz w:val="24"/>
          <w:szCs w:val="24"/>
        </w:rPr>
        <w:t xml:space="preserve"> métanarrateur ?</w:t>
      </w:r>
      <w:bookmarkEnd w:id="135"/>
      <w:r w:rsidR="006A4EED" w:rsidRPr="003D73B8">
        <w:rPr>
          <w:rFonts w:ascii="Times New Roman" w:hAnsi="Times New Roman" w:cs="Times New Roman"/>
          <w:sz w:val="24"/>
          <w:szCs w:val="24"/>
        </w:rPr>
        <w:t xml:space="preserve"> </w:t>
      </w:r>
    </w:p>
    <w:p w:rsidR="006A4EED" w:rsidRPr="003B00C8" w:rsidRDefault="006A4EED" w:rsidP="003D73B8">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Que représente </w:t>
      </w:r>
      <w:r w:rsidRPr="003B00C8">
        <w:rPr>
          <w:rFonts w:ascii="Times New Roman" w:hAnsi="Times New Roman"/>
          <w:i/>
          <w:sz w:val="24"/>
          <w:szCs w:val="24"/>
        </w:rPr>
        <w:t>in fine</w:t>
      </w:r>
      <w:r w:rsidRPr="003B00C8">
        <w:rPr>
          <w:rFonts w:ascii="Times New Roman" w:hAnsi="Times New Roman"/>
          <w:sz w:val="24"/>
          <w:szCs w:val="24"/>
        </w:rPr>
        <w:t xml:space="preserve"> le personnage principal dans chacune des œuvres ? Que suggère-t-il, au-delà de la narration ? Quelle contribution apporte t-il à l’interprétation de l’œuvre proposée et même à sa mise en perspective ? Il s’agit, à ce niveau du metanarrateur, de s’attacher aux aspects interprétatifs, symboliques, directs ou indirects que suggère</w:t>
      </w:r>
      <w:r w:rsidR="004426EF">
        <w:rPr>
          <w:rFonts w:ascii="Times New Roman" w:hAnsi="Times New Roman"/>
          <w:sz w:val="24"/>
          <w:szCs w:val="24"/>
        </w:rPr>
        <w:t>nt</w:t>
      </w:r>
      <w:r w:rsidRPr="003B00C8">
        <w:rPr>
          <w:rFonts w:ascii="Times New Roman" w:hAnsi="Times New Roman"/>
          <w:sz w:val="24"/>
          <w:szCs w:val="24"/>
        </w:rPr>
        <w:t xml:space="preserve"> le jeu et la narration proposés par les narrateurs personnages.</w:t>
      </w:r>
    </w:p>
    <w:p w:rsidR="006A4EED" w:rsidRPr="00982BAF" w:rsidRDefault="003D73B8" w:rsidP="003D73B8">
      <w:pPr>
        <w:pStyle w:val="Titre4"/>
        <w:spacing w:before="0" w:after="0" w:line="360" w:lineRule="auto"/>
        <w:ind w:left="641" w:hanging="357"/>
        <w:jc w:val="both"/>
        <w:rPr>
          <w:rFonts w:ascii="Times New Roman" w:hAnsi="Times New Roman"/>
          <w:i w:val="0"/>
          <w:iCs/>
          <w:lang w:eastAsia="fr-FR"/>
        </w:rPr>
      </w:pPr>
      <w:bookmarkStart w:id="136" w:name="_Toc471484506"/>
      <w:r>
        <w:rPr>
          <w:rFonts w:ascii="Times New Roman" w:hAnsi="Times New Roman"/>
          <w:i w:val="0"/>
          <w:iCs/>
          <w:lang w:eastAsia="fr-FR"/>
        </w:rPr>
        <w:t>4.1.</w:t>
      </w:r>
      <w:r w:rsidRPr="00982BAF">
        <w:rPr>
          <w:rFonts w:ascii="Times New Roman" w:hAnsi="Times New Roman"/>
          <w:i w:val="0"/>
          <w:iCs/>
          <w:lang w:eastAsia="fr-FR"/>
        </w:rPr>
        <w:t xml:space="preserve"> Chez</w:t>
      </w:r>
      <w:r w:rsidR="006A4EED" w:rsidRPr="00982BAF">
        <w:rPr>
          <w:rFonts w:ascii="Times New Roman" w:hAnsi="Times New Roman"/>
          <w:i w:val="0"/>
          <w:iCs/>
          <w:lang w:eastAsia="fr-FR"/>
        </w:rPr>
        <w:t xml:space="preserve"> Slimane de Kaki</w:t>
      </w:r>
      <w:bookmarkEnd w:id="136"/>
    </w:p>
    <w:p w:rsidR="006A4EED" w:rsidRPr="003D73B8" w:rsidRDefault="006A4EED" w:rsidP="003D73B8">
      <w:pPr>
        <w:autoSpaceDE w:val="0"/>
        <w:autoSpaceDN w:val="0"/>
        <w:adjustRightInd w:val="0"/>
        <w:spacing w:after="0" w:line="360" w:lineRule="auto"/>
        <w:ind w:firstLine="284"/>
        <w:jc w:val="both"/>
        <w:rPr>
          <w:rFonts w:ascii="Times New Roman" w:hAnsi="Times New Roman"/>
          <w:color w:val="000000"/>
          <w:sz w:val="24"/>
          <w:szCs w:val="24"/>
        </w:rPr>
      </w:pPr>
      <w:r w:rsidRPr="003D73B8">
        <w:rPr>
          <w:rFonts w:ascii="Times New Roman" w:hAnsi="Times New Roman"/>
          <w:color w:val="000000"/>
          <w:sz w:val="24"/>
          <w:szCs w:val="24"/>
        </w:rPr>
        <w:t xml:space="preserve">Le personnage narrateur Slimane est attaché à plusieurs symboliques dont nous nous proposons ici de situer les contours et les significations. </w:t>
      </w:r>
    </w:p>
    <w:p w:rsidR="0001673C" w:rsidRDefault="006A4EED" w:rsidP="00C47B29">
      <w:pPr>
        <w:autoSpaceDE w:val="0"/>
        <w:autoSpaceDN w:val="0"/>
        <w:adjustRightInd w:val="0"/>
        <w:spacing w:after="0" w:line="360" w:lineRule="auto"/>
        <w:ind w:firstLine="284"/>
        <w:jc w:val="both"/>
        <w:rPr>
          <w:rFonts w:ascii="Times New Roman" w:hAnsi="Times New Roman"/>
        </w:rPr>
      </w:pPr>
      <w:r w:rsidRPr="003D73B8">
        <w:rPr>
          <w:rFonts w:ascii="Times New Roman" w:hAnsi="Times New Roman"/>
          <w:color w:val="000000"/>
          <w:sz w:val="24"/>
          <w:szCs w:val="24"/>
        </w:rPr>
        <w:t xml:space="preserve">Mais avant cela, rappelons quelques réalités circonstancielles. Déjà, le dramaturge Kaki a toujours été fasciné par les formes populaires, comme d’autres dramaturges et metteurs en scène algériens, arabes et africains qui ont œuvré dans la même perspective et entrepris, d’après Roselyne Baffet, la mise en place d’une écriture « syncrétique ». </w:t>
      </w:r>
      <w:r w:rsidR="0001673C">
        <w:rPr>
          <w:rFonts w:ascii="Times New Roman" w:hAnsi="Times New Roman"/>
          <w:color w:val="000000"/>
          <w:sz w:val="24"/>
          <w:szCs w:val="24"/>
        </w:rPr>
        <w:t>(</w:t>
      </w:r>
      <w:r w:rsidR="0001673C" w:rsidRPr="00374391">
        <w:rPr>
          <w:rFonts w:ascii="Times New Roman" w:hAnsi="Times New Roman"/>
        </w:rPr>
        <w:t>R</w:t>
      </w:r>
      <w:r w:rsidR="0001673C">
        <w:rPr>
          <w:rFonts w:ascii="Times New Roman" w:hAnsi="Times New Roman"/>
        </w:rPr>
        <w:t xml:space="preserve">. </w:t>
      </w:r>
      <w:r w:rsidR="0001673C" w:rsidRPr="00982BAF">
        <w:rPr>
          <w:rFonts w:ascii="Times New Roman" w:hAnsi="Times New Roman"/>
        </w:rPr>
        <w:t>B</w:t>
      </w:r>
      <w:r w:rsidR="0001673C">
        <w:rPr>
          <w:rFonts w:ascii="Times New Roman" w:hAnsi="Times New Roman"/>
        </w:rPr>
        <w:t>affet, 1985, p.220).</w:t>
      </w:r>
    </w:p>
    <w:p w:rsidR="00EF291F" w:rsidRPr="003D73B8" w:rsidRDefault="006A4EED" w:rsidP="0001673C">
      <w:pPr>
        <w:autoSpaceDE w:val="0"/>
        <w:autoSpaceDN w:val="0"/>
        <w:adjustRightInd w:val="0"/>
        <w:spacing w:after="0" w:line="360" w:lineRule="auto"/>
        <w:ind w:firstLine="284"/>
        <w:jc w:val="both"/>
        <w:rPr>
          <w:rFonts w:ascii="Times New Roman" w:hAnsi="Times New Roman"/>
          <w:color w:val="000000"/>
          <w:sz w:val="24"/>
          <w:szCs w:val="24"/>
        </w:rPr>
      </w:pPr>
      <w:r w:rsidRPr="003D73B8">
        <w:rPr>
          <w:rFonts w:ascii="Times New Roman" w:hAnsi="Times New Roman"/>
          <w:color w:val="000000"/>
          <w:sz w:val="24"/>
          <w:szCs w:val="24"/>
        </w:rPr>
        <w:t xml:space="preserve">Baffet cite ainsi, à tout rompre, plusieurs exemples intéressants : </w:t>
      </w:r>
    </w:p>
    <w:p w:rsidR="00EF291F" w:rsidRPr="003D73B8" w:rsidRDefault="006A4EED" w:rsidP="00C47B29">
      <w:pPr>
        <w:pStyle w:val="Citationintense"/>
        <w:spacing w:before="0" w:after="0"/>
        <w:ind w:left="567" w:right="0"/>
        <w:rPr>
          <w:sz w:val="20"/>
          <w:szCs w:val="20"/>
        </w:rPr>
      </w:pPr>
      <w:r w:rsidRPr="003D73B8">
        <w:rPr>
          <w:sz w:val="20"/>
          <w:szCs w:val="20"/>
        </w:rPr>
        <w:t xml:space="preserve">Slimane Bénaissa a transformé les signes de la parole en lui conférant une véritable dynamique et  lui faisant épouser les contours de la société, la libérant de certains carcans sclérosants qui perturbaient toute possible communication. Tayeb Déhimi a offert  à ses personnages une dimension mythique et une inscription historiciste : littérature orale, histoire arabe, théâtre universel et Brecht se retrouvaient comme pour exorciser une certaine parole rédemptrice. </w:t>
      </w:r>
      <w:r w:rsidR="0001673C">
        <w:rPr>
          <w:sz w:val="20"/>
          <w:szCs w:val="20"/>
        </w:rPr>
        <w:t>(</w:t>
      </w:r>
      <w:r w:rsidR="0001673C" w:rsidRPr="0001673C">
        <w:rPr>
          <w:i/>
          <w:iCs w:val="0"/>
          <w:sz w:val="20"/>
          <w:szCs w:val="20"/>
        </w:rPr>
        <w:t>Ibid</w:t>
      </w:r>
      <w:r w:rsidR="0001673C">
        <w:rPr>
          <w:sz w:val="20"/>
          <w:szCs w:val="20"/>
        </w:rPr>
        <w:t>)</w:t>
      </w:r>
    </w:p>
    <w:p w:rsidR="003D73B8" w:rsidRDefault="003D73B8" w:rsidP="005D60A8">
      <w:pPr>
        <w:autoSpaceDE w:val="0"/>
        <w:autoSpaceDN w:val="0"/>
        <w:adjustRightInd w:val="0"/>
        <w:spacing w:after="0" w:line="360" w:lineRule="auto"/>
        <w:jc w:val="both"/>
        <w:rPr>
          <w:rFonts w:ascii="Times New Roman" w:hAnsi="Times New Roman"/>
          <w:color w:val="000000"/>
          <w:sz w:val="24"/>
          <w:szCs w:val="24"/>
        </w:rPr>
      </w:pPr>
    </w:p>
    <w:p w:rsidR="008C21F8" w:rsidRPr="003B00C8" w:rsidRDefault="006A4EED" w:rsidP="003D73B8">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Ces exemples soulignent, à notre sens, une ouverture évidente pour la metanarration chez les auteurs algériens.</w:t>
      </w:r>
    </w:p>
    <w:p w:rsidR="006A4EED" w:rsidRPr="003B00C8" w:rsidRDefault="006A4EED" w:rsidP="003D73B8">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La narration devient plus que de la narration. Elle épouse un discours, une symbolique, une signification plus consistante, beaucoup plus profonde que les mots prononcés par le narrateur. </w:t>
      </w:r>
    </w:p>
    <w:p w:rsidR="006A4EED" w:rsidRPr="003B00C8" w:rsidRDefault="006A4EED" w:rsidP="003D73B8">
      <w:pPr>
        <w:autoSpaceDE w:val="0"/>
        <w:autoSpaceDN w:val="0"/>
        <w:adjustRightInd w:val="0"/>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lastRenderedPageBreak/>
        <w:t xml:space="preserve">En revenant précisément à Kaki, trois de ses œuvres permettent particulièrement de mettre en lumière ce procédé de metanarration : </w:t>
      </w:r>
      <w:r w:rsidRPr="003D73B8">
        <w:rPr>
          <w:rFonts w:ascii="Times New Roman" w:hAnsi="Times New Roman"/>
          <w:i/>
          <w:iCs/>
          <w:color w:val="000000"/>
          <w:sz w:val="24"/>
          <w:szCs w:val="24"/>
        </w:rPr>
        <w:t>El Guerrab Wa</w:t>
      </w:r>
      <w:r w:rsidRPr="003D73B8">
        <w:rPr>
          <w:rFonts w:ascii="Times New Roman" w:hAnsi="Times New Roman"/>
          <w:color w:val="000000"/>
          <w:sz w:val="24"/>
          <w:szCs w:val="24"/>
        </w:rPr>
        <w:t xml:space="preserve"> </w:t>
      </w:r>
      <w:r w:rsidRPr="003D73B8">
        <w:rPr>
          <w:rFonts w:ascii="Times New Roman" w:hAnsi="Times New Roman"/>
          <w:i/>
          <w:iCs/>
          <w:color w:val="000000"/>
          <w:sz w:val="24"/>
          <w:szCs w:val="24"/>
        </w:rPr>
        <w:t>Essalhine</w:t>
      </w:r>
      <w:r w:rsidRPr="003D73B8">
        <w:rPr>
          <w:rFonts w:ascii="Times New Roman" w:hAnsi="Times New Roman"/>
          <w:color w:val="000000"/>
          <w:sz w:val="24"/>
          <w:szCs w:val="24"/>
        </w:rPr>
        <w:t xml:space="preserve"> (</w:t>
      </w:r>
      <w:r w:rsidRPr="003D73B8">
        <w:rPr>
          <w:rFonts w:ascii="Times New Roman" w:hAnsi="Times New Roman"/>
          <w:i/>
          <w:iCs/>
          <w:color w:val="000000"/>
          <w:sz w:val="24"/>
          <w:szCs w:val="24"/>
        </w:rPr>
        <w:t>Le porteur d’eau et les marabouts</w:t>
      </w:r>
      <w:r w:rsidRPr="003D73B8">
        <w:rPr>
          <w:rFonts w:ascii="Times New Roman" w:hAnsi="Times New Roman"/>
          <w:color w:val="000000"/>
          <w:sz w:val="24"/>
          <w:szCs w:val="24"/>
        </w:rPr>
        <w:t xml:space="preserve">), </w:t>
      </w:r>
      <w:r w:rsidRPr="003D73B8">
        <w:rPr>
          <w:rFonts w:ascii="Times New Roman" w:hAnsi="Times New Roman"/>
          <w:i/>
          <w:iCs/>
          <w:color w:val="000000"/>
          <w:sz w:val="24"/>
          <w:szCs w:val="24"/>
        </w:rPr>
        <w:t>Koul Wahed Wa</w:t>
      </w:r>
      <w:r w:rsidRPr="003D73B8">
        <w:rPr>
          <w:rFonts w:ascii="Times New Roman" w:hAnsi="Times New Roman"/>
          <w:color w:val="000000"/>
          <w:sz w:val="24"/>
          <w:szCs w:val="24"/>
        </w:rPr>
        <w:t xml:space="preserve"> </w:t>
      </w:r>
      <w:r w:rsidRPr="003D73B8">
        <w:rPr>
          <w:rFonts w:ascii="Times New Roman" w:hAnsi="Times New Roman"/>
          <w:i/>
          <w:iCs/>
          <w:color w:val="000000"/>
          <w:sz w:val="24"/>
          <w:szCs w:val="24"/>
        </w:rPr>
        <w:t>Houkmou</w:t>
      </w:r>
      <w:r w:rsidRPr="003D73B8">
        <w:rPr>
          <w:rFonts w:ascii="Times New Roman" w:hAnsi="Times New Roman"/>
          <w:color w:val="000000"/>
          <w:sz w:val="24"/>
          <w:szCs w:val="24"/>
        </w:rPr>
        <w:t xml:space="preserve"> (</w:t>
      </w:r>
      <w:r w:rsidRPr="003D73B8">
        <w:rPr>
          <w:rFonts w:ascii="Times New Roman" w:hAnsi="Times New Roman"/>
          <w:i/>
          <w:iCs/>
          <w:color w:val="000000"/>
          <w:sz w:val="24"/>
          <w:szCs w:val="24"/>
        </w:rPr>
        <w:t>A chacun sa justice</w:t>
      </w:r>
      <w:r w:rsidRPr="003D73B8">
        <w:rPr>
          <w:rFonts w:ascii="Times New Roman" w:hAnsi="Times New Roman"/>
          <w:color w:val="000000"/>
          <w:sz w:val="24"/>
          <w:szCs w:val="24"/>
        </w:rPr>
        <w:t xml:space="preserve">) et </w:t>
      </w:r>
      <w:r w:rsidRPr="003D73B8">
        <w:rPr>
          <w:rFonts w:ascii="Times New Roman" w:hAnsi="Times New Roman"/>
          <w:i/>
          <w:iCs/>
          <w:color w:val="000000"/>
          <w:sz w:val="24"/>
          <w:szCs w:val="24"/>
        </w:rPr>
        <w:t>Béni kelboune</w:t>
      </w:r>
      <w:r w:rsidR="008C21F8" w:rsidRPr="003D73B8">
        <w:rPr>
          <w:rFonts w:ascii="Times New Roman" w:hAnsi="Times New Roman"/>
          <w:i/>
          <w:iCs/>
          <w:color w:val="000000"/>
          <w:sz w:val="24"/>
          <w:szCs w:val="24"/>
        </w:rPr>
        <w:t xml:space="preserve">. </w:t>
      </w:r>
      <w:r w:rsidRPr="003D73B8">
        <w:rPr>
          <w:rFonts w:ascii="Times New Roman" w:hAnsi="Times New Roman"/>
          <w:color w:val="000000"/>
          <w:sz w:val="24"/>
          <w:szCs w:val="24"/>
        </w:rPr>
        <w:t>Globalement, l’approche metanarrative de Kaki</w:t>
      </w:r>
      <w:r w:rsidRPr="003B00C8">
        <w:rPr>
          <w:rFonts w:ascii="Times New Roman" w:hAnsi="Times New Roman"/>
          <w:color w:val="000000"/>
          <w:sz w:val="24"/>
          <w:szCs w:val="24"/>
        </w:rPr>
        <w:t>, dramaturge et metteur en scène, épouse plusieurs méthodes :</w:t>
      </w:r>
    </w:p>
    <w:p w:rsidR="006A4EED" w:rsidRPr="003B00C8" w:rsidRDefault="006A4EED" w:rsidP="003D73B8">
      <w:pPr>
        <w:pStyle w:val="Paragraphedeliste"/>
        <w:numPr>
          <w:ilvl w:val="0"/>
          <w:numId w:val="34"/>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Exploiter les formes dramatiques populaires qui finissent par constituer le substrat qui leur donnait la possibilité d’« </w:t>
      </w:r>
      <w:r w:rsidRPr="003B00C8">
        <w:rPr>
          <w:rFonts w:ascii="Times New Roman" w:hAnsi="Times New Roman"/>
          <w:i/>
          <w:iCs/>
          <w:color w:val="000000"/>
          <w:sz w:val="24"/>
          <w:szCs w:val="24"/>
        </w:rPr>
        <w:t>habiller</w:t>
      </w:r>
      <w:r w:rsidRPr="003B00C8">
        <w:rPr>
          <w:rFonts w:ascii="Times New Roman" w:hAnsi="Times New Roman"/>
          <w:color w:val="000000"/>
          <w:sz w:val="24"/>
          <w:szCs w:val="24"/>
        </w:rPr>
        <w:t xml:space="preserve"> » la structure scénique, </w:t>
      </w:r>
    </w:p>
    <w:p w:rsidR="006A4EED" w:rsidRPr="00265D2A" w:rsidRDefault="006A4EED" w:rsidP="00230C65">
      <w:pPr>
        <w:pStyle w:val="Paragraphedeliste"/>
        <w:numPr>
          <w:ilvl w:val="0"/>
          <w:numId w:val="34"/>
        </w:numPr>
        <w:autoSpaceDE w:val="0"/>
        <w:autoSpaceDN w:val="0"/>
        <w:adjustRightInd w:val="0"/>
        <w:spacing w:after="0" w:line="360" w:lineRule="auto"/>
        <w:jc w:val="both"/>
        <w:rPr>
          <w:rFonts w:ascii="Times New Roman" w:hAnsi="Times New Roman"/>
          <w:color w:val="000000"/>
          <w:sz w:val="24"/>
          <w:szCs w:val="24"/>
        </w:rPr>
      </w:pPr>
      <w:r w:rsidRPr="003B00C8">
        <w:rPr>
          <w:rFonts w:ascii="Times New Roman" w:hAnsi="Times New Roman"/>
          <w:color w:val="000000"/>
          <w:sz w:val="24"/>
          <w:szCs w:val="24"/>
        </w:rPr>
        <w:t xml:space="preserve">Se jouer de l’Histoire et s’en servir pour articuler, souvent, le discours théâtral : Histoire et histoire(s) se confondaient, s’interpénétraient et s’entrechoquaient. </w:t>
      </w:r>
      <w:r w:rsidRPr="00265D2A">
        <w:rPr>
          <w:rFonts w:ascii="Times New Roman" w:hAnsi="Times New Roman"/>
          <w:color w:val="000000"/>
          <w:sz w:val="24"/>
          <w:szCs w:val="24"/>
        </w:rPr>
        <w:t>L’Histoire, une fois sur scène, se transforme en un lieu d’illustration d’un discours politique et social</w:t>
      </w:r>
    </w:p>
    <w:p w:rsidR="006A4EED" w:rsidRPr="00265D2A" w:rsidRDefault="006A4EED" w:rsidP="00230C65">
      <w:pPr>
        <w:pStyle w:val="Paragraphedeliste"/>
        <w:numPr>
          <w:ilvl w:val="0"/>
          <w:numId w:val="34"/>
        </w:numPr>
        <w:autoSpaceDE w:val="0"/>
        <w:autoSpaceDN w:val="0"/>
        <w:adjustRightInd w:val="0"/>
        <w:spacing w:after="0" w:line="360" w:lineRule="auto"/>
        <w:jc w:val="both"/>
        <w:rPr>
          <w:rFonts w:ascii="Times New Roman" w:hAnsi="Times New Roman"/>
          <w:color w:val="000000"/>
          <w:sz w:val="24"/>
          <w:szCs w:val="24"/>
        </w:rPr>
      </w:pPr>
      <w:r w:rsidRPr="00265D2A">
        <w:rPr>
          <w:rFonts w:ascii="Times New Roman" w:hAnsi="Times New Roman"/>
          <w:color w:val="000000"/>
          <w:sz w:val="24"/>
          <w:szCs w:val="24"/>
        </w:rPr>
        <w:t>Choisir soigneusement le thème abordé, de façon à produire des constructions qui limitent considérablement le propos des personnages et les réduits à l’état de simples marionnettes et condamnés à porter un discours exogène</w:t>
      </w:r>
    </w:p>
    <w:p w:rsidR="006A4EED" w:rsidRPr="003B00C8" w:rsidRDefault="006A4EED" w:rsidP="00265D2A">
      <w:pPr>
        <w:spacing w:after="0" w:line="360" w:lineRule="auto"/>
        <w:ind w:firstLine="284"/>
        <w:jc w:val="both"/>
        <w:rPr>
          <w:rFonts w:ascii="Times New Roman" w:hAnsi="Times New Roman"/>
          <w:bCs/>
          <w:iCs/>
          <w:color w:val="000000"/>
          <w:sz w:val="24"/>
          <w:szCs w:val="24"/>
        </w:rPr>
      </w:pPr>
      <w:r w:rsidRPr="003B00C8">
        <w:rPr>
          <w:rFonts w:ascii="Times New Roman" w:hAnsi="Times New Roman"/>
          <w:color w:val="000000"/>
          <w:sz w:val="24"/>
          <w:szCs w:val="24"/>
        </w:rPr>
        <w:t xml:space="preserve">Pour en venir donc précisément à l’œuvre </w:t>
      </w:r>
      <w:r w:rsidRPr="00265D2A">
        <w:rPr>
          <w:rFonts w:ascii="Times New Roman" w:hAnsi="Times New Roman"/>
          <w:i/>
          <w:iCs/>
          <w:color w:val="000000"/>
          <w:sz w:val="24"/>
          <w:szCs w:val="24"/>
        </w:rPr>
        <w:t>Le porteur d’eau et les marabouts</w:t>
      </w:r>
      <w:r w:rsidRPr="003B00C8">
        <w:rPr>
          <w:rFonts w:ascii="Times New Roman" w:hAnsi="Times New Roman"/>
          <w:bCs/>
          <w:iCs/>
          <w:color w:val="000000"/>
          <w:sz w:val="24"/>
          <w:szCs w:val="24"/>
        </w:rPr>
        <w:t xml:space="preserve"> et au rôle du personnage principal, Slimane, dans la metanarration, nous allons mettre en lumière plusieurs aspects dignes d’intérêt :</w:t>
      </w:r>
    </w:p>
    <w:p w:rsidR="00265D2A" w:rsidRDefault="00265D2A" w:rsidP="00265D2A">
      <w:pPr>
        <w:pStyle w:val="Titre5"/>
        <w:spacing w:before="0" w:after="0"/>
        <w:ind w:left="641" w:hanging="357"/>
        <w:jc w:val="both"/>
        <w:rPr>
          <w:rFonts w:ascii="Times New Roman" w:hAnsi="Times New Roman"/>
          <w:color w:val="auto"/>
        </w:rPr>
      </w:pPr>
    </w:p>
    <w:p w:rsidR="006A4EED" w:rsidRPr="00265D2A" w:rsidRDefault="00265D2A" w:rsidP="00265D2A">
      <w:pPr>
        <w:pStyle w:val="Titre5"/>
        <w:spacing w:before="0" w:after="0"/>
        <w:ind w:left="641" w:hanging="357"/>
        <w:jc w:val="both"/>
        <w:rPr>
          <w:rFonts w:ascii="Times New Roman" w:hAnsi="Times New Roman"/>
          <w:color w:val="auto"/>
        </w:rPr>
      </w:pPr>
      <w:bookmarkStart w:id="137" w:name="_Toc471484507"/>
      <w:r w:rsidRPr="00265D2A">
        <w:rPr>
          <w:rFonts w:ascii="Times New Roman" w:hAnsi="Times New Roman"/>
          <w:color w:val="auto"/>
        </w:rPr>
        <w:t>4.1.1. Slimane</w:t>
      </w:r>
      <w:r w:rsidR="006A4EED" w:rsidRPr="00265D2A">
        <w:rPr>
          <w:rFonts w:ascii="Times New Roman" w:hAnsi="Times New Roman"/>
          <w:color w:val="auto"/>
        </w:rPr>
        <w:t xml:space="preserve"> et la démystification du charlatanisme fanatique et de l’obscurantisme</w:t>
      </w:r>
      <w:bookmarkEnd w:id="137"/>
    </w:p>
    <w:p w:rsidR="006A4EED" w:rsidRPr="003B00C8" w:rsidRDefault="006A4EED" w:rsidP="00265D2A">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Parti d’une légende populaire, Kaki tente de reformuler la problématique du bien, un thème abordé par le dramaturge Allemand Bertold Brecht, dans "La bonne âme de Se Tchouan" dont la pièce s’inspire. G.M. "La voix de l’Oranie" juillet 2002. Le personnage Slimane raconte trois marabouts, différents des marabouts connus. Ce sont des marabouts vertueux. Associés à des anges, envoyés de Dieu. A mille lieux donc des charlatans connus et autres habituels diseurs de bonne aventure. Les marabouts vertueux ne viennent pas faire peur à l’Homme, ils viennent le rassurer. Ils ne sont pas là pour avilir, obscurcir, ni enfermer l’esprit. Mais bien pour le libérer et l’élever vers la Lumière du très Haut. On dira qu’ils ne se préoccupent pas tellement de dogmes, de contraintes idéologiques ou de célébrations incontournables. Tels que racontés par Slimane, ils sont au dessus de </w:t>
      </w:r>
      <w:r w:rsidRPr="003B00C8">
        <w:rPr>
          <w:rFonts w:ascii="Times New Roman" w:hAnsi="Times New Roman"/>
          <w:color w:val="000000"/>
          <w:sz w:val="24"/>
          <w:szCs w:val="24"/>
        </w:rPr>
        <w:lastRenderedPageBreak/>
        <w:t xml:space="preserve">ces querelles. La foi avec comme corollaire le bien c’est cela le leitmotiv de ses anges. </w:t>
      </w:r>
    </w:p>
    <w:p w:rsidR="006A4EED" w:rsidRPr="003B00C8" w:rsidRDefault="006A4EED" w:rsidP="00265D2A">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 xml:space="preserve">Finalement l’œuvre de Kaki souligne la distance qui se creuse entre la religion et le bien. D’une affligeante actualité, cette posture rejette les entreprises criminelles visant à imposer la religion à l’Homme sous le voile du fanatisme, de l’intégrisme ou de l’obscurantisme religieux. Avec </w:t>
      </w:r>
      <w:r w:rsidRPr="003B00C8">
        <w:rPr>
          <w:rFonts w:ascii="Times New Roman" w:hAnsi="Times New Roman"/>
          <w:i/>
          <w:color w:val="000000"/>
          <w:sz w:val="24"/>
          <w:szCs w:val="24"/>
        </w:rPr>
        <w:t>Le porteur d’eau et les marabouts</w:t>
      </w:r>
      <w:r w:rsidRPr="003B00C8">
        <w:rPr>
          <w:rFonts w:ascii="Times New Roman" w:hAnsi="Times New Roman"/>
          <w:color w:val="000000"/>
          <w:sz w:val="24"/>
          <w:szCs w:val="24"/>
        </w:rPr>
        <w:t>, Kaki revendiquait donc déjà, pour l’Homme, le droit de croire, de vivre sa religion de façon humaine et non contrainte. Avec Slimane et sa narration, Kaki finit, indirectement,  par poser un précepte : aimer Dieu, croire en Dieu, c’est faire le bien. Faire le bien : une entreprise aux apparences simples mais donc la difficulté pour l’homme reste majeure, comme le constate Slimane. Mais faire le bien (pour l’homme, avec l’homme, mais jamais contre l’homme) est bel et bien le chemin à suivre, loin de tout obscurantisme et de toute méchanceté au nom de Dieu.</w:t>
      </w:r>
    </w:p>
    <w:p w:rsidR="007172D4" w:rsidRDefault="007172D4" w:rsidP="007172D4">
      <w:pPr>
        <w:pStyle w:val="Titre5"/>
        <w:spacing w:before="0" w:after="0"/>
        <w:ind w:firstLine="284"/>
        <w:jc w:val="both"/>
        <w:rPr>
          <w:rFonts w:ascii="Times New Roman" w:hAnsi="Times New Roman"/>
          <w:color w:val="auto"/>
        </w:rPr>
      </w:pPr>
    </w:p>
    <w:p w:rsidR="006A4EED" w:rsidRPr="007172D4" w:rsidRDefault="007172D4" w:rsidP="007172D4">
      <w:pPr>
        <w:pStyle w:val="Titre5"/>
        <w:spacing w:before="0" w:after="0"/>
        <w:ind w:left="641" w:hanging="357"/>
        <w:jc w:val="both"/>
        <w:rPr>
          <w:rFonts w:ascii="Times New Roman" w:hAnsi="Times New Roman"/>
          <w:color w:val="auto"/>
        </w:rPr>
      </w:pPr>
      <w:bookmarkStart w:id="138" w:name="_Toc471484508"/>
      <w:r w:rsidRPr="007172D4">
        <w:rPr>
          <w:rFonts w:ascii="Times New Roman" w:hAnsi="Times New Roman"/>
          <w:color w:val="auto"/>
        </w:rPr>
        <w:t>4.1.2. Slimane</w:t>
      </w:r>
      <w:r w:rsidR="006A4EED" w:rsidRPr="007172D4">
        <w:rPr>
          <w:rFonts w:ascii="Times New Roman" w:hAnsi="Times New Roman"/>
          <w:color w:val="auto"/>
        </w:rPr>
        <w:t xml:space="preserve"> comme outil de la critique universelle</w:t>
      </w:r>
      <w:bookmarkEnd w:id="138"/>
    </w:p>
    <w:p w:rsidR="006A4EED" w:rsidRPr="007172D4" w:rsidRDefault="006A4EED" w:rsidP="007172D4">
      <w:pPr>
        <w:spacing w:after="0" w:line="360" w:lineRule="auto"/>
        <w:ind w:firstLine="284"/>
        <w:jc w:val="both"/>
        <w:rPr>
          <w:rFonts w:asciiTheme="majorBidi" w:hAnsiTheme="majorBidi" w:cstheme="majorBidi"/>
          <w:sz w:val="24"/>
          <w:szCs w:val="24"/>
        </w:rPr>
      </w:pPr>
      <w:r w:rsidRPr="003B00C8">
        <w:rPr>
          <w:rFonts w:ascii="Times New Roman" w:hAnsi="Times New Roman"/>
          <w:color w:val="000000"/>
          <w:sz w:val="24"/>
          <w:szCs w:val="24"/>
        </w:rPr>
        <w:t xml:space="preserve">Dans </w:t>
      </w:r>
      <w:r w:rsidRPr="003B00C8">
        <w:rPr>
          <w:rFonts w:ascii="Times New Roman" w:hAnsi="Times New Roman"/>
          <w:i/>
          <w:iCs/>
          <w:color w:val="000000"/>
          <w:sz w:val="24"/>
          <w:szCs w:val="24"/>
        </w:rPr>
        <w:t>Le porteur d'eau et les marabouts</w:t>
      </w:r>
      <w:r w:rsidRPr="003B00C8">
        <w:rPr>
          <w:rFonts w:ascii="Times New Roman" w:hAnsi="Times New Roman"/>
          <w:color w:val="000000"/>
          <w:sz w:val="24"/>
          <w:szCs w:val="24"/>
        </w:rPr>
        <w:t xml:space="preserve"> le génie dramaturgique de Kaki éclate tout particulièrement et offre clairement à lire sa conception du théâtre. Il s’agit pour Baffet d’un théâtre original qui propose </w:t>
      </w:r>
      <w:r w:rsidRPr="007172D4">
        <w:rPr>
          <w:rFonts w:asciiTheme="majorBidi" w:hAnsiTheme="majorBidi" w:cstheme="majorBidi"/>
          <w:color w:val="000000"/>
          <w:sz w:val="24"/>
          <w:szCs w:val="24"/>
        </w:rPr>
        <w:t xml:space="preserve">: </w:t>
      </w:r>
      <w:r w:rsidR="007172D4" w:rsidRPr="007172D4">
        <w:rPr>
          <w:rFonts w:asciiTheme="majorBidi" w:hAnsiTheme="majorBidi" w:cstheme="majorBidi"/>
          <w:color w:val="000000"/>
          <w:sz w:val="24"/>
          <w:szCs w:val="24"/>
        </w:rPr>
        <w:t>« </w:t>
      </w:r>
      <w:r w:rsidRPr="007172D4">
        <w:rPr>
          <w:rFonts w:asciiTheme="majorBidi" w:hAnsiTheme="majorBidi" w:cstheme="majorBidi"/>
          <w:sz w:val="24"/>
          <w:szCs w:val="24"/>
        </w:rPr>
        <w:t>une histoire où le réel est soumis à une critique d'une grande lucidité et, souvent, d'une grande férocité et où le merveilleux fait des incursions "naturelles", non pas pour rendre le spectacle plus divertissant, mais pour donner au propos la force et l'étendue d'une critique universelle</w:t>
      </w:r>
      <w:r w:rsidR="007172D4">
        <w:rPr>
          <w:rFonts w:asciiTheme="majorBidi" w:hAnsiTheme="majorBidi" w:cstheme="majorBidi"/>
          <w:sz w:val="24"/>
          <w:szCs w:val="24"/>
        </w:rPr>
        <w:t> »</w:t>
      </w:r>
      <w:r w:rsidRPr="007172D4">
        <w:rPr>
          <w:rFonts w:asciiTheme="majorBidi" w:hAnsiTheme="majorBidi" w:cstheme="majorBidi"/>
          <w:sz w:val="24"/>
          <w:szCs w:val="24"/>
        </w:rPr>
        <w:t>.</w:t>
      </w:r>
      <w:r w:rsidR="007172D4">
        <w:rPr>
          <w:rFonts w:asciiTheme="majorBidi" w:hAnsiTheme="majorBidi" w:cstheme="majorBidi"/>
          <w:sz w:val="24"/>
          <w:szCs w:val="24"/>
        </w:rPr>
        <w:t xml:space="preserve"> (</w:t>
      </w:r>
      <w:r w:rsidR="007172D4" w:rsidRPr="00374391">
        <w:rPr>
          <w:rFonts w:ascii="Times New Roman" w:hAnsi="Times New Roman"/>
        </w:rPr>
        <w:t>R</w:t>
      </w:r>
      <w:r w:rsidR="007172D4">
        <w:rPr>
          <w:rFonts w:ascii="Times New Roman" w:hAnsi="Times New Roman"/>
        </w:rPr>
        <w:t xml:space="preserve">. </w:t>
      </w:r>
      <w:r w:rsidR="007172D4" w:rsidRPr="00982BAF">
        <w:rPr>
          <w:rFonts w:ascii="Times New Roman" w:hAnsi="Times New Roman"/>
        </w:rPr>
        <w:t>B</w:t>
      </w:r>
      <w:r w:rsidR="007172D4">
        <w:rPr>
          <w:rFonts w:ascii="Times New Roman" w:hAnsi="Times New Roman"/>
        </w:rPr>
        <w:t>affet, 1985, p.220).</w:t>
      </w:r>
    </w:p>
    <w:p w:rsidR="006A4EED" w:rsidRDefault="006A4EED" w:rsidP="007172D4">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Une pièce de théâtre, c’est donc aussi pour Kaki une analyse subtile et nuancée de la société, de ses contradictions et de ses problèmes, analyse menée généralement sur le mode d'une critique sans concessions certes, mais jamais lisible qu’au second degré, entre les lignes. Pas de discours moralisateur direct (trop présent encore dans la culture arabo-islamique) mais plutôt une prise de position à peine exprimée, laquelle s’interprète au fil du conte de façon aussi fine qu’innocente.</w:t>
      </w:r>
    </w:p>
    <w:p w:rsidR="005B495F" w:rsidRPr="003B00C8" w:rsidRDefault="005B495F" w:rsidP="00C14AA4">
      <w:pPr>
        <w:spacing w:after="0" w:line="360" w:lineRule="auto"/>
        <w:jc w:val="both"/>
        <w:rPr>
          <w:rFonts w:ascii="Times New Roman" w:hAnsi="Times New Roman"/>
          <w:color w:val="000000"/>
          <w:sz w:val="24"/>
          <w:szCs w:val="24"/>
        </w:rPr>
      </w:pPr>
    </w:p>
    <w:p w:rsidR="006A4EED" w:rsidRPr="008A520F" w:rsidRDefault="007172D4" w:rsidP="007172D4">
      <w:pPr>
        <w:pStyle w:val="Titre4"/>
        <w:spacing w:before="0" w:after="0" w:line="360" w:lineRule="auto"/>
        <w:ind w:left="641" w:hanging="357"/>
        <w:jc w:val="both"/>
        <w:rPr>
          <w:rFonts w:ascii="Times New Roman" w:hAnsi="Times New Roman"/>
          <w:i w:val="0"/>
          <w:iCs/>
          <w:lang w:eastAsia="fr-FR"/>
        </w:rPr>
      </w:pPr>
      <w:bookmarkStart w:id="139" w:name="_Toc471484509"/>
      <w:r>
        <w:rPr>
          <w:rFonts w:ascii="Times New Roman" w:hAnsi="Times New Roman"/>
          <w:i w:val="0"/>
          <w:iCs/>
          <w:lang w:eastAsia="fr-FR"/>
        </w:rPr>
        <w:lastRenderedPageBreak/>
        <w:t>4.2.</w:t>
      </w:r>
      <w:r w:rsidRPr="008A520F">
        <w:rPr>
          <w:rFonts w:ascii="Times New Roman" w:hAnsi="Times New Roman"/>
          <w:i w:val="0"/>
          <w:iCs/>
          <w:lang w:eastAsia="fr-FR"/>
        </w:rPr>
        <w:t xml:space="preserve"> Chez</w:t>
      </w:r>
      <w:r w:rsidR="006A4EED" w:rsidRPr="008A520F">
        <w:rPr>
          <w:rFonts w:ascii="Times New Roman" w:hAnsi="Times New Roman"/>
          <w:i w:val="0"/>
          <w:iCs/>
          <w:lang w:eastAsia="fr-FR"/>
        </w:rPr>
        <w:t xml:space="preserve"> Bara</w:t>
      </w:r>
      <w:r w:rsidR="008C21F8">
        <w:rPr>
          <w:rFonts w:ascii="Times New Roman" w:hAnsi="Times New Roman"/>
          <w:i w:val="0"/>
          <w:iCs/>
          <w:lang w:eastAsia="fr-FR"/>
        </w:rPr>
        <w:t>b</w:t>
      </w:r>
      <w:r w:rsidR="006A4EED" w:rsidRPr="008A520F">
        <w:rPr>
          <w:rFonts w:ascii="Times New Roman" w:hAnsi="Times New Roman"/>
          <w:i w:val="0"/>
          <w:iCs/>
          <w:lang w:eastAsia="fr-FR"/>
        </w:rPr>
        <w:t>bas de Ghelderode</w:t>
      </w:r>
      <w:bookmarkEnd w:id="139"/>
    </w:p>
    <w:p w:rsidR="006A4EED" w:rsidRPr="003B00C8" w:rsidRDefault="006A4EED" w:rsidP="007172D4">
      <w:pPr>
        <w:spacing w:after="0" w:line="360" w:lineRule="auto"/>
        <w:ind w:firstLine="284"/>
        <w:jc w:val="both"/>
        <w:rPr>
          <w:rFonts w:ascii="Times New Roman" w:hAnsi="Times New Roman"/>
          <w:color w:val="000000"/>
          <w:sz w:val="24"/>
          <w:szCs w:val="24"/>
        </w:rPr>
      </w:pPr>
      <w:r w:rsidRPr="003B00C8">
        <w:rPr>
          <w:rFonts w:ascii="Times New Roman" w:hAnsi="Times New Roman"/>
          <w:color w:val="000000"/>
          <w:sz w:val="24"/>
          <w:szCs w:val="24"/>
        </w:rPr>
        <w:t>Barabbas est un personnage riche en symboles, en images et en perspectives</w:t>
      </w:r>
      <w:r w:rsidR="007172D4">
        <w:rPr>
          <w:rFonts w:ascii="Times New Roman" w:hAnsi="Times New Roman"/>
          <w:color w:val="000000"/>
          <w:sz w:val="24"/>
          <w:szCs w:val="24"/>
        </w:rPr>
        <w:t xml:space="preserve"> </w:t>
      </w:r>
      <w:r w:rsidRPr="003B00C8">
        <w:rPr>
          <w:rFonts w:ascii="Times New Roman" w:hAnsi="Times New Roman"/>
          <w:color w:val="000000"/>
          <w:sz w:val="24"/>
          <w:szCs w:val="24"/>
        </w:rPr>
        <w:t xml:space="preserve">proposées. </w:t>
      </w:r>
    </w:p>
    <w:p w:rsidR="006A4EED" w:rsidRPr="00B044AD" w:rsidRDefault="00B044AD" w:rsidP="00B044AD">
      <w:pPr>
        <w:pStyle w:val="Titre5"/>
        <w:spacing w:before="0" w:after="0"/>
        <w:ind w:left="641" w:hanging="357"/>
        <w:jc w:val="both"/>
        <w:rPr>
          <w:rFonts w:ascii="Times New Roman" w:hAnsi="Times New Roman"/>
          <w:color w:val="auto"/>
        </w:rPr>
      </w:pPr>
      <w:bookmarkStart w:id="140" w:name="_Toc471484510"/>
      <w:r w:rsidRPr="00B044AD">
        <w:rPr>
          <w:rFonts w:ascii="Times New Roman" w:hAnsi="Times New Roman"/>
          <w:color w:val="auto"/>
        </w:rPr>
        <w:t>4.2.1. Barabbas</w:t>
      </w:r>
      <w:r w:rsidR="006A4EED" w:rsidRPr="00B044AD">
        <w:rPr>
          <w:rFonts w:ascii="Times New Roman" w:hAnsi="Times New Roman"/>
          <w:color w:val="auto"/>
        </w:rPr>
        <w:t>, symbolique de l’univers carcéral et anarchisme</w:t>
      </w:r>
      <w:bookmarkEnd w:id="140"/>
    </w:p>
    <w:p w:rsidR="006A4EED" w:rsidRPr="00B044AD" w:rsidRDefault="006A4EED" w:rsidP="00B044AD">
      <w:pPr>
        <w:spacing w:after="0" w:line="360" w:lineRule="auto"/>
        <w:ind w:firstLine="284"/>
        <w:jc w:val="both"/>
        <w:rPr>
          <w:rFonts w:asciiTheme="majorBidi" w:hAnsiTheme="majorBidi" w:cstheme="majorBidi"/>
          <w:i/>
          <w:sz w:val="24"/>
          <w:szCs w:val="24"/>
        </w:rPr>
      </w:pPr>
      <w:r w:rsidRPr="00B044AD">
        <w:rPr>
          <w:rFonts w:asciiTheme="majorBidi" w:hAnsiTheme="majorBidi" w:cstheme="majorBidi"/>
          <w:color w:val="000000"/>
          <w:sz w:val="24"/>
          <w:szCs w:val="24"/>
        </w:rPr>
        <w:t>Bara</w:t>
      </w:r>
      <w:r w:rsidR="008C21F8" w:rsidRPr="00B044AD">
        <w:rPr>
          <w:rFonts w:asciiTheme="majorBidi" w:hAnsiTheme="majorBidi" w:cstheme="majorBidi"/>
          <w:color w:val="000000"/>
          <w:sz w:val="24"/>
          <w:szCs w:val="24"/>
        </w:rPr>
        <w:t>b</w:t>
      </w:r>
      <w:r w:rsidRPr="00B044AD">
        <w:rPr>
          <w:rFonts w:asciiTheme="majorBidi" w:hAnsiTheme="majorBidi" w:cstheme="majorBidi"/>
          <w:color w:val="000000"/>
          <w:sz w:val="24"/>
          <w:szCs w:val="24"/>
        </w:rPr>
        <w:t xml:space="preserve">bas est le personnage par lequel le lecteur lit la symbolique de l’univers carcéral que peint le narrateur dans la pièce de théâtre. Il est influencé par la réalité carcérale empreinte de violence et qui </w:t>
      </w:r>
      <w:proofErr w:type="gramStart"/>
      <w:r w:rsidRPr="00B044AD">
        <w:rPr>
          <w:rFonts w:asciiTheme="majorBidi" w:hAnsiTheme="majorBidi" w:cstheme="majorBidi"/>
          <w:color w:val="000000"/>
          <w:sz w:val="24"/>
          <w:szCs w:val="24"/>
        </w:rPr>
        <w:t>a</w:t>
      </w:r>
      <w:proofErr w:type="gramEnd"/>
      <w:r w:rsidRPr="00B044AD">
        <w:rPr>
          <w:rFonts w:asciiTheme="majorBidi" w:hAnsiTheme="majorBidi" w:cstheme="majorBidi"/>
          <w:color w:val="000000"/>
          <w:sz w:val="24"/>
          <w:szCs w:val="24"/>
        </w:rPr>
        <w:t xml:space="preserve"> un tendance à détruire les obstacles pour s’évader, s’échapper, vers la liberté. Une symbolique matérialisée par exemple par l’extrait suivant mais dont les contours vont bien  au-delà de ces quelques mots prononcés : « </w:t>
      </w:r>
      <w:r w:rsidRPr="00B044AD">
        <w:rPr>
          <w:rFonts w:asciiTheme="majorBidi" w:hAnsiTheme="majorBidi" w:cstheme="majorBidi"/>
          <w:i/>
          <w:iCs/>
          <w:sz w:val="24"/>
          <w:szCs w:val="24"/>
        </w:rPr>
        <w:t>Camarades, en avant ! Ouvrez les portes des prisons ! Il n’y aura plus de pauvres. […] Et le Crucifié reviendra parmi nous, dans trois jours. Il sera notre roi. Allez ! Vive l’anarchie !</w:t>
      </w:r>
      <w:r w:rsidR="00B044AD">
        <w:rPr>
          <w:rFonts w:asciiTheme="majorBidi" w:hAnsiTheme="majorBidi" w:cstheme="majorBidi"/>
          <w:i/>
          <w:iCs/>
          <w:sz w:val="24"/>
          <w:szCs w:val="24"/>
        </w:rPr>
        <w:t> </w:t>
      </w:r>
      <w:r w:rsidR="00B044AD" w:rsidRPr="00B044AD">
        <w:rPr>
          <w:rFonts w:asciiTheme="majorBidi" w:hAnsiTheme="majorBidi" w:cstheme="majorBidi"/>
          <w:i/>
          <w:iCs/>
          <w:sz w:val="24"/>
          <w:szCs w:val="24"/>
        </w:rPr>
        <w:t xml:space="preserve">» </w:t>
      </w:r>
      <w:r w:rsidR="00B044AD" w:rsidRPr="00B044AD">
        <w:rPr>
          <w:rFonts w:asciiTheme="majorBidi" w:hAnsiTheme="majorBidi" w:cstheme="majorBidi"/>
          <w:sz w:val="24"/>
          <w:szCs w:val="24"/>
        </w:rPr>
        <w:t>(M</w:t>
      </w:r>
      <w:r w:rsidR="00B044AD" w:rsidRPr="00B044AD">
        <w:rPr>
          <w:rFonts w:asciiTheme="majorBidi" w:hAnsiTheme="majorBidi" w:cstheme="majorBidi"/>
          <w:sz w:val="24"/>
          <w:szCs w:val="24"/>
          <w:lang w:eastAsia="fr-FR"/>
        </w:rPr>
        <w:t>. De Ghelderode, 1984, p.126).</w:t>
      </w:r>
    </w:p>
    <w:p w:rsidR="006A4EED" w:rsidRPr="003B00C8" w:rsidRDefault="006A4EED" w:rsidP="006A4EED">
      <w:pPr>
        <w:spacing w:after="0" w:line="360" w:lineRule="auto"/>
        <w:rPr>
          <w:rFonts w:ascii="Times New Roman" w:hAnsi="Times New Roman"/>
          <w:color w:val="000000"/>
          <w:sz w:val="24"/>
          <w:szCs w:val="24"/>
        </w:rPr>
      </w:pPr>
    </w:p>
    <w:p w:rsidR="006A4EED" w:rsidRPr="00157C91" w:rsidRDefault="00157C91" w:rsidP="00157C91">
      <w:pPr>
        <w:pStyle w:val="Titre5"/>
        <w:spacing w:before="0" w:after="0"/>
        <w:ind w:left="641" w:hanging="357"/>
        <w:jc w:val="both"/>
        <w:rPr>
          <w:rFonts w:ascii="Times New Roman" w:hAnsi="Times New Roman"/>
          <w:color w:val="auto"/>
        </w:rPr>
      </w:pPr>
      <w:bookmarkStart w:id="141" w:name="_Toc471484511"/>
      <w:r w:rsidRPr="00157C91">
        <w:rPr>
          <w:rFonts w:ascii="Times New Roman" w:hAnsi="Times New Roman"/>
          <w:color w:val="auto"/>
        </w:rPr>
        <w:t>4.2.2. Barabbas</w:t>
      </w:r>
      <w:r w:rsidR="006A4EED" w:rsidRPr="00157C91">
        <w:rPr>
          <w:rFonts w:ascii="Times New Roman" w:hAnsi="Times New Roman"/>
          <w:color w:val="auto"/>
        </w:rPr>
        <w:t>, anticléricalisme et crise du rite sacrificiel</w:t>
      </w:r>
      <w:bookmarkEnd w:id="141"/>
    </w:p>
    <w:p w:rsidR="006A4EED" w:rsidRPr="00DD3122" w:rsidRDefault="006A4EED" w:rsidP="00DD3122">
      <w:pPr>
        <w:spacing w:after="0" w:line="360" w:lineRule="auto"/>
        <w:ind w:firstLine="284"/>
        <w:jc w:val="both"/>
        <w:rPr>
          <w:sz w:val="24"/>
          <w:szCs w:val="24"/>
        </w:rPr>
      </w:pPr>
      <w:r w:rsidRPr="00157C91">
        <w:rPr>
          <w:rFonts w:ascii="Times New Roman" w:hAnsi="Times New Roman"/>
          <w:color w:val="000000"/>
          <w:sz w:val="24"/>
          <w:szCs w:val="24"/>
        </w:rPr>
        <w:t>Barabbas est aussi le personnage délivré par la puissance de Jésus qui se conscientise et décide d’entreprendre une rébellion</w:t>
      </w:r>
      <w:r w:rsidRPr="00157C91">
        <w:rPr>
          <w:rFonts w:ascii="Times New Roman" w:hAnsi="Times New Roman"/>
          <w:sz w:val="24"/>
          <w:szCs w:val="24"/>
        </w:rPr>
        <w:t>. Mais l’assassinat de Barabbas, pas plus que celui de Jésus,  ne devient sacrificiel : poignardé la nuit, par derrière, Barabbas comme on l’a indiqué, réalise à son tour le caractère mensonger du sacrifice comme institution sociale, et de la création arbitraire d’un bouc émissaire. Il le lui déclare, en comparant sa mort avec la sienne : « </w:t>
      </w:r>
      <w:r w:rsidRPr="00157C91">
        <w:rPr>
          <w:rFonts w:ascii="Times New Roman" w:hAnsi="Times New Roman"/>
          <w:i/>
          <w:iCs/>
          <w:sz w:val="24"/>
          <w:szCs w:val="24"/>
        </w:rPr>
        <w:t>Hé ! Jésus ? Je saigne aussi. […] Mais toi, tu es mort pour quelque chose. Moi, je meurs pour rien. C’est quand même à cause de toi… pour toi… Jésus»</w:t>
      </w:r>
      <w:r w:rsidR="00DD3122">
        <w:rPr>
          <w:rFonts w:ascii="Times New Roman" w:hAnsi="Times New Roman"/>
          <w:i/>
          <w:iCs/>
          <w:sz w:val="24"/>
          <w:szCs w:val="24"/>
        </w:rPr>
        <w:t xml:space="preserve">. </w:t>
      </w:r>
      <w:r w:rsidR="00DD3122">
        <w:rPr>
          <w:rFonts w:ascii="Times New Roman" w:hAnsi="Times New Roman"/>
          <w:sz w:val="24"/>
          <w:szCs w:val="24"/>
        </w:rPr>
        <w:t xml:space="preserve"> (</w:t>
      </w:r>
      <w:r w:rsidR="00DD3122" w:rsidRPr="00DD3122">
        <w:rPr>
          <w:rFonts w:asciiTheme="majorBidi" w:hAnsiTheme="majorBidi" w:cstheme="majorBidi"/>
          <w:sz w:val="24"/>
          <w:szCs w:val="24"/>
        </w:rPr>
        <w:t>M</w:t>
      </w:r>
      <w:r w:rsidR="00DD3122" w:rsidRPr="00B044AD">
        <w:rPr>
          <w:rFonts w:asciiTheme="majorBidi" w:hAnsiTheme="majorBidi" w:cstheme="majorBidi"/>
          <w:sz w:val="24"/>
          <w:szCs w:val="24"/>
          <w:lang w:eastAsia="fr-FR"/>
        </w:rPr>
        <w:t>. De Ghelderode, 1984</w:t>
      </w:r>
      <w:r w:rsidR="00DD3122">
        <w:rPr>
          <w:rFonts w:asciiTheme="majorBidi" w:hAnsiTheme="majorBidi" w:cstheme="majorBidi"/>
          <w:sz w:val="24"/>
          <w:szCs w:val="24"/>
          <w:lang w:eastAsia="fr-FR"/>
        </w:rPr>
        <w:t>, p.128).</w:t>
      </w:r>
    </w:p>
    <w:p w:rsidR="006A4EED" w:rsidRPr="00387AA7" w:rsidRDefault="006A4EED" w:rsidP="00387AA7">
      <w:pPr>
        <w:spacing w:after="0" w:line="360" w:lineRule="auto"/>
        <w:ind w:firstLine="284"/>
        <w:jc w:val="both"/>
        <w:rPr>
          <w:rFonts w:ascii="Times New Roman" w:hAnsi="Times New Roman"/>
          <w:sz w:val="24"/>
          <w:szCs w:val="24"/>
        </w:rPr>
      </w:pPr>
      <w:r w:rsidRPr="00387AA7">
        <w:rPr>
          <w:rFonts w:ascii="Times New Roman" w:hAnsi="Times New Roman"/>
          <w:sz w:val="24"/>
          <w:szCs w:val="24"/>
        </w:rPr>
        <w:t xml:space="preserve">Et il meurt « </w:t>
      </w:r>
      <w:r w:rsidRPr="00387AA7">
        <w:rPr>
          <w:rFonts w:ascii="Times New Roman" w:hAnsi="Times New Roman"/>
          <w:i/>
          <w:sz w:val="24"/>
          <w:szCs w:val="24"/>
        </w:rPr>
        <w:t>en regardant vers le Calvaire</w:t>
      </w:r>
      <w:r w:rsidRPr="00387AA7">
        <w:rPr>
          <w:rFonts w:ascii="Times New Roman" w:hAnsi="Times New Roman"/>
          <w:sz w:val="24"/>
          <w:szCs w:val="24"/>
        </w:rPr>
        <w:t xml:space="preserve"> » – ce qui constitue les derniers mots de Barabbas.</w:t>
      </w:r>
    </w:p>
    <w:p w:rsidR="006A4EED" w:rsidRPr="00387AA7" w:rsidRDefault="006A4EED" w:rsidP="00387AA7">
      <w:pPr>
        <w:spacing w:after="0" w:line="360" w:lineRule="auto"/>
        <w:ind w:firstLine="284"/>
        <w:jc w:val="both"/>
        <w:rPr>
          <w:rFonts w:ascii="Times New Roman" w:hAnsi="Times New Roman"/>
          <w:sz w:val="24"/>
          <w:szCs w:val="24"/>
        </w:rPr>
      </w:pPr>
      <w:r w:rsidRPr="00387AA7">
        <w:rPr>
          <w:rFonts w:ascii="Times New Roman" w:hAnsi="Times New Roman"/>
          <w:sz w:val="24"/>
          <w:szCs w:val="24"/>
        </w:rPr>
        <w:t>Ce jeu rappelle et souligne à dessein l’anticléricalisme de Ghelderode, déjà mis en exergue par Beyen</w:t>
      </w:r>
      <w:r w:rsidRPr="00387AA7">
        <w:rPr>
          <w:rStyle w:val="Appelnotedebasdep"/>
          <w:rFonts w:ascii="Times New Roman" w:hAnsi="Times New Roman"/>
          <w:sz w:val="24"/>
          <w:szCs w:val="24"/>
        </w:rPr>
        <w:footnoteReference w:id="230"/>
      </w:r>
      <w:r w:rsidRPr="00387AA7">
        <w:rPr>
          <w:rFonts w:ascii="Times New Roman" w:hAnsi="Times New Roman"/>
          <w:sz w:val="24"/>
          <w:szCs w:val="24"/>
        </w:rPr>
        <w:t xml:space="preserve"> et qui du reste s’est déjà manifesté maintes fois dans des œuvres de Ghelderode, notamment sa pièce </w:t>
      </w:r>
      <w:r w:rsidRPr="00387AA7">
        <w:rPr>
          <w:rFonts w:ascii="Times New Roman" w:hAnsi="Times New Roman"/>
          <w:i/>
          <w:sz w:val="24"/>
          <w:szCs w:val="24"/>
        </w:rPr>
        <w:t xml:space="preserve">Fastes d’enfer </w:t>
      </w:r>
      <w:r w:rsidRPr="00387AA7">
        <w:rPr>
          <w:rFonts w:ascii="Times New Roman" w:hAnsi="Times New Roman"/>
          <w:sz w:val="24"/>
          <w:szCs w:val="24"/>
        </w:rPr>
        <w:t>qui,</w:t>
      </w:r>
      <w:r w:rsidRPr="00387AA7">
        <w:rPr>
          <w:rFonts w:ascii="Times New Roman" w:hAnsi="Times New Roman"/>
          <w:i/>
          <w:sz w:val="24"/>
          <w:szCs w:val="24"/>
        </w:rPr>
        <w:t xml:space="preserve"> </w:t>
      </w:r>
      <w:r w:rsidRPr="00387AA7">
        <w:rPr>
          <w:rFonts w:ascii="Times New Roman" w:hAnsi="Times New Roman"/>
          <w:sz w:val="24"/>
          <w:szCs w:val="24"/>
        </w:rPr>
        <w:t>en 1949, relatait la vie corrompue et pourrie d’un diocèse</w:t>
      </w:r>
      <w:r w:rsidRPr="00387AA7">
        <w:rPr>
          <w:rStyle w:val="Appelnotedebasdep"/>
          <w:rFonts w:ascii="Times New Roman" w:hAnsi="Times New Roman"/>
          <w:sz w:val="24"/>
          <w:szCs w:val="24"/>
        </w:rPr>
        <w:footnoteReference w:id="231"/>
      </w:r>
      <w:r w:rsidRPr="00387AA7">
        <w:rPr>
          <w:rFonts w:ascii="Times New Roman" w:hAnsi="Times New Roman"/>
          <w:sz w:val="24"/>
          <w:szCs w:val="24"/>
        </w:rPr>
        <w:t>.</w:t>
      </w:r>
    </w:p>
    <w:p w:rsidR="006A4EED" w:rsidRPr="00387AA7" w:rsidRDefault="006A4EED" w:rsidP="00387AA7">
      <w:pPr>
        <w:spacing w:after="0" w:line="360" w:lineRule="auto"/>
        <w:ind w:firstLine="284"/>
        <w:jc w:val="both"/>
        <w:rPr>
          <w:rFonts w:ascii="Times New Roman" w:hAnsi="Times New Roman"/>
          <w:sz w:val="24"/>
          <w:szCs w:val="24"/>
        </w:rPr>
      </w:pPr>
      <w:r w:rsidRPr="00387AA7">
        <w:rPr>
          <w:rFonts w:ascii="Times New Roman" w:hAnsi="Times New Roman"/>
          <w:sz w:val="24"/>
          <w:szCs w:val="24"/>
        </w:rPr>
        <w:lastRenderedPageBreak/>
        <w:t>En outre, des auteurs comme Michel Otten, spécialiste de Ghelderode, soulignent l’importance du rite sacrificiel dans l’œuvre ghelderodienne</w:t>
      </w:r>
      <w:r w:rsidRPr="00387AA7">
        <w:rPr>
          <w:rStyle w:val="Appelnotedebasdep"/>
          <w:rFonts w:ascii="Times New Roman" w:hAnsi="Times New Roman"/>
          <w:sz w:val="24"/>
          <w:szCs w:val="24"/>
        </w:rPr>
        <w:footnoteReference w:id="232"/>
      </w:r>
      <w:r w:rsidRPr="00387AA7">
        <w:rPr>
          <w:rFonts w:ascii="Times New Roman" w:hAnsi="Times New Roman"/>
          <w:sz w:val="24"/>
          <w:szCs w:val="24"/>
        </w:rPr>
        <w:t xml:space="preserve">. La plupart de ses grands drames sont basés sur le rapport du héros à la foule, comme dans la pièce </w:t>
      </w:r>
      <w:r w:rsidRPr="00387AA7">
        <w:rPr>
          <w:rFonts w:ascii="Times New Roman" w:hAnsi="Times New Roman"/>
          <w:i/>
          <w:iCs/>
          <w:sz w:val="24"/>
          <w:szCs w:val="24"/>
        </w:rPr>
        <w:t xml:space="preserve">Barabbas </w:t>
      </w:r>
      <w:r w:rsidRPr="00387AA7">
        <w:rPr>
          <w:rFonts w:ascii="Times New Roman" w:hAnsi="Times New Roman"/>
          <w:sz w:val="24"/>
          <w:szCs w:val="24"/>
        </w:rPr>
        <w:t xml:space="preserve">on peut voir chez Ghelderode la conviction que toute société repose sur un meurtre accompli en commun dont la victime peut être coupable ou innocente. Toutefois, Ghelderode, dans son théâtre, présente le sacrifice comme une institution en crise, avec pour preuve, par exemple la tendance au dédoublement des rôles du rite. Comme on l’a souligné, dans </w:t>
      </w:r>
      <w:r w:rsidRPr="00387AA7">
        <w:rPr>
          <w:rFonts w:ascii="Times New Roman" w:hAnsi="Times New Roman"/>
          <w:i/>
          <w:iCs/>
          <w:sz w:val="24"/>
          <w:szCs w:val="24"/>
        </w:rPr>
        <w:t xml:space="preserve">Barabbas </w:t>
      </w:r>
      <w:r w:rsidRPr="00387AA7">
        <w:rPr>
          <w:rFonts w:ascii="Times New Roman" w:hAnsi="Times New Roman"/>
          <w:sz w:val="24"/>
          <w:szCs w:val="24"/>
        </w:rPr>
        <w:t>il est clair que la mort de Barabbas est le double de la mort sacrificielle du Christ, et qu’il s’agit de deux personnages collectifs, aucun n’arrivant, cependant à offrir un sacrifice « suffisant »</w:t>
      </w:r>
    </w:p>
    <w:p w:rsidR="002A6AAA" w:rsidRDefault="002A6AAA" w:rsidP="00387AA7">
      <w:pPr>
        <w:pStyle w:val="Titre5"/>
        <w:spacing w:before="0" w:after="0"/>
        <w:ind w:left="641" w:hanging="357"/>
        <w:jc w:val="both"/>
        <w:rPr>
          <w:rFonts w:ascii="Times New Roman" w:hAnsi="Times New Roman"/>
          <w:color w:val="auto"/>
        </w:rPr>
      </w:pPr>
    </w:p>
    <w:p w:rsidR="006A4EED" w:rsidRPr="00387AA7" w:rsidRDefault="00387AA7" w:rsidP="00387AA7">
      <w:pPr>
        <w:pStyle w:val="Titre5"/>
        <w:spacing w:before="0" w:after="0"/>
        <w:ind w:left="641" w:hanging="357"/>
        <w:jc w:val="both"/>
        <w:rPr>
          <w:rFonts w:ascii="Times New Roman" w:hAnsi="Times New Roman"/>
          <w:color w:val="auto"/>
        </w:rPr>
      </w:pPr>
      <w:bookmarkStart w:id="142" w:name="_Toc471484512"/>
      <w:r w:rsidRPr="00387AA7">
        <w:rPr>
          <w:rFonts w:ascii="Times New Roman" w:hAnsi="Times New Roman"/>
          <w:color w:val="auto"/>
        </w:rPr>
        <w:t>4.2.3. Barabbas</w:t>
      </w:r>
      <w:r w:rsidR="006A4EED" w:rsidRPr="00387AA7">
        <w:rPr>
          <w:rFonts w:ascii="Times New Roman" w:hAnsi="Times New Roman"/>
          <w:color w:val="auto"/>
        </w:rPr>
        <w:t xml:space="preserve"> et la critique de la société (de l’entre-deux-guerres)</w:t>
      </w:r>
      <w:bookmarkEnd w:id="142"/>
    </w:p>
    <w:p w:rsidR="006A4EED" w:rsidRPr="00387AA7" w:rsidRDefault="006A4EED" w:rsidP="00387AA7">
      <w:pPr>
        <w:spacing w:after="0" w:line="360" w:lineRule="auto"/>
        <w:ind w:firstLine="284"/>
        <w:jc w:val="both"/>
        <w:rPr>
          <w:rFonts w:ascii="Times New Roman" w:hAnsi="Times New Roman"/>
          <w:sz w:val="24"/>
          <w:szCs w:val="24"/>
        </w:rPr>
      </w:pPr>
      <w:r w:rsidRPr="00387AA7">
        <w:rPr>
          <w:rFonts w:ascii="Times New Roman" w:hAnsi="Times New Roman"/>
          <w:sz w:val="24"/>
          <w:szCs w:val="24"/>
        </w:rPr>
        <w:t xml:space="preserve">C’est un thème assez classique vu par Michel de Ghelderode, en deux variantes. La réinterprétation moderne de la Passion dans </w:t>
      </w:r>
      <w:r w:rsidRPr="00387AA7">
        <w:rPr>
          <w:rFonts w:ascii="Times New Roman" w:hAnsi="Times New Roman"/>
          <w:i/>
          <w:iCs/>
          <w:sz w:val="24"/>
          <w:szCs w:val="24"/>
        </w:rPr>
        <w:t xml:space="preserve">Barabbas </w:t>
      </w:r>
      <w:r w:rsidRPr="00387AA7">
        <w:rPr>
          <w:rFonts w:ascii="Times New Roman" w:hAnsi="Times New Roman"/>
          <w:sz w:val="24"/>
          <w:szCs w:val="24"/>
        </w:rPr>
        <w:t>devient une critique sévère de la société de l’entre-deux-guerres. Ghelderode remonte aux sources, à notre héritage classique pour y trouver les réponses aux questions des années vingt, trente. À l’époque de différents mouvements révolutionnaires (en Chine par exemple), après la révolution russe de 1917, Ghelderode répond avec Barabbas que cela n’a pas de sens. Avec Bara</w:t>
      </w:r>
      <w:r w:rsidR="008C21F8" w:rsidRPr="00387AA7">
        <w:rPr>
          <w:rFonts w:ascii="Times New Roman" w:hAnsi="Times New Roman"/>
          <w:sz w:val="24"/>
          <w:szCs w:val="24"/>
        </w:rPr>
        <w:t>b</w:t>
      </w:r>
      <w:r w:rsidRPr="00387AA7">
        <w:rPr>
          <w:rFonts w:ascii="Times New Roman" w:hAnsi="Times New Roman"/>
          <w:sz w:val="24"/>
          <w:szCs w:val="24"/>
        </w:rPr>
        <w:t xml:space="preserve">bas, cette pièce de Ghelderode inspirée par la Bible, avec ce personnage tiré de la passion du Christ l’auteur </w:t>
      </w:r>
      <w:r w:rsidR="008C21F8" w:rsidRPr="00387AA7">
        <w:rPr>
          <w:rFonts w:ascii="Times New Roman" w:hAnsi="Times New Roman"/>
          <w:sz w:val="24"/>
          <w:szCs w:val="24"/>
        </w:rPr>
        <w:t>veut</w:t>
      </w:r>
      <w:r w:rsidRPr="00387AA7">
        <w:rPr>
          <w:rFonts w:ascii="Times New Roman" w:hAnsi="Times New Roman"/>
          <w:sz w:val="24"/>
          <w:szCs w:val="24"/>
        </w:rPr>
        <w:t xml:space="preserve"> </w:t>
      </w:r>
      <w:r w:rsidR="008C21F8" w:rsidRPr="00387AA7">
        <w:rPr>
          <w:rFonts w:ascii="Times New Roman" w:hAnsi="Times New Roman"/>
          <w:sz w:val="24"/>
          <w:szCs w:val="24"/>
        </w:rPr>
        <w:t>refléter</w:t>
      </w:r>
      <w:r w:rsidRPr="00387AA7">
        <w:rPr>
          <w:rFonts w:ascii="Times New Roman" w:hAnsi="Times New Roman"/>
          <w:sz w:val="24"/>
          <w:szCs w:val="24"/>
        </w:rPr>
        <w:t xml:space="preserve"> une certaine vision du monde, la vision noire et critique du monde restituée par Ghelderode</w:t>
      </w:r>
      <w:r w:rsidRPr="00387AA7">
        <w:rPr>
          <w:rStyle w:val="Appelnotedebasdep"/>
          <w:rFonts w:ascii="Times New Roman" w:hAnsi="Times New Roman"/>
          <w:sz w:val="24"/>
          <w:szCs w:val="24"/>
        </w:rPr>
        <w:footnoteReference w:id="233"/>
      </w:r>
      <w:r w:rsidRPr="00387AA7">
        <w:rPr>
          <w:rFonts w:ascii="Times New Roman" w:hAnsi="Times New Roman"/>
          <w:sz w:val="24"/>
          <w:szCs w:val="24"/>
        </w:rPr>
        <w:t xml:space="preserve">. </w:t>
      </w:r>
    </w:p>
    <w:p w:rsidR="006A4EED" w:rsidRPr="00387AA7" w:rsidRDefault="006A4EED" w:rsidP="00387AA7">
      <w:pPr>
        <w:spacing w:after="0" w:line="360" w:lineRule="auto"/>
        <w:ind w:firstLine="284"/>
        <w:jc w:val="both"/>
        <w:rPr>
          <w:rFonts w:ascii="Times New Roman" w:hAnsi="Times New Roman"/>
          <w:sz w:val="24"/>
          <w:szCs w:val="24"/>
        </w:rPr>
      </w:pPr>
      <w:r w:rsidRPr="00387AA7">
        <w:rPr>
          <w:rFonts w:ascii="Times New Roman" w:hAnsi="Times New Roman"/>
          <w:sz w:val="24"/>
          <w:szCs w:val="24"/>
        </w:rPr>
        <w:t>La Passion du Christ est finalement le meilleur sujet pour Ghelderode aussi afin qu’il puisse exprimer son fort désespoir et son mépris envers la société</w:t>
      </w:r>
    </w:p>
    <w:p w:rsidR="005B495F" w:rsidRPr="00387AA7" w:rsidRDefault="005B495F" w:rsidP="00387AA7">
      <w:pPr>
        <w:spacing w:after="0" w:line="360" w:lineRule="auto"/>
        <w:ind w:firstLine="284"/>
        <w:jc w:val="both"/>
        <w:rPr>
          <w:rFonts w:ascii="Times New Roman" w:hAnsi="Times New Roman"/>
          <w:sz w:val="24"/>
          <w:szCs w:val="24"/>
        </w:rPr>
      </w:pPr>
    </w:p>
    <w:p w:rsidR="005B495F" w:rsidRDefault="00387AA7" w:rsidP="00376422">
      <w:pPr>
        <w:pStyle w:val="Titre4"/>
        <w:spacing w:before="0" w:after="0" w:line="360" w:lineRule="auto"/>
        <w:ind w:left="641" w:hanging="357"/>
        <w:jc w:val="both"/>
        <w:rPr>
          <w:rFonts w:ascii="Times New Roman" w:hAnsi="Times New Roman"/>
          <w:i w:val="0"/>
          <w:iCs/>
          <w:lang w:eastAsia="fr-FR"/>
        </w:rPr>
      </w:pPr>
      <w:bookmarkStart w:id="143" w:name="_Toc471484513"/>
      <w:r>
        <w:rPr>
          <w:rFonts w:ascii="Times New Roman" w:hAnsi="Times New Roman"/>
          <w:i w:val="0"/>
          <w:iCs/>
          <w:lang w:eastAsia="fr-FR"/>
        </w:rPr>
        <w:t>4.3.</w:t>
      </w:r>
      <w:r w:rsidRPr="004F5262">
        <w:rPr>
          <w:rFonts w:ascii="Times New Roman" w:hAnsi="Times New Roman"/>
          <w:i w:val="0"/>
          <w:iCs/>
          <w:lang w:eastAsia="fr-FR"/>
        </w:rPr>
        <w:t xml:space="preserve"> </w:t>
      </w:r>
      <w:r w:rsidR="00376422">
        <w:rPr>
          <w:rFonts w:ascii="Times New Roman" w:hAnsi="Times New Roman"/>
          <w:i w:val="0"/>
          <w:iCs/>
          <w:lang w:eastAsia="fr-FR"/>
        </w:rPr>
        <w:t>Conclusion partielle</w:t>
      </w:r>
      <w:r w:rsidR="005B495F" w:rsidRPr="004F5262">
        <w:rPr>
          <w:rFonts w:ascii="Times New Roman" w:hAnsi="Times New Roman"/>
          <w:i w:val="0"/>
          <w:iCs/>
          <w:lang w:eastAsia="fr-FR"/>
        </w:rPr>
        <w:t xml:space="preserve"> de l’analyse narratologique dans les deux pièces</w:t>
      </w:r>
      <w:bookmarkEnd w:id="143"/>
    </w:p>
    <w:p w:rsidR="00376422" w:rsidRPr="00376422" w:rsidRDefault="00376422" w:rsidP="00376422">
      <w:pPr>
        <w:rPr>
          <w:sz w:val="2"/>
          <w:szCs w:val="2"/>
          <w:lang w:eastAsia="fr-FR"/>
        </w:rPr>
      </w:pPr>
    </w:p>
    <w:p w:rsidR="00376422" w:rsidRDefault="00CE232A" w:rsidP="00376422">
      <w:pPr>
        <w:pStyle w:val="Default"/>
        <w:spacing w:line="360" w:lineRule="auto"/>
        <w:ind w:firstLine="284"/>
        <w:jc w:val="both"/>
      </w:pPr>
      <w:r w:rsidRPr="004F5262">
        <w:t>Quels rapprochements</w:t>
      </w:r>
      <w:r w:rsidR="005B495F" w:rsidRPr="004F5262">
        <w:t xml:space="preserve"> narratologiques peut-on opérer</w:t>
      </w:r>
      <w:r w:rsidR="00376422">
        <w:t>,</w:t>
      </w:r>
      <w:r w:rsidR="00376422" w:rsidRPr="00376422">
        <w:t xml:space="preserve"> </w:t>
      </w:r>
      <w:r w:rsidR="00376422" w:rsidRPr="004F5262">
        <w:t>au final</w:t>
      </w:r>
      <w:r w:rsidR="00376422">
        <w:t>, comme synthèse</w:t>
      </w:r>
      <w:r w:rsidR="005B495F" w:rsidRPr="004F5262">
        <w:t xml:space="preserve"> entre les pièces examinées (Kaki et Ghelderode) ?  </w:t>
      </w:r>
    </w:p>
    <w:p w:rsidR="005B495F" w:rsidRPr="004F5262" w:rsidRDefault="005B495F" w:rsidP="00376422">
      <w:pPr>
        <w:pStyle w:val="Default"/>
        <w:spacing w:line="360" w:lineRule="auto"/>
        <w:ind w:firstLine="284"/>
        <w:jc w:val="both"/>
      </w:pPr>
      <w:r w:rsidRPr="004F5262">
        <w:lastRenderedPageBreak/>
        <w:t xml:space="preserve">Nous proposons ici une confrontation des œuvres sous forme de convergences et divergences et </w:t>
      </w:r>
      <w:r w:rsidR="00CE232A" w:rsidRPr="004F5262">
        <w:t xml:space="preserve">expliquons </w:t>
      </w:r>
      <w:r w:rsidRPr="004F5262">
        <w:t xml:space="preserve">comment ces procédés </w:t>
      </w:r>
      <w:r w:rsidR="00CE232A" w:rsidRPr="004F5262">
        <w:t xml:space="preserve">sont </w:t>
      </w:r>
      <w:r w:rsidR="00533CD2" w:rsidRPr="004F5262">
        <w:t>révélateurs</w:t>
      </w:r>
      <w:r w:rsidR="00CE232A" w:rsidRPr="004F5262">
        <w:t xml:space="preserve"> d’une certaine théâtralité.</w:t>
      </w:r>
    </w:p>
    <w:p w:rsidR="005B495F" w:rsidRPr="004F5262" w:rsidRDefault="00CE232A" w:rsidP="00387AA7">
      <w:pPr>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Chez </w:t>
      </w:r>
      <w:r w:rsidR="005B495F" w:rsidRPr="004F5262">
        <w:rPr>
          <w:rFonts w:ascii="Times New Roman" w:hAnsi="Times New Roman"/>
          <w:sz w:val="24"/>
          <w:szCs w:val="24"/>
        </w:rPr>
        <w:t>Kaki comme chez Ghelderode des éléments de synthèse</w:t>
      </w:r>
      <w:r w:rsidRPr="004F5262">
        <w:rPr>
          <w:rFonts w:ascii="Times New Roman" w:hAnsi="Times New Roman"/>
          <w:sz w:val="24"/>
          <w:szCs w:val="24"/>
        </w:rPr>
        <w:t xml:space="preserve"> se dégagent</w:t>
      </w:r>
      <w:r w:rsidR="005B495F" w:rsidRPr="004F5262">
        <w:rPr>
          <w:rFonts w:ascii="Times New Roman" w:hAnsi="Times New Roman"/>
          <w:sz w:val="24"/>
          <w:szCs w:val="24"/>
        </w:rPr>
        <w:t xml:space="preserve"> :</w:t>
      </w:r>
    </w:p>
    <w:p w:rsidR="005B495F" w:rsidRPr="004F5262" w:rsidRDefault="00CE232A" w:rsidP="00230C65">
      <w:pPr>
        <w:pStyle w:val="Paragraphedeliste"/>
        <w:numPr>
          <w:ilvl w:val="0"/>
          <w:numId w:val="40"/>
        </w:numPr>
        <w:spacing w:line="360" w:lineRule="auto"/>
        <w:jc w:val="both"/>
        <w:rPr>
          <w:rFonts w:ascii="Times New Roman" w:hAnsi="Times New Roman"/>
          <w:sz w:val="24"/>
          <w:szCs w:val="24"/>
        </w:rPr>
      </w:pPr>
      <w:r w:rsidRPr="004F5262">
        <w:rPr>
          <w:rFonts w:ascii="Times New Roman" w:hAnsi="Times New Roman"/>
          <w:sz w:val="24"/>
          <w:szCs w:val="24"/>
        </w:rPr>
        <w:t>Une permanence de l</w:t>
      </w:r>
      <w:r w:rsidR="005B495F" w:rsidRPr="004F5262">
        <w:rPr>
          <w:rFonts w:ascii="Times New Roman" w:hAnsi="Times New Roman"/>
          <w:sz w:val="24"/>
          <w:szCs w:val="24"/>
        </w:rPr>
        <w:t xml:space="preserve">a metadiégèse </w:t>
      </w:r>
      <w:r w:rsidRPr="004F5262">
        <w:rPr>
          <w:rFonts w:ascii="Times New Roman" w:hAnsi="Times New Roman"/>
          <w:sz w:val="24"/>
          <w:szCs w:val="24"/>
        </w:rPr>
        <w:t xml:space="preserve">qui </w:t>
      </w:r>
      <w:r w:rsidR="005B495F" w:rsidRPr="004F5262">
        <w:rPr>
          <w:rFonts w:ascii="Times New Roman" w:hAnsi="Times New Roman"/>
          <w:sz w:val="24"/>
          <w:szCs w:val="24"/>
        </w:rPr>
        <w:t>est bien présente chez l’un comme chez l’’autre. Chez Ghelderode, elle consacre un métathéâtre illustré par ce jeu dans le jeu de ces personnages bibliques affublés de tous les qualificatifs. Chez Kaki, elle se manifeste dans les différents niveaux de narration et le recours à des procédés narratifs hérités de la culture populaire et consacrant un jeu narratif hybride et pluriel.</w:t>
      </w:r>
    </w:p>
    <w:p w:rsidR="00533CD2" w:rsidRPr="004F5262" w:rsidRDefault="00CE232A" w:rsidP="00230C65">
      <w:pPr>
        <w:pStyle w:val="Paragraphedeliste"/>
        <w:numPr>
          <w:ilvl w:val="0"/>
          <w:numId w:val="40"/>
        </w:numPr>
        <w:spacing w:line="360" w:lineRule="auto"/>
        <w:jc w:val="both"/>
        <w:rPr>
          <w:rFonts w:ascii="Times New Roman" w:hAnsi="Times New Roman"/>
          <w:sz w:val="24"/>
          <w:szCs w:val="24"/>
        </w:rPr>
      </w:pPr>
      <w:r w:rsidRPr="004F5262">
        <w:rPr>
          <w:rFonts w:ascii="Times New Roman" w:hAnsi="Times New Roman"/>
          <w:sz w:val="24"/>
          <w:szCs w:val="24"/>
        </w:rPr>
        <w:t xml:space="preserve">Un dilemme autour de la langue. On a pu observer au fil des </w:t>
      </w:r>
      <w:r w:rsidR="007B484B" w:rsidRPr="004F5262">
        <w:rPr>
          <w:rFonts w:ascii="Times New Roman" w:hAnsi="Times New Roman"/>
          <w:sz w:val="24"/>
          <w:szCs w:val="24"/>
        </w:rPr>
        <w:t>scènes</w:t>
      </w:r>
      <w:r w:rsidRPr="004F5262">
        <w:rPr>
          <w:rFonts w:ascii="Times New Roman" w:hAnsi="Times New Roman"/>
          <w:sz w:val="24"/>
          <w:szCs w:val="24"/>
        </w:rPr>
        <w:t xml:space="preserve"> que les deux auteurs sont tiraillés entre plusieurs langues et leur narration en subit évidemment les incidences.</w:t>
      </w:r>
      <w:r w:rsidR="007B484B" w:rsidRPr="004F5262">
        <w:rPr>
          <w:rFonts w:ascii="Times New Roman" w:hAnsi="Times New Roman"/>
          <w:sz w:val="24"/>
          <w:szCs w:val="24"/>
        </w:rPr>
        <w:t xml:space="preserve"> </w:t>
      </w:r>
      <w:r w:rsidRPr="004F5262">
        <w:rPr>
          <w:rFonts w:ascii="Times New Roman" w:hAnsi="Times New Roman"/>
          <w:sz w:val="24"/>
          <w:szCs w:val="24"/>
        </w:rPr>
        <w:t xml:space="preserve">  </w:t>
      </w:r>
    </w:p>
    <w:p w:rsidR="00533CD2" w:rsidRPr="004F5262" w:rsidRDefault="00533CD2" w:rsidP="00230C65">
      <w:pPr>
        <w:pStyle w:val="Paragraphedeliste"/>
        <w:numPr>
          <w:ilvl w:val="0"/>
          <w:numId w:val="40"/>
        </w:numPr>
        <w:spacing w:line="360" w:lineRule="auto"/>
        <w:jc w:val="both"/>
        <w:rPr>
          <w:rFonts w:ascii="Times New Roman" w:hAnsi="Times New Roman"/>
          <w:sz w:val="24"/>
          <w:szCs w:val="24"/>
        </w:rPr>
      </w:pPr>
      <w:r w:rsidRPr="004F5262">
        <w:rPr>
          <w:rFonts w:ascii="Times New Roman" w:hAnsi="Times New Roman"/>
          <w:sz w:val="24"/>
          <w:szCs w:val="24"/>
        </w:rPr>
        <w:t xml:space="preserve">L’influence de l’environnement sur la personnalité des personnages narrateurs/ Barrabas comme Slimane sont profondément indissociables du milieu dans lequel ils racontent chacun son histoire. Une trame de grotesque et de crime pour Barrabas, un milieu de pauvreté et de communauté populaire pour Slimane. </w:t>
      </w:r>
    </w:p>
    <w:p w:rsidR="00CE232A" w:rsidRPr="004F5262" w:rsidRDefault="00533CD2" w:rsidP="00387AA7">
      <w:pPr>
        <w:pStyle w:val="Paragraphedeliste"/>
        <w:spacing w:after="0" w:line="360" w:lineRule="auto"/>
        <w:ind w:left="0" w:firstLine="284"/>
        <w:contextualSpacing w:val="0"/>
        <w:jc w:val="both"/>
        <w:rPr>
          <w:rFonts w:ascii="Times New Roman" w:hAnsi="Times New Roman"/>
          <w:sz w:val="24"/>
          <w:szCs w:val="24"/>
        </w:rPr>
      </w:pPr>
      <w:r w:rsidRPr="004F5262">
        <w:rPr>
          <w:rFonts w:ascii="Times New Roman" w:hAnsi="Times New Roman"/>
          <w:sz w:val="24"/>
          <w:szCs w:val="24"/>
        </w:rPr>
        <w:t>Kaki et Ghelderode confèrent à leurs narrateurs les éléments, les  ingrédients</w:t>
      </w:r>
      <w:r w:rsidR="006A4EED" w:rsidRPr="004F5262">
        <w:rPr>
          <w:rFonts w:ascii="Times New Roman" w:hAnsi="Times New Roman"/>
          <w:iCs/>
          <w:sz w:val="24"/>
          <w:szCs w:val="24"/>
        </w:rPr>
        <w:t xml:space="preserve"> </w:t>
      </w:r>
      <w:r w:rsidRPr="004F5262">
        <w:rPr>
          <w:rFonts w:ascii="Times New Roman" w:hAnsi="Times New Roman"/>
          <w:iCs/>
          <w:sz w:val="24"/>
          <w:szCs w:val="24"/>
        </w:rPr>
        <w:t>d’une</w:t>
      </w:r>
      <w:r w:rsidR="006A4EED" w:rsidRPr="004F5262">
        <w:rPr>
          <w:rFonts w:ascii="Times New Roman" w:hAnsi="Times New Roman"/>
          <w:iCs/>
          <w:sz w:val="24"/>
          <w:szCs w:val="24"/>
        </w:rPr>
        <w:t xml:space="preserve"> parole </w:t>
      </w:r>
      <w:r w:rsidRPr="004F5262">
        <w:rPr>
          <w:rFonts w:ascii="Times New Roman" w:hAnsi="Times New Roman"/>
          <w:iCs/>
          <w:sz w:val="24"/>
          <w:szCs w:val="24"/>
        </w:rPr>
        <w:t>porteuse</w:t>
      </w:r>
      <w:r w:rsidR="006A4EED" w:rsidRPr="004F5262">
        <w:rPr>
          <w:rFonts w:ascii="Times New Roman" w:hAnsi="Times New Roman"/>
          <w:iCs/>
          <w:sz w:val="24"/>
          <w:szCs w:val="24"/>
        </w:rPr>
        <w:t xml:space="preserve"> </w:t>
      </w:r>
      <w:r w:rsidRPr="004F5262">
        <w:rPr>
          <w:rFonts w:ascii="Times New Roman" w:hAnsi="Times New Roman"/>
          <w:iCs/>
          <w:sz w:val="24"/>
          <w:szCs w:val="24"/>
        </w:rPr>
        <w:t>d’</w:t>
      </w:r>
      <w:r w:rsidR="006A4EED" w:rsidRPr="004F5262">
        <w:rPr>
          <w:rFonts w:ascii="Times New Roman" w:hAnsi="Times New Roman"/>
          <w:iCs/>
          <w:sz w:val="24"/>
          <w:szCs w:val="24"/>
        </w:rPr>
        <w:t>une véritable dynamique</w:t>
      </w:r>
      <w:r w:rsidRPr="004F5262">
        <w:rPr>
          <w:rFonts w:ascii="Times New Roman" w:hAnsi="Times New Roman"/>
          <w:iCs/>
          <w:sz w:val="24"/>
          <w:szCs w:val="24"/>
        </w:rPr>
        <w:t xml:space="preserve"> du milieu ambiant. Cette dynamique est populaire chez Kaki et tantôt religieuse tantôt subversive chez Ghelderode. Dans tous les cas, c’est une dynamique</w:t>
      </w:r>
      <w:r w:rsidR="006A4EED" w:rsidRPr="004F5262">
        <w:rPr>
          <w:rFonts w:ascii="Times New Roman" w:hAnsi="Times New Roman"/>
          <w:iCs/>
          <w:sz w:val="24"/>
          <w:szCs w:val="24"/>
        </w:rPr>
        <w:t xml:space="preserve"> </w:t>
      </w:r>
      <w:r w:rsidRPr="004F5262">
        <w:rPr>
          <w:rFonts w:ascii="Times New Roman" w:hAnsi="Times New Roman"/>
          <w:iCs/>
          <w:sz w:val="24"/>
          <w:szCs w:val="24"/>
        </w:rPr>
        <w:t xml:space="preserve">qui fait épouser à la metadiégèse dans les deux œuvres, </w:t>
      </w:r>
      <w:r w:rsidR="006A4EED" w:rsidRPr="004F5262">
        <w:rPr>
          <w:rFonts w:ascii="Times New Roman" w:hAnsi="Times New Roman"/>
          <w:iCs/>
          <w:sz w:val="24"/>
          <w:szCs w:val="24"/>
        </w:rPr>
        <w:t xml:space="preserve"> les contours </w:t>
      </w:r>
      <w:r w:rsidRPr="004F5262">
        <w:rPr>
          <w:rFonts w:ascii="Times New Roman" w:hAnsi="Times New Roman"/>
          <w:iCs/>
          <w:sz w:val="24"/>
          <w:szCs w:val="24"/>
        </w:rPr>
        <w:t xml:space="preserve">véritables et authentiques </w:t>
      </w:r>
      <w:r w:rsidR="006A4EED" w:rsidRPr="004F5262">
        <w:rPr>
          <w:rFonts w:ascii="Times New Roman" w:hAnsi="Times New Roman"/>
          <w:iCs/>
          <w:sz w:val="24"/>
          <w:szCs w:val="24"/>
        </w:rPr>
        <w:t>de la société</w:t>
      </w:r>
      <w:r w:rsidRPr="004F5262">
        <w:rPr>
          <w:rFonts w:ascii="Times New Roman" w:hAnsi="Times New Roman"/>
          <w:iCs/>
          <w:sz w:val="24"/>
          <w:szCs w:val="24"/>
        </w:rPr>
        <w:t>. En racontant leur histoire, Slimane et Barrabas, les deux narrateurs racontent finalement et intimement la nature et les reliefs complexes de la société tel qu’elle a été vécue par Kaki et par Ghelderode, chacun dans son environnement et ce depuis leur tendre enfance.</w:t>
      </w:r>
    </w:p>
    <w:p w:rsidR="00CE232A" w:rsidRPr="004F5262" w:rsidRDefault="00CE232A" w:rsidP="00CE232A">
      <w:pPr>
        <w:pStyle w:val="Paragraphedeliste"/>
        <w:spacing w:line="360" w:lineRule="auto"/>
        <w:ind w:left="1080"/>
        <w:jc w:val="both"/>
        <w:rPr>
          <w:rFonts w:ascii="Times New Roman" w:hAnsi="Times New Roman"/>
          <w:sz w:val="24"/>
          <w:szCs w:val="24"/>
        </w:rPr>
      </w:pPr>
    </w:p>
    <w:p w:rsidR="006A4EED" w:rsidRPr="004F5262" w:rsidRDefault="006A4EED" w:rsidP="006A4EED">
      <w:pPr>
        <w:pStyle w:val="Titre5"/>
        <w:rPr>
          <w:rFonts w:ascii="Times New Roman" w:hAnsi="Times New Roman"/>
        </w:rPr>
      </w:pPr>
    </w:p>
    <w:p w:rsidR="006A4EED" w:rsidRPr="004F5262" w:rsidRDefault="006A4EED" w:rsidP="006A4EED">
      <w:pPr>
        <w:pStyle w:val="Titre5"/>
        <w:rPr>
          <w:rFonts w:ascii="Times New Roman" w:hAnsi="Times New Roman"/>
        </w:rPr>
      </w:pPr>
      <w:r w:rsidRPr="004F5262">
        <w:rPr>
          <w:rFonts w:ascii="Times New Roman" w:hAnsi="Times New Roman"/>
        </w:rPr>
        <w:br w:type="page"/>
      </w:r>
    </w:p>
    <w:p w:rsidR="006A4EED" w:rsidRPr="00583BB9" w:rsidRDefault="006A4EED" w:rsidP="00583BB9">
      <w:pPr>
        <w:pStyle w:val="Titre1"/>
        <w:pBdr>
          <w:bottom w:val="single" w:sz="6" w:space="1" w:color="auto"/>
        </w:pBdr>
        <w:jc w:val="center"/>
        <w:rPr>
          <w:rFonts w:ascii="Times New Roman" w:hAnsi="Times New Roman"/>
          <w:b/>
          <w:bCs w:val="0"/>
          <w:color w:val="auto"/>
          <w:sz w:val="24"/>
          <w:szCs w:val="24"/>
          <w:lang w:val="fr-FR" w:eastAsia="fr-FR"/>
        </w:rPr>
      </w:pPr>
      <w:bookmarkStart w:id="144" w:name="_Toc449044162"/>
      <w:bookmarkStart w:id="145" w:name="_Toc471484514"/>
      <w:r w:rsidRPr="00583BB9">
        <w:rPr>
          <w:rFonts w:ascii="Times New Roman" w:hAnsi="Times New Roman"/>
          <w:b/>
          <w:bCs w:val="0"/>
          <w:color w:val="auto"/>
          <w:sz w:val="24"/>
          <w:szCs w:val="24"/>
          <w:lang w:val="fr-FR" w:eastAsia="fr-FR"/>
        </w:rPr>
        <w:lastRenderedPageBreak/>
        <w:t>PARTIE III</w:t>
      </w:r>
      <w:r w:rsidR="00583BB9">
        <w:rPr>
          <w:rFonts w:ascii="Times New Roman" w:hAnsi="Times New Roman"/>
          <w:b/>
          <w:bCs w:val="0"/>
          <w:color w:val="auto"/>
          <w:sz w:val="24"/>
          <w:szCs w:val="24"/>
          <w:lang w:val="fr-FR" w:eastAsia="fr-FR"/>
        </w:rPr>
        <w:t xml:space="preserve"> : </w:t>
      </w:r>
      <w:r w:rsidRPr="00583BB9">
        <w:rPr>
          <w:rFonts w:ascii="Times New Roman" w:hAnsi="Times New Roman"/>
          <w:b/>
          <w:bCs w:val="0"/>
          <w:color w:val="auto"/>
          <w:sz w:val="24"/>
          <w:szCs w:val="24"/>
          <w:lang w:val="fr-FR" w:eastAsia="fr-FR"/>
        </w:rPr>
        <w:t>S</w:t>
      </w:r>
      <w:r w:rsidR="0067208B" w:rsidRPr="00583BB9">
        <w:rPr>
          <w:rFonts w:ascii="Times New Roman" w:hAnsi="Times New Roman"/>
          <w:b/>
          <w:bCs w:val="0"/>
          <w:color w:val="auto"/>
          <w:sz w:val="24"/>
          <w:szCs w:val="24"/>
          <w:lang w:val="fr-FR" w:eastAsia="fr-FR"/>
        </w:rPr>
        <w:t>émiotique discursive et analyse du discours dramatique dans les deux pièces</w:t>
      </w:r>
      <w:bookmarkEnd w:id="144"/>
      <w:bookmarkEnd w:id="145"/>
    </w:p>
    <w:p w:rsidR="006A4EED" w:rsidRPr="004F5262" w:rsidRDefault="006A4EED" w:rsidP="006A4EED">
      <w:pPr>
        <w:spacing w:after="0" w:line="360" w:lineRule="auto"/>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 </w:t>
      </w:r>
    </w:p>
    <w:p w:rsidR="006A4EED" w:rsidRPr="004F5262" w:rsidRDefault="006A4EED" w:rsidP="00583BB9">
      <w:pPr>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Nous proposons à présent, dans cette ultime partie,  une réflexion qui s’attachera à déchiffrer des significations et à porter au jour les opérations cognitives par lesquelles les agents les produisent et les déchiffrent.</w:t>
      </w:r>
    </w:p>
    <w:p w:rsidR="006A4EED" w:rsidRPr="00583BB9" w:rsidRDefault="006A4EED" w:rsidP="00583BB9">
      <w:pPr>
        <w:spacing w:after="0" w:line="360" w:lineRule="auto"/>
        <w:ind w:firstLine="284"/>
        <w:jc w:val="both"/>
        <w:rPr>
          <w:rFonts w:asciiTheme="majorBidi" w:hAnsiTheme="majorBidi" w:cstheme="majorBidi"/>
          <w:sz w:val="24"/>
          <w:szCs w:val="24"/>
        </w:rPr>
      </w:pPr>
      <w:r w:rsidRPr="004F5262">
        <w:rPr>
          <w:rFonts w:ascii="Times New Roman" w:eastAsia="Times New Roman" w:hAnsi="Times New Roman"/>
          <w:sz w:val="24"/>
          <w:szCs w:val="24"/>
          <w:lang w:eastAsia="fr-FR"/>
        </w:rPr>
        <w:t xml:space="preserve">C’est sur un ton lyrique que </w:t>
      </w:r>
      <w:r w:rsidRPr="004F5262">
        <w:rPr>
          <w:rFonts w:ascii="Times New Roman" w:eastAsia="Times New Roman" w:hAnsi="Times New Roman"/>
          <w:bCs/>
          <w:sz w:val="24"/>
          <w:szCs w:val="24"/>
          <w:lang w:eastAsia="fr-FR"/>
        </w:rPr>
        <w:t>Henri Van Lier</w:t>
      </w:r>
      <w:r w:rsidRPr="004F5262">
        <w:rPr>
          <w:rFonts w:ascii="Times New Roman" w:eastAsia="Times New Roman" w:hAnsi="Times New Roman"/>
          <w:sz w:val="24"/>
          <w:szCs w:val="24"/>
          <w:lang w:eastAsia="fr-FR"/>
        </w:rPr>
        <w:t xml:space="preserve"> présente l’attitude sémiologique comme :</w:t>
      </w:r>
      <w:r w:rsidRPr="004F5262">
        <w:rPr>
          <w:rFonts w:ascii="Times New Roman" w:eastAsia="Times New Roman" w:hAnsi="Times New Roman"/>
          <w:i/>
          <w:iCs/>
          <w:color w:val="00B0F0"/>
          <w:sz w:val="24"/>
          <w:szCs w:val="24"/>
          <w:lang w:eastAsia="fr-FR"/>
        </w:rPr>
        <w:t xml:space="preserve"> </w:t>
      </w:r>
      <w:r w:rsidRPr="00583BB9">
        <w:rPr>
          <w:rFonts w:asciiTheme="majorBidi" w:hAnsiTheme="majorBidi" w:cstheme="majorBidi"/>
          <w:sz w:val="24"/>
          <w:szCs w:val="24"/>
        </w:rPr>
        <w:t>« </w:t>
      </w:r>
      <w:r w:rsidRPr="00583BB9">
        <w:rPr>
          <w:rStyle w:val="txt"/>
          <w:rFonts w:asciiTheme="majorBidi" w:hAnsiTheme="majorBidi" w:cstheme="majorBidi"/>
          <w:sz w:val="24"/>
          <w:szCs w:val="24"/>
        </w:rPr>
        <w:t>une conduite où les images, les mots, les sons se traitent pour eux-mêmes, et avec une inconvenance, une non-pertinence, une anti-pertinence, une pesanteur et un embrouillement, un bruit du corps et du monde, qui les subvertit jusqu'à leurs racines »</w:t>
      </w:r>
      <w:r w:rsidRPr="00583BB9">
        <w:rPr>
          <w:rStyle w:val="Appelnotedebasdep"/>
          <w:rFonts w:asciiTheme="majorBidi" w:hAnsiTheme="majorBidi" w:cstheme="majorBidi"/>
          <w:sz w:val="24"/>
          <w:szCs w:val="24"/>
        </w:rPr>
        <w:footnoteReference w:id="234"/>
      </w:r>
    </w:p>
    <w:p w:rsidR="006A4EED" w:rsidRPr="004F5262" w:rsidRDefault="006A4EED" w:rsidP="00583BB9">
      <w:pPr>
        <w:autoSpaceDE w:val="0"/>
        <w:autoSpaceDN w:val="0"/>
        <w:adjustRightInd w:val="0"/>
        <w:spacing w:after="0" w:line="360" w:lineRule="auto"/>
        <w:ind w:firstLine="284"/>
        <w:jc w:val="both"/>
        <w:rPr>
          <w:rFonts w:ascii="Times New Roman" w:hAnsi="Times New Roman"/>
          <w:color w:val="000000"/>
          <w:sz w:val="24"/>
          <w:szCs w:val="24"/>
        </w:rPr>
      </w:pPr>
      <w:r w:rsidRPr="004F5262">
        <w:rPr>
          <w:rFonts w:ascii="Times New Roman" w:hAnsi="Times New Roman"/>
          <w:color w:val="000000"/>
          <w:sz w:val="24"/>
          <w:szCs w:val="24"/>
        </w:rPr>
        <w:t xml:space="preserve">La sémiotique apparait aujourd’hui dans la plupart des productions artistiques, elle est inhérente à l’art littéraire et donc aussi au théâtre. Notre propos dans cette troisième partie sera de proposer une analyse sémiotique des pièces </w:t>
      </w:r>
      <w:r w:rsidRPr="004F5262">
        <w:rPr>
          <w:rFonts w:ascii="Times New Roman" w:hAnsi="Times New Roman"/>
          <w:i/>
          <w:color w:val="000000"/>
          <w:sz w:val="24"/>
          <w:szCs w:val="24"/>
        </w:rPr>
        <w:t>Bara</w:t>
      </w:r>
      <w:r w:rsidR="008C21F8" w:rsidRPr="004F5262">
        <w:rPr>
          <w:rFonts w:ascii="Times New Roman" w:hAnsi="Times New Roman"/>
          <w:i/>
          <w:color w:val="000000"/>
          <w:sz w:val="24"/>
          <w:szCs w:val="24"/>
        </w:rPr>
        <w:t>b</w:t>
      </w:r>
      <w:r w:rsidRPr="004F5262">
        <w:rPr>
          <w:rFonts w:ascii="Times New Roman" w:hAnsi="Times New Roman"/>
          <w:i/>
          <w:color w:val="000000"/>
          <w:sz w:val="24"/>
          <w:szCs w:val="24"/>
        </w:rPr>
        <w:t xml:space="preserve">bas </w:t>
      </w:r>
      <w:r w:rsidRPr="004F5262">
        <w:rPr>
          <w:rFonts w:ascii="Times New Roman" w:hAnsi="Times New Roman"/>
          <w:color w:val="000000"/>
          <w:sz w:val="24"/>
          <w:szCs w:val="24"/>
        </w:rPr>
        <w:t xml:space="preserve">de Ghelderode et </w:t>
      </w:r>
      <w:r w:rsidRPr="004F5262">
        <w:rPr>
          <w:rFonts w:ascii="Times New Roman" w:hAnsi="Times New Roman"/>
          <w:i/>
          <w:color w:val="000000"/>
          <w:sz w:val="24"/>
          <w:szCs w:val="24"/>
        </w:rPr>
        <w:t>Le porteur d’eau et les marabouts</w:t>
      </w:r>
      <w:r w:rsidRPr="004F5262">
        <w:rPr>
          <w:rFonts w:ascii="Times New Roman" w:hAnsi="Times New Roman"/>
          <w:color w:val="000000"/>
          <w:sz w:val="24"/>
          <w:szCs w:val="24"/>
        </w:rPr>
        <w:t xml:space="preserve"> de Kaki.</w:t>
      </w:r>
    </w:p>
    <w:p w:rsidR="004639A5" w:rsidRPr="004F5262" w:rsidRDefault="004639A5" w:rsidP="00583BB9">
      <w:pPr>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Notre ambition sera da</w:t>
      </w:r>
      <w:r w:rsidR="00A26185" w:rsidRPr="004F5262">
        <w:rPr>
          <w:rFonts w:ascii="Times New Roman" w:eastAsia="Times New Roman" w:hAnsi="Times New Roman"/>
          <w:sz w:val="24"/>
          <w:szCs w:val="24"/>
          <w:lang w:eastAsia="fr-FR"/>
        </w:rPr>
        <w:t>ns</w:t>
      </w:r>
      <w:r w:rsidRPr="004F5262">
        <w:rPr>
          <w:rFonts w:ascii="Times New Roman" w:eastAsia="Times New Roman" w:hAnsi="Times New Roman"/>
          <w:sz w:val="24"/>
          <w:szCs w:val="24"/>
          <w:lang w:eastAsia="fr-FR"/>
        </w:rPr>
        <w:t xml:space="preserve"> cette partie de questionner la nature et l’objet du discours sémiotique dans nos deux corpus. Pour cela, nous examinerons surtout les procédés de l’énonciation et du discours afin de déterminer les lieux où se manifestent l’intertexte, la polyphonie des genres et des discours (par exemple : sacré, imaginaire, mythe, oralité, rituel etc.) mais aussi confrontation des ambivalences (implicite/explicite, le dit et le non-dit etc.)</w:t>
      </w:r>
    </w:p>
    <w:p w:rsidR="006A4EED" w:rsidRPr="004F5262" w:rsidRDefault="004639A5" w:rsidP="00583BB9">
      <w:pPr>
        <w:autoSpaceDE w:val="0"/>
        <w:autoSpaceDN w:val="0"/>
        <w:adjustRightInd w:val="0"/>
        <w:spacing w:after="0" w:line="360" w:lineRule="auto"/>
        <w:ind w:firstLine="284"/>
        <w:jc w:val="both"/>
        <w:rPr>
          <w:rFonts w:ascii="Times New Roman" w:hAnsi="Times New Roman"/>
          <w:color w:val="000000"/>
          <w:sz w:val="24"/>
          <w:szCs w:val="24"/>
        </w:rPr>
      </w:pPr>
      <w:r w:rsidRPr="004F5262">
        <w:rPr>
          <w:rFonts w:ascii="Times New Roman" w:hAnsi="Times New Roman"/>
          <w:color w:val="000000"/>
          <w:sz w:val="24"/>
          <w:szCs w:val="24"/>
        </w:rPr>
        <w:t>Mais a</w:t>
      </w:r>
      <w:r w:rsidR="006A4EED" w:rsidRPr="004F5262">
        <w:rPr>
          <w:rFonts w:ascii="Times New Roman" w:hAnsi="Times New Roman"/>
          <w:color w:val="000000"/>
          <w:sz w:val="24"/>
          <w:szCs w:val="24"/>
        </w:rPr>
        <w:t xml:space="preserve">vant d’y arriver </w:t>
      </w:r>
      <w:r w:rsidR="00A26185" w:rsidRPr="004F5262">
        <w:rPr>
          <w:rFonts w:ascii="Times New Roman" w:hAnsi="Times New Roman"/>
          <w:color w:val="000000"/>
          <w:sz w:val="24"/>
          <w:szCs w:val="24"/>
        </w:rPr>
        <w:t>nous allons tenter</w:t>
      </w:r>
      <w:r w:rsidR="006A4EED" w:rsidRPr="004F5262">
        <w:rPr>
          <w:rFonts w:ascii="Times New Roman" w:hAnsi="Times New Roman"/>
          <w:color w:val="000000"/>
          <w:sz w:val="24"/>
          <w:szCs w:val="24"/>
        </w:rPr>
        <w:t xml:space="preserve"> de situer la sémiotique dans l’univers de la narration théâtrale.</w:t>
      </w:r>
    </w:p>
    <w:p w:rsidR="006A4EED" w:rsidRPr="004F5262"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4F5262"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4F5262" w:rsidRDefault="006A4EED" w:rsidP="006A4EED">
      <w:pPr>
        <w:spacing w:after="0" w:line="240" w:lineRule="auto"/>
        <w:rPr>
          <w:rFonts w:ascii="Times New Roman" w:eastAsia="Times New Roman" w:hAnsi="Times New Roman"/>
          <w:b/>
          <w:bCs/>
          <w:i/>
          <w:iCs/>
          <w:sz w:val="28"/>
          <w:szCs w:val="28"/>
          <w:lang w:eastAsia="fr-FR"/>
        </w:rPr>
      </w:pPr>
      <w:r w:rsidRPr="004F5262">
        <w:rPr>
          <w:rFonts w:ascii="Times New Roman" w:hAnsi="Times New Roman"/>
        </w:rPr>
        <w:br w:type="page"/>
      </w:r>
    </w:p>
    <w:p w:rsidR="006A4EED" w:rsidRPr="00F6480F" w:rsidRDefault="006A4EED" w:rsidP="00F6480F">
      <w:pPr>
        <w:pStyle w:val="Titre2"/>
        <w:spacing w:before="0" w:after="0"/>
        <w:jc w:val="both"/>
        <w:rPr>
          <w:rFonts w:ascii="Times New Roman" w:hAnsi="Times New Roman" w:cs="Times New Roman"/>
          <w:sz w:val="24"/>
          <w:szCs w:val="24"/>
        </w:rPr>
      </w:pPr>
      <w:bookmarkStart w:id="146" w:name="_Toc449044163"/>
      <w:bookmarkStart w:id="147" w:name="_Toc471484515"/>
      <w:r w:rsidRPr="00F6480F">
        <w:rPr>
          <w:rFonts w:ascii="Times New Roman" w:hAnsi="Times New Roman" w:cs="Times New Roman"/>
          <w:i w:val="0"/>
          <w:iCs w:val="0"/>
          <w:sz w:val="24"/>
          <w:szCs w:val="24"/>
        </w:rPr>
        <w:lastRenderedPageBreak/>
        <w:t xml:space="preserve">Chapitre </w:t>
      </w:r>
      <w:r w:rsidR="00A6282E" w:rsidRPr="00F6480F">
        <w:rPr>
          <w:rFonts w:ascii="Times New Roman" w:hAnsi="Times New Roman" w:cs="Times New Roman"/>
          <w:i w:val="0"/>
          <w:iCs w:val="0"/>
          <w:sz w:val="24"/>
          <w:szCs w:val="24"/>
        </w:rPr>
        <w:t>1</w:t>
      </w:r>
      <w:r w:rsidR="00F6480F" w:rsidRPr="00F6480F">
        <w:rPr>
          <w:rFonts w:ascii="Times New Roman" w:hAnsi="Times New Roman" w:cs="Times New Roman"/>
          <w:i w:val="0"/>
          <w:iCs w:val="0"/>
          <w:sz w:val="24"/>
          <w:szCs w:val="24"/>
        </w:rPr>
        <w:t> :</w:t>
      </w:r>
      <w:r w:rsidRPr="00F6480F">
        <w:rPr>
          <w:rFonts w:ascii="Times New Roman" w:hAnsi="Times New Roman" w:cs="Times New Roman"/>
          <w:sz w:val="24"/>
          <w:szCs w:val="24"/>
        </w:rPr>
        <w:t xml:space="preserve"> </w:t>
      </w:r>
      <w:r w:rsidR="00A26185" w:rsidRPr="00F6480F">
        <w:rPr>
          <w:rFonts w:ascii="Times New Roman" w:hAnsi="Times New Roman" w:cs="Times New Roman"/>
          <w:i w:val="0"/>
          <w:iCs w:val="0"/>
          <w:sz w:val="24"/>
          <w:szCs w:val="24"/>
        </w:rPr>
        <w:t>Théorie de la sémiotique</w:t>
      </w:r>
      <w:r w:rsidRPr="00F6480F">
        <w:rPr>
          <w:rFonts w:ascii="Times New Roman" w:hAnsi="Times New Roman" w:cs="Times New Roman"/>
          <w:i w:val="0"/>
          <w:iCs w:val="0"/>
          <w:sz w:val="24"/>
          <w:szCs w:val="24"/>
        </w:rPr>
        <w:t xml:space="preserve"> </w:t>
      </w:r>
      <w:r w:rsidR="00A26185" w:rsidRPr="00F6480F">
        <w:rPr>
          <w:rFonts w:ascii="Times New Roman" w:hAnsi="Times New Roman" w:cs="Times New Roman"/>
          <w:i w:val="0"/>
          <w:iCs w:val="0"/>
          <w:sz w:val="24"/>
          <w:szCs w:val="24"/>
        </w:rPr>
        <w:t>discursive dans le théâtr</w:t>
      </w:r>
      <w:bookmarkEnd w:id="146"/>
      <w:r w:rsidR="00A26185" w:rsidRPr="00F6480F">
        <w:rPr>
          <w:rFonts w:ascii="Times New Roman" w:hAnsi="Times New Roman" w:cs="Times New Roman"/>
          <w:i w:val="0"/>
          <w:iCs w:val="0"/>
          <w:sz w:val="24"/>
          <w:szCs w:val="24"/>
        </w:rPr>
        <w:t>e contemporain</w:t>
      </w:r>
      <w:bookmarkEnd w:id="147"/>
    </w:p>
    <w:p w:rsidR="006A4EED" w:rsidRPr="004F5262"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4F5262" w:rsidRDefault="006A4EED" w:rsidP="00845303">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Ce travail théorique introductif vise à cerner les contours de la sémiotique </w:t>
      </w:r>
      <w:r w:rsidR="004639A5" w:rsidRPr="004F5262">
        <w:rPr>
          <w:rFonts w:ascii="Times New Roman" w:hAnsi="Times New Roman"/>
          <w:sz w:val="24"/>
          <w:szCs w:val="24"/>
        </w:rPr>
        <w:t xml:space="preserve">en tant qu’activité </w:t>
      </w:r>
      <w:r w:rsidRPr="004F5262">
        <w:rPr>
          <w:rFonts w:ascii="Times New Roman" w:hAnsi="Times New Roman"/>
          <w:sz w:val="24"/>
          <w:szCs w:val="24"/>
        </w:rPr>
        <w:t xml:space="preserve">de la science, de la littérature et enfin du théâtre. C’est un exercice que nous posons comme préalable avant d’explorer la réalité sémiotique </w:t>
      </w:r>
      <w:r w:rsidR="004639A5" w:rsidRPr="004F5262">
        <w:rPr>
          <w:rFonts w:ascii="Times New Roman" w:hAnsi="Times New Roman"/>
          <w:sz w:val="24"/>
          <w:szCs w:val="24"/>
        </w:rPr>
        <w:t>du discours dramatique proposé dans les</w:t>
      </w:r>
      <w:r w:rsidRPr="004F5262">
        <w:rPr>
          <w:rFonts w:ascii="Times New Roman" w:hAnsi="Times New Roman"/>
          <w:sz w:val="24"/>
          <w:szCs w:val="24"/>
        </w:rPr>
        <w:t xml:space="preserve"> pièces de Kaki et </w:t>
      </w:r>
      <w:r w:rsidR="00C867F5" w:rsidRPr="004F5262">
        <w:rPr>
          <w:rFonts w:ascii="Times New Roman" w:hAnsi="Times New Roman"/>
          <w:sz w:val="24"/>
          <w:szCs w:val="24"/>
        </w:rPr>
        <w:t xml:space="preserve">de </w:t>
      </w:r>
      <w:r w:rsidRPr="004F5262">
        <w:rPr>
          <w:rFonts w:ascii="Times New Roman" w:hAnsi="Times New Roman"/>
          <w:sz w:val="24"/>
          <w:szCs w:val="24"/>
        </w:rPr>
        <w:t>Ghelderode.</w:t>
      </w:r>
    </w:p>
    <w:p w:rsidR="006A4EED" w:rsidRPr="004F5262" w:rsidRDefault="006A4EED" w:rsidP="006A4EED">
      <w:pPr>
        <w:autoSpaceDE w:val="0"/>
        <w:autoSpaceDN w:val="0"/>
        <w:adjustRightInd w:val="0"/>
        <w:spacing w:after="0" w:line="360" w:lineRule="auto"/>
        <w:ind w:firstLine="708"/>
        <w:jc w:val="both"/>
        <w:rPr>
          <w:rFonts w:ascii="Times New Roman" w:hAnsi="Times New Roman"/>
          <w:sz w:val="24"/>
          <w:szCs w:val="24"/>
        </w:rPr>
      </w:pPr>
    </w:p>
    <w:p w:rsidR="006A4EED" w:rsidRPr="00845303" w:rsidRDefault="00845303" w:rsidP="00845303">
      <w:pPr>
        <w:pStyle w:val="Titre3"/>
        <w:spacing w:before="0" w:after="0" w:line="360" w:lineRule="auto"/>
        <w:ind w:left="641" w:hanging="357"/>
        <w:jc w:val="both"/>
        <w:rPr>
          <w:rFonts w:ascii="Times New Roman" w:hAnsi="Times New Roman" w:cs="Times New Roman"/>
          <w:sz w:val="24"/>
          <w:szCs w:val="24"/>
        </w:rPr>
      </w:pPr>
      <w:bookmarkStart w:id="148" w:name="_Toc471484516"/>
      <w:r>
        <w:rPr>
          <w:rFonts w:ascii="Times New Roman" w:hAnsi="Times New Roman" w:cs="Times New Roman"/>
          <w:sz w:val="24"/>
          <w:szCs w:val="24"/>
        </w:rPr>
        <w:t>1.</w:t>
      </w:r>
      <w:r w:rsidRPr="00845303">
        <w:rPr>
          <w:rFonts w:ascii="Times New Roman" w:hAnsi="Times New Roman" w:cs="Times New Roman"/>
          <w:sz w:val="24"/>
          <w:szCs w:val="24"/>
        </w:rPr>
        <w:t xml:space="preserve"> Un</w:t>
      </w:r>
      <w:r w:rsidR="006A4EED" w:rsidRPr="00845303">
        <w:rPr>
          <w:rFonts w:ascii="Times New Roman" w:hAnsi="Times New Roman" w:cs="Times New Roman"/>
          <w:sz w:val="24"/>
          <w:szCs w:val="24"/>
        </w:rPr>
        <w:t xml:space="preserve"> essai de définition</w:t>
      </w:r>
      <w:r w:rsidR="00E235DA" w:rsidRPr="00845303">
        <w:rPr>
          <w:rFonts w:ascii="Times New Roman" w:hAnsi="Times New Roman" w:cs="Times New Roman"/>
          <w:sz w:val="24"/>
          <w:szCs w:val="24"/>
        </w:rPr>
        <w:t xml:space="preserve"> de la sémiotique</w:t>
      </w:r>
      <w:bookmarkEnd w:id="148"/>
    </w:p>
    <w:p w:rsidR="006A4EED" w:rsidRPr="00845303" w:rsidRDefault="006A4EED" w:rsidP="00845303">
      <w:pPr>
        <w:autoSpaceDE w:val="0"/>
        <w:autoSpaceDN w:val="0"/>
        <w:adjustRightInd w:val="0"/>
        <w:spacing w:after="0" w:line="360" w:lineRule="auto"/>
        <w:ind w:firstLine="284"/>
        <w:jc w:val="both"/>
        <w:rPr>
          <w:rFonts w:asciiTheme="majorBidi" w:hAnsiTheme="majorBidi" w:cstheme="majorBidi"/>
          <w:sz w:val="24"/>
          <w:szCs w:val="24"/>
        </w:rPr>
      </w:pPr>
      <w:r w:rsidRPr="004F5262">
        <w:rPr>
          <w:rFonts w:ascii="Times New Roman" w:hAnsi="Times New Roman"/>
          <w:sz w:val="24"/>
          <w:szCs w:val="24"/>
        </w:rPr>
        <w:t xml:space="preserve">L’analyse sémiotique ou l’analyse sémiologique confronte, dans un vaste déploiement, une approche en </w:t>
      </w:r>
      <w:r w:rsidR="00BE1E32" w:rsidRPr="004F5262">
        <w:rPr>
          <w:rFonts w:ascii="Times New Roman" w:hAnsi="Times New Roman"/>
          <w:sz w:val="24"/>
          <w:szCs w:val="24"/>
        </w:rPr>
        <w:t>sémiotique</w:t>
      </w:r>
      <w:r w:rsidRPr="004F5262">
        <w:rPr>
          <w:rFonts w:ascii="Times New Roman" w:hAnsi="Times New Roman"/>
          <w:sz w:val="24"/>
          <w:szCs w:val="24"/>
        </w:rPr>
        <w:t xml:space="preserve"> de l’image à une approche en </w:t>
      </w:r>
      <w:r w:rsidR="00BE1E32" w:rsidRPr="004F5262">
        <w:rPr>
          <w:rFonts w:ascii="Times New Roman" w:hAnsi="Times New Roman"/>
          <w:sz w:val="24"/>
          <w:szCs w:val="24"/>
        </w:rPr>
        <w:t>sémiotique</w:t>
      </w:r>
      <w:r w:rsidRPr="004F5262">
        <w:rPr>
          <w:rFonts w:ascii="Times New Roman" w:hAnsi="Times New Roman"/>
          <w:sz w:val="24"/>
          <w:szCs w:val="24"/>
        </w:rPr>
        <w:t xml:space="preserve"> linguistique. Comme le révèle </w:t>
      </w:r>
      <w:r w:rsidR="008A2B69" w:rsidRPr="004F5262">
        <w:rPr>
          <w:rFonts w:ascii="Times New Roman" w:hAnsi="Times New Roman"/>
          <w:sz w:val="24"/>
          <w:szCs w:val="24"/>
        </w:rPr>
        <w:t>S</w:t>
      </w:r>
      <w:r w:rsidR="00845303">
        <w:rPr>
          <w:rFonts w:ascii="Times New Roman" w:hAnsi="Times New Roman"/>
          <w:sz w:val="24"/>
          <w:szCs w:val="24"/>
        </w:rPr>
        <w:t>emiopolis</w:t>
      </w:r>
      <w:r w:rsidR="008A2B69" w:rsidRPr="004F5262">
        <w:rPr>
          <w:rFonts w:ascii="Times New Roman" w:hAnsi="Times New Roman"/>
          <w:sz w:val="24"/>
          <w:szCs w:val="24"/>
        </w:rPr>
        <w:t xml:space="preserve"> </w:t>
      </w:r>
      <w:r w:rsidR="008A2B69" w:rsidRPr="00845303">
        <w:rPr>
          <w:rFonts w:asciiTheme="majorBidi" w:hAnsiTheme="majorBidi" w:cstheme="majorBidi"/>
          <w:sz w:val="24"/>
          <w:szCs w:val="24"/>
        </w:rPr>
        <w:t>:</w:t>
      </w:r>
      <w:r w:rsidR="00845303">
        <w:rPr>
          <w:rFonts w:asciiTheme="majorBidi" w:hAnsiTheme="majorBidi" w:cstheme="majorBidi"/>
          <w:sz w:val="24"/>
          <w:szCs w:val="24"/>
        </w:rPr>
        <w:t xml:space="preserve"> </w:t>
      </w:r>
      <w:r w:rsidR="00845303" w:rsidRPr="00845303">
        <w:rPr>
          <w:rFonts w:asciiTheme="majorBidi" w:hAnsiTheme="majorBidi" w:cstheme="majorBidi"/>
          <w:sz w:val="24"/>
          <w:szCs w:val="24"/>
        </w:rPr>
        <w:t>« </w:t>
      </w:r>
      <w:r w:rsidRPr="00845303">
        <w:rPr>
          <w:rFonts w:asciiTheme="majorBidi" w:hAnsiTheme="majorBidi" w:cstheme="majorBidi"/>
          <w:iCs/>
          <w:sz w:val="24"/>
          <w:szCs w:val="24"/>
        </w:rPr>
        <w:t xml:space="preserve">La </w:t>
      </w:r>
      <w:r w:rsidR="00BE1E32" w:rsidRPr="00845303">
        <w:rPr>
          <w:rFonts w:asciiTheme="majorBidi" w:hAnsiTheme="majorBidi" w:cstheme="majorBidi"/>
          <w:iCs/>
          <w:sz w:val="24"/>
          <w:szCs w:val="24"/>
        </w:rPr>
        <w:t>sémiotique</w:t>
      </w:r>
      <w:r w:rsidRPr="00845303">
        <w:rPr>
          <w:rFonts w:asciiTheme="majorBidi" w:hAnsiTheme="majorBidi" w:cstheme="majorBidi"/>
          <w:iCs/>
          <w:sz w:val="24"/>
          <w:szCs w:val="24"/>
        </w:rPr>
        <w:t xml:space="preserve"> de l’image, très connue et présente au-delà de la littérature, se concentre sur le chromatisme, la composition, le cadrage, les points de vue. La </w:t>
      </w:r>
      <w:r w:rsidR="00BE1E32" w:rsidRPr="00845303">
        <w:rPr>
          <w:rFonts w:asciiTheme="majorBidi" w:hAnsiTheme="majorBidi" w:cstheme="majorBidi"/>
          <w:iCs/>
          <w:sz w:val="24"/>
          <w:szCs w:val="24"/>
        </w:rPr>
        <w:t>sémiotique</w:t>
      </w:r>
      <w:r w:rsidRPr="00845303">
        <w:rPr>
          <w:rFonts w:asciiTheme="majorBidi" w:hAnsiTheme="majorBidi" w:cstheme="majorBidi"/>
          <w:iCs/>
          <w:sz w:val="24"/>
          <w:szCs w:val="24"/>
        </w:rPr>
        <w:t xml:space="preserve"> linguistique quant à elle explore la sémantique, l’énonciation, la stylistique, la rhétorique, l’argumentation</w:t>
      </w:r>
      <w:r w:rsidR="00845303">
        <w:rPr>
          <w:rFonts w:asciiTheme="majorBidi" w:hAnsiTheme="majorBidi" w:cstheme="majorBidi"/>
          <w:iCs/>
          <w:sz w:val="24"/>
          <w:szCs w:val="24"/>
        </w:rPr>
        <w:t> »</w:t>
      </w:r>
      <w:r w:rsidRPr="00845303">
        <w:rPr>
          <w:rStyle w:val="Appelnotedebasdep"/>
          <w:rFonts w:asciiTheme="majorBidi" w:hAnsiTheme="majorBidi" w:cstheme="majorBidi"/>
          <w:sz w:val="24"/>
          <w:szCs w:val="24"/>
        </w:rPr>
        <w:footnoteReference w:id="235"/>
      </w:r>
      <w:r w:rsidRPr="00845303">
        <w:rPr>
          <w:rFonts w:asciiTheme="majorBidi" w:hAnsiTheme="majorBidi" w:cstheme="majorBidi"/>
          <w:sz w:val="24"/>
          <w:szCs w:val="24"/>
        </w:rPr>
        <w:t xml:space="preserve">. </w:t>
      </w:r>
    </w:p>
    <w:p w:rsidR="006A4EED" w:rsidRPr="00845303" w:rsidRDefault="006A4EED" w:rsidP="00845303">
      <w:pPr>
        <w:autoSpaceDE w:val="0"/>
        <w:autoSpaceDN w:val="0"/>
        <w:adjustRightInd w:val="0"/>
        <w:spacing w:after="0" w:line="360" w:lineRule="auto"/>
        <w:ind w:firstLine="284"/>
        <w:jc w:val="both"/>
        <w:rPr>
          <w:rFonts w:asciiTheme="majorBidi" w:hAnsiTheme="majorBidi" w:cstheme="majorBidi"/>
          <w:sz w:val="24"/>
          <w:szCs w:val="24"/>
        </w:rPr>
      </w:pPr>
      <w:r w:rsidRPr="00845303">
        <w:rPr>
          <w:rFonts w:asciiTheme="majorBidi" w:hAnsiTheme="majorBidi" w:cstheme="majorBidi"/>
          <w:sz w:val="24"/>
          <w:szCs w:val="24"/>
        </w:rPr>
        <w:t xml:space="preserve">Dans une conjonction des deux approches (sémiotique de l’image et sémiotique linguistique), on dira que l’image doit être étudiée en relation avec le texte qui l’accompagne.  C’est ainsi que Roland Barthes, chercheur imminent en </w:t>
      </w:r>
      <w:r w:rsidR="00BE1E32" w:rsidRPr="00845303">
        <w:rPr>
          <w:rFonts w:asciiTheme="majorBidi" w:hAnsiTheme="majorBidi" w:cstheme="majorBidi"/>
          <w:sz w:val="24"/>
          <w:szCs w:val="24"/>
        </w:rPr>
        <w:t>Sémiotique</w:t>
      </w:r>
      <w:r w:rsidRPr="00845303">
        <w:rPr>
          <w:rFonts w:asciiTheme="majorBidi" w:hAnsiTheme="majorBidi" w:cstheme="majorBidi"/>
          <w:sz w:val="24"/>
          <w:szCs w:val="24"/>
        </w:rPr>
        <w:t xml:space="preserve"> a proposé plusieurs relations entre texte et image (relais/ancrage) utiles pour l’analyse sémiotique. L’on sait qu’en Marketing par exemple, l’objectif opérationnel d’une analyse sémiotique et sémiologique est la prévision du comportement du consommateur et la recommandation de signes ou codes appropriés</w:t>
      </w:r>
      <w:r w:rsidRPr="00845303">
        <w:rPr>
          <w:rStyle w:val="Appelnotedebasdep"/>
          <w:rFonts w:asciiTheme="majorBidi" w:hAnsiTheme="majorBidi" w:cstheme="majorBidi"/>
          <w:sz w:val="24"/>
          <w:szCs w:val="24"/>
        </w:rPr>
        <w:footnoteReference w:id="236"/>
      </w:r>
      <w:r w:rsidRPr="00845303">
        <w:rPr>
          <w:rFonts w:asciiTheme="majorBidi" w:hAnsiTheme="majorBidi" w:cstheme="majorBidi"/>
          <w:sz w:val="24"/>
          <w:szCs w:val="24"/>
        </w:rPr>
        <w:t>.</w:t>
      </w:r>
    </w:p>
    <w:p w:rsidR="006A4EED" w:rsidRPr="00845303" w:rsidRDefault="00845303" w:rsidP="00845303">
      <w:pPr>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sz w:val="24"/>
          <w:szCs w:val="24"/>
        </w:rPr>
        <w:t>À</w:t>
      </w:r>
      <w:r w:rsidR="006A4EED" w:rsidRPr="00845303">
        <w:rPr>
          <w:rFonts w:asciiTheme="majorBidi" w:hAnsiTheme="majorBidi" w:cstheme="majorBidi"/>
          <w:sz w:val="24"/>
          <w:szCs w:val="24"/>
        </w:rPr>
        <w:t xml:space="preserve"> noter que depuis </w:t>
      </w:r>
      <w:hyperlink r:id="rId89" w:tooltip="Charles W. Morris" w:history="1">
        <w:r w:rsidR="006A4EED" w:rsidRPr="00845303">
          <w:rPr>
            <w:rFonts w:asciiTheme="majorBidi" w:hAnsiTheme="majorBidi" w:cstheme="majorBidi"/>
            <w:sz w:val="24"/>
            <w:szCs w:val="24"/>
          </w:rPr>
          <w:t>Charles W. Morris</w:t>
        </w:r>
      </w:hyperlink>
      <w:r w:rsidR="006A4EED" w:rsidRPr="00845303">
        <w:rPr>
          <w:rFonts w:asciiTheme="majorBidi" w:hAnsiTheme="majorBidi" w:cstheme="majorBidi"/>
          <w:sz w:val="24"/>
          <w:szCs w:val="24"/>
        </w:rPr>
        <w:t>, on tend à distinguer trois dimensions de la sémiotique</w:t>
      </w:r>
      <w:r w:rsidR="006A4EED" w:rsidRPr="00845303">
        <w:rPr>
          <w:rStyle w:val="Appelnotedebasdep"/>
          <w:rFonts w:asciiTheme="majorBidi" w:hAnsiTheme="majorBidi" w:cstheme="majorBidi"/>
          <w:sz w:val="24"/>
          <w:szCs w:val="24"/>
        </w:rPr>
        <w:footnoteReference w:id="237"/>
      </w:r>
      <w:r w:rsidR="006A4EED" w:rsidRPr="00845303">
        <w:rPr>
          <w:rFonts w:asciiTheme="majorBidi" w:hAnsiTheme="majorBidi" w:cstheme="majorBidi"/>
          <w:sz w:val="24"/>
          <w:szCs w:val="24"/>
        </w:rPr>
        <w:t> :</w:t>
      </w:r>
    </w:p>
    <w:p w:rsidR="006A4EED" w:rsidRPr="004F5262" w:rsidRDefault="006A4EED" w:rsidP="00230C65">
      <w:pPr>
        <w:numPr>
          <w:ilvl w:val="0"/>
          <w:numId w:val="37"/>
        </w:numPr>
        <w:autoSpaceDE w:val="0"/>
        <w:autoSpaceDN w:val="0"/>
        <w:adjustRightInd w:val="0"/>
        <w:spacing w:after="0" w:line="360" w:lineRule="auto"/>
        <w:jc w:val="both"/>
        <w:rPr>
          <w:rFonts w:ascii="Times New Roman" w:hAnsi="Times New Roman"/>
          <w:sz w:val="24"/>
          <w:szCs w:val="24"/>
        </w:rPr>
      </w:pPr>
      <w:r w:rsidRPr="004F5262">
        <w:rPr>
          <w:rFonts w:ascii="Times New Roman" w:hAnsi="Times New Roman"/>
          <w:sz w:val="24"/>
          <w:szCs w:val="24"/>
        </w:rPr>
        <w:t xml:space="preserve">la </w:t>
      </w:r>
      <w:hyperlink r:id="rId90" w:tooltip="Sémantique" w:history="1">
        <w:r w:rsidRPr="004F5262">
          <w:rPr>
            <w:rFonts w:ascii="Times New Roman" w:hAnsi="Times New Roman"/>
            <w:sz w:val="24"/>
            <w:szCs w:val="24"/>
          </w:rPr>
          <w:t>sémantique</w:t>
        </w:r>
      </w:hyperlink>
      <w:r w:rsidRPr="004F5262">
        <w:rPr>
          <w:rFonts w:ascii="Times New Roman" w:hAnsi="Times New Roman"/>
          <w:sz w:val="24"/>
          <w:szCs w:val="24"/>
        </w:rPr>
        <w:t xml:space="preserve"> : définie comme la relation entre les signes et ce qu'ils signifient (relations internes entre signifiant et signifié ou relation externe entre le signe global et le référent). Travaux du logicien </w:t>
      </w:r>
      <w:hyperlink r:id="rId91" w:tooltip="Alfred Tarski" w:history="1">
        <w:r w:rsidRPr="004F5262">
          <w:rPr>
            <w:rFonts w:ascii="Times New Roman" w:hAnsi="Times New Roman"/>
            <w:sz w:val="24"/>
            <w:szCs w:val="24"/>
          </w:rPr>
          <w:t>Alfred Tarski</w:t>
        </w:r>
      </w:hyperlink>
      <w:r w:rsidRPr="004F5262">
        <w:rPr>
          <w:rFonts w:ascii="Times New Roman" w:hAnsi="Times New Roman"/>
          <w:sz w:val="24"/>
          <w:szCs w:val="24"/>
        </w:rPr>
        <w:t xml:space="preserve">, de </w:t>
      </w:r>
      <w:hyperlink r:id="rId92" w:tooltip="Roland Barthes" w:history="1">
        <w:r w:rsidRPr="004F5262">
          <w:rPr>
            <w:rFonts w:ascii="Times New Roman" w:hAnsi="Times New Roman"/>
            <w:sz w:val="24"/>
            <w:szCs w:val="24"/>
          </w:rPr>
          <w:t>Roland Barthes</w:t>
        </w:r>
      </w:hyperlink>
      <w:r w:rsidRPr="004F5262">
        <w:rPr>
          <w:rFonts w:ascii="Times New Roman" w:hAnsi="Times New Roman"/>
          <w:sz w:val="24"/>
          <w:szCs w:val="24"/>
        </w:rPr>
        <w:t>.</w:t>
      </w:r>
    </w:p>
    <w:p w:rsidR="006A4EED" w:rsidRPr="004F5262" w:rsidRDefault="006A4EED" w:rsidP="00230C65">
      <w:pPr>
        <w:numPr>
          <w:ilvl w:val="0"/>
          <w:numId w:val="37"/>
        </w:numPr>
        <w:autoSpaceDE w:val="0"/>
        <w:autoSpaceDN w:val="0"/>
        <w:adjustRightInd w:val="0"/>
        <w:spacing w:after="0" w:line="360" w:lineRule="auto"/>
        <w:jc w:val="both"/>
        <w:rPr>
          <w:rFonts w:ascii="Times New Roman" w:hAnsi="Times New Roman"/>
          <w:sz w:val="24"/>
          <w:szCs w:val="24"/>
        </w:rPr>
      </w:pPr>
      <w:r w:rsidRPr="004F5262">
        <w:rPr>
          <w:rFonts w:ascii="Times New Roman" w:hAnsi="Times New Roman"/>
          <w:sz w:val="24"/>
          <w:szCs w:val="24"/>
        </w:rPr>
        <w:lastRenderedPageBreak/>
        <w:t xml:space="preserve">la </w:t>
      </w:r>
      <w:hyperlink r:id="rId93" w:tooltip="Syntaxe" w:history="1">
        <w:r w:rsidRPr="004F5262">
          <w:rPr>
            <w:rFonts w:ascii="Times New Roman" w:hAnsi="Times New Roman"/>
            <w:sz w:val="24"/>
            <w:szCs w:val="24"/>
          </w:rPr>
          <w:t>syntaxe</w:t>
        </w:r>
      </w:hyperlink>
      <w:r w:rsidRPr="004F5262">
        <w:rPr>
          <w:rFonts w:ascii="Times New Roman" w:hAnsi="Times New Roman"/>
          <w:sz w:val="24"/>
          <w:szCs w:val="24"/>
        </w:rPr>
        <w:t xml:space="preserve"> : que l’on peut regrouper dans les relations entre signes. Travaux des philosophes </w:t>
      </w:r>
      <w:hyperlink r:id="rId94" w:tooltip="Gottlob Frege" w:history="1">
        <w:r w:rsidRPr="004F5262">
          <w:rPr>
            <w:rFonts w:ascii="Times New Roman" w:hAnsi="Times New Roman"/>
            <w:sz w:val="24"/>
            <w:szCs w:val="24"/>
          </w:rPr>
          <w:t>Gottlob Frege</w:t>
        </w:r>
      </w:hyperlink>
      <w:r w:rsidRPr="004F5262">
        <w:rPr>
          <w:rFonts w:ascii="Times New Roman" w:hAnsi="Times New Roman"/>
          <w:sz w:val="24"/>
          <w:szCs w:val="24"/>
        </w:rPr>
        <w:t xml:space="preserve">, </w:t>
      </w:r>
      <w:hyperlink r:id="rId95" w:tooltip="Bertrand Russell" w:history="1">
        <w:r w:rsidRPr="004F5262">
          <w:rPr>
            <w:rFonts w:ascii="Times New Roman" w:hAnsi="Times New Roman"/>
            <w:sz w:val="24"/>
            <w:szCs w:val="24"/>
          </w:rPr>
          <w:t>Bertrand Russell</w:t>
        </w:r>
      </w:hyperlink>
      <w:r w:rsidRPr="004F5262">
        <w:rPr>
          <w:rFonts w:ascii="Times New Roman" w:hAnsi="Times New Roman"/>
          <w:sz w:val="24"/>
          <w:szCs w:val="24"/>
        </w:rPr>
        <w:t xml:space="preserve">, </w:t>
      </w:r>
      <w:hyperlink r:id="rId96" w:tooltip="Rudolf Carnap" w:history="1">
        <w:r w:rsidRPr="004F5262">
          <w:rPr>
            <w:rFonts w:ascii="Times New Roman" w:hAnsi="Times New Roman"/>
            <w:sz w:val="24"/>
            <w:szCs w:val="24"/>
          </w:rPr>
          <w:t>Rudolf Carnap</w:t>
        </w:r>
      </w:hyperlink>
      <w:r w:rsidRPr="004F5262">
        <w:rPr>
          <w:rFonts w:ascii="Times New Roman" w:hAnsi="Times New Roman"/>
          <w:sz w:val="24"/>
          <w:szCs w:val="24"/>
        </w:rPr>
        <w:t xml:space="preserve">, </w:t>
      </w:r>
      <w:hyperlink r:id="rId97" w:tooltip="Richard Montague" w:history="1">
        <w:r w:rsidRPr="004F5262">
          <w:rPr>
            <w:rFonts w:ascii="Times New Roman" w:hAnsi="Times New Roman"/>
            <w:sz w:val="24"/>
            <w:szCs w:val="24"/>
          </w:rPr>
          <w:t>Richard Montague</w:t>
        </w:r>
      </w:hyperlink>
      <w:r w:rsidRPr="004F5262">
        <w:rPr>
          <w:rFonts w:ascii="Times New Roman" w:hAnsi="Times New Roman"/>
          <w:sz w:val="24"/>
          <w:szCs w:val="24"/>
        </w:rPr>
        <w:t>.</w:t>
      </w:r>
    </w:p>
    <w:p w:rsidR="006A4EED" w:rsidRPr="004F5262" w:rsidRDefault="006A4EED" w:rsidP="00230C65">
      <w:pPr>
        <w:numPr>
          <w:ilvl w:val="0"/>
          <w:numId w:val="37"/>
        </w:numPr>
        <w:autoSpaceDE w:val="0"/>
        <w:autoSpaceDN w:val="0"/>
        <w:adjustRightInd w:val="0"/>
        <w:spacing w:after="0" w:line="360" w:lineRule="auto"/>
        <w:jc w:val="both"/>
        <w:rPr>
          <w:rFonts w:ascii="Times New Roman" w:hAnsi="Times New Roman"/>
          <w:sz w:val="24"/>
          <w:szCs w:val="24"/>
        </w:rPr>
      </w:pPr>
      <w:r w:rsidRPr="004F5262">
        <w:rPr>
          <w:rFonts w:ascii="Times New Roman" w:hAnsi="Times New Roman"/>
          <w:sz w:val="24"/>
          <w:szCs w:val="24"/>
        </w:rPr>
        <w:t xml:space="preserve">la </w:t>
      </w:r>
      <w:hyperlink r:id="rId98" w:tooltip="Pragmatique (linguistique)" w:history="1">
        <w:r w:rsidRPr="004F5262">
          <w:rPr>
            <w:rFonts w:ascii="Times New Roman" w:hAnsi="Times New Roman"/>
            <w:sz w:val="24"/>
            <w:szCs w:val="24"/>
          </w:rPr>
          <w:t>pragmatique</w:t>
        </w:r>
      </w:hyperlink>
      <w:r w:rsidRPr="004F5262">
        <w:rPr>
          <w:rFonts w:ascii="Times New Roman" w:hAnsi="Times New Roman"/>
          <w:sz w:val="24"/>
          <w:szCs w:val="24"/>
        </w:rPr>
        <w:t xml:space="preserve"> : appréhendée comme la relation entre les signes et leurs utilisateurs. </w:t>
      </w:r>
    </w:p>
    <w:p w:rsidR="006A4EED" w:rsidRPr="004F5262" w:rsidRDefault="006A4EED" w:rsidP="006A4EED">
      <w:pPr>
        <w:autoSpaceDE w:val="0"/>
        <w:autoSpaceDN w:val="0"/>
        <w:adjustRightInd w:val="0"/>
        <w:spacing w:after="0" w:line="360" w:lineRule="auto"/>
        <w:jc w:val="both"/>
        <w:rPr>
          <w:rFonts w:ascii="Times New Roman" w:hAnsi="Times New Roman"/>
          <w:sz w:val="24"/>
          <w:szCs w:val="24"/>
        </w:rPr>
      </w:pPr>
    </w:p>
    <w:p w:rsidR="006A4EED" w:rsidRPr="005953E0" w:rsidRDefault="006A4EED" w:rsidP="005953E0">
      <w:pPr>
        <w:autoSpaceDE w:val="0"/>
        <w:autoSpaceDN w:val="0"/>
        <w:adjustRightInd w:val="0"/>
        <w:spacing w:after="0" w:line="360" w:lineRule="auto"/>
        <w:ind w:firstLine="284"/>
        <w:jc w:val="both"/>
        <w:rPr>
          <w:rFonts w:asciiTheme="majorBidi" w:hAnsiTheme="majorBidi" w:cstheme="majorBidi"/>
          <w:sz w:val="24"/>
          <w:szCs w:val="24"/>
        </w:rPr>
      </w:pPr>
      <w:r w:rsidRPr="005953E0">
        <w:rPr>
          <w:rFonts w:asciiTheme="majorBidi" w:hAnsiTheme="majorBidi" w:cstheme="majorBidi"/>
          <w:sz w:val="24"/>
          <w:szCs w:val="24"/>
        </w:rPr>
        <w:t>La</w:t>
      </w:r>
      <w:r w:rsidR="005953E0">
        <w:rPr>
          <w:rFonts w:asciiTheme="majorBidi" w:hAnsiTheme="majorBidi" w:cstheme="majorBidi"/>
          <w:sz w:val="24"/>
          <w:szCs w:val="24"/>
        </w:rPr>
        <w:t xml:space="preserve"> </w:t>
      </w:r>
      <w:r w:rsidRPr="005953E0">
        <w:rPr>
          <w:rFonts w:asciiTheme="majorBidi" w:hAnsiTheme="majorBidi" w:cstheme="majorBidi"/>
          <w:sz w:val="24"/>
          <w:szCs w:val="24"/>
        </w:rPr>
        <w:t>sémiotique, plonge ses racines selon Morris</w:t>
      </w:r>
      <w:r w:rsidRPr="005953E0">
        <w:rPr>
          <w:rStyle w:val="Appelnotedebasdep"/>
          <w:rFonts w:asciiTheme="majorBidi" w:hAnsiTheme="majorBidi" w:cstheme="majorBidi"/>
          <w:sz w:val="24"/>
          <w:szCs w:val="24"/>
        </w:rPr>
        <w:footnoteReference w:id="238"/>
      </w:r>
      <w:r w:rsidRPr="005953E0">
        <w:rPr>
          <w:rFonts w:asciiTheme="majorBidi" w:hAnsiTheme="majorBidi" w:cstheme="majorBidi"/>
          <w:sz w:val="24"/>
          <w:szCs w:val="24"/>
        </w:rPr>
        <w:t xml:space="preserve"> dans l'</w:t>
      </w:r>
      <w:hyperlink r:id="rId99" w:tooltip="Épistémologie" w:history="1">
        <w:r w:rsidRPr="005953E0">
          <w:rPr>
            <w:rFonts w:asciiTheme="majorBidi" w:hAnsiTheme="majorBidi" w:cstheme="majorBidi"/>
            <w:sz w:val="24"/>
            <w:szCs w:val="24"/>
          </w:rPr>
          <w:t>épistémologie</w:t>
        </w:r>
      </w:hyperlink>
      <w:r w:rsidRPr="005953E0">
        <w:rPr>
          <w:rFonts w:asciiTheme="majorBidi" w:hAnsiTheme="majorBidi" w:cstheme="majorBidi"/>
          <w:sz w:val="24"/>
          <w:szCs w:val="24"/>
        </w:rPr>
        <w:t xml:space="preserve">, la </w:t>
      </w:r>
      <w:hyperlink r:id="rId100" w:tooltip="Philosophie des sciences" w:history="1">
        <w:r w:rsidRPr="005953E0">
          <w:rPr>
            <w:rFonts w:asciiTheme="majorBidi" w:hAnsiTheme="majorBidi" w:cstheme="majorBidi"/>
            <w:sz w:val="24"/>
            <w:szCs w:val="24"/>
          </w:rPr>
          <w:t>philosophie des sciences</w:t>
        </w:r>
      </w:hyperlink>
      <w:r w:rsidRPr="005953E0">
        <w:rPr>
          <w:rFonts w:asciiTheme="majorBidi" w:hAnsiTheme="majorBidi" w:cstheme="majorBidi"/>
          <w:sz w:val="24"/>
          <w:szCs w:val="24"/>
        </w:rPr>
        <w:t xml:space="preserve">, la </w:t>
      </w:r>
      <w:hyperlink r:id="rId101" w:tooltip="Logique" w:history="1">
        <w:r w:rsidRPr="005953E0">
          <w:rPr>
            <w:rFonts w:asciiTheme="majorBidi" w:hAnsiTheme="majorBidi" w:cstheme="majorBidi"/>
            <w:sz w:val="24"/>
            <w:szCs w:val="24"/>
          </w:rPr>
          <w:t>logique</w:t>
        </w:r>
      </w:hyperlink>
      <w:r w:rsidRPr="005953E0">
        <w:rPr>
          <w:rFonts w:asciiTheme="majorBidi" w:hAnsiTheme="majorBidi" w:cstheme="majorBidi"/>
          <w:sz w:val="24"/>
          <w:szCs w:val="24"/>
        </w:rPr>
        <w:t xml:space="preserve"> formelle, et selon </w:t>
      </w:r>
      <w:hyperlink r:id="rId102" w:tooltip="Ferdinand de Saussure" w:history="1">
        <w:r w:rsidRPr="005953E0">
          <w:rPr>
            <w:rFonts w:asciiTheme="majorBidi" w:hAnsiTheme="majorBidi" w:cstheme="majorBidi"/>
            <w:sz w:val="24"/>
            <w:szCs w:val="24"/>
          </w:rPr>
          <w:t>Saussure</w:t>
        </w:r>
      </w:hyperlink>
      <w:r w:rsidRPr="005953E0">
        <w:rPr>
          <w:rStyle w:val="Appelnotedebasdep"/>
          <w:rFonts w:asciiTheme="majorBidi" w:hAnsiTheme="majorBidi" w:cstheme="majorBidi"/>
          <w:sz w:val="24"/>
          <w:szCs w:val="24"/>
        </w:rPr>
        <w:footnoteReference w:id="239"/>
      </w:r>
      <w:r w:rsidRPr="005953E0">
        <w:rPr>
          <w:rFonts w:asciiTheme="majorBidi" w:hAnsiTheme="majorBidi" w:cstheme="majorBidi"/>
          <w:sz w:val="24"/>
          <w:szCs w:val="24"/>
        </w:rPr>
        <w:t xml:space="preserve"> dans la </w:t>
      </w:r>
      <w:hyperlink r:id="rId103" w:tooltip="Linguistique" w:history="1">
        <w:r w:rsidRPr="005953E0">
          <w:rPr>
            <w:rFonts w:asciiTheme="majorBidi" w:hAnsiTheme="majorBidi" w:cstheme="majorBidi"/>
            <w:sz w:val="24"/>
            <w:szCs w:val="24"/>
          </w:rPr>
          <w:t>linguistique</w:t>
        </w:r>
      </w:hyperlink>
      <w:r w:rsidRPr="005953E0">
        <w:rPr>
          <w:rFonts w:asciiTheme="majorBidi" w:hAnsiTheme="majorBidi" w:cstheme="majorBidi"/>
          <w:sz w:val="24"/>
          <w:szCs w:val="24"/>
        </w:rPr>
        <w:t>. Elle prend de plus en plus d'importance au regard des sciences et de la technologie.</w:t>
      </w:r>
    </w:p>
    <w:p w:rsidR="006A4EED" w:rsidRPr="005953E0" w:rsidRDefault="006A4EED" w:rsidP="005953E0">
      <w:pPr>
        <w:autoSpaceDE w:val="0"/>
        <w:autoSpaceDN w:val="0"/>
        <w:adjustRightInd w:val="0"/>
        <w:spacing w:after="0" w:line="360" w:lineRule="auto"/>
        <w:ind w:firstLine="284"/>
        <w:jc w:val="both"/>
        <w:rPr>
          <w:rFonts w:asciiTheme="majorBidi" w:hAnsiTheme="majorBidi" w:cstheme="majorBidi"/>
          <w:sz w:val="24"/>
          <w:szCs w:val="24"/>
        </w:rPr>
      </w:pPr>
      <w:r w:rsidRPr="005953E0">
        <w:rPr>
          <w:rFonts w:asciiTheme="majorBidi" w:hAnsiTheme="majorBidi" w:cstheme="majorBidi"/>
          <w:sz w:val="24"/>
          <w:szCs w:val="24"/>
        </w:rPr>
        <w:t xml:space="preserve">En revenant à la littérature, force est de constater que la conception sémiotique du récit est extrêmement large : elle recouvre tout discours exprimant une transformation, le passage d’un état à un autre, qu’il s’agisse de récits littéraires ou de recettes de cuisine, de scénarios de films ou encore, par exemple, de la description de réactions chimiques. </w:t>
      </w:r>
    </w:p>
    <w:p w:rsidR="006A4EED" w:rsidRPr="005953E0" w:rsidRDefault="006A4EED" w:rsidP="005953E0">
      <w:pPr>
        <w:autoSpaceDE w:val="0"/>
        <w:autoSpaceDN w:val="0"/>
        <w:adjustRightInd w:val="0"/>
        <w:spacing w:after="0" w:line="360" w:lineRule="auto"/>
        <w:ind w:firstLine="284"/>
        <w:jc w:val="both"/>
        <w:rPr>
          <w:rFonts w:ascii="Times New Roman" w:hAnsi="Times New Roman"/>
          <w:sz w:val="24"/>
          <w:szCs w:val="24"/>
        </w:rPr>
      </w:pPr>
      <w:r w:rsidRPr="005953E0">
        <w:rPr>
          <w:rFonts w:ascii="Times New Roman" w:hAnsi="Times New Roman"/>
          <w:sz w:val="24"/>
          <w:szCs w:val="24"/>
        </w:rPr>
        <w:t>Analysons avec Keršytė quelques fondements de la narratologie et de la sémiotique narrative</w:t>
      </w:r>
      <w:r w:rsidRPr="005953E0">
        <w:rPr>
          <w:rStyle w:val="Appelnotedebasdep"/>
          <w:rFonts w:ascii="Times New Roman" w:hAnsi="Times New Roman"/>
          <w:sz w:val="24"/>
          <w:szCs w:val="24"/>
        </w:rPr>
        <w:footnoteReference w:id="240"/>
      </w:r>
    </w:p>
    <w:p w:rsidR="006A4EED" w:rsidRPr="005953E0" w:rsidRDefault="006A4EED" w:rsidP="005953E0">
      <w:pPr>
        <w:autoSpaceDE w:val="0"/>
        <w:autoSpaceDN w:val="0"/>
        <w:adjustRightInd w:val="0"/>
        <w:spacing w:after="0" w:line="360" w:lineRule="auto"/>
        <w:ind w:firstLine="284"/>
        <w:jc w:val="both"/>
        <w:rPr>
          <w:rFonts w:ascii="Times New Roman" w:hAnsi="Times New Roman"/>
          <w:sz w:val="24"/>
          <w:szCs w:val="24"/>
        </w:rPr>
      </w:pPr>
      <w:r w:rsidRPr="005953E0">
        <w:rPr>
          <w:rFonts w:ascii="Times New Roman" w:hAnsi="Times New Roman"/>
          <w:sz w:val="24"/>
          <w:szCs w:val="24"/>
        </w:rPr>
        <w:t>Pour appréhender et expliquer les structures narratives universelles, inhérentes à tout discours il convient de prendre pour objet d’analyse le contenu, ou plutôt la “forme du contenu” des récits, en laissant de côté la substance de l’expression (verbale, visuelle, gestuelle) du discours.</w:t>
      </w:r>
    </w:p>
    <w:p w:rsidR="006A4EED" w:rsidRPr="005953E0" w:rsidRDefault="006A4EED" w:rsidP="005953E0">
      <w:pPr>
        <w:autoSpaceDE w:val="0"/>
        <w:autoSpaceDN w:val="0"/>
        <w:adjustRightInd w:val="0"/>
        <w:spacing w:after="0" w:line="360" w:lineRule="auto"/>
        <w:ind w:firstLine="284"/>
        <w:jc w:val="both"/>
        <w:rPr>
          <w:rFonts w:ascii="Times New Roman" w:hAnsi="Times New Roman"/>
          <w:sz w:val="24"/>
          <w:szCs w:val="24"/>
        </w:rPr>
      </w:pPr>
      <w:r w:rsidRPr="005953E0">
        <w:rPr>
          <w:rFonts w:ascii="Times New Roman" w:hAnsi="Times New Roman"/>
          <w:sz w:val="24"/>
          <w:szCs w:val="24"/>
        </w:rPr>
        <w:t>Keršytė observe que la sémiotique narrative de Greimas et la narratologie de Gérard Genette sont deux approches structurales différentes qui peuvent être différemment exploitées et regorgent chacune d’originalités. Nous livrons ci-dessous la substance de son analyse comparative</w:t>
      </w:r>
      <w:r w:rsidRPr="005953E0">
        <w:rPr>
          <w:rStyle w:val="Appelnotedebasdep"/>
          <w:rFonts w:ascii="Times New Roman" w:hAnsi="Times New Roman"/>
          <w:sz w:val="24"/>
          <w:szCs w:val="24"/>
        </w:rPr>
        <w:footnoteReference w:id="241"/>
      </w:r>
      <w:r w:rsidRPr="005953E0">
        <w:rPr>
          <w:rFonts w:ascii="Times New Roman" w:hAnsi="Times New Roman"/>
          <w:sz w:val="24"/>
          <w:szCs w:val="24"/>
        </w:rPr>
        <w:t>.</w:t>
      </w:r>
    </w:p>
    <w:p w:rsidR="006A4EED" w:rsidRPr="004F5262" w:rsidRDefault="006A4EED" w:rsidP="005953E0">
      <w:pPr>
        <w:autoSpaceDE w:val="0"/>
        <w:autoSpaceDN w:val="0"/>
        <w:adjustRightInd w:val="0"/>
        <w:spacing w:after="0" w:line="360" w:lineRule="auto"/>
        <w:ind w:firstLine="284"/>
        <w:jc w:val="both"/>
        <w:rPr>
          <w:rFonts w:ascii="Times New Roman" w:hAnsi="Times New Roman"/>
          <w:sz w:val="24"/>
          <w:szCs w:val="24"/>
        </w:rPr>
      </w:pPr>
      <w:r w:rsidRPr="005953E0">
        <w:rPr>
          <w:rFonts w:ascii="Times New Roman" w:hAnsi="Times New Roman"/>
          <w:sz w:val="24"/>
          <w:szCs w:val="24"/>
        </w:rPr>
        <w:lastRenderedPageBreak/>
        <w:t>Ainsi, chez Genette, le champ de recherche de la narratologie se limite à l’analyse du récit au sens étroit, c’est-à-dire de certains discours verbaux relatant des actions et des événements, à l’exclusion d’autres discours verbaux (le drame), non-</w:t>
      </w:r>
      <w:r w:rsidRPr="004F5262">
        <w:rPr>
          <w:rFonts w:ascii="Times New Roman" w:hAnsi="Times New Roman"/>
          <w:sz w:val="24"/>
          <w:szCs w:val="24"/>
        </w:rPr>
        <w:t xml:space="preserve">verbaux (la peinture figurative) ou mixtes (le cinéma), qui certes traitent aussi de l’action mais la mettent en scène, la “représentent” plutôt qu’ils ne la racontent. Le but de Genette est de décrire la spécificité du discours narratif verbal, laquelle réside davantage dans la manière de présenter l’histoire que dans le récit. Genette dit de sa théorie qu’elle est “formelle”, ou “modale” (Genette, 1983 : 12). Pour Genette au contraire, l’instance du discours, l’énonciateur-narrateur, n’existe nulle part ailleurs qu’à l’intérieur du discours narratif lui-même. Alors qu’en sémiotique l’énonciateur est considéré comme un </w:t>
      </w:r>
      <w:r w:rsidRPr="004F5262">
        <w:rPr>
          <w:rFonts w:ascii="Times New Roman" w:hAnsi="Times New Roman"/>
          <w:i/>
          <w:iCs/>
          <w:sz w:val="24"/>
          <w:szCs w:val="24"/>
        </w:rPr>
        <w:t xml:space="preserve">sujet cognitif </w:t>
      </w:r>
      <w:r w:rsidRPr="004F5262">
        <w:rPr>
          <w:rFonts w:ascii="Times New Roman" w:hAnsi="Times New Roman"/>
          <w:sz w:val="24"/>
          <w:szCs w:val="24"/>
        </w:rPr>
        <w:t xml:space="preserve">présupposé, producteur des énoncés (quelle qu’en soit la substance, linguistique ou autre), en narratologie l’énonciateur-narrateur est avant tout une instance verbale : c’est le </w:t>
      </w:r>
      <w:r w:rsidRPr="004F5262">
        <w:rPr>
          <w:rFonts w:ascii="Times New Roman" w:hAnsi="Times New Roman"/>
          <w:i/>
          <w:iCs/>
          <w:sz w:val="24"/>
          <w:szCs w:val="24"/>
        </w:rPr>
        <w:t>sujet discursif</w:t>
      </w:r>
      <w:r w:rsidRPr="004F5262">
        <w:rPr>
          <w:rFonts w:ascii="Times New Roman" w:hAnsi="Times New Roman"/>
          <w:sz w:val="24"/>
          <w:szCs w:val="24"/>
        </w:rPr>
        <w:t xml:space="preserve">, le </w:t>
      </w:r>
      <w:r w:rsidRPr="004F5262">
        <w:rPr>
          <w:rFonts w:ascii="Times New Roman" w:hAnsi="Times New Roman"/>
          <w:i/>
          <w:iCs/>
          <w:sz w:val="24"/>
          <w:szCs w:val="24"/>
        </w:rPr>
        <w:t>sujet parlant</w:t>
      </w:r>
      <w:r w:rsidRPr="004F5262">
        <w:rPr>
          <w:rFonts w:ascii="Times New Roman" w:hAnsi="Times New Roman"/>
          <w:sz w:val="24"/>
          <w:szCs w:val="24"/>
        </w:rPr>
        <w:t>. En tant qu’énonciateur inclus dans le récit, il se manifeste dans le discours narratif non pas à travers ses délégués mais directement par son discours verbal, selon toutes les fonctions qui, en sémiotique, sont distribuées entre les différentes instances énonciatives ou actants discursifs (l’observateur, l’informateur, etc.).</w:t>
      </w:r>
    </w:p>
    <w:p w:rsidR="006A4EED" w:rsidRPr="005953E0" w:rsidRDefault="006A4EED" w:rsidP="005953E0">
      <w:pPr>
        <w:autoSpaceDE w:val="0"/>
        <w:autoSpaceDN w:val="0"/>
        <w:adjustRightInd w:val="0"/>
        <w:spacing w:after="0" w:line="360" w:lineRule="auto"/>
        <w:ind w:firstLine="284"/>
        <w:jc w:val="both"/>
        <w:rPr>
          <w:rFonts w:ascii="Times New Roman" w:hAnsi="Times New Roman"/>
          <w:sz w:val="24"/>
          <w:szCs w:val="24"/>
        </w:rPr>
      </w:pPr>
      <w:r w:rsidRPr="005953E0">
        <w:rPr>
          <w:rFonts w:ascii="Times New Roman" w:hAnsi="Times New Roman"/>
          <w:sz w:val="24"/>
          <w:szCs w:val="24"/>
        </w:rPr>
        <w:t xml:space="preserve">Chez Greimas, en revanche, l’instance discursive, l’énonciateur, est hors du discours. </w:t>
      </w:r>
      <w:proofErr w:type="gramStart"/>
      <w:r w:rsidRPr="005953E0">
        <w:rPr>
          <w:rFonts w:ascii="Times New Roman" w:hAnsi="Times New Roman"/>
          <w:sz w:val="24"/>
          <w:szCs w:val="24"/>
        </w:rPr>
        <w:t>Cet</w:t>
      </w:r>
      <w:proofErr w:type="gramEnd"/>
      <w:r w:rsidRPr="005953E0">
        <w:rPr>
          <w:rFonts w:ascii="Times New Roman" w:hAnsi="Times New Roman"/>
          <w:sz w:val="24"/>
          <w:szCs w:val="24"/>
        </w:rPr>
        <w:t xml:space="preserve">  «auteur » ou du « créateur », appartient à la “réalité”. Un objet difficile à analyser du point de vue sémiotique où l’on décrit des représentations ou des images de la réalité.  L’acte d’énonciation proprement dit et son auteur, l’énonciateur réel, ne sont pas de la même façon, analysables sémiotiquement, ils ne peuvent être que présupposés par le discours. Ce n’est qu’à l’intérieur du discours, que l’énonciateur se manifestera par certaines “traces”, par ses “délégués” ou ses “simulacres”.</w:t>
      </w:r>
    </w:p>
    <w:p w:rsidR="006A4EED" w:rsidRPr="005953E0" w:rsidRDefault="006A4EED" w:rsidP="005953E0">
      <w:pPr>
        <w:autoSpaceDE w:val="0"/>
        <w:autoSpaceDN w:val="0"/>
        <w:adjustRightInd w:val="0"/>
        <w:spacing w:after="0" w:line="360" w:lineRule="auto"/>
        <w:ind w:firstLine="284"/>
        <w:jc w:val="both"/>
        <w:rPr>
          <w:rFonts w:ascii="Times New Roman" w:hAnsi="Times New Roman"/>
          <w:sz w:val="24"/>
          <w:szCs w:val="24"/>
        </w:rPr>
      </w:pPr>
      <w:r w:rsidRPr="005953E0">
        <w:rPr>
          <w:rFonts w:ascii="Times New Roman" w:hAnsi="Times New Roman"/>
          <w:sz w:val="24"/>
          <w:szCs w:val="24"/>
        </w:rPr>
        <w:t>Le but de Genette se situe donc à l’opposé de celui de Greimas, mais d’après Keršytė, les différences entre ces deux approches ne sont pas si radicales qu’elles en deviennent incompatibles</w:t>
      </w:r>
      <w:r w:rsidRPr="005953E0">
        <w:rPr>
          <w:rStyle w:val="Appelnotedebasdep"/>
          <w:rFonts w:ascii="Times New Roman" w:hAnsi="Times New Roman"/>
          <w:sz w:val="24"/>
          <w:szCs w:val="24"/>
        </w:rPr>
        <w:footnoteReference w:id="242"/>
      </w:r>
      <w:r w:rsidRPr="005953E0">
        <w:rPr>
          <w:rFonts w:ascii="Times New Roman" w:hAnsi="Times New Roman"/>
          <w:sz w:val="24"/>
          <w:szCs w:val="24"/>
        </w:rPr>
        <w:t xml:space="preserve">. Selon Keršytė, la sémiotique ne doit d’ailleurs pas être vue sous un angle enfermé. Au départ en effet, la sémiotique narrative ne s’est intéressée qu’au contenu des discours. Mais par la suite, les questions concernant </w:t>
      </w:r>
      <w:r w:rsidRPr="005953E0">
        <w:rPr>
          <w:rFonts w:ascii="Times New Roman" w:hAnsi="Times New Roman"/>
          <w:sz w:val="24"/>
          <w:szCs w:val="24"/>
        </w:rPr>
        <w:lastRenderedPageBreak/>
        <w:t>l’énonciation ont été intégrées à l’analyse, mais toujours selon la même perspective universaliste. Une approche ouverte est donc utile sur la question.</w:t>
      </w:r>
    </w:p>
    <w:p w:rsidR="006A4EED" w:rsidRPr="004F5262" w:rsidRDefault="006A4EED" w:rsidP="005953E0">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En réalité, au-delà des approches, ce qui intéresse véritablement les sémioticiens, ce n’est pas la spécificité du récit verbal mais le rapport entre une énonciation quelconque (linguistique, visuelle ou autre) et l’énoncé. Dans cette perspective, contrairement à la narratologie, elle définit le niveau discursif du récit (celui où se situent les instances de l’énonciateur et de l’énonciataire) comme </w:t>
      </w:r>
      <w:r w:rsidRPr="004F5262">
        <w:rPr>
          <w:rFonts w:ascii="Times New Roman" w:hAnsi="Times New Roman"/>
          <w:i/>
          <w:iCs/>
          <w:sz w:val="24"/>
          <w:szCs w:val="24"/>
        </w:rPr>
        <w:t xml:space="preserve">cognitif </w:t>
      </w:r>
      <w:r w:rsidRPr="004F5262">
        <w:rPr>
          <w:rFonts w:ascii="Times New Roman" w:hAnsi="Times New Roman"/>
          <w:sz w:val="24"/>
          <w:szCs w:val="24"/>
        </w:rPr>
        <w:t>et non comme “</w:t>
      </w:r>
      <w:r w:rsidRPr="004F5262">
        <w:rPr>
          <w:rFonts w:ascii="Times New Roman" w:hAnsi="Times New Roman"/>
          <w:i/>
          <w:iCs/>
          <w:sz w:val="24"/>
          <w:szCs w:val="24"/>
        </w:rPr>
        <w:t>verbal</w:t>
      </w:r>
      <w:r w:rsidRPr="004F5262">
        <w:rPr>
          <w:rFonts w:ascii="Times New Roman" w:hAnsi="Times New Roman"/>
          <w:sz w:val="24"/>
          <w:szCs w:val="24"/>
        </w:rPr>
        <w:t>”</w:t>
      </w:r>
      <w:r w:rsidRPr="004F5262">
        <w:rPr>
          <w:rStyle w:val="Appelnotedebasdep"/>
          <w:rFonts w:ascii="Times New Roman" w:hAnsi="Times New Roman"/>
          <w:szCs w:val="24"/>
        </w:rPr>
        <w:footnoteReference w:id="243"/>
      </w:r>
      <w:r w:rsidRPr="004F5262">
        <w:rPr>
          <w:rFonts w:ascii="Times New Roman" w:hAnsi="Times New Roman"/>
          <w:sz w:val="24"/>
          <w:szCs w:val="24"/>
        </w:rPr>
        <w:t>.</w:t>
      </w:r>
    </w:p>
    <w:p w:rsidR="006A4EED" w:rsidRPr="004F5262" w:rsidRDefault="006A4EED" w:rsidP="00C179FD">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Plutôt donc que d’opposer les deux théories en question, nous les considérons avec Keršytė comme complémentaires l’une par rapport l’autre et chercherons à les utiliser d’une manière nouvelle en vue d’analyser les textes littéraires soumis à notre examen.</w:t>
      </w:r>
    </w:p>
    <w:p w:rsidR="006A4EED" w:rsidRPr="004F5262" w:rsidRDefault="006A4EED" w:rsidP="006A4EED">
      <w:pPr>
        <w:autoSpaceDE w:val="0"/>
        <w:autoSpaceDN w:val="0"/>
        <w:adjustRightInd w:val="0"/>
        <w:spacing w:after="0" w:line="360" w:lineRule="auto"/>
        <w:jc w:val="both"/>
        <w:rPr>
          <w:rFonts w:ascii="Times New Roman" w:hAnsi="Times New Roman"/>
          <w:sz w:val="24"/>
          <w:szCs w:val="24"/>
        </w:rPr>
      </w:pPr>
    </w:p>
    <w:p w:rsidR="00F64DE4" w:rsidRPr="00C179FD" w:rsidRDefault="00C179FD" w:rsidP="00C179FD">
      <w:pPr>
        <w:pStyle w:val="Titre3"/>
        <w:spacing w:before="0" w:after="0" w:line="360" w:lineRule="auto"/>
        <w:ind w:left="641" w:hanging="357"/>
        <w:jc w:val="both"/>
        <w:rPr>
          <w:rFonts w:ascii="Times New Roman" w:hAnsi="Times New Roman" w:cs="Times New Roman"/>
          <w:sz w:val="24"/>
          <w:szCs w:val="24"/>
        </w:rPr>
      </w:pPr>
      <w:bookmarkStart w:id="149" w:name="_Toc471484517"/>
      <w:r w:rsidRPr="00C179FD">
        <w:rPr>
          <w:rFonts w:ascii="Times New Roman" w:hAnsi="Times New Roman" w:cs="Times New Roman"/>
          <w:sz w:val="24"/>
          <w:szCs w:val="24"/>
        </w:rPr>
        <w:t>2. La</w:t>
      </w:r>
      <w:r w:rsidR="00F64DE4" w:rsidRPr="00C179FD">
        <w:rPr>
          <w:rFonts w:ascii="Times New Roman" w:hAnsi="Times New Roman" w:cs="Times New Roman"/>
          <w:sz w:val="24"/>
          <w:szCs w:val="24"/>
        </w:rPr>
        <w:t xml:space="preserve"> sémiotique discursive</w:t>
      </w:r>
      <w:bookmarkEnd w:id="149"/>
    </w:p>
    <w:p w:rsidR="00D66271" w:rsidRPr="004F5262" w:rsidRDefault="00E55F0F" w:rsidP="00C179FD">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Sémioticien français reconnu, Denis Bertrand a consacré plusieurs travaux </w:t>
      </w:r>
      <w:r w:rsidR="00864BA3" w:rsidRPr="004F5262">
        <w:rPr>
          <w:rFonts w:ascii="Times New Roman" w:hAnsi="Times New Roman"/>
          <w:sz w:val="24"/>
          <w:szCs w:val="24"/>
        </w:rPr>
        <w:t>à</w:t>
      </w:r>
      <w:r w:rsidRPr="004F5262">
        <w:rPr>
          <w:rFonts w:ascii="Times New Roman" w:hAnsi="Times New Roman"/>
          <w:sz w:val="24"/>
          <w:szCs w:val="24"/>
        </w:rPr>
        <w:t xml:space="preserve"> l’univers de la sémiotique du discours, entre phénoménologie, rhétorique et figurativité. En abordant la sémiotique</w:t>
      </w:r>
      <w:r w:rsidR="00864BA3" w:rsidRPr="004F5262">
        <w:rPr>
          <w:rFonts w:ascii="Times New Roman" w:hAnsi="Times New Roman"/>
          <w:sz w:val="24"/>
          <w:szCs w:val="24"/>
        </w:rPr>
        <w:t xml:space="preserve"> du discours,</w:t>
      </w:r>
      <w:r w:rsidRPr="004F5262">
        <w:rPr>
          <w:rFonts w:ascii="Times New Roman" w:hAnsi="Times New Roman"/>
          <w:sz w:val="24"/>
          <w:szCs w:val="24"/>
        </w:rPr>
        <w:t xml:space="preserve"> Bertrand y voit d’abord l’histoire des formes littéraires, les aspects méthodologiques de l’histoire littéraire, le travail sur les textes et les œuvres</w:t>
      </w:r>
      <w:r w:rsidRPr="004F5262">
        <w:rPr>
          <w:rStyle w:val="Appelnotedebasdep"/>
          <w:rFonts w:ascii="Times New Roman" w:hAnsi="Times New Roman"/>
          <w:sz w:val="24"/>
          <w:szCs w:val="24"/>
        </w:rPr>
        <w:footnoteReference w:id="244"/>
      </w:r>
      <w:r w:rsidRPr="004F5262">
        <w:rPr>
          <w:rFonts w:ascii="Times New Roman" w:hAnsi="Times New Roman"/>
          <w:sz w:val="24"/>
          <w:szCs w:val="24"/>
        </w:rPr>
        <w:t>. </w:t>
      </w:r>
      <w:r w:rsidR="00D66271" w:rsidRPr="004F5262">
        <w:rPr>
          <w:rFonts w:ascii="Times New Roman" w:hAnsi="Times New Roman"/>
          <w:sz w:val="24"/>
          <w:szCs w:val="24"/>
        </w:rPr>
        <w:t xml:space="preserve">Bertrand donne donc d’abord à la sémiotique un </w:t>
      </w:r>
      <w:r w:rsidR="00864BA3" w:rsidRPr="004F5262">
        <w:rPr>
          <w:rFonts w:ascii="Times New Roman" w:hAnsi="Times New Roman"/>
          <w:sz w:val="24"/>
          <w:szCs w:val="24"/>
        </w:rPr>
        <w:t>rôle</w:t>
      </w:r>
      <w:r w:rsidR="00D66271" w:rsidRPr="004F5262">
        <w:rPr>
          <w:rFonts w:ascii="Times New Roman" w:hAnsi="Times New Roman"/>
          <w:sz w:val="24"/>
          <w:szCs w:val="24"/>
        </w:rPr>
        <w:t xml:space="preserve"> </w:t>
      </w:r>
      <w:r w:rsidR="00864BA3" w:rsidRPr="004F5262">
        <w:rPr>
          <w:rFonts w:ascii="Times New Roman" w:hAnsi="Times New Roman"/>
          <w:sz w:val="24"/>
          <w:szCs w:val="24"/>
        </w:rPr>
        <w:t xml:space="preserve">de lecture et </w:t>
      </w:r>
      <w:r w:rsidR="00D66271" w:rsidRPr="004F5262">
        <w:rPr>
          <w:rFonts w:ascii="Times New Roman" w:hAnsi="Times New Roman"/>
          <w:sz w:val="24"/>
          <w:szCs w:val="24"/>
        </w:rPr>
        <w:t>d’interprétation du langage</w:t>
      </w:r>
      <w:r w:rsidR="00D66271" w:rsidRPr="004F5262">
        <w:rPr>
          <w:rStyle w:val="Appelnotedebasdep"/>
          <w:rFonts w:ascii="Times New Roman" w:hAnsi="Times New Roman"/>
          <w:sz w:val="24"/>
          <w:szCs w:val="24"/>
        </w:rPr>
        <w:footnoteReference w:id="245"/>
      </w:r>
      <w:r w:rsidR="00D66271" w:rsidRPr="004F5262">
        <w:rPr>
          <w:rFonts w:ascii="Times New Roman" w:hAnsi="Times New Roman"/>
          <w:sz w:val="24"/>
          <w:szCs w:val="24"/>
        </w:rPr>
        <w:t xml:space="preserve">. Dans la foulée, Bertrand proposera d’ailleurs une approche </w:t>
      </w:r>
      <w:r w:rsidR="00864BA3" w:rsidRPr="004F5262">
        <w:rPr>
          <w:rFonts w:ascii="Times New Roman" w:hAnsi="Times New Roman"/>
          <w:sz w:val="24"/>
          <w:szCs w:val="24"/>
        </w:rPr>
        <w:t xml:space="preserve">novatrice </w:t>
      </w:r>
      <w:r w:rsidR="00D66271" w:rsidRPr="004F5262">
        <w:rPr>
          <w:rFonts w:ascii="Times New Roman" w:hAnsi="Times New Roman"/>
          <w:sz w:val="24"/>
          <w:szCs w:val="24"/>
        </w:rPr>
        <w:t>de la sémiotique des discours, spécialité qui selon lui ;</w:t>
      </w:r>
    </w:p>
    <w:p w:rsidR="00E55F0F" w:rsidRPr="00C179FD" w:rsidRDefault="00D66271" w:rsidP="00C179FD">
      <w:pPr>
        <w:pStyle w:val="Citationintense"/>
        <w:spacing w:before="0" w:after="0"/>
        <w:ind w:left="567" w:right="0"/>
        <w:rPr>
          <w:sz w:val="20"/>
          <w:szCs w:val="20"/>
        </w:rPr>
      </w:pPr>
      <w:proofErr w:type="gramStart"/>
      <w:r w:rsidRPr="00C179FD">
        <w:rPr>
          <w:sz w:val="20"/>
          <w:szCs w:val="20"/>
        </w:rPr>
        <w:t>permet</w:t>
      </w:r>
      <w:proofErr w:type="gramEnd"/>
      <w:r w:rsidRPr="00C179FD">
        <w:rPr>
          <w:sz w:val="20"/>
          <w:szCs w:val="20"/>
        </w:rPr>
        <w:t>, à partir de ses hypothèses théoriques et de ses instruments de méthode, d’établir des passerelles entre les différents domaines, de les réfléchir ensemble, d’appréhender textes et discours en fonction de leurs finalités sociales et des axiologies culturelles (esthétiques, fonctionnelles, etc.) qu’elles mobilisent, et surtout de rapporter les formes sociales de l’identité à la médiation du langage</w:t>
      </w:r>
      <w:r w:rsidR="00C179FD" w:rsidRPr="00C179FD">
        <w:rPr>
          <w:sz w:val="20"/>
          <w:szCs w:val="20"/>
        </w:rPr>
        <w:t>.</w:t>
      </w:r>
      <w:r w:rsidRPr="00C179FD">
        <w:rPr>
          <w:rStyle w:val="Appelnotedebasdep"/>
          <w:sz w:val="20"/>
          <w:szCs w:val="20"/>
        </w:rPr>
        <w:footnoteReference w:id="246"/>
      </w:r>
    </w:p>
    <w:p w:rsidR="00C179FD" w:rsidRDefault="00C179FD" w:rsidP="00F64DE4">
      <w:pPr>
        <w:autoSpaceDE w:val="0"/>
        <w:autoSpaceDN w:val="0"/>
        <w:adjustRightInd w:val="0"/>
        <w:spacing w:after="0" w:line="360" w:lineRule="auto"/>
        <w:ind w:firstLine="708"/>
        <w:jc w:val="both"/>
        <w:rPr>
          <w:rFonts w:ascii="Times New Roman" w:hAnsi="Times New Roman"/>
          <w:sz w:val="24"/>
          <w:szCs w:val="24"/>
        </w:rPr>
      </w:pPr>
    </w:p>
    <w:p w:rsidR="00E55F0F" w:rsidRPr="004F5262" w:rsidRDefault="00D66271" w:rsidP="00C179FD">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Un axe de recherche </w:t>
      </w:r>
      <w:r w:rsidR="00864BA3" w:rsidRPr="004F5262">
        <w:rPr>
          <w:rFonts w:ascii="Times New Roman" w:hAnsi="Times New Roman"/>
          <w:sz w:val="24"/>
          <w:szCs w:val="24"/>
        </w:rPr>
        <w:t>complémentaire</w:t>
      </w:r>
      <w:r w:rsidRPr="004F5262">
        <w:rPr>
          <w:rFonts w:ascii="Times New Roman" w:hAnsi="Times New Roman"/>
          <w:sz w:val="24"/>
          <w:szCs w:val="24"/>
        </w:rPr>
        <w:t xml:space="preserve"> est celui des liens, réactivés, entre sémiotique et rhétorique. Des auteurs comme J. Fontanille ont proposé </w:t>
      </w:r>
      <w:r w:rsidR="00733C92" w:rsidRPr="004F5262">
        <w:rPr>
          <w:rFonts w:ascii="Times New Roman" w:hAnsi="Times New Roman"/>
          <w:sz w:val="24"/>
          <w:szCs w:val="24"/>
        </w:rPr>
        <w:t>de revisiter</w:t>
      </w:r>
      <w:r w:rsidRPr="004F5262">
        <w:rPr>
          <w:rFonts w:ascii="Times New Roman" w:hAnsi="Times New Roman"/>
          <w:sz w:val="24"/>
          <w:szCs w:val="24"/>
        </w:rPr>
        <w:t xml:space="preserve"> des tra</w:t>
      </w:r>
      <w:r w:rsidR="00733C92" w:rsidRPr="004F5262">
        <w:rPr>
          <w:rFonts w:ascii="Times New Roman" w:hAnsi="Times New Roman"/>
          <w:sz w:val="24"/>
          <w:szCs w:val="24"/>
        </w:rPr>
        <w:t>vaux de la rhétorique générale et</w:t>
      </w:r>
      <w:r w:rsidRPr="004F5262">
        <w:rPr>
          <w:rFonts w:ascii="Times New Roman" w:hAnsi="Times New Roman"/>
          <w:sz w:val="24"/>
          <w:szCs w:val="24"/>
        </w:rPr>
        <w:t xml:space="preserve"> permis de renouveler l’approche</w:t>
      </w:r>
      <w:r w:rsidR="00733C92" w:rsidRPr="004F5262">
        <w:rPr>
          <w:rFonts w:ascii="Times New Roman" w:hAnsi="Times New Roman"/>
          <w:sz w:val="24"/>
          <w:szCs w:val="24"/>
        </w:rPr>
        <w:t xml:space="preserve"> sur la </w:t>
      </w:r>
      <w:r w:rsidR="00733C92" w:rsidRPr="004F5262">
        <w:rPr>
          <w:rFonts w:ascii="Times New Roman" w:hAnsi="Times New Roman"/>
          <w:sz w:val="24"/>
          <w:szCs w:val="24"/>
        </w:rPr>
        <w:lastRenderedPageBreak/>
        <w:t>sémiotique du discours. Ainsi, en faisant ressortir par exemple l’importance de l’argumentation figurative, des objets comme le sensible ou le passionnel ont été remis au cœur du débat, ouvrant des voies nouvelles à la problématique des interactions discursives</w:t>
      </w:r>
      <w:r w:rsidR="00733C92" w:rsidRPr="004F5262">
        <w:rPr>
          <w:rStyle w:val="Appelnotedebasdep"/>
          <w:rFonts w:ascii="Times New Roman" w:hAnsi="Times New Roman"/>
          <w:sz w:val="24"/>
          <w:szCs w:val="24"/>
        </w:rPr>
        <w:footnoteReference w:id="247"/>
      </w:r>
      <w:r w:rsidR="00EE33C0" w:rsidRPr="004F5262">
        <w:rPr>
          <w:rFonts w:ascii="Times New Roman" w:hAnsi="Times New Roman"/>
          <w:sz w:val="24"/>
          <w:szCs w:val="24"/>
        </w:rPr>
        <w:t>. C’est sur cette base que Bertrand a développé tout un champ de la sémiotique discursive orientée vers la communication et la persuasion</w:t>
      </w:r>
      <w:r w:rsidR="00864BA3" w:rsidRPr="004F5262">
        <w:rPr>
          <w:rFonts w:ascii="Times New Roman" w:hAnsi="Times New Roman"/>
          <w:sz w:val="24"/>
          <w:szCs w:val="24"/>
        </w:rPr>
        <w:t xml:space="preserve"> qui fait aujourd’hui référence pour l’analyse, par exemple, du sens et des signes dans des discours politiques</w:t>
      </w:r>
      <w:r w:rsidR="00EE33C0" w:rsidRPr="004F5262">
        <w:rPr>
          <w:rStyle w:val="Appelnotedebasdep"/>
          <w:rFonts w:ascii="Times New Roman" w:hAnsi="Times New Roman"/>
          <w:sz w:val="24"/>
          <w:szCs w:val="24"/>
        </w:rPr>
        <w:footnoteReference w:id="248"/>
      </w:r>
      <w:r w:rsidR="00EE33C0" w:rsidRPr="004F5262">
        <w:rPr>
          <w:rFonts w:ascii="Times New Roman" w:hAnsi="Times New Roman"/>
          <w:sz w:val="24"/>
          <w:szCs w:val="24"/>
        </w:rPr>
        <w:t>.</w:t>
      </w:r>
    </w:p>
    <w:p w:rsidR="00F64DE4" w:rsidRPr="004F5262" w:rsidRDefault="00864BA3" w:rsidP="00F0162D">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Mais comment positionner et distinguer la sémiotique discursive des autres approches sémiotiques ? </w:t>
      </w:r>
      <w:r w:rsidR="00F64DE4" w:rsidRPr="004F5262">
        <w:rPr>
          <w:rFonts w:ascii="Times New Roman" w:hAnsi="Times New Roman"/>
          <w:sz w:val="24"/>
          <w:szCs w:val="24"/>
        </w:rPr>
        <w:t>La sémiotique s’exprime à plusieurs niveaux :</w:t>
      </w:r>
      <w:r w:rsidR="000707B3" w:rsidRPr="004F5262">
        <w:rPr>
          <w:rFonts w:ascii="Times New Roman" w:hAnsi="Times New Roman"/>
          <w:sz w:val="24"/>
          <w:szCs w:val="24"/>
        </w:rPr>
        <w:t xml:space="preserve"> le niveau </w:t>
      </w:r>
      <w:r w:rsidR="00416C10" w:rsidRPr="004F5262">
        <w:rPr>
          <w:rFonts w:ascii="Times New Roman" w:hAnsi="Times New Roman"/>
          <w:sz w:val="24"/>
          <w:szCs w:val="24"/>
        </w:rPr>
        <w:t xml:space="preserve">énonciatif, le niveau </w:t>
      </w:r>
      <w:r w:rsidR="000707B3" w:rsidRPr="004F5262">
        <w:rPr>
          <w:rFonts w:ascii="Times New Roman" w:hAnsi="Times New Roman"/>
          <w:sz w:val="24"/>
          <w:szCs w:val="24"/>
        </w:rPr>
        <w:t>narratif et le niveau discursif</w:t>
      </w:r>
      <w:r w:rsidR="000760DA" w:rsidRPr="004F5262">
        <w:rPr>
          <w:rStyle w:val="Appelnotedebasdep"/>
          <w:rFonts w:ascii="Times New Roman" w:hAnsi="Times New Roman"/>
          <w:sz w:val="24"/>
          <w:szCs w:val="24"/>
        </w:rPr>
        <w:footnoteReference w:id="249"/>
      </w:r>
      <w:r w:rsidR="00F0162D">
        <w:rPr>
          <w:rFonts w:ascii="Times New Roman" w:hAnsi="Times New Roman"/>
          <w:sz w:val="24"/>
          <w:szCs w:val="24"/>
        </w:rPr>
        <w:t>.</w:t>
      </w:r>
    </w:p>
    <w:p w:rsidR="000707B3" w:rsidRPr="004F5262" w:rsidRDefault="000707B3" w:rsidP="00416C10">
      <w:pPr>
        <w:autoSpaceDE w:val="0"/>
        <w:autoSpaceDN w:val="0"/>
        <w:adjustRightInd w:val="0"/>
        <w:spacing w:after="0" w:line="360" w:lineRule="auto"/>
        <w:ind w:firstLine="708"/>
        <w:jc w:val="both"/>
        <w:rPr>
          <w:rFonts w:ascii="Times New Roman" w:hAnsi="Times New Roman"/>
          <w:sz w:val="24"/>
          <w:szCs w:val="24"/>
        </w:rPr>
      </w:pPr>
    </w:p>
    <w:p w:rsidR="00E235DA" w:rsidRPr="00F0162D" w:rsidRDefault="00F0162D" w:rsidP="00F0162D">
      <w:pPr>
        <w:pStyle w:val="Titre4"/>
        <w:tabs>
          <w:tab w:val="left" w:pos="1134"/>
          <w:tab w:val="left" w:pos="1418"/>
        </w:tabs>
        <w:spacing w:before="0" w:after="0" w:line="360" w:lineRule="auto"/>
        <w:ind w:left="641" w:hanging="357"/>
        <w:jc w:val="both"/>
        <w:rPr>
          <w:rFonts w:asciiTheme="majorBidi" w:hAnsiTheme="majorBidi" w:cstheme="majorBidi"/>
          <w:i w:val="0"/>
          <w:iCs/>
        </w:rPr>
      </w:pPr>
      <w:bookmarkStart w:id="150" w:name="_Toc471484518"/>
      <w:r w:rsidRPr="00F0162D">
        <w:rPr>
          <w:rFonts w:asciiTheme="majorBidi" w:hAnsiTheme="majorBidi" w:cstheme="majorBidi"/>
          <w:i w:val="0"/>
          <w:iCs/>
        </w:rPr>
        <w:t>2.1. Le</w:t>
      </w:r>
      <w:r w:rsidR="000707B3" w:rsidRPr="00F0162D">
        <w:rPr>
          <w:rFonts w:asciiTheme="majorBidi" w:hAnsiTheme="majorBidi" w:cstheme="majorBidi"/>
          <w:i w:val="0"/>
          <w:iCs/>
        </w:rPr>
        <w:t xml:space="preserve"> niveau énonciatif</w:t>
      </w:r>
      <w:bookmarkEnd w:id="150"/>
      <w:r w:rsidR="000707B3" w:rsidRPr="00F0162D">
        <w:rPr>
          <w:rFonts w:asciiTheme="majorBidi" w:hAnsiTheme="majorBidi" w:cstheme="majorBidi"/>
          <w:i w:val="0"/>
          <w:iCs/>
        </w:rPr>
        <w:t xml:space="preserve"> </w:t>
      </w:r>
    </w:p>
    <w:p w:rsidR="000707B3" w:rsidRPr="004F5262" w:rsidRDefault="00E235DA" w:rsidP="00F0162D">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Il s’</w:t>
      </w:r>
      <w:r w:rsidR="000707B3" w:rsidRPr="004F5262">
        <w:rPr>
          <w:rFonts w:ascii="Times New Roman" w:hAnsi="Times New Roman"/>
          <w:sz w:val="24"/>
          <w:szCs w:val="24"/>
        </w:rPr>
        <w:t>impose pour chaque texte une « instance d’énonciation », c’est à dire une position à partir de laquelle les éléments narratifs et figuratifs sont disposés et mesurés. Cette instance n’apparaît pas comme telle dans le texte – elle est toujours présupposée. On peut ainsi observer dans les textes des actes d’énonciation représentés (énonciation énoncée) et un jeu parfois subtil (débrayage – embrayage) au niveau de la parole, l’interprétation, l’expression des points de vue (narrateur ou personnages) ainsi dans le texte énoncé</w:t>
      </w:r>
      <w:r w:rsidR="000760DA" w:rsidRPr="004F5262">
        <w:rPr>
          <w:rStyle w:val="Appelnotedebasdep"/>
          <w:rFonts w:ascii="Times New Roman" w:hAnsi="Times New Roman"/>
          <w:sz w:val="24"/>
          <w:szCs w:val="24"/>
        </w:rPr>
        <w:footnoteReference w:id="250"/>
      </w:r>
      <w:r w:rsidR="000707B3" w:rsidRPr="004F5262">
        <w:rPr>
          <w:rFonts w:ascii="Times New Roman" w:hAnsi="Times New Roman"/>
          <w:sz w:val="24"/>
          <w:szCs w:val="24"/>
        </w:rPr>
        <w:t>.</w:t>
      </w:r>
    </w:p>
    <w:p w:rsidR="00E235DA" w:rsidRPr="00FB25B4" w:rsidRDefault="00FB25B4" w:rsidP="00FB25B4">
      <w:pPr>
        <w:pStyle w:val="Titre4"/>
        <w:tabs>
          <w:tab w:val="left" w:pos="1134"/>
          <w:tab w:val="left" w:pos="1418"/>
        </w:tabs>
        <w:spacing w:before="0" w:after="0" w:line="360" w:lineRule="auto"/>
        <w:ind w:left="641" w:hanging="357"/>
        <w:jc w:val="both"/>
        <w:rPr>
          <w:rFonts w:asciiTheme="majorBidi" w:hAnsiTheme="majorBidi" w:cstheme="majorBidi"/>
          <w:i w:val="0"/>
          <w:iCs/>
        </w:rPr>
      </w:pPr>
      <w:bookmarkStart w:id="151" w:name="_Toc471484519"/>
      <w:r w:rsidRPr="00FB25B4">
        <w:rPr>
          <w:rFonts w:asciiTheme="majorBidi" w:hAnsiTheme="majorBidi" w:cstheme="majorBidi"/>
          <w:i w:val="0"/>
          <w:iCs/>
        </w:rPr>
        <w:t>2.2.</w:t>
      </w:r>
      <w:r>
        <w:rPr>
          <w:rFonts w:asciiTheme="majorBidi" w:hAnsiTheme="majorBidi" w:cstheme="majorBidi"/>
          <w:i w:val="0"/>
          <w:iCs/>
        </w:rPr>
        <w:t xml:space="preserve"> </w:t>
      </w:r>
      <w:r w:rsidR="000707B3" w:rsidRPr="00FB25B4">
        <w:rPr>
          <w:rFonts w:asciiTheme="majorBidi" w:hAnsiTheme="majorBidi" w:cstheme="majorBidi"/>
          <w:i w:val="0"/>
          <w:iCs/>
        </w:rPr>
        <w:t>Le niveau narratif</w:t>
      </w:r>
      <w:bookmarkEnd w:id="151"/>
      <w:r w:rsidR="000707B3" w:rsidRPr="00FB25B4">
        <w:rPr>
          <w:rFonts w:asciiTheme="majorBidi" w:hAnsiTheme="majorBidi" w:cstheme="majorBidi"/>
          <w:i w:val="0"/>
          <w:iCs/>
        </w:rPr>
        <w:t xml:space="preserve"> </w:t>
      </w:r>
    </w:p>
    <w:p w:rsidR="000707B3" w:rsidRPr="004F5262" w:rsidRDefault="00E235DA" w:rsidP="00FB25B4">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T</w:t>
      </w:r>
      <w:r w:rsidR="000707B3" w:rsidRPr="004F5262">
        <w:rPr>
          <w:rFonts w:ascii="Times New Roman" w:hAnsi="Times New Roman"/>
          <w:sz w:val="24"/>
          <w:szCs w:val="24"/>
        </w:rPr>
        <w:t>out texte raconte des situations et des actions qui sont organisées et structurées. Cela suppose des rôles et des fonctions tenus par des acteurs.</w:t>
      </w:r>
      <w:r w:rsidR="000760DA" w:rsidRPr="004F5262">
        <w:rPr>
          <w:rFonts w:ascii="Times New Roman" w:hAnsi="Times New Roman"/>
          <w:sz w:val="24"/>
          <w:szCs w:val="24"/>
        </w:rPr>
        <w:t xml:space="preserve"> </w:t>
      </w:r>
      <w:r w:rsidR="00731C75" w:rsidRPr="004F5262">
        <w:rPr>
          <w:rFonts w:ascii="Times New Roman" w:hAnsi="Times New Roman"/>
          <w:sz w:val="24"/>
          <w:szCs w:val="24"/>
        </w:rPr>
        <w:t>Ces</w:t>
      </w:r>
      <w:r w:rsidR="000707B3" w:rsidRPr="004F5262">
        <w:rPr>
          <w:rFonts w:ascii="Times New Roman" w:hAnsi="Times New Roman"/>
          <w:sz w:val="24"/>
          <w:szCs w:val="24"/>
        </w:rPr>
        <w:t xml:space="preserve"> successions d'actions, et les rôles </w:t>
      </w:r>
      <w:r w:rsidR="00731C75" w:rsidRPr="004F5262">
        <w:rPr>
          <w:rFonts w:ascii="Times New Roman" w:hAnsi="Times New Roman"/>
          <w:sz w:val="24"/>
          <w:szCs w:val="24"/>
        </w:rPr>
        <w:t xml:space="preserve">liés sont exprimés suivant  </w:t>
      </w:r>
      <w:r w:rsidR="000707B3" w:rsidRPr="004F5262">
        <w:rPr>
          <w:rFonts w:ascii="Times New Roman" w:hAnsi="Times New Roman"/>
          <w:sz w:val="24"/>
          <w:szCs w:val="24"/>
        </w:rPr>
        <w:t>une "grammaire narrative" qui fournit les modèles fondamentaux de la</w:t>
      </w:r>
      <w:r w:rsidR="00731C75" w:rsidRPr="004F5262">
        <w:rPr>
          <w:rFonts w:ascii="Times New Roman" w:hAnsi="Times New Roman"/>
          <w:sz w:val="24"/>
          <w:szCs w:val="24"/>
        </w:rPr>
        <w:t xml:space="preserve"> </w:t>
      </w:r>
      <w:r w:rsidR="000707B3" w:rsidRPr="004F5262">
        <w:rPr>
          <w:rFonts w:ascii="Times New Roman" w:hAnsi="Times New Roman"/>
          <w:sz w:val="24"/>
          <w:szCs w:val="24"/>
        </w:rPr>
        <w:t>syntaxe narrative</w:t>
      </w:r>
      <w:r w:rsidR="00731C75" w:rsidRPr="004F5262">
        <w:rPr>
          <w:rFonts w:ascii="Times New Roman" w:hAnsi="Times New Roman"/>
          <w:sz w:val="24"/>
          <w:szCs w:val="24"/>
        </w:rPr>
        <w:t xml:space="preserve"> et d’une sémantique narrative. </w:t>
      </w:r>
      <w:r w:rsidR="000707B3" w:rsidRPr="004F5262">
        <w:rPr>
          <w:rFonts w:ascii="Times New Roman" w:hAnsi="Times New Roman"/>
          <w:sz w:val="24"/>
          <w:szCs w:val="24"/>
        </w:rPr>
        <w:t xml:space="preserve">. </w:t>
      </w:r>
      <w:r w:rsidR="00731C75" w:rsidRPr="004F5262">
        <w:rPr>
          <w:rFonts w:ascii="Times New Roman" w:hAnsi="Times New Roman"/>
          <w:sz w:val="24"/>
          <w:szCs w:val="24"/>
        </w:rPr>
        <w:t xml:space="preserve">Nous l’avons vu dans la seconde partie de cette Thèse. </w:t>
      </w:r>
      <w:r w:rsidR="000707B3" w:rsidRPr="004F5262">
        <w:rPr>
          <w:rFonts w:ascii="Times New Roman" w:hAnsi="Times New Roman"/>
          <w:sz w:val="24"/>
          <w:szCs w:val="24"/>
        </w:rPr>
        <w:t>L’analyse des structures modales qui caractérisent les rôles permet de</w:t>
      </w:r>
      <w:r w:rsidR="00731C75" w:rsidRPr="004F5262">
        <w:rPr>
          <w:rFonts w:ascii="Times New Roman" w:hAnsi="Times New Roman"/>
          <w:sz w:val="24"/>
          <w:szCs w:val="24"/>
        </w:rPr>
        <w:t xml:space="preserve"> </w:t>
      </w:r>
      <w:r w:rsidR="000707B3" w:rsidRPr="004F5262">
        <w:rPr>
          <w:rFonts w:ascii="Times New Roman" w:hAnsi="Times New Roman"/>
          <w:sz w:val="24"/>
          <w:szCs w:val="24"/>
        </w:rPr>
        <w:t>décrire l’instauration et les évolutions des actants dans la succession du parcours narratif.</w:t>
      </w:r>
      <w:r w:rsidR="00731C75" w:rsidRPr="004F5262">
        <w:rPr>
          <w:rFonts w:ascii="Times New Roman" w:hAnsi="Times New Roman"/>
          <w:sz w:val="24"/>
          <w:szCs w:val="24"/>
        </w:rPr>
        <w:t xml:space="preserve"> Avec la sémiotique narrative, t</w:t>
      </w:r>
      <w:r w:rsidR="000707B3" w:rsidRPr="004F5262">
        <w:rPr>
          <w:rFonts w:ascii="Times New Roman" w:hAnsi="Times New Roman"/>
          <w:sz w:val="24"/>
          <w:szCs w:val="24"/>
        </w:rPr>
        <w:t xml:space="preserve">out récit s'organise autour de programmes d’action, </w:t>
      </w:r>
      <w:r w:rsidR="000707B3" w:rsidRPr="004F5262">
        <w:rPr>
          <w:rFonts w:ascii="Times New Roman" w:hAnsi="Times New Roman"/>
          <w:sz w:val="24"/>
          <w:szCs w:val="24"/>
        </w:rPr>
        <w:lastRenderedPageBreak/>
        <w:t>d'enjeux, ou de quêtes, qui</w:t>
      </w:r>
      <w:r w:rsidR="00731C75" w:rsidRPr="004F5262">
        <w:rPr>
          <w:rFonts w:ascii="Times New Roman" w:hAnsi="Times New Roman"/>
          <w:sz w:val="24"/>
          <w:szCs w:val="24"/>
        </w:rPr>
        <w:t xml:space="preserve"> </w:t>
      </w:r>
      <w:r w:rsidR="000707B3" w:rsidRPr="004F5262">
        <w:rPr>
          <w:rFonts w:ascii="Times New Roman" w:hAnsi="Times New Roman"/>
          <w:sz w:val="24"/>
          <w:szCs w:val="24"/>
        </w:rPr>
        <w:t xml:space="preserve">développent et mettent en forme </w:t>
      </w:r>
      <w:r w:rsidR="00731C75" w:rsidRPr="004F5262">
        <w:rPr>
          <w:rFonts w:ascii="Times New Roman" w:hAnsi="Times New Roman"/>
          <w:sz w:val="24"/>
          <w:szCs w:val="24"/>
        </w:rPr>
        <w:t xml:space="preserve"> </w:t>
      </w:r>
      <w:r w:rsidR="000707B3" w:rsidRPr="004F5262">
        <w:rPr>
          <w:rFonts w:ascii="Times New Roman" w:hAnsi="Times New Roman"/>
          <w:sz w:val="24"/>
          <w:szCs w:val="24"/>
        </w:rPr>
        <w:t>dans le texte des valeurs et des systèmes de</w:t>
      </w:r>
      <w:r w:rsidR="00731C75" w:rsidRPr="004F5262">
        <w:rPr>
          <w:rFonts w:ascii="Times New Roman" w:hAnsi="Times New Roman"/>
          <w:sz w:val="24"/>
          <w:szCs w:val="24"/>
        </w:rPr>
        <w:t xml:space="preserve"> </w:t>
      </w:r>
      <w:r w:rsidR="000707B3" w:rsidRPr="004F5262">
        <w:rPr>
          <w:rFonts w:ascii="Times New Roman" w:hAnsi="Times New Roman"/>
          <w:sz w:val="24"/>
          <w:szCs w:val="24"/>
        </w:rPr>
        <w:t>valeurs</w:t>
      </w:r>
      <w:r w:rsidR="000760DA" w:rsidRPr="004F5262">
        <w:rPr>
          <w:rStyle w:val="Appelnotedebasdep"/>
          <w:rFonts w:ascii="Times New Roman" w:hAnsi="Times New Roman"/>
          <w:sz w:val="24"/>
          <w:szCs w:val="24"/>
        </w:rPr>
        <w:footnoteReference w:id="251"/>
      </w:r>
      <w:r w:rsidR="000707B3" w:rsidRPr="004F5262">
        <w:rPr>
          <w:rFonts w:ascii="Times New Roman" w:hAnsi="Times New Roman"/>
          <w:sz w:val="24"/>
          <w:szCs w:val="24"/>
        </w:rPr>
        <w:t>.</w:t>
      </w:r>
    </w:p>
    <w:p w:rsidR="00E235DA" w:rsidRPr="00FB25B4" w:rsidRDefault="00FB25B4" w:rsidP="00FB25B4">
      <w:pPr>
        <w:pStyle w:val="Titre4"/>
        <w:tabs>
          <w:tab w:val="left" w:pos="1134"/>
          <w:tab w:val="left" w:pos="1418"/>
        </w:tabs>
        <w:spacing w:before="0" w:after="0" w:line="360" w:lineRule="auto"/>
        <w:ind w:left="641" w:hanging="357"/>
        <w:jc w:val="both"/>
        <w:rPr>
          <w:rFonts w:asciiTheme="majorBidi" w:hAnsiTheme="majorBidi" w:cstheme="majorBidi"/>
          <w:i w:val="0"/>
          <w:iCs/>
        </w:rPr>
      </w:pPr>
      <w:bookmarkStart w:id="152" w:name="_Toc471484520"/>
      <w:r w:rsidRPr="00FB25B4">
        <w:rPr>
          <w:rFonts w:asciiTheme="majorBidi" w:hAnsiTheme="majorBidi" w:cstheme="majorBidi"/>
          <w:i w:val="0"/>
          <w:iCs/>
        </w:rPr>
        <w:t>2.3. Le</w:t>
      </w:r>
      <w:r w:rsidR="00E235DA" w:rsidRPr="00FB25B4">
        <w:rPr>
          <w:rFonts w:asciiTheme="majorBidi" w:hAnsiTheme="majorBidi" w:cstheme="majorBidi"/>
          <w:i w:val="0"/>
          <w:iCs/>
        </w:rPr>
        <w:t xml:space="preserve"> niveau discursif</w:t>
      </w:r>
      <w:bookmarkEnd w:id="152"/>
    </w:p>
    <w:p w:rsidR="00416C10" w:rsidRPr="004F5262" w:rsidRDefault="00E235DA" w:rsidP="00FB25B4">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C’</w:t>
      </w:r>
      <w:r w:rsidR="00731C75" w:rsidRPr="004F5262">
        <w:rPr>
          <w:rFonts w:ascii="Times New Roman" w:hAnsi="Times New Roman"/>
          <w:sz w:val="24"/>
          <w:szCs w:val="24"/>
        </w:rPr>
        <w:t xml:space="preserve">est celui qui nous intéresse dans cette Troisième Partie. D’après la sémiotique du discours, </w:t>
      </w:r>
      <w:r w:rsidR="000707B3" w:rsidRPr="004F5262">
        <w:rPr>
          <w:rFonts w:ascii="Times New Roman" w:hAnsi="Times New Roman"/>
          <w:sz w:val="24"/>
          <w:szCs w:val="24"/>
        </w:rPr>
        <w:t xml:space="preserve">tout texte </w:t>
      </w:r>
      <w:r w:rsidR="00731C75" w:rsidRPr="004F5262">
        <w:rPr>
          <w:rFonts w:ascii="Times New Roman" w:hAnsi="Times New Roman"/>
          <w:sz w:val="24"/>
          <w:szCs w:val="24"/>
        </w:rPr>
        <w:t xml:space="preserve">fait appel, </w:t>
      </w:r>
      <w:r w:rsidR="000707B3" w:rsidRPr="004F5262">
        <w:rPr>
          <w:rFonts w:ascii="Times New Roman" w:hAnsi="Times New Roman"/>
          <w:sz w:val="24"/>
          <w:szCs w:val="24"/>
        </w:rPr>
        <w:t>à partir de configurations discursives</w:t>
      </w:r>
      <w:r w:rsidR="00416C10" w:rsidRPr="004F5262">
        <w:rPr>
          <w:rFonts w:ascii="Times New Roman" w:hAnsi="Times New Roman"/>
          <w:sz w:val="24"/>
          <w:szCs w:val="24"/>
        </w:rPr>
        <w:t xml:space="preserve"> </w:t>
      </w:r>
      <w:r w:rsidR="000707B3" w:rsidRPr="004F5262">
        <w:rPr>
          <w:rFonts w:ascii="Times New Roman" w:hAnsi="Times New Roman"/>
          <w:sz w:val="24"/>
          <w:szCs w:val="24"/>
        </w:rPr>
        <w:t xml:space="preserve">disponibles, </w:t>
      </w:r>
      <w:r w:rsidR="00731C75" w:rsidRPr="004F5262">
        <w:rPr>
          <w:rFonts w:ascii="Times New Roman" w:hAnsi="Times New Roman"/>
          <w:sz w:val="24"/>
          <w:szCs w:val="24"/>
        </w:rPr>
        <w:t xml:space="preserve">à </w:t>
      </w:r>
      <w:r w:rsidR="000707B3" w:rsidRPr="004F5262">
        <w:rPr>
          <w:rFonts w:ascii="Times New Roman" w:hAnsi="Times New Roman"/>
          <w:sz w:val="24"/>
          <w:szCs w:val="24"/>
        </w:rPr>
        <w:t>des éléments figuratifs (des acteurs dans des espaces et dans des temps), et les dispose de façon particulière pour les mettre en scène (en discours).</w:t>
      </w:r>
      <w:r w:rsidR="00416C10" w:rsidRPr="004F5262">
        <w:rPr>
          <w:rFonts w:ascii="Times New Roman" w:hAnsi="Times New Roman"/>
          <w:sz w:val="24"/>
          <w:szCs w:val="24"/>
        </w:rPr>
        <w:t xml:space="preserve"> Il s’agit bien évidemment de donner à "voir" et à imaginer</w:t>
      </w:r>
      <w:r w:rsidR="000707B3" w:rsidRPr="004F5262">
        <w:rPr>
          <w:rFonts w:ascii="Times New Roman" w:hAnsi="Times New Roman"/>
          <w:sz w:val="24"/>
          <w:szCs w:val="24"/>
        </w:rPr>
        <w:t xml:space="preserve"> un</w:t>
      </w:r>
      <w:r w:rsidR="00731C75" w:rsidRPr="004F5262">
        <w:rPr>
          <w:rFonts w:ascii="Times New Roman" w:hAnsi="Times New Roman"/>
          <w:sz w:val="24"/>
          <w:szCs w:val="24"/>
        </w:rPr>
        <w:t xml:space="preserve"> </w:t>
      </w:r>
      <w:r w:rsidR="000707B3" w:rsidRPr="004F5262">
        <w:rPr>
          <w:rFonts w:ascii="Times New Roman" w:hAnsi="Times New Roman"/>
          <w:sz w:val="24"/>
          <w:szCs w:val="24"/>
        </w:rPr>
        <w:t xml:space="preserve">monde (fictif ou réel) et produire une « impression référentielle ». </w:t>
      </w:r>
      <w:r w:rsidR="00416C10" w:rsidRPr="004F5262">
        <w:rPr>
          <w:rFonts w:ascii="Times New Roman" w:hAnsi="Times New Roman"/>
          <w:sz w:val="24"/>
          <w:szCs w:val="24"/>
        </w:rPr>
        <w:t xml:space="preserve">Mais plus encore, il est question de réussir à </w:t>
      </w:r>
      <w:r w:rsidR="000707B3" w:rsidRPr="004F5262">
        <w:rPr>
          <w:rFonts w:ascii="Times New Roman" w:hAnsi="Times New Roman"/>
          <w:sz w:val="24"/>
          <w:szCs w:val="24"/>
        </w:rPr>
        <w:t>dessiner une forme figurative (ou discursive) du</w:t>
      </w:r>
      <w:r w:rsidR="00416C10" w:rsidRPr="004F5262">
        <w:rPr>
          <w:rFonts w:ascii="Times New Roman" w:hAnsi="Times New Roman"/>
          <w:sz w:val="24"/>
          <w:szCs w:val="24"/>
        </w:rPr>
        <w:t xml:space="preserve"> </w:t>
      </w:r>
      <w:r w:rsidR="000707B3" w:rsidRPr="004F5262">
        <w:rPr>
          <w:rFonts w:ascii="Times New Roman" w:hAnsi="Times New Roman"/>
          <w:sz w:val="24"/>
          <w:szCs w:val="24"/>
        </w:rPr>
        <w:t>contenu</w:t>
      </w:r>
      <w:r w:rsidR="00416C10" w:rsidRPr="004F5262">
        <w:rPr>
          <w:rFonts w:ascii="Times New Roman" w:hAnsi="Times New Roman"/>
          <w:sz w:val="24"/>
          <w:szCs w:val="24"/>
        </w:rPr>
        <w:t>, à travers la disposition et la structuration du discours</w:t>
      </w:r>
      <w:r w:rsidR="000707B3" w:rsidRPr="004F5262">
        <w:rPr>
          <w:rFonts w:ascii="Times New Roman" w:hAnsi="Times New Roman"/>
          <w:sz w:val="24"/>
          <w:szCs w:val="24"/>
        </w:rPr>
        <w:t>. Pour la lecture, il s’agira de repérer comment le texte articule des dispositifs</w:t>
      </w:r>
      <w:r w:rsidR="00416C10" w:rsidRPr="004F5262">
        <w:rPr>
          <w:rFonts w:ascii="Times New Roman" w:hAnsi="Times New Roman"/>
          <w:sz w:val="24"/>
          <w:szCs w:val="24"/>
        </w:rPr>
        <w:t xml:space="preserve"> </w:t>
      </w:r>
      <w:r w:rsidR="000707B3" w:rsidRPr="004F5262">
        <w:rPr>
          <w:rFonts w:ascii="Times New Roman" w:hAnsi="Times New Roman"/>
          <w:sz w:val="24"/>
          <w:szCs w:val="24"/>
        </w:rPr>
        <w:t>actoriels, temporels et spatiaux et de décrire les structures sémantiques ainsi constituées</w:t>
      </w:r>
      <w:r w:rsidR="000760DA" w:rsidRPr="004F5262">
        <w:rPr>
          <w:rStyle w:val="Appelnotedebasdep"/>
          <w:rFonts w:ascii="Times New Roman" w:hAnsi="Times New Roman"/>
          <w:sz w:val="24"/>
          <w:szCs w:val="24"/>
        </w:rPr>
        <w:footnoteReference w:id="252"/>
      </w:r>
      <w:r w:rsidR="000707B3" w:rsidRPr="004F5262">
        <w:rPr>
          <w:rFonts w:ascii="Times New Roman" w:hAnsi="Times New Roman"/>
          <w:sz w:val="24"/>
          <w:szCs w:val="24"/>
        </w:rPr>
        <w:t>.</w:t>
      </w:r>
    </w:p>
    <w:p w:rsidR="000760DA" w:rsidRPr="004F5262" w:rsidRDefault="00416C10" w:rsidP="00C320DA">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Finalement, avec la sémiotique du discours, </w:t>
      </w:r>
      <w:r w:rsidR="000760DA" w:rsidRPr="004F5262">
        <w:rPr>
          <w:rFonts w:ascii="Times New Roman" w:hAnsi="Times New Roman"/>
          <w:sz w:val="24"/>
          <w:szCs w:val="24"/>
        </w:rPr>
        <w:t>se révèle le principe de l’immanence : on</w:t>
      </w:r>
      <w:r w:rsidRPr="004F5262">
        <w:rPr>
          <w:rFonts w:ascii="Times New Roman" w:hAnsi="Times New Roman"/>
          <w:sz w:val="24"/>
          <w:szCs w:val="24"/>
        </w:rPr>
        <w:t xml:space="preserve"> s'intéressera aux conditions d'organisation du langage </w:t>
      </w:r>
      <w:r w:rsidRPr="00C320DA">
        <w:rPr>
          <w:rFonts w:ascii="Times New Roman" w:hAnsi="Times New Roman"/>
          <w:sz w:val="24"/>
          <w:szCs w:val="24"/>
        </w:rPr>
        <w:t>: la sémiotique appartient aux sciences du langage et aux sciences sociales</w:t>
      </w:r>
      <w:r w:rsidR="000760DA" w:rsidRPr="00C320DA">
        <w:rPr>
          <w:rStyle w:val="Appelnotedebasdep"/>
          <w:rFonts w:ascii="Times New Roman" w:hAnsi="Times New Roman"/>
          <w:sz w:val="24"/>
          <w:szCs w:val="24"/>
        </w:rPr>
        <w:footnoteReference w:id="253"/>
      </w:r>
      <w:r w:rsidRPr="00C320DA">
        <w:rPr>
          <w:rFonts w:ascii="Times New Roman" w:hAnsi="Times New Roman"/>
          <w:sz w:val="24"/>
          <w:szCs w:val="24"/>
        </w:rPr>
        <w:t>. Pour</w:t>
      </w:r>
      <w:r w:rsidRPr="004F5262">
        <w:rPr>
          <w:rFonts w:ascii="Times New Roman" w:hAnsi="Times New Roman"/>
          <w:sz w:val="24"/>
          <w:szCs w:val="24"/>
        </w:rPr>
        <w:t xml:space="preserve"> la sémiotique</w:t>
      </w:r>
      <w:r w:rsidR="000760DA" w:rsidRPr="004F5262">
        <w:rPr>
          <w:rFonts w:ascii="Times New Roman" w:hAnsi="Times New Roman"/>
          <w:sz w:val="24"/>
          <w:szCs w:val="24"/>
        </w:rPr>
        <w:t xml:space="preserve"> discursive</w:t>
      </w:r>
      <w:r w:rsidRPr="004F5262">
        <w:rPr>
          <w:rFonts w:ascii="Times New Roman" w:hAnsi="Times New Roman"/>
          <w:sz w:val="24"/>
          <w:szCs w:val="24"/>
        </w:rPr>
        <w:t>, un texte n'est pas seulement le support, le médium, de la communication d'un</w:t>
      </w:r>
      <w:r w:rsidR="000760DA" w:rsidRPr="004F5262">
        <w:rPr>
          <w:rFonts w:ascii="Times New Roman" w:hAnsi="Times New Roman"/>
          <w:sz w:val="24"/>
          <w:szCs w:val="24"/>
        </w:rPr>
        <w:t xml:space="preserve"> </w:t>
      </w:r>
      <w:r w:rsidRPr="004F5262">
        <w:rPr>
          <w:rFonts w:ascii="Times New Roman" w:hAnsi="Times New Roman"/>
          <w:sz w:val="24"/>
          <w:szCs w:val="24"/>
        </w:rPr>
        <w:t>message ou d'une information</w:t>
      </w:r>
      <w:r w:rsidRPr="004F5262">
        <w:rPr>
          <w:rFonts w:ascii="Times New Roman" w:hAnsi="Times New Roman"/>
          <w:b/>
          <w:bCs/>
          <w:sz w:val="24"/>
          <w:szCs w:val="24"/>
        </w:rPr>
        <w:t>,</w:t>
      </w:r>
      <w:r w:rsidRPr="004F5262">
        <w:rPr>
          <w:rFonts w:ascii="Times New Roman" w:hAnsi="Times New Roman"/>
          <w:bCs/>
          <w:sz w:val="24"/>
          <w:szCs w:val="24"/>
        </w:rPr>
        <w:t xml:space="preserve"> il est la manifestation d'une signification immanente et</w:t>
      </w:r>
      <w:r w:rsidR="000760DA" w:rsidRPr="004F5262">
        <w:rPr>
          <w:rFonts w:ascii="Times New Roman" w:hAnsi="Times New Roman"/>
          <w:sz w:val="24"/>
          <w:szCs w:val="24"/>
        </w:rPr>
        <w:t xml:space="preserve"> </w:t>
      </w:r>
      <w:r w:rsidRPr="004F5262">
        <w:rPr>
          <w:rFonts w:ascii="Times New Roman" w:hAnsi="Times New Roman"/>
          <w:bCs/>
          <w:sz w:val="24"/>
          <w:szCs w:val="24"/>
        </w:rPr>
        <w:t>articulée</w:t>
      </w:r>
      <w:r w:rsidRPr="004F5262">
        <w:rPr>
          <w:rFonts w:ascii="Times New Roman" w:hAnsi="Times New Roman"/>
          <w:sz w:val="24"/>
          <w:szCs w:val="24"/>
        </w:rPr>
        <w:t>. Ainsi conçu, le texte correspond à une globalité de sens, à un tout de signification,</w:t>
      </w:r>
      <w:r w:rsidR="000760DA" w:rsidRPr="004F5262">
        <w:rPr>
          <w:rFonts w:ascii="Times New Roman" w:hAnsi="Times New Roman"/>
          <w:sz w:val="24"/>
          <w:szCs w:val="24"/>
        </w:rPr>
        <w:t xml:space="preserve"> </w:t>
      </w:r>
      <w:r w:rsidRPr="004F5262">
        <w:rPr>
          <w:rFonts w:ascii="Times New Roman" w:hAnsi="Times New Roman"/>
          <w:sz w:val="24"/>
          <w:szCs w:val="24"/>
        </w:rPr>
        <w:t>dont il convient de décrire les articulations. L’objectif de la lecture sémiotique est justement de</w:t>
      </w:r>
      <w:r w:rsidR="000760DA" w:rsidRPr="004F5262">
        <w:rPr>
          <w:rFonts w:ascii="Times New Roman" w:hAnsi="Times New Roman"/>
          <w:sz w:val="24"/>
          <w:szCs w:val="24"/>
        </w:rPr>
        <w:t xml:space="preserve"> </w:t>
      </w:r>
      <w:r w:rsidRPr="004F5262">
        <w:rPr>
          <w:rFonts w:ascii="Times New Roman" w:hAnsi="Times New Roman"/>
          <w:sz w:val="24"/>
          <w:szCs w:val="24"/>
        </w:rPr>
        <w:t>rendre compte de cette globalité, d’en développer la cohérence.</w:t>
      </w:r>
    </w:p>
    <w:p w:rsidR="00F64DE4" w:rsidRPr="004F5262" w:rsidRDefault="00416C10" w:rsidP="00C320DA">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En exploitant l’ensemble des niveaux, nous nous appuierons spécifiquement sur la sémiotique discursive pour </w:t>
      </w:r>
      <w:r w:rsidR="00F64DE4" w:rsidRPr="004F5262">
        <w:rPr>
          <w:rFonts w:ascii="Times New Roman" w:hAnsi="Times New Roman"/>
          <w:sz w:val="24"/>
          <w:szCs w:val="24"/>
        </w:rPr>
        <w:t xml:space="preserve">analyser les textes </w:t>
      </w:r>
      <w:r w:rsidRPr="004F5262">
        <w:rPr>
          <w:rFonts w:ascii="Times New Roman" w:hAnsi="Times New Roman"/>
          <w:sz w:val="24"/>
          <w:szCs w:val="24"/>
        </w:rPr>
        <w:t>dramatiques</w:t>
      </w:r>
      <w:r w:rsidR="00F64DE4" w:rsidRPr="004F5262">
        <w:rPr>
          <w:rFonts w:ascii="Times New Roman" w:hAnsi="Times New Roman"/>
          <w:sz w:val="24"/>
          <w:szCs w:val="24"/>
        </w:rPr>
        <w:t xml:space="preserve"> soumis à notre examen.</w:t>
      </w:r>
    </w:p>
    <w:p w:rsidR="00416C10" w:rsidRPr="004F5262" w:rsidRDefault="00416C10" w:rsidP="00C320DA">
      <w:pPr>
        <w:autoSpaceDE w:val="0"/>
        <w:autoSpaceDN w:val="0"/>
        <w:adjustRightInd w:val="0"/>
        <w:spacing w:after="0" w:line="360" w:lineRule="auto"/>
        <w:ind w:firstLine="284"/>
        <w:jc w:val="both"/>
        <w:rPr>
          <w:rFonts w:ascii="Times New Roman" w:hAnsi="Times New Roman"/>
          <w:sz w:val="24"/>
          <w:szCs w:val="24"/>
        </w:rPr>
      </w:pPr>
    </w:p>
    <w:p w:rsidR="006A4EED" w:rsidRPr="00C320DA" w:rsidRDefault="00C320DA" w:rsidP="0067208B">
      <w:pPr>
        <w:pStyle w:val="Titre3"/>
        <w:spacing w:before="0" w:after="0" w:line="360" w:lineRule="auto"/>
        <w:ind w:left="641" w:hanging="357"/>
        <w:jc w:val="both"/>
        <w:rPr>
          <w:rFonts w:ascii="Times New Roman" w:hAnsi="Times New Roman" w:cs="Times New Roman"/>
          <w:sz w:val="24"/>
          <w:szCs w:val="24"/>
        </w:rPr>
      </w:pPr>
      <w:bookmarkStart w:id="153" w:name="_Toc471484521"/>
      <w:r w:rsidRPr="00C320DA">
        <w:rPr>
          <w:rFonts w:ascii="Times New Roman" w:hAnsi="Times New Roman" w:cs="Times New Roman"/>
          <w:sz w:val="24"/>
          <w:szCs w:val="24"/>
        </w:rPr>
        <w:t xml:space="preserve">3. </w:t>
      </w:r>
      <w:r w:rsidR="00BC7421">
        <w:rPr>
          <w:rFonts w:ascii="Times New Roman" w:hAnsi="Times New Roman" w:cs="Times New Roman"/>
          <w:sz w:val="24"/>
          <w:szCs w:val="24"/>
        </w:rPr>
        <w:t xml:space="preserve">La </w:t>
      </w:r>
      <w:r w:rsidR="0067208B">
        <w:rPr>
          <w:rFonts w:ascii="Times New Roman" w:hAnsi="Times New Roman" w:cs="Times New Roman"/>
          <w:sz w:val="24"/>
          <w:szCs w:val="24"/>
        </w:rPr>
        <w:t>s</w:t>
      </w:r>
      <w:r w:rsidRPr="00C320DA">
        <w:rPr>
          <w:rFonts w:ascii="Times New Roman" w:hAnsi="Times New Roman" w:cs="Times New Roman"/>
          <w:sz w:val="24"/>
          <w:szCs w:val="24"/>
        </w:rPr>
        <w:t>émiotique</w:t>
      </w:r>
      <w:r w:rsidR="006A4EED" w:rsidRPr="00C320DA">
        <w:rPr>
          <w:rFonts w:ascii="Times New Roman" w:hAnsi="Times New Roman" w:cs="Times New Roman"/>
          <w:sz w:val="24"/>
          <w:szCs w:val="24"/>
        </w:rPr>
        <w:t xml:space="preserve"> dans le théâtre</w:t>
      </w:r>
      <w:r w:rsidR="00E235DA" w:rsidRPr="00C320DA">
        <w:rPr>
          <w:rFonts w:ascii="Times New Roman" w:hAnsi="Times New Roman" w:cs="Times New Roman"/>
          <w:sz w:val="24"/>
          <w:szCs w:val="24"/>
        </w:rPr>
        <w:t xml:space="preserve"> </w:t>
      </w:r>
      <w:r w:rsidR="00BC7421">
        <w:rPr>
          <w:rFonts w:ascii="Times New Roman" w:hAnsi="Times New Roman" w:cs="Times New Roman"/>
          <w:sz w:val="24"/>
          <w:szCs w:val="24"/>
        </w:rPr>
        <w:t>contemporain</w:t>
      </w:r>
      <w:bookmarkEnd w:id="153"/>
    </w:p>
    <w:p w:rsidR="006A4EED" w:rsidRPr="004F5262" w:rsidRDefault="006A4EED" w:rsidP="00C320DA">
      <w:pPr>
        <w:autoSpaceDE w:val="0"/>
        <w:autoSpaceDN w:val="0"/>
        <w:adjustRightInd w:val="0"/>
        <w:spacing w:after="0" w:line="360" w:lineRule="auto"/>
        <w:ind w:firstLine="284"/>
        <w:jc w:val="both"/>
        <w:rPr>
          <w:rStyle w:val="Accentuation"/>
          <w:i w:val="0"/>
          <w:iCs w:val="0"/>
          <w:sz w:val="24"/>
          <w:szCs w:val="24"/>
        </w:rPr>
      </w:pPr>
      <w:r w:rsidRPr="004F5262">
        <w:rPr>
          <w:rFonts w:ascii="Times New Roman" w:hAnsi="Times New Roman"/>
          <w:sz w:val="24"/>
          <w:szCs w:val="24"/>
        </w:rPr>
        <w:t>Et qu’en est-il du théâtre ? Le théâtre peut sembler particulier à plus d’un titre. Gaétan Picon s’interrogeait déjà par ces mots :</w:t>
      </w:r>
    </w:p>
    <w:p w:rsidR="006A4EED" w:rsidRPr="00C320DA" w:rsidRDefault="006A4EED" w:rsidP="007804BB">
      <w:pPr>
        <w:pStyle w:val="Citationintense"/>
        <w:spacing w:before="0" w:after="0"/>
        <w:ind w:left="567" w:right="0"/>
        <w:rPr>
          <w:sz w:val="20"/>
          <w:szCs w:val="20"/>
        </w:rPr>
      </w:pPr>
      <w:r w:rsidRPr="00C320DA">
        <w:rPr>
          <w:rStyle w:val="Accentuation"/>
          <w:i w:val="0"/>
          <w:iCs/>
          <w:sz w:val="20"/>
          <w:szCs w:val="20"/>
        </w:rPr>
        <w:t xml:space="preserve">Le théâtre appartient-il à la littérature ? On peut se le demander. Toute son histoire nous montre qu’il relève d’exigences particulières, spécifiques – dont la première est l’efficacité. </w:t>
      </w:r>
      <w:r w:rsidRPr="00C320DA">
        <w:rPr>
          <w:rStyle w:val="Accentuation"/>
          <w:i w:val="0"/>
          <w:iCs/>
          <w:sz w:val="20"/>
          <w:szCs w:val="20"/>
        </w:rPr>
        <w:lastRenderedPageBreak/>
        <w:t>Avant tout il est le domaine de la parole, de la parole en action. Il est d’abord un texte, dont les vertus seront celles de la chose écrite, mais ce texte est joué, c’est-à-dire vécu devant nous</w:t>
      </w:r>
      <w:r w:rsidR="00C320DA">
        <w:rPr>
          <w:rStyle w:val="Accentuation"/>
          <w:i w:val="0"/>
          <w:iCs/>
          <w:sz w:val="20"/>
          <w:szCs w:val="20"/>
        </w:rPr>
        <w:t>. (</w:t>
      </w:r>
      <w:r w:rsidR="00C320DA" w:rsidRPr="007318C3">
        <w:t>G</w:t>
      </w:r>
      <w:r w:rsidR="00C320DA">
        <w:t xml:space="preserve">. </w:t>
      </w:r>
      <w:r w:rsidR="00C320DA" w:rsidRPr="007318C3">
        <w:t>P</w:t>
      </w:r>
      <w:r w:rsidR="00C320DA">
        <w:t>icon, 1958).</w:t>
      </w:r>
    </w:p>
    <w:p w:rsidR="006A4EED" w:rsidRPr="004F5262" w:rsidRDefault="006A4EED" w:rsidP="006A4EED">
      <w:pPr>
        <w:autoSpaceDE w:val="0"/>
        <w:autoSpaceDN w:val="0"/>
        <w:adjustRightInd w:val="0"/>
        <w:spacing w:after="0" w:line="360" w:lineRule="auto"/>
        <w:jc w:val="both"/>
        <w:rPr>
          <w:rFonts w:ascii="Times New Roman" w:hAnsi="Times New Roman"/>
          <w:sz w:val="24"/>
          <w:szCs w:val="24"/>
        </w:rPr>
      </w:pPr>
      <w:r w:rsidRPr="004F5262">
        <w:rPr>
          <w:rFonts w:ascii="Times New Roman" w:hAnsi="Times New Roman"/>
          <w:sz w:val="24"/>
          <w:szCs w:val="24"/>
        </w:rPr>
        <w:tab/>
      </w:r>
    </w:p>
    <w:p w:rsidR="006A4EED" w:rsidRPr="00C320DA" w:rsidRDefault="006A4EED" w:rsidP="007804BB">
      <w:pPr>
        <w:autoSpaceDE w:val="0"/>
        <w:autoSpaceDN w:val="0"/>
        <w:adjustRightInd w:val="0"/>
        <w:spacing w:after="0" w:line="360" w:lineRule="auto"/>
        <w:ind w:firstLine="284"/>
        <w:jc w:val="both"/>
        <w:rPr>
          <w:rFonts w:ascii="Times New Roman" w:hAnsi="Times New Roman"/>
          <w:sz w:val="24"/>
          <w:szCs w:val="24"/>
        </w:rPr>
      </w:pPr>
      <w:r w:rsidRPr="00C320DA">
        <w:rPr>
          <w:rFonts w:ascii="Times New Roman" w:hAnsi="Times New Roman"/>
          <w:sz w:val="24"/>
          <w:szCs w:val="24"/>
        </w:rPr>
        <w:t>Le théâtre est particulier lorsqu’on parle de narratologie</w:t>
      </w:r>
      <w:r w:rsidR="008F704D" w:rsidRPr="00C320DA">
        <w:rPr>
          <w:rFonts w:ascii="Times New Roman" w:hAnsi="Times New Roman"/>
          <w:sz w:val="24"/>
          <w:szCs w:val="24"/>
        </w:rPr>
        <w:t xml:space="preserve"> ou de sémiotique</w:t>
      </w:r>
      <w:r w:rsidRPr="00C320DA">
        <w:rPr>
          <w:rFonts w:ascii="Times New Roman" w:hAnsi="Times New Roman"/>
          <w:sz w:val="24"/>
          <w:szCs w:val="24"/>
        </w:rPr>
        <w:t>. Il cristallise, nous dit Mathieu-Colas,  plusieurs oppositions</w:t>
      </w:r>
      <w:r w:rsidRPr="00C320DA">
        <w:rPr>
          <w:rStyle w:val="Appelnotedebasdep"/>
          <w:rFonts w:ascii="Times New Roman" w:hAnsi="Times New Roman"/>
          <w:sz w:val="24"/>
          <w:szCs w:val="24"/>
        </w:rPr>
        <w:footnoteReference w:id="254"/>
      </w:r>
      <w:r w:rsidRPr="00C320DA">
        <w:rPr>
          <w:rFonts w:ascii="Times New Roman" w:hAnsi="Times New Roman"/>
          <w:sz w:val="24"/>
          <w:szCs w:val="24"/>
        </w:rPr>
        <w:t>. Sous sa forme classique, c’est incontestable, le théâtre « retrace une histoire » (selon le mot de Racine</w:t>
      </w:r>
      <w:r w:rsidRPr="00C320DA">
        <w:rPr>
          <w:rFonts w:ascii="Times New Roman" w:hAnsi="Times New Roman"/>
          <w:sz w:val="24"/>
          <w:szCs w:val="24"/>
          <w:vertAlign w:val="superscript"/>
        </w:rPr>
        <w:footnoteReference w:id="255"/>
      </w:r>
      <w:r w:rsidRPr="00C320DA">
        <w:rPr>
          <w:rFonts w:ascii="Times New Roman" w:hAnsi="Times New Roman"/>
          <w:sz w:val="24"/>
          <w:szCs w:val="24"/>
        </w:rPr>
        <w:t xml:space="preserve">); or cette histoire, considérée dans sa logique interne, est susceptible du même type d’analyse que le contenu d’une épopée, d’un conte ou d’un roman. Les mêmes concepts opératoires valent pour les deux registres (nœud </w:t>
      </w:r>
      <w:r w:rsidRPr="00C320DA">
        <w:rPr>
          <w:rFonts w:ascii="Times New Roman" w:hAnsi="Times New Roman"/>
          <w:i/>
          <w:iCs/>
          <w:sz w:val="24"/>
          <w:szCs w:val="24"/>
        </w:rPr>
        <w:t xml:space="preserve">vs </w:t>
      </w:r>
      <w:r w:rsidRPr="00C320DA">
        <w:rPr>
          <w:rFonts w:ascii="Times New Roman" w:hAnsi="Times New Roman"/>
          <w:sz w:val="24"/>
          <w:szCs w:val="24"/>
        </w:rPr>
        <w:t>dénouement, rôles, fonctions, situations...</w:t>
      </w:r>
      <w:r w:rsidRPr="00C320DA">
        <w:rPr>
          <w:rFonts w:ascii="Times New Roman" w:hAnsi="Times New Roman"/>
          <w:color w:val="00B0F0"/>
          <w:sz w:val="24"/>
          <w:szCs w:val="24"/>
        </w:rPr>
        <w:t xml:space="preserve"> </w:t>
      </w:r>
      <w:r w:rsidRPr="00C320DA">
        <w:rPr>
          <w:rFonts w:ascii="Times New Roman" w:hAnsi="Times New Roman"/>
          <w:sz w:val="24"/>
          <w:szCs w:val="24"/>
        </w:rPr>
        <w:t xml:space="preserve">etc)). Aristote déjà se plaisait à souligner la parenté de l’épopée et de la tragédie ; Greimas s’inspire en même temps du registre théâtral (Souriau) et du conte populaire (Propp) pour proposer son modèle actantiel. </w:t>
      </w:r>
    </w:p>
    <w:p w:rsidR="006A4EED" w:rsidRPr="004F5262" w:rsidRDefault="006A4EED" w:rsidP="007804BB">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Dès lors, peut-on renier à l’histoire mise en scène une structure narrative, sous prétexte qu’elle relève, dans sa manifestation, du mode « dramatique »? Certainement pas. Lorsque Thomas Pavel parle de la « syntaxe narrative des tragédies de Corneille », il ne fait que suivre la logique inhérente à la métonymie. Plus ouvertement encore, Patrice PAVIS accorde une large place, dans son </w:t>
      </w:r>
      <w:r w:rsidRPr="004F5262">
        <w:rPr>
          <w:rFonts w:ascii="Times New Roman" w:hAnsi="Times New Roman"/>
          <w:i/>
          <w:iCs/>
          <w:sz w:val="24"/>
          <w:szCs w:val="24"/>
        </w:rPr>
        <w:t xml:space="preserve">Dictionnaire du théâtre, </w:t>
      </w:r>
      <w:r w:rsidRPr="004F5262">
        <w:rPr>
          <w:rFonts w:ascii="Times New Roman" w:hAnsi="Times New Roman"/>
          <w:sz w:val="24"/>
          <w:szCs w:val="24"/>
        </w:rPr>
        <w:t>à l’analyse narrative :</w:t>
      </w:r>
    </w:p>
    <w:p w:rsidR="006A4EED" w:rsidRPr="007804BB" w:rsidRDefault="006A4EED" w:rsidP="007804BB">
      <w:pPr>
        <w:pStyle w:val="Citationintense"/>
        <w:spacing w:before="0" w:after="0"/>
        <w:ind w:left="567" w:right="0"/>
        <w:rPr>
          <w:sz w:val="20"/>
          <w:szCs w:val="20"/>
        </w:rPr>
      </w:pPr>
      <w:r w:rsidRPr="007804BB">
        <w:rPr>
          <w:sz w:val="20"/>
          <w:szCs w:val="20"/>
        </w:rPr>
        <w:t>Du point de vue du spectateur, [...] le théâtre présente bien, dans la plupart des cas, une fable résumable en un récit. Cette fable a toutes les caractéristiques d’une suite de motifs possédant leur logique propre, si bien qu’une analyse du récit est parfaitement possible, à condition de travailler sur un récit reconstitué en un modèle narratif théorique</w:t>
      </w:r>
      <w:r w:rsidRPr="007804BB">
        <w:rPr>
          <w:sz w:val="20"/>
          <w:szCs w:val="20"/>
          <w:vertAlign w:val="superscript"/>
        </w:rPr>
        <w:footnoteReference w:id="256"/>
      </w:r>
      <w:r w:rsidRPr="007804BB">
        <w:rPr>
          <w:sz w:val="20"/>
          <w:szCs w:val="20"/>
        </w:rPr>
        <w:t>.</w:t>
      </w:r>
    </w:p>
    <w:p w:rsidR="007804BB" w:rsidRDefault="007804BB" w:rsidP="006A4EED">
      <w:pPr>
        <w:autoSpaceDE w:val="0"/>
        <w:autoSpaceDN w:val="0"/>
        <w:adjustRightInd w:val="0"/>
        <w:spacing w:after="0" w:line="360" w:lineRule="auto"/>
        <w:ind w:firstLine="708"/>
        <w:jc w:val="both"/>
        <w:rPr>
          <w:rFonts w:ascii="Times New Roman" w:hAnsi="Times New Roman"/>
          <w:sz w:val="24"/>
          <w:szCs w:val="24"/>
        </w:rPr>
      </w:pPr>
    </w:p>
    <w:p w:rsidR="006A4EED" w:rsidRPr="004F5262" w:rsidRDefault="006A4EED" w:rsidP="007804BB">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Le théâtre est donc tout à la fois histoire et mise en scène.</w:t>
      </w:r>
    </w:p>
    <w:p w:rsidR="006A4EED" w:rsidRPr="004F5262" w:rsidRDefault="006A4EED" w:rsidP="00973D48">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Le fait est qu’en termes de narration et de théâtre, le mot récit lui-même change de niveau. Le terme désigne alors l’objet de la narration</w:t>
      </w:r>
      <w:r w:rsidRPr="00561E36">
        <w:rPr>
          <w:rFonts w:ascii="Times New Roman" w:hAnsi="Times New Roman"/>
          <w:sz w:val="24"/>
          <w:szCs w:val="24"/>
        </w:rPr>
        <w:t>, le récit comme histoire</w:t>
      </w:r>
      <w:r w:rsidRPr="004F5262">
        <w:rPr>
          <w:rFonts w:ascii="Times New Roman" w:hAnsi="Times New Roman"/>
          <w:i/>
          <w:iCs/>
          <w:sz w:val="24"/>
          <w:szCs w:val="24"/>
        </w:rPr>
        <w:t xml:space="preserve">, </w:t>
      </w:r>
      <w:r w:rsidRPr="004F5262">
        <w:rPr>
          <w:rFonts w:ascii="Times New Roman" w:hAnsi="Times New Roman"/>
          <w:sz w:val="24"/>
          <w:szCs w:val="24"/>
        </w:rPr>
        <w:t>selon la formule de T. Todorov</w:t>
      </w:r>
      <w:r w:rsidRPr="004F5262">
        <w:rPr>
          <w:rFonts w:ascii="Times New Roman" w:hAnsi="Times New Roman"/>
          <w:sz w:val="24"/>
          <w:szCs w:val="24"/>
          <w:vertAlign w:val="superscript"/>
        </w:rPr>
        <w:footnoteReference w:id="257"/>
      </w:r>
      <w:r w:rsidRPr="004F5262">
        <w:rPr>
          <w:rFonts w:ascii="Times New Roman" w:hAnsi="Times New Roman"/>
          <w:sz w:val="24"/>
          <w:szCs w:val="24"/>
        </w:rPr>
        <w:t xml:space="preserve">, ou le </w:t>
      </w:r>
      <w:r w:rsidRPr="004F5262">
        <w:rPr>
          <w:rFonts w:ascii="Times New Roman" w:hAnsi="Times New Roman"/>
          <w:i/>
          <w:iCs/>
          <w:sz w:val="24"/>
          <w:szCs w:val="24"/>
        </w:rPr>
        <w:t>récit raconté,</w:t>
      </w:r>
      <w:r w:rsidRPr="004F5262">
        <w:rPr>
          <w:rFonts w:ascii="Times New Roman" w:hAnsi="Times New Roman"/>
          <w:sz w:val="24"/>
          <w:szCs w:val="24"/>
        </w:rPr>
        <w:t xml:space="preserve"> comme disent Cl. Bremond </w:t>
      </w:r>
      <w:r w:rsidRPr="004F5262">
        <w:rPr>
          <w:rFonts w:ascii="Times New Roman" w:hAnsi="Times New Roman"/>
          <w:sz w:val="24"/>
          <w:szCs w:val="24"/>
        </w:rPr>
        <w:lastRenderedPageBreak/>
        <w:t>et le groupe μ</w:t>
      </w:r>
      <w:r w:rsidRPr="004F5262">
        <w:rPr>
          <w:rFonts w:ascii="Times New Roman" w:hAnsi="Times New Roman"/>
          <w:sz w:val="24"/>
          <w:szCs w:val="24"/>
          <w:vertAlign w:val="superscript"/>
        </w:rPr>
        <w:footnoteReference w:id="258"/>
      </w:r>
      <w:r w:rsidRPr="004F5262">
        <w:rPr>
          <w:rFonts w:ascii="Times New Roman" w:hAnsi="Times New Roman"/>
          <w:sz w:val="24"/>
          <w:szCs w:val="24"/>
        </w:rPr>
        <w:t xml:space="preserve">. Faut-il rappeler la définition proposée par P. Ricoeur ? </w:t>
      </w:r>
      <w:r w:rsidRPr="00561E36">
        <w:rPr>
          <w:rFonts w:ascii="Times New Roman" w:hAnsi="Times New Roman"/>
          <w:sz w:val="24"/>
          <w:szCs w:val="24"/>
        </w:rPr>
        <w:t>« Nous appelons récit très exactement ce qu’Aristote appelle muthos, c’est-à-dire l’agencement des faits. » D’autres, dans le même sens, oseront parler de « narration »</w:t>
      </w:r>
      <w:r w:rsidRPr="00561E36">
        <w:rPr>
          <w:rFonts w:ascii="Times New Roman" w:hAnsi="Times New Roman"/>
          <w:sz w:val="24"/>
          <w:szCs w:val="24"/>
          <w:vertAlign w:val="superscript"/>
        </w:rPr>
        <w:footnoteReference w:id="259"/>
      </w:r>
      <w:r w:rsidRPr="00561E36">
        <w:rPr>
          <w:rFonts w:ascii="Times New Roman" w:hAnsi="Times New Roman"/>
          <w:sz w:val="24"/>
          <w:szCs w:val="24"/>
        </w:rPr>
        <w:t>. Ce sont encore les</w:t>
      </w:r>
      <w:r w:rsidRPr="004F5262">
        <w:rPr>
          <w:rFonts w:ascii="Times New Roman" w:hAnsi="Times New Roman"/>
          <w:sz w:val="24"/>
          <w:szCs w:val="24"/>
        </w:rPr>
        <w:t xml:space="preserve"> termes savants de « narrativité » et de « narratologie » qui peuvent renvoyer aux structures du contenu : A. J. Greimas situe ainsi la narrativité à un niveau sémiotique «</w:t>
      </w:r>
      <w:r w:rsidRPr="00973D48">
        <w:rPr>
          <w:rFonts w:ascii="Times New Roman" w:hAnsi="Times New Roman"/>
          <w:sz w:val="24"/>
          <w:szCs w:val="24"/>
        </w:rPr>
        <w:t>distinct du niveau linguistique » et « logiquement antérieur, quel que soit le langage choisi pour la manifestation</w:t>
      </w:r>
      <w:r w:rsidR="00973D48">
        <w:rPr>
          <w:rFonts w:ascii="Times New Roman" w:hAnsi="Times New Roman"/>
          <w:sz w:val="24"/>
          <w:szCs w:val="24"/>
        </w:rPr>
        <w:t> »</w:t>
      </w:r>
      <w:r w:rsidRPr="00973D48">
        <w:rPr>
          <w:rFonts w:ascii="Times New Roman" w:hAnsi="Times New Roman"/>
          <w:sz w:val="24"/>
          <w:szCs w:val="24"/>
          <w:vertAlign w:val="superscript"/>
        </w:rPr>
        <w:footnoteReference w:id="260"/>
      </w:r>
      <w:r w:rsidRPr="00973D48">
        <w:rPr>
          <w:rFonts w:ascii="Times New Roman" w:hAnsi="Times New Roman"/>
          <w:sz w:val="24"/>
          <w:szCs w:val="24"/>
        </w:rPr>
        <w:t>; et</w:t>
      </w:r>
      <w:r w:rsidRPr="004F5262">
        <w:rPr>
          <w:rFonts w:ascii="Times New Roman" w:hAnsi="Times New Roman"/>
          <w:sz w:val="24"/>
          <w:szCs w:val="24"/>
        </w:rPr>
        <w:t xml:space="preserve"> s’il est vrai que la narratologie désigne souvent depuis </w:t>
      </w:r>
      <w:r w:rsidRPr="004F5262">
        <w:rPr>
          <w:rFonts w:ascii="Times New Roman" w:hAnsi="Times New Roman"/>
          <w:i/>
          <w:iCs/>
          <w:sz w:val="24"/>
          <w:szCs w:val="24"/>
        </w:rPr>
        <w:t xml:space="preserve">Figures III </w:t>
      </w:r>
      <w:r w:rsidRPr="004F5262">
        <w:rPr>
          <w:rFonts w:ascii="Times New Roman" w:hAnsi="Times New Roman"/>
          <w:sz w:val="24"/>
          <w:szCs w:val="24"/>
        </w:rPr>
        <w:t>l’étude des figures propres au récit verbal (et plus particulièrement littéraire), le terme n’en fut pas moins introduit à l’origine par Tzvetan Todorov, pour désigner principalement la grammaire de l’intrigue</w:t>
      </w:r>
      <w:r w:rsidRPr="004F5262">
        <w:rPr>
          <w:rFonts w:ascii="Times New Roman" w:hAnsi="Times New Roman"/>
          <w:sz w:val="24"/>
          <w:szCs w:val="24"/>
          <w:vertAlign w:val="superscript"/>
        </w:rPr>
        <w:footnoteReference w:id="261"/>
      </w:r>
      <w:r w:rsidRPr="004F5262">
        <w:rPr>
          <w:rFonts w:ascii="Times New Roman" w:hAnsi="Times New Roman"/>
          <w:sz w:val="24"/>
          <w:szCs w:val="24"/>
        </w:rPr>
        <w:t>.</w:t>
      </w:r>
    </w:p>
    <w:p w:rsidR="006A4EED" w:rsidRPr="00370A15" w:rsidRDefault="006A4EED" w:rsidP="00370A15">
      <w:pPr>
        <w:autoSpaceDE w:val="0"/>
        <w:autoSpaceDN w:val="0"/>
        <w:adjustRightInd w:val="0"/>
        <w:spacing w:after="0" w:line="360" w:lineRule="auto"/>
        <w:ind w:firstLine="284"/>
        <w:jc w:val="both"/>
        <w:rPr>
          <w:rFonts w:asciiTheme="majorBidi" w:hAnsiTheme="majorBidi" w:cstheme="majorBidi"/>
          <w:sz w:val="24"/>
          <w:szCs w:val="24"/>
        </w:rPr>
      </w:pPr>
      <w:r w:rsidRPr="004F5262">
        <w:rPr>
          <w:rFonts w:ascii="Times New Roman" w:hAnsi="Times New Roman"/>
          <w:sz w:val="24"/>
          <w:szCs w:val="24"/>
        </w:rPr>
        <w:t xml:space="preserve">Nous parvenons ainsi à circonscrire le champ de la sémiotique du théâtre, et nous pouvons dire, avec Helbo et Johansen que la sémiotique du théâtre : </w:t>
      </w:r>
      <w:r w:rsidR="00370A15" w:rsidRPr="00370A15">
        <w:rPr>
          <w:rFonts w:asciiTheme="majorBidi" w:hAnsiTheme="majorBidi" w:cstheme="majorBidi"/>
          <w:sz w:val="24"/>
          <w:szCs w:val="24"/>
        </w:rPr>
        <w:t>« </w:t>
      </w:r>
      <w:r w:rsidRPr="00370A15">
        <w:rPr>
          <w:rFonts w:asciiTheme="majorBidi" w:hAnsiTheme="majorBidi" w:cstheme="majorBidi"/>
          <w:sz w:val="24"/>
          <w:szCs w:val="24"/>
        </w:rPr>
        <w:t xml:space="preserve">« </w:t>
      </w:r>
      <w:r w:rsidRPr="00370A15">
        <w:rPr>
          <w:rFonts w:asciiTheme="majorBidi" w:hAnsiTheme="majorBidi" w:cstheme="majorBidi"/>
          <w:sz w:val="24"/>
          <w:szCs w:val="24"/>
        </w:rPr>
        <w:lastRenderedPageBreak/>
        <w:t>aborde l'activité spectaculaire construite à partir de systèmes de signes organisés en ensembles signifiants d'une certaine manière. Elle englobe à la fois la production, la réception et les modèles du spectacle »</w:t>
      </w:r>
      <w:r w:rsidRPr="00370A15">
        <w:rPr>
          <w:rStyle w:val="Appelnotedebasdep"/>
          <w:rFonts w:asciiTheme="majorBidi" w:hAnsiTheme="majorBidi" w:cstheme="majorBidi"/>
          <w:sz w:val="24"/>
          <w:szCs w:val="24"/>
        </w:rPr>
        <w:footnoteReference w:id="262"/>
      </w:r>
      <w:r w:rsidR="00370A15">
        <w:rPr>
          <w:rFonts w:asciiTheme="majorBidi" w:hAnsiTheme="majorBidi" w:cstheme="majorBidi"/>
          <w:sz w:val="24"/>
          <w:szCs w:val="24"/>
        </w:rPr>
        <w:t>.</w:t>
      </w:r>
    </w:p>
    <w:p w:rsidR="006A4EED" w:rsidRPr="003B00C8" w:rsidRDefault="006A4EED" w:rsidP="00370A15">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Evidemment, la sémiotique du théâtre passe fondamentalement, comme toute littérature, par le langage. La dramaturgie révèle avant tout une suite de discours, ce qui consacre la primauté de la langue. C’est dans cette perspective que comme cité par Jacquart, Giraudoux pouvait avoir : </w:t>
      </w:r>
    </w:p>
    <w:p w:rsidR="006A4EED" w:rsidRPr="00242C0F" w:rsidRDefault="006A4EED" w:rsidP="009D6606">
      <w:pPr>
        <w:pStyle w:val="Citationintense"/>
        <w:spacing w:before="0" w:after="0"/>
        <w:ind w:left="567" w:right="0"/>
        <w:rPr>
          <w:sz w:val="20"/>
          <w:szCs w:val="20"/>
        </w:rPr>
      </w:pPr>
      <w:proofErr w:type="gramStart"/>
      <w:r w:rsidRPr="00242C0F">
        <w:rPr>
          <w:sz w:val="20"/>
          <w:szCs w:val="20"/>
        </w:rPr>
        <w:t>une</w:t>
      </w:r>
      <w:proofErr w:type="gramEnd"/>
      <w:r w:rsidRPr="00242C0F">
        <w:rPr>
          <w:sz w:val="20"/>
          <w:szCs w:val="20"/>
        </w:rPr>
        <w:t xml:space="preserve"> confiance totale dans l’humaine logique du langage considéré comme instrument de représentation de l’univers… Le langage a sans aucun doute le pouvoir d’ordonner l’univers, soit en définissant les situations d’une manière intelligible, soit en infléchissant le cours des événements dans une direction donnée.</w:t>
      </w:r>
      <w:r w:rsidR="009D6606">
        <w:rPr>
          <w:sz w:val="20"/>
          <w:szCs w:val="20"/>
        </w:rPr>
        <w:t xml:space="preserve"> (</w:t>
      </w:r>
      <w:r w:rsidR="009D6606" w:rsidRPr="003D598E">
        <w:t>E</w:t>
      </w:r>
      <w:r w:rsidR="009D6606">
        <w:t xml:space="preserve">. </w:t>
      </w:r>
      <w:r w:rsidR="009D6606" w:rsidRPr="003D598E">
        <w:rPr>
          <w:rStyle w:val="marquage"/>
        </w:rPr>
        <w:t>J</w:t>
      </w:r>
      <w:r w:rsidR="009D6606">
        <w:rPr>
          <w:rStyle w:val="marquage"/>
        </w:rPr>
        <w:t>acquart, 1998).</w:t>
      </w:r>
    </w:p>
    <w:p w:rsidR="006A4EED" w:rsidRPr="003B00C8" w:rsidRDefault="006A4EED" w:rsidP="006A4EED">
      <w:pPr>
        <w:autoSpaceDE w:val="0"/>
        <w:autoSpaceDN w:val="0"/>
        <w:adjustRightInd w:val="0"/>
        <w:spacing w:after="0" w:line="360" w:lineRule="auto"/>
        <w:jc w:val="both"/>
        <w:rPr>
          <w:rFonts w:ascii="Times New Roman" w:hAnsi="Times New Roman"/>
          <w:sz w:val="24"/>
          <w:szCs w:val="24"/>
        </w:rPr>
      </w:pPr>
    </w:p>
    <w:p w:rsidR="006A4EED" w:rsidRPr="009D6606" w:rsidRDefault="006A4EED" w:rsidP="009D6606">
      <w:pPr>
        <w:autoSpaceDE w:val="0"/>
        <w:autoSpaceDN w:val="0"/>
        <w:adjustRightInd w:val="0"/>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Toutefois, Louise V</w:t>
      </w:r>
      <w:r w:rsidR="009D05FC">
        <w:rPr>
          <w:rFonts w:ascii="Times New Roman" w:hAnsi="Times New Roman"/>
          <w:sz w:val="24"/>
          <w:szCs w:val="24"/>
        </w:rPr>
        <w:t xml:space="preserve">igeant </w:t>
      </w:r>
      <w:r w:rsidRPr="003B00C8">
        <w:rPr>
          <w:rFonts w:ascii="Times New Roman" w:hAnsi="Times New Roman"/>
          <w:sz w:val="24"/>
          <w:szCs w:val="24"/>
        </w:rPr>
        <w:t>précise</w:t>
      </w:r>
      <w:r>
        <w:rPr>
          <w:rFonts w:ascii="Times New Roman" w:hAnsi="Times New Roman"/>
          <w:sz w:val="24"/>
          <w:szCs w:val="24"/>
        </w:rPr>
        <w:t xml:space="preserve"> que</w:t>
      </w:r>
      <w:r w:rsidRPr="003B00C8">
        <w:rPr>
          <w:rFonts w:ascii="Times New Roman" w:hAnsi="Times New Roman"/>
          <w:sz w:val="24"/>
          <w:szCs w:val="24"/>
        </w:rPr>
        <w:t>:</w:t>
      </w:r>
      <w:r w:rsidR="009D6606">
        <w:rPr>
          <w:rFonts w:ascii="Times New Roman" w:hAnsi="Times New Roman"/>
          <w:sz w:val="24"/>
          <w:szCs w:val="24"/>
        </w:rPr>
        <w:t> «</w:t>
      </w:r>
      <w:r w:rsidR="009D6606" w:rsidRPr="009D6606">
        <w:rPr>
          <w:rFonts w:asciiTheme="majorBidi" w:hAnsiTheme="majorBidi" w:cstheme="majorBidi"/>
          <w:sz w:val="24"/>
          <w:szCs w:val="24"/>
        </w:rPr>
        <w:t> </w:t>
      </w:r>
      <w:r w:rsidRPr="009D6606">
        <w:rPr>
          <w:rFonts w:asciiTheme="majorBidi" w:hAnsiTheme="majorBidi" w:cstheme="majorBidi"/>
          <w:sz w:val="24"/>
          <w:szCs w:val="24"/>
        </w:rPr>
        <w:t>« </w:t>
      </w:r>
      <w:r w:rsidR="009D6606">
        <w:rPr>
          <w:rFonts w:asciiTheme="majorBidi" w:hAnsiTheme="majorBidi" w:cstheme="majorBidi"/>
          <w:sz w:val="24"/>
          <w:szCs w:val="24"/>
        </w:rPr>
        <w:t>l</w:t>
      </w:r>
      <w:r w:rsidRPr="009D6606">
        <w:rPr>
          <w:rFonts w:asciiTheme="majorBidi" w:hAnsiTheme="majorBidi" w:cstheme="majorBidi"/>
          <w:sz w:val="24"/>
          <w:szCs w:val="24"/>
        </w:rPr>
        <w:t xml:space="preserve">a </w:t>
      </w:r>
      <w:r w:rsidR="00BE1E32" w:rsidRPr="009D6606">
        <w:rPr>
          <w:rFonts w:asciiTheme="majorBidi" w:hAnsiTheme="majorBidi" w:cstheme="majorBidi"/>
          <w:sz w:val="24"/>
          <w:szCs w:val="24"/>
        </w:rPr>
        <w:t>sémiotique</w:t>
      </w:r>
      <w:r w:rsidRPr="009D6606">
        <w:rPr>
          <w:rFonts w:asciiTheme="majorBidi" w:hAnsiTheme="majorBidi" w:cstheme="majorBidi"/>
          <w:sz w:val="24"/>
          <w:szCs w:val="24"/>
        </w:rPr>
        <w:t xml:space="preserve"> va identifier les éléments qui composent le théâtre</w:t>
      </w:r>
      <w:r w:rsidR="009D6606">
        <w:rPr>
          <w:rFonts w:asciiTheme="majorBidi" w:hAnsiTheme="majorBidi" w:cstheme="majorBidi"/>
          <w:sz w:val="24"/>
          <w:szCs w:val="24"/>
        </w:rPr>
        <w:t xml:space="preserve">- </w:t>
      </w:r>
      <w:r w:rsidRPr="009D6606">
        <w:rPr>
          <w:rFonts w:asciiTheme="majorBidi" w:hAnsiTheme="majorBidi" w:cstheme="majorBidi"/>
          <w:sz w:val="24"/>
          <w:szCs w:val="24"/>
        </w:rPr>
        <w:t>qu'elle considère comme des signes; elle se propose également de découvrir les principes de son organisation et de dévoiler les modes de fonctionnement de la signification dans cette forme d'art.»</w:t>
      </w:r>
      <w:r w:rsidRPr="009D6606">
        <w:rPr>
          <w:rStyle w:val="Appelnotedebasdep"/>
          <w:rFonts w:asciiTheme="majorBidi" w:hAnsiTheme="majorBidi" w:cstheme="majorBidi"/>
          <w:sz w:val="24"/>
          <w:szCs w:val="24"/>
        </w:rPr>
        <w:footnoteReference w:id="263"/>
      </w:r>
    </w:p>
    <w:p w:rsidR="006A4EED" w:rsidRDefault="006A4EED" w:rsidP="009D6606">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Trois mots clés sont ici dès lors mis en exergue : production, réception et modèles du spectacle. Ce sont ces activités qui constituent les niveaux de recherche de la </w:t>
      </w:r>
      <w:r w:rsidR="00BE1E32">
        <w:rPr>
          <w:rFonts w:ascii="Times New Roman" w:hAnsi="Times New Roman"/>
          <w:sz w:val="24"/>
          <w:szCs w:val="24"/>
        </w:rPr>
        <w:t>sémiotique</w:t>
      </w:r>
      <w:r w:rsidRPr="003B00C8">
        <w:rPr>
          <w:rFonts w:ascii="Times New Roman" w:hAnsi="Times New Roman"/>
          <w:sz w:val="24"/>
          <w:szCs w:val="24"/>
        </w:rPr>
        <w:t xml:space="preserve"> théâtrale.</w:t>
      </w:r>
    </w:p>
    <w:p w:rsidR="006A4EED" w:rsidRPr="009D6606" w:rsidRDefault="006A4EED" w:rsidP="009D6606">
      <w:pPr>
        <w:autoSpaceDE w:val="0"/>
        <w:autoSpaceDN w:val="0"/>
        <w:adjustRightInd w:val="0"/>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Tout  n’est donc pas simple. L’objet de la sémiotique théâtrale apparait assez fuyant, complexe à délimiter. Le code de la langue est la linguistique. Mais dans le théâtre comme dans d’autres manifestations artistiques, l’objet est moins tranché, moins clair, comme le reconnait V</w:t>
      </w:r>
      <w:r w:rsidR="00C46FB6">
        <w:rPr>
          <w:rFonts w:ascii="Times New Roman" w:hAnsi="Times New Roman"/>
          <w:sz w:val="24"/>
          <w:szCs w:val="24"/>
        </w:rPr>
        <w:t>igeant</w:t>
      </w:r>
      <w:r w:rsidRPr="003B00C8">
        <w:rPr>
          <w:rFonts w:ascii="Times New Roman" w:hAnsi="Times New Roman"/>
          <w:sz w:val="24"/>
          <w:szCs w:val="24"/>
        </w:rPr>
        <w:t>:</w:t>
      </w:r>
      <w:r>
        <w:rPr>
          <w:rFonts w:ascii="Times New Roman" w:hAnsi="Times New Roman"/>
          <w:sz w:val="24"/>
          <w:szCs w:val="24"/>
        </w:rPr>
        <w:t xml:space="preserve"> </w:t>
      </w:r>
      <w:r w:rsidR="009D6606" w:rsidRPr="009D6606">
        <w:rPr>
          <w:rFonts w:asciiTheme="majorBidi" w:hAnsiTheme="majorBidi" w:cstheme="majorBidi"/>
          <w:sz w:val="24"/>
          <w:szCs w:val="24"/>
        </w:rPr>
        <w:t>« </w:t>
      </w:r>
      <w:r w:rsidRPr="009D6606">
        <w:rPr>
          <w:rFonts w:asciiTheme="majorBidi" w:hAnsiTheme="majorBidi" w:cstheme="majorBidi"/>
          <w:sz w:val="24"/>
          <w:szCs w:val="24"/>
        </w:rPr>
        <w:t>« Il n'y a pas au théâtre, comme dans la langue naturelle, un signe minimal dont il s'agirait d'examiner les modes d'articulation (car comment déterminer un signe minimal quand la substance de l'expression est hétérogène?). On ne peut donc pas parler d'une langue théâtrale »</w:t>
      </w:r>
      <w:r w:rsidRPr="009D6606">
        <w:rPr>
          <w:rStyle w:val="Appelnotedebasdep"/>
          <w:rFonts w:asciiTheme="majorBidi" w:hAnsiTheme="majorBidi" w:cstheme="majorBidi"/>
          <w:sz w:val="24"/>
          <w:szCs w:val="24"/>
        </w:rPr>
        <w:footnoteReference w:id="264"/>
      </w:r>
      <w:r w:rsidRPr="009D6606">
        <w:rPr>
          <w:rFonts w:asciiTheme="majorBidi" w:hAnsiTheme="majorBidi" w:cstheme="majorBidi"/>
          <w:sz w:val="24"/>
          <w:szCs w:val="24"/>
        </w:rPr>
        <w:t>.</w:t>
      </w:r>
    </w:p>
    <w:p w:rsidR="006A4EED" w:rsidRPr="003B00C8" w:rsidRDefault="006A4EED" w:rsidP="009D6606">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Mais cela ne veut pas dire pour autant, qu'on ne peut pas parler de codification au théâtre. Simplement, l’objet semble moins restrictif, moins systématique. Il en sera d’autant plus intéressant ! Avec la </w:t>
      </w:r>
      <w:r w:rsidR="00BE1E32">
        <w:rPr>
          <w:rFonts w:ascii="Times New Roman" w:hAnsi="Times New Roman"/>
          <w:sz w:val="24"/>
          <w:szCs w:val="24"/>
        </w:rPr>
        <w:t>sémiotique</w:t>
      </w:r>
      <w:r w:rsidRPr="003B00C8">
        <w:rPr>
          <w:rFonts w:ascii="Times New Roman" w:hAnsi="Times New Roman"/>
          <w:sz w:val="24"/>
          <w:szCs w:val="24"/>
        </w:rPr>
        <w:t xml:space="preserve"> théâtrale, l’objet est plus que la langue, plus que le texte, plus que le récit. Car avec le théâtre on parle du texte </w:t>
      </w:r>
      <w:r w:rsidRPr="003B00C8">
        <w:rPr>
          <w:rFonts w:ascii="Times New Roman" w:hAnsi="Times New Roman"/>
          <w:sz w:val="24"/>
          <w:szCs w:val="24"/>
        </w:rPr>
        <w:lastRenderedPageBreak/>
        <w:t xml:space="preserve">dramatique mais aussi du spectacle, du jeu. Le théâtre est appréhendé en tant que manifestation discursive, bien au-delà du modèle linguistique basique, puisque selon de Saussure, la linguistique s'occupe de la langue et non de la parole, c'est-à-dire du discours singulier. </w:t>
      </w:r>
    </w:p>
    <w:p w:rsidR="006A4EED" w:rsidRPr="003B00C8" w:rsidRDefault="006A4EED" w:rsidP="009D6606">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La </w:t>
      </w:r>
      <w:r w:rsidR="00BE1E32">
        <w:rPr>
          <w:rFonts w:ascii="Times New Roman" w:hAnsi="Times New Roman"/>
          <w:sz w:val="24"/>
          <w:szCs w:val="24"/>
        </w:rPr>
        <w:t>sémiotique</w:t>
      </w:r>
      <w:r w:rsidRPr="003B00C8">
        <w:rPr>
          <w:rFonts w:ascii="Times New Roman" w:hAnsi="Times New Roman"/>
          <w:sz w:val="24"/>
          <w:szCs w:val="24"/>
        </w:rPr>
        <w:t xml:space="preserve"> du théâtre apparait dès lors comme un art à part entière. Et c’est précisément le passage du texte à la scène, qui constitue comme l'un des sujets de prédilection de la </w:t>
      </w:r>
      <w:r w:rsidR="00BE1E32">
        <w:rPr>
          <w:rFonts w:ascii="Times New Roman" w:hAnsi="Times New Roman"/>
          <w:sz w:val="24"/>
          <w:szCs w:val="24"/>
        </w:rPr>
        <w:t>sémiotique</w:t>
      </w:r>
      <w:r w:rsidRPr="003B00C8">
        <w:rPr>
          <w:rFonts w:ascii="Times New Roman" w:hAnsi="Times New Roman"/>
          <w:sz w:val="24"/>
          <w:szCs w:val="24"/>
        </w:rPr>
        <w:t xml:space="preserve"> théâtrale. Mais traiter du spectacle n’est pas chose aisée, en raison de la fragilité et la furtivité de l’objet, puisque, par définition, la représentation théâtrale apparait comme éphémère et ne survit que dans la mémoire des spectateurs. C’est donc un défi important que celui de la </w:t>
      </w:r>
      <w:r w:rsidR="00BE1E32">
        <w:rPr>
          <w:rFonts w:ascii="Times New Roman" w:hAnsi="Times New Roman"/>
          <w:sz w:val="24"/>
          <w:szCs w:val="24"/>
        </w:rPr>
        <w:t>sémiotique</w:t>
      </w:r>
      <w:r w:rsidRPr="003B00C8">
        <w:rPr>
          <w:rFonts w:ascii="Times New Roman" w:hAnsi="Times New Roman"/>
          <w:sz w:val="24"/>
          <w:szCs w:val="24"/>
        </w:rPr>
        <w:t xml:space="preserve"> théâtrale telle que nous allons l’exercer ici. On ne quittera jamais tout à fait le texte, le récit des pièces étudiées. Mais on n’en fera pas pour autant le cœur de l’analyse sémiotique, puisqu’il conviendra incessamment de s’enrichir des d’allusions à l’environnement du spectacle qui regorge de ressources, de couleurs, de signes à interpréter.</w:t>
      </w:r>
    </w:p>
    <w:p w:rsidR="006A4EED" w:rsidRPr="003B00C8" w:rsidRDefault="006A4EED" w:rsidP="00CB4D3F">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Nous le ferons dans l’esprit d’Evelyne E</w:t>
      </w:r>
      <w:r w:rsidR="00CB4D3F">
        <w:rPr>
          <w:rFonts w:ascii="Times New Roman" w:hAnsi="Times New Roman"/>
          <w:sz w:val="24"/>
          <w:szCs w:val="24"/>
        </w:rPr>
        <w:t>rtel</w:t>
      </w:r>
      <w:r w:rsidRPr="003B00C8">
        <w:rPr>
          <w:rFonts w:ascii="Times New Roman" w:hAnsi="Times New Roman"/>
          <w:sz w:val="24"/>
          <w:szCs w:val="24"/>
        </w:rPr>
        <w:t xml:space="preserve"> qui distinguait, en 1977, deux </w:t>
      </w:r>
      <w:r w:rsidR="00BE1E32">
        <w:rPr>
          <w:rFonts w:ascii="Times New Roman" w:hAnsi="Times New Roman"/>
          <w:sz w:val="24"/>
          <w:szCs w:val="24"/>
        </w:rPr>
        <w:t>sémiotique</w:t>
      </w:r>
      <w:r w:rsidRPr="003B00C8">
        <w:rPr>
          <w:rFonts w:ascii="Times New Roman" w:hAnsi="Times New Roman"/>
          <w:sz w:val="24"/>
          <w:szCs w:val="24"/>
        </w:rPr>
        <w:t xml:space="preserve">s applicables au théâtre: </w:t>
      </w:r>
    </w:p>
    <w:p w:rsidR="006A4EED" w:rsidRPr="009D6606" w:rsidRDefault="006A4EED" w:rsidP="009D6606">
      <w:pPr>
        <w:pStyle w:val="Citationintense"/>
        <w:spacing w:before="0" w:after="0"/>
        <w:ind w:left="567" w:right="0"/>
        <w:rPr>
          <w:sz w:val="20"/>
          <w:szCs w:val="20"/>
        </w:rPr>
      </w:pPr>
      <w:r w:rsidRPr="009D6606">
        <w:rPr>
          <w:sz w:val="20"/>
          <w:szCs w:val="20"/>
        </w:rPr>
        <w:t xml:space="preserve">Une </w:t>
      </w:r>
      <w:r w:rsidR="00BE1E32" w:rsidRPr="009D6606">
        <w:rPr>
          <w:sz w:val="20"/>
          <w:szCs w:val="20"/>
        </w:rPr>
        <w:t>sémiotique</w:t>
      </w:r>
      <w:r w:rsidRPr="009D6606">
        <w:rPr>
          <w:sz w:val="20"/>
          <w:szCs w:val="20"/>
        </w:rPr>
        <w:t xml:space="preserve"> classique des discours, du texte et des récits,  une </w:t>
      </w:r>
      <w:r w:rsidR="00BE1E32" w:rsidRPr="009D6606">
        <w:rPr>
          <w:sz w:val="20"/>
          <w:szCs w:val="20"/>
        </w:rPr>
        <w:t>sémiotique</w:t>
      </w:r>
      <w:r w:rsidRPr="009D6606">
        <w:rPr>
          <w:sz w:val="20"/>
          <w:szCs w:val="20"/>
        </w:rPr>
        <w:t xml:space="preserve"> pourrait-on dire du message</w:t>
      </w:r>
      <w:r w:rsidR="009D6606" w:rsidRPr="009D6606">
        <w:rPr>
          <w:sz w:val="20"/>
          <w:szCs w:val="20"/>
        </w:rPr>
        <w:t xml:space="preserve">. </w:t>
      </w:r>
      <w:r w:rsidRPr="009D6606">
        <w:rPr>
          <w:sz w:val="20"/>
          <w:szCs w:val="20"/>
        </w:rPr>
        <w:t xml:space="preserve">Une </w:t>
      </w:r>
      <w:r w:rsidR="00BE1E32" w:rsidRPr="009D6606">
        <w:rPr>
          <w:sz w:val="20"/>
          <w:szCs w:val="20"/>
        </w:rPr>
        <w:t>sémiotique</w:t>
      </w:r>
      <w:r w:rsidRPr="009D6606">
        <w:rPr>
          <w:sz w:val="20"/>
          <w:szCs w:val="20"/>
        </w:rPr>
        <w:t xml:space="preserve"> des «structures profondes»,  qui permettrait de parler d'une langue théâtrale liée à toute manifestation discursive. C’est la logique des  mises en scène différentes et dont le principe peut être invariablement le genre, la pièce, l'auteur, l'époque, le décor etc. C’est la </w:t>
      </w:r>
      <w:r w:rsidR="00BE1E32" w:rsidRPr="009D6606">
        <w:rPr>
          <w:sz w:val="20"/>
          <w:szCs w:val="20"/>
        </w:rPr>
        <w:t>sémiotique</w:t>
      </w:r>
      <w:r w:rsidRPr="009D6606">
        <w:rPr>
          <w:sz w:val="20"/>
          <w:szCs w:val="20"/>
        </w:rPr>
        <w:t xml:space="preserve"> du message. C’est elle qui, en même temps, prédétermine les conditions de la "mise en discours" (c'est-à-dire les conditions du fonctionnement de la signification).</w:t>
      </w:r>
      <w:r w:rsidR="00C46FB6" w:rsidRPr="009D6606">
        <w:rPr>
          <w:rStyle w:val="Appelnotedebasdep"/>
          <w:sz w:val="20"/>
          <w:szCs w:val="20"/>
        </w:rPr>
        <w:t xml:space="preserve"> </w:t>
      </w:r>
      <w:r w:rsidR="00C46FB6" w:rsidRPr="009D6606">
        <w:rPr>
          <w:rStyle w:val="Appelnotedebasdep"/>
          <w:sz w:val="20"/>
          <w:szCs w:val="20"/>
        </w:rPr>
        <w:footnoteReference w:id="265"/>
      </w:r>
    </w:p>
    <w:p w:rsidR="006A4EED" w:rsidRPr="003B00C8" w:rsidRDefault="006A4EED" w:rsidP="006A4EED">
      <w:pPr>
        <w:autoSpaceDE w:val="0"/>
        <w:autoSpaceDN w:val="0"/>
        <w:adjustRightInd w:val="0"/>
        <w:spacing w:after="0" w:line="360" w:lineRule="auto"/>
        <w:ind w:firstLine="708"/>
        <w:jc w:val="both"/>
        <w:rPr>
          <w:rFonts w:ascii="Times New Roman" w:hAnsi="Times New Roman"/>
          <w:sz w:val="24"/>
          <w:szCs w:val="24"/>
        </w:rPr>
      </w:pPr>
    </w:p>
    <w:p w:rsidR="006A4EED" w:rsidRPr="003B00C8" w:rsidRDefault="006A4EED" w:rsidP="009D6606">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Le second type aide à comprendre le premier. Précisément, les signes véhiculés par le spectacle (le jeu) et con contexte aident  à mieux comprendre la nature du texte. En matière de sémiotique théâtrale donc, c’est le message ultimement véhiculé dans son entièreté qui  permet de saisir le code langagier.</w:t>
      </w:r>
    </w:p>
    <w:p w:rsidR="006A4EED" w:rsidRPr="009D6606" w:rsidRDefault="006A4EED" w:rsidP="009D6606">
      <w:pPr>
        <w:autoSpaceDE w:val="0"/>
        <w:autoSpaceDN w:val="0"/>
        <w:adjustRightInd w:val="0"/>
        <w:spacing w:after="0" w:line="360" w:lineRule="auto"/>
        <w:ind w:firstLine="284"/>
        <w:jc w:val="both"/>
        <w:rPr>
          <w:rFonts w:ascii="Times New Roman" w:hAnsi="Times New Roman"/>
          <w:sz w:val="24"/>
          <w:szCs w:val="24"/>
        </w:rPr>
      </w:pPr>
      <w:r w:rsidRPr="009D6606">
        <w:rPr>
          <w:rFonts w:ascii="Times New Roman" w:hAnsi="Times New Roman"/>
          <w:sz w:val="24"/>
          <w:szCs w:val="24"/>
        </w:rPr>
        <w:t>Nous structurons ici la sémiotique du théâtre en dégageant et explorant plusieurs courants, dont certains sont tirés de l’analyse de Leleu-M</w:t>
      </w:r>
      <w:r w:rsidR="00C46FB6" w:rsidRPr="009D6606">
        <w:rPr>
          <w:rFonts w:ascii="Times New Roman" w:hAnsi="Times New Roman"/>
          <w:sz w:val="24"/>
          <w:szCs w:val="24"/>
        </w:rPr>
        <w:t>erviel</w:t>
      </w:r>
      <w:r w:rsidRPr="009D6606">
        <w:rPr>
          <w:rStyle w:val="Appelnotedebasdep"/>
          <w:rFonts w:ascii="Times New Roman" w:hAnsi="Times New Roman"/>
          <w:sz w:val="24"/>
          <w:szCs w:val="24"/>
        </w:rPr>
        <w:footnoteReference w:id="266"/>
      </w:r>
      <w:r w:rsidRPr="009D6606">
        <w:rPr>
          <w:rFonts w:ascii="Times New Roman" w:hAnsi="Times New Roman"/>
          <w:sz w:val="24"/>
          <w:szCs w:val="24"/>
        </w:rPr>
        <w:t xml:space="preserve"> :</w:t>
      </w:r>
    </w:p>
    <w:p w:rsidR="006A4EED" w:rsidRPr="004A27A7" w:rsidRDefault="009D6606" w:rsidP="009D6606">
      <w:pPr>
        <w:pStyle w:val="Titre4"/>
        <w:spacing w:before="0" w:after="0" w:line="360" w:lineRule="auto"/>
        <w:ind w:left="641" w:hanging="357"/>
        <w:jc w:val="both"/>
        <w:rPr>
          <w:rFonts w:ascii="Times New Roman" w:hAnsi="Times New Roman"/>
          <w:i w:val="0"/>
          <w:iCs/>
        </w:rPr>
      </w:pPr>
      <w:bookmarkStart w:id="154" w:name="_Toc471484522"/>
      <w:r>
        <w:rPr>
          <w:rFonts w:ascii="Times New Roman" w:hAnsi="Times New Roman"/>
          <w:i w:val="0"/>
          <w:iCs/>
        </w:rPr>
        <w:lastRenderedPageBreak/>
        <w:t>3.1.</w:t>
      </w:r>
      <w:r w:rsidRPr="004A27A7">
        <w:rPr>
          <w:rFonts w:ascii="Times New Roman" w:hAnsi="Times New Roman"/>
          <w:i w:val="0"/>
          <w:iCs/>
        </w:rPr>
        <w:t xml:space="preserve"> Le</w:t>
      </w:r>
      <w:r w:rsidR="006A4EED" w:rsidRPr="004A27A7">
        <w:rPr>
          <w:rFonts w:ascii="Times New Roman" w:hAnsi="Times New Roman"/>
          <w:i w:val="0"/>
          <w:iCs/>
        </w:rPr>
        <w:t xml:space="preserve"> courant de l’alternative symboliste</w:t>
      </w:r>
      <w:bookmarkEnd w:id="154"/>
    </w:p>
    <w:p w:rsidR="006A4EED" w:rsidRPr="009D6606" w:rsidRDefault="006A4EED" w:rsidP="009D6606">
      <w:pPr>
        <w:autoSpaceDE w:val="0"/>
        <w:autoSpaceDN w:val="0"/>
        <w:adjustRightInd w:val="0"/>
        <w:spacing w:after="0" w:line="360" w:lineRule="auto"/>
        <w:ind w:firstLine="284"/>
        <w:jc w:val="both"/>
        <w:rPr>
          <w:rFonts w:ascii="Times New Roman" w:hAnsi="Times New Roman"/>
          <w:sz w:val="24"/>
          <w:szCs w:val="24"/>
        </w:rPr>
      </w:pPr>
      <w:r w:rsidRPr="009D6606">
        <w:rPr>
          <w:rFonts w:ascii="Times New Roman" w:hAnsi="Times New Roman"/>
          <w:sz w:val="24"/>
          <w:szCs w:val="24"/>
        </w:rPr>
        <w:t>La révolution symboliste de la fin du XIX</w:t>
      </w:r>
      <w:r w:rsidRPr="009D6606">
        <w:rPr>
          <w:rFonts w:ascii="Times New Roman" w:hAnsi="Times New Roman"/>
          <w:sz w:val="24"/>
          <w:szCs w:val="24"/>
          <w:vertAlign w:val="superscript"/>
        </w:rPr>
        <w:t>e</w:t>
      </w:r>
      <w:r w:rsidRPr="009D6606">
        <w:rPr>
          <w:rFonts w:ascii="Times New Roman" w:hAnsi="Times New Roman"/>
          <w:sz w:val="24"/>
          <w:szCs w:val="24"/>
        </w:rPr>
        <w:t xml:space="preserve"> siècle a affranchi l’écriture de toute contingence de représentation et d’incarnation. Dans cette esthétique, nous dit Leleu-Merviel, le symbole du code la réalité cherchera à « vêtir l’idée d’une forme sensible »</w:t>
      </w:r>
      <w:r w:rsidRPr="009D6606">
        <w:rPr>
          <w:rStyle w:val="Appelnotedebasdep"/>
          <w:rFonts w:ascii="Times New Roman" w:hAnsi="Times New Roman"/>
          <w:sz w:val="24"/>
          <w:szCs w:val="24"/>
        </w:rPr>
        <w:footnoteReference w:id="267"/>
      </w:r>
      <w:r w:rsidRPr="009D6606">
        <w:rPr>
          <w:rFonts w:ascii="Times New Roman" w:hAnsi="Times New Roman"/>
          <w:sz w:val="24"/>
          <w:szCs w:val="24"/>
        </w:rPr>
        <w:t>, suivant l’expression de Jean M</w:t>
      </w:r>
      <w:r w:rsidR="009D6606" w:rsidRPr="009D6606">
        <w:rPr>
          <w:rFonts w:ascii="Times New Roman" w:hAnsi="Times New Roman"/>
          <w:sz w:val="24"/>
          <w:szCs w:val="24"/>
        </w:rPr>
        <w:t>oréas</w:t>
      </w:r>
      <w:r w:rsidRPr="009D6606">
        <w:rPr>
          <w:rStyle w:val="Appelnotedebasdep"/>
          <w:rFonts w:ascii="Times New Roman" w:hAnsi="Times New Roman"/>
          <w:sz w:val="24"/>
          <w:szCs w:val="24"/>
        </w:rPr>
        <w:footnoteReference w:id="268"/>
      </w:r>
      <w:r w:rsidRPr="009D6606">
        <w:rPr>
          <w:rFonts w:ascii="Times New Roman" w:hAnsi="Times New Roman"/>
          <w:sz w:val="24"/>
          <w:szCs w:val="24"/>
        </w:rPr>
        <w:t xml:space="preserve">. </w:t>
      </w:r>
    </w:p>
    <w:p w:rsidR="006A4EED" w:rsidRPr="001B2150" w:rsidRDefault="006A4EED" w:rsidP="0016164A">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C’e</w:t>
      </w:r>
      <w:r w:rsidR="003D598E">
        <w:rPr>
          <w:rFonts w:ascii="Times New Roman" w:hAnsi="Times New Roman"/>
          <w:sz w:val="24"/>
          <w:szCs w:val="24"/>
        </w:rPr>
        <w:t>s</w:t>
      </w:r>
      <w:r w:rsidRPr="003B00C8">
        <w:rPr>
          <w:rFonts w:ascii="Times New Roman" w:hAnsi="Times New Roman"/>
          <w:sz w:val="24"/>
          <w:szCs w:val="24"/>
        </w:rPr>
        <w:t xml:space="preserve">t dire que les codes et les symboles vont tenir une place importante dans le langage et celui-ci épouse désormais des formes qui empruntent au réel. Le cadre de la pièce devient par exemple la nature : une forêt, une grotte, une fontaine, un parc. Les personnages, dépourvus d’identité, notamment d’épaisseur psychologique, concrétisent </w:t>
      </w:r>
      <w:r w:rsidRPr="001B2150">
        <w:rPr>
          <w:rFonts w:ascii="Times New Roman" w:hAnsi="Times New Roman"/>
          <w:sz w:val="24"/>
          <w:szCs w:val="24"/>
        </w:rPr>
        <w:t>eux aussi des symboles.</w:t>
      </w:r>
    </w:p>
    <w:p w:rsidR="006A4EED" w:rsidRPr="003B00C8" w:rsidRDefault="006A4EED" w:rsidP="0016164A">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Paul C</w:t>
      </w:r>
      <w:r w:rsidR="0016164A">
        <w:rPr>
          <w:rFonts w:ascii="Times New Roman" w:hAnsi="Times New Roman"/>
          <w:sz w:val="24"/>
          <w:szCs w:val="24"/>
        </w:rPr>
        <w:t>laudel</w:t>
      </w:r>
      <w:r w:rsidRPr="003B00C8">
        <w:rPr>
          <w:rFonts w:ascii="Times New Roman" w:hAnsi="Times New Roman"/>
          <w:sz w:val="24"/>
          <w:szCs w:val="24"/>
        </w:rPr>
        <w:t>, grand poète chrétien, peut légitimement être inscrit, de l’avis de Leleu-M</w:t>
      </w:r>
      <w:r w:rsidR="0016164A">
        <w:rPr>
          <w:rFonts w:ascii="Times New Roman" w:hAnsi="Times New Roman"/>
          <w:sz w:val="24"/>
          <w:szCs w:val="24"/>
        </w:rPr>
        <w:t>erviel</w:t>
      </w:r>
      <w:r w:rsidRPr="003B00C8">
        <w:rPr>
          <w:rFonts w:ascii="Times New Roman" w:hAnsi="Times New Roman"/>
          <w:sz w:val="24"/>
          <w:szCs w:val="24"/>
        </w:rPr>
        <w:t xml:space="preserve">, dans cette filiation d’écriture, même si Claudel n’est pas réductible au seul mouvement symboliste. </w:t>
      </w:r>
    </w:p>
    <w:p w:rsidR="006A4EED" w:rsidRPr="008F20FD" w:rsidRDefault="006A4EED" w:rsidP="008F20FD">
      <w:pPr>
        <w:autoSpaceDE w:val="0"/>
        <w:autoSpaceDN w:val="0"/>
        <w:adjustRightInd w:val="0"/>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Elle dit de lui</w:t>
      </w:r>
      <w:r w:rsidRPr="008F20FD">
        <w:rPr>
          <w:rFonts w:asciiTheme="majorBidi" w:hAnsiTheme="majorBidi" w:cstheme="majorBidi"/>
          <w:sz w:val="24"/>
          <w:szCs w:val="24"/>
        </w:rPr>
        <w:t xml:space="preserve">: </w:t>
      </w:r>
      <w:r w:rsidR="008F20FD" w:rsidRPr="008F20FD">
        <w:rPr>
          <w:rFonts w:asciiTheme="majorBidi" w:hAnsiTheme="majorBidi" w:cstheme="majorBidi"/>
          <w:sz w:val="24"/>
          <w:szCs w:val="24"/>
        </w:rPr>
        <w:t>« </w:t>
      </w:r>
      <w:r w:rsidRPr="008F20FD">
        <w:rPr>
          <w:rFonts w:asciiTheme="majorBidi" w:hAnsiTheme="majorBidi" w:cstheme="majorBidi"/>
          <w:sz w:val="24"/>
          <w:szCs w:val="24"/>
        </w:rPr>
        <w:t>totalement insoucieux de réalisme et de psychologie, il élabore de grands messages lyriques et intemporels, où les situations et les personnages, eux aussi à haute teneur symbolique, traduisent un idéalisme dominé par la souffrance, l’angoisse métaphysique et la rédemption par la foi</w:t>
      </w:r>
      <w:r w:rsidRPr="008F20FD">
        <w:rPr>
          <w:rStyle w:val="Appelnotedebasdep"/>
          <w:rFonts w:asciiTheme="majorBidi" w:hAnsiTheme="majorBidi" w:cstheme="majorBidi"/>
          <w:sz w:val="24"/>
          <w:szCs w:val="24"/>
        </w:rPr>
        <w:footnoteReference w:id="269"/>
      </w:r>
      <w:r w:rsidR="008F20FD">
        <w:rPr>
          <w:rFonts w:asciiTheme="majorBidi" w:hAnsiTheme="majorBidi" w:cstheme="majorBidi"/>
          <w:sz w:val="24"/>
          <w:szCs w:val="24"/>
        </w:rPr>
        <w:t>.</w:t>
      </w:r>
    </w:p>
    <w:p w:rsidR="006A4EED" w:rsidRPr="003B00C8" w:rsidRDefault="006A4EED" w:rsidP="006A4EED">
      <w:pPr>
        <w:autoSpaceDE w:val="0"/>
        <w:autoSpaceDN w:val="0"/>
        <w:adjustRightInd w:val="0"/>
        <w:spacing w:after="0" w:line="360" w:lineRule="auto"/>
        <w:jc w:val="both"/>
        <w:rPr>
          <w:rFonts w:ascii="Times New Roman" w:hAnsi="Times New Roman"/>
          <w:sz w:val="24"/>
          <w:szCs w:val="24"/>
        </w:rPr>
      </w:pPr>
    </w:p>
    <w:p w:rsidR="006A4EED" w:rsidRPr="004A27A7" w:rsidRDefault="008F20FD" w:rsidP="008F20FD">
      <w:pPr>
        <w:pStyle w:val="Titre4"/>
        <w:spacing w:before="0" w:after="0" w:line="360" w:lineRule="auto"/>
        <w:ind w:left="641" w:hanging="357"/>
        <w:jc w:val="both"/>
        <w:rPr>
          <w:rFonts w:ascii="Times New Roman" w:hAnsi="Times New Roman"/>
          <w:i w:val="0"/>
          <w:iCs/>
        </w:rPr>
      </w:pPr>
      <w:bookmarkStart w:id="155" w:name="_Toc471484523"/>
      <w:r>
        <w:rPr>
          <w:rFonts w:ascii="Times New Roman" w:hAnsi="Times New Roman"/>
          <w:i w:val="0"/>
          <w:iCs/>
        </w:rPr>
        <w:t>3.2.</w:t>
      </w:r>
      <w:r w:rsidRPr="004A27A7">
        <w:rPr>
          <w:rFonts w:ascii="Times New Roman" w:hAnsi="Times New Roman"/>
          <w:i w:val="0"/>
          <w:iCs/>
        </w:rPr>
        <w:t xml:space="preserve"> La</w:t>
      </w:r>
      <w:r w:rsidR="006A4EED" w:rsidRPr="004A27A7">
        <w:rPr>
          <w:rFonts w:ascii="Times New Roman" w:hAnsi="Times New Roman"/>
          <w:i w:val="0"/>
          <w:iCs/>
        </w:rPr>
        <w:t xml:space="preserve"> mouvance littéraire et poétique</w:t>
      </w:r>
      <w:bookmarkEnd w:id="155"/>
    </w:p>
    <w:p w:rsidR="006A4EED" w:rsidRPr="003B00C8" w:rsidRDefault="006A4EED" w:rsidP="008F20FD">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Cette mouvance, domine la production de l’entre-deux-guerres, et sa force est concentrée dans le texte. Leleu-Merviel indique que le style y est travaillé à l’extrême : </w:t>
      </w:r>
    </w:p>
    <w:p w:rsidR="006A4EED" w:rsidRPr="008F20FD" w:rsidRDefault="006A4EED" w:rsidP="008F20FD">
      <w:pPr>
        <w:pStyle w:val="Citationintense"/>
        <w:spacing w:before="0" w:after="0"/>
        <w:ind w:left="567" w:right="0"/>
        <w:rPr>
          <w:sz w:val="20"/>
          <w:szCs w:val="20"/>
        </w:rPr>
      </w:pPr>
      <w:proofErr w:type="gramStart"/>
      <w:r w:rsidRPr="008F20FD">
        <w:rPr>
          <w:sz w:val="20"/>
          <w:szCs w:val="20"/>
        </w:rPr>
        <w:t>puissamment</w:t>
      </w:r>
      <w:proofErr w:type="gramEnd"/>
      <w:r w:rsidRPr="008F20FD">
        <w:rPr>
          <w:sz w:val="20"/>
          <w:szCs w:val="20"/>
        </w:rPr>
        <w:t xml:space="preserve"> poétique et mélodique à travers le « verset claudélien » ; sobre, dépouillé mais délicatement nuancé chez Montherlant ; sarcastique, grinçant et cédant parfois à la facilité du « mot d’auteur » chez Anouilh ; atteignant des sommets inouïs de perfection dans l’élégance, la distinction et le raffinement chez Giraudoux</w:t>
      </w:r>
      <w:r w:rsidRPr="008F20FD">
        <w:rPr>
          <w:rStyle w:val="Appelnotedebasdep"/>
          <w:sz w:val="20"/>
          <w:szCs w:val="20"/>
        </w:rPr>
        <w:footnoteReference w:id="270"/>
      </w:r>
      <w:r w:rsidR="008F20FD">
        <w:rPr>
          <w:sz w:val="20"/>
          <w:szCs w:val="20"/>
        </w:rPr>
        <w:t>.</w:t>
      </w:r>
    </w:p>
    <w:p w:rsidR="006A4EED" w:rsidRPr="003B00C8" w:rsidRDefault="006A4EED" w:rsidP="006A4EED">
      <w:pPr>
        <w:autoSpaceDE w:val="0"/>
        <w:autoSpaceDN w:val="0"/>
        <w:adjustRightInd w:val="0"/>
        <w:spacing w:after="0" w:line="360" w:lineRule="auto"/>
        <w:ind w:firstLine="708"/>
        <w:jc w:val="both"/>
        <w:rPr>
          <w:rFonts w:ascii="Times New Roman" w:hAnsi="Times New Roman"/>
          <w:sz w:val="24"/>
          <w:szCs w:val="24"/>
        </w:rPr>
      </w:pPr>
    </w:p>
    <w:p w:rsidR="006A4EED" w:rsidRPr="003B00C8" w:rsidRDefault="006A4EED" w:rsidP="008F20FD">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Dans la mouvance littéraire et poétique, la langue constitue l’âme du théâtre et le Verbe son essence. Cette tendance, assez conformiste, mérite d’être citée en tant que dernière manifestation d’une tradition strictement littéraire. C’est en effet une </w:t>
      </w:r>
      <w:r w:rsidRPr="003B00C8">
        <w:rPr>
          <w:rFonts w:ascii="Times New Roman" w:hAnsi="Times New Roman"/>
          <w:sz w:val="24"/>
          <w:szCs w:val="24"/>
        </w:rPr>
        <w:lastRenderedPageBreak/>
        <w:t xml:space="preserve">des assises conventionnelles que les dramaturgies réformatrices vont s’attacher révolutionner par la suite, comme on le voit avec le courant suivant. </w:t>
      </w:r>
    </w:p>
    <w:p w:rsidR="006A4EED" w:rsidRPr="003B00C8" w:rsidRDefault="006A4EED" w:rsidP="006A4EED">
      <w:pPr>
        <w:autoSpaceDE w:val="0"/>
        <w:autoSpaceDN w:val="0"/>
        <w:adjustRightInd w:val="0"/>
        <w:spacing w:after="0" w:line="360" w:lineRule="auto"/>
        <w:jc w:val="both"/>
        <w:rPr>
          <w:rFonts w:ascii="Times New Roman" w:hAnsi="Times New Roman"/>
          <w:sz w:val="24"/>
          <w:szCs w:val="24"/>
        </w:rPr>
      </w:pPr>
    </w:p>
    <w:p w:rsidR="006A4EED" w:rsidRPr="004A27A7" w:rsidRDefault="008F20FD" w:rsidP="008F20FD">
      <w:pPr>
        <w:pStyle w:val="Titre4"/>
        <w:spacing w:before="0" w:after="0" w:line="360" w:lineRule="auto"/>
        <w:ind w:left="641" w:hanging="357"/>
        <w:jc w:val="both"/>
        <w:rPr>
          <w:rFonts w:ascii="Times New Roman" w:hAnsi="Times New Roman"/>
          <w:i w:val="0"/>
          <w:iCs/>
        </w:rPr>
      </w:pPr>
      <w:bookmarkStart w:id="156" w:name="_Toc471484524"/>
      <w:r>
        <w:rPr>
          <w:rFonts w:ascii="Times New Roman" w:hAnsi="Times New Roman"/>
          <w:i w:val="0"/>
          <w:iCs/>
        </w:rPr>
        <w:t>3.3.</w:t>
      </w:r>
      <w:r w:rsidRPr="004A27A7">
        <w:rPr>
          <w:rFonts w:ascii="Times New Roman" w:hAnsi="Times New Roman"/>
          <w:i w:val="0"/>
          <w:iCs/>
        </w:rPr>
        <w:t xml:space="preserve"> Le</w:t>
      </w:r>
      <w:r w:rsidR="006A4EED" w:rsidRPr="004A27A7">
        <w:rPr>
          <w:rFonts w:ascii="Times New Roman" w:hAnsi="Times New Roman"/>
          <w:i w:val="0"/>
          <w:iCs/>
        </w:rPr>
        <w:t xml:space="preserve"> courant du théâtre total</w:t>
      </w:r>
      <w:bookmarkEnd w:id="156"/>
    </w:p>
    <w:p w:rsidR="006A4EED" w:rsidRPr="003B00C8" w:rsidRDefault="006A4EED" w:rsidP="008F20FD">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 courant du théâtre total est porteur d’une logique innovante fondée sur la primauté de la scène au détriment du langage. Ainsi, avec le courant du théâtre total, Artaud renonce à la construction psychologique, au réalisme de l’écriture théâtrale et la fable unificatrice. Il décide d’aller plus loin : abandonner le principe même d’un art dramatique fondé sur le verbal au profit donc d’un théâtre total faisant appel aussi bien à la musique, au chant ou à la danse ; ce faisant Artaud place définitivement le langage scénique à l’avant-plan, bien au-delà du dialogue, autrefois central, et dont le rôle se voit réduit à la portion congrue : </w:t>
      </w:r>
    </w:p>
    <w:p w:rsidR="006A4EED" w:rsidRPr="008F20FD" w:rsidRDefault="006A4EED" w:rsidP="008F20FD">
      <w:pPr>
        <w:pStyle w:val="Citationintense"/>
        <w:spacing w:before="0" w:after="0"/>
        <w:ind w:left="567" w:right="0"/>
        <w:rPr>
          <w:sz w:val="20"/>
          <w:szCs w:val="20"/>
        </w:rPr>
      </w:pPr>
      <w:r w:rsidRPr="008F20FD">
        <w:rPr>
          <w:iCs w:val="0"/>
          <w:sz w:val="20"/>
          <w:szCs w:val="20"/>
        </w:rPr>
        <w:t>Je dis que la scène est un lieu physique et concret qui demande qu’on le remplisse, et qu’on lui fasse parler son langage concret. Je dis que ce langage concret, destiné aux sens et indépendant de la parole, doit satisfaire d’abord les sens, qu’il y a une poésie pour les sens comme il y en a une pour le langage, et que ce langage physique et concret auquel je fais allusion n’est vraiment théâtral que dans la mesure où les pensées qu’il exprime échappent au langage articulé.</w:t>
      </w:r>
      <w:r w:rsidRPr="008F20FD">
        <w:rPr>
          <w:sz w:val="20"/>
          <w:szCs w:val="20"/>
        </w:rPr>
        <w:t> </w:t>
      </w:r>
      <w:r w:rsidRPr="008F20FD">
        <w:rPr>
          <w:rStyle w:val="Appelnotedebasdep"/>
          <w:sz w:val="20"/>
          <w:szCs w:val="20"/>
        </w:rPr>
        <w:footnoteReference w:id="271"/>
      </w:r>
      <w:r w:rsidRPr="008F20FD">
        <w:rPr>
          <w:sz w:val="20"/>
          <w:szCs w:val="20"/>
        </w:rPr>
        <w:t xml:space="preserve">  </w:t>
      </w:r>
    </w:p>
    <w:p w:rsidR="003D598E" w:rsidRDefault="003D598E" w:rsidP="006A4EED">
      <w:pPr>
        <w:autoSpaceDE w:val="0"/>
        <w:autoSpaceDN w:val="0"/>
        <w:adjustRightInd w:val="0"/>
        <w:spacing w:after="0" w:line="360" w:lineRule="auto"/>
        <w:ind w:firstLine="708"/>
        <w:jc w:val="both"/>
        <w:rPr>
          <w:rFonts w:ascii="Times New Roman" w:hAnsi="Times New Roman"/>
          <w:sz w:val="24"/>
          <w:szCs w:val="24"/>
        </w:rPr>
      </w:pPr>
    </w:p>
    <w:p w:rsidR="006A4EED" w:rsidRPr="003B00C8" w:rsidRDefault="006A4EED" w:rsidP="00007F7E">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Roland Barthes ne se situe d’ailleurs pas loin de cette conception lorsqu’il consacre le théâtre de dérision, lequel réduit la prééminence du langage en accroissant considérablement la théâtralité. Barthes s’exprime en ces termes :</w:t>
      </w:r>
    </w:p>
    <w:p w:rsidR="006A4EED" w:rsidRPr="00C46FB6" w:rsidRDefault="006A4EED" w:rsidP="00007F7E">
      <w:pPr>
        <w:pStyle w:val="Citationintense"/>
        <w:spacing w:before="0" w:after="0"/>
        <w:ind w:left="567" w:right="0"/>
        <w:rPr>
          <w:iCs w:val="0"/>
          <w:sz w:val="20"/>
          <w:szCs w:val="20"/>
        </w:rPr>
      </w:pPr>
      <w:r w:rsidRPr="00C46FB6">
        <w:rPr>
          <w:iCs w:val="0"/>
          <w:sz w:val="20"/>
          <w:szCs w:val="20"/>
        </w:rPr>
        <w:t xml:space="preserve"> Qu’est-ce que la théâtralité ? C’est le théâtre moins le texte, c’est une épaisseur de signes et de sensations qui s’édifie sur la scène à partir de l’argument écrit, c’est cette sorte de perception œcuménique des artifices sensuels, gestes, tons, distances, substances, lumières, qui submerge le texte sous la plénitude de son langage extérieur. </w:t>
      </w:r>
      <w:r w:rsidRPr="00C46FB6">
        <w:rPr>
          <w:iCs w:val="0"/>
          <w:sz w:val="20"/>
          <w:szCs w:val="20"/>
          <w:vertAlign w:val="superscript"/>
        </w:rPr>
        <w:footnoteReference w:id="272"/>
      </w:r>
      <w:r w:rsidRPr="00C46FB6">
        <w:rPr>
          <w:iCs w:val="0"/>
          <w:sz w:val="20"/>
          <w:szCs w:val="20"/>
          <w:vertAlign w:val="superscript"/>
        </w:rPr>
        <w:t xml:space="preserve"> </w:t>
      </w:r>
    </w:p>
    <w:p w:rsidR="006A4EED" w:rsidRPr="003B00C8" w:rsidRDefault="006A4EED" w:rsidP="006A4EED">
      <w:pPr>
        <w:spacing w:after="0" w:line="240" w:lineRule="auto"/>
        <w:rPr>
          <w:rFonts w:ascii="Times New Roman" w:hAnsi="Times New Roman"/>
          <w:sz w:val="24"/>
          <w:szCs w:val="24"/>
        </w:rPr>
      </w:pPr>
      <w:r w:rsidRPr="003B00C8">
        <w:rPr>
          <w:rFonts w:ascii="Times New Roman" w:hAnsi="Times New Roman"/>
          <w:b/>
          <w:bCs/>
          <w:i/>
          <w:iCs/>
          <w:sz w:val="24"/>
          <w:szCs w:val="24"/>
        </w:rPr>
        <w:br w:type="page"/>
      </w:r>
    </w:p>
    <w:p w:rsidR="006A4EED" w:rsidRPr="00007F7E" w:rsidRDefault="00A6282E" w:rsidP="00BC7421">
      <w:pPr>
        <w:pStyle w:val="Titre2"/>
        <w:spacing w:before="0" w:after="0"/>
        <w:jc w:val="both"/>
        <w:rPr>
          <w:rFonts w:ascii="Times New Roman" w:hAnsi="Times New Roman" w:cs="Times New Roman"/>
          <w:i w:val="0"/>
          <w:iCs w:val="0"/>
          <w:sz w:val="24"/>
          <w:szCs w:val="24"/>
        </w:rPr>
      </w:pPr>
      <w:bookmarkStart w:id="157" w:name="_Toc471484525"/>
      <w:bookmarkStart w:id="158" w:name="_Toc449044169"/>
      <w:r w:rsidRPr="00007F7E">
        <w:rPr>
          <w:rFonts w:ascii="Times New Roman" w:hAnsi="Times New Roman" w:cs="Times New Roman"/>
          <w:i w:val="0"/>
          <w:iCs w:val="0"/>
          <w:sz w:val="24"/>
          <w:szCs w:val="24"/>
        </w:rPr>
        <w:lastRenderedPageBreak/>
        <w:t>Chapitre 2</w:t>
      </w:r>
      <w:r w:rsidR="00007F7E">
        <w:rPr>
          <w:rFonts w:ascii="Times New Roman" w:hAnsi="Times New Roman" w:cs="Times New Roman"/>
          <w:i w:val="0"/>
          <w:iCs w:val="0"/>
          <w:sz w:val="24"/>
          <w:szCs w:val="24"/>
        </w:rPr>
        <w:t> :</w:t>
      </w:r>
      <w:r w:rsidRPr="00007F7E">
        <w:rPr>
          <w:rFonts w:ascii="Times New Roman" w:hAnsi="Times New Roman" w:cs="Times New Roman"/>
          <w:i w:val="0"/>
          <w:iCs w:val="0"/>
          <w:sz w:val="24"/>
          <w:szCs w:val="24"/>
        </w:rPr>
        <w:t xml:space="preserve"> Sémiotique </w:t>
      </w:r>
      <w:r w:rsidR="00BC7421">
        <w:rPr>
          <w:rFonts w:ascii="Times New Roman" w:hAnsi="Times New Roman" w:cs="Times New Roman"/>
          <w:i w:val="0"/>
          <w:iCs w:val="0"/>
          <w:sz w:val="24"/>
          <w:szCs w:val="24"/>
        </w:rPr>
        <w:t>du discours dans les</w:t>
      </w:r>
      <w:r w:rsidRPr="00007F7E">
        <w:rPr>
          <w:rFonts w:ascii="Times New Roman" w:hAnsi="Times New Roman" w:cs="Times New Roman"/>
          <w:i w:val="0"/>
          <w:iCs w:val="0"/>
          <w:sz w:val="24"/>
          <w:szCs w:val="24"/>
        </w:rPr>
        <w:t xml:space="preserve"> deux œuvres</w:t>
      </w:r>
      <w:bookmarkEnd w:id="157"/>
      <w:r w:rsidRPr="00007F7E">
        <w:rPr>
          <w:rFonts w:ascii="Times New Roman" w:hAnsi="Times New Roman" w:cs="Times New Roman"/>
          <w:i w:val="0"/>
          <w:iCs w:val="0"/>
          <w:sz w:val="24"/>
          <w:szCs w:val="24"/>
        </w:rPr>
        <w:t> </w:t>
      </w:r>
      <w:bookmarkEnd w:id="158"/>
    </w:p>
    <w:p w:rsidR="006A4EED" w:rsidRPr="003B00C8" w:rsidRDefault="006A4EED" w:rsidP="006A4EED">
      <w:pPr>
        <w:autoSpaceDE w:val="0"/>
        <w:autoSpaceDN w:val="0"/>
        <w:adjustRightInd w:val="0"/>
        <w:spacing w:after="0" w:line="360" w:lineRule="auto"/>
        <w:jc w:val="both"/>
        <w:rPr>
          <w:rFonts w:ascii="Times New Roman" w:hAnsi="Times New Roman"/>
          <w:color w:val="000000"/>
          <w:sz w:val="24"/>
          <w:szCs w:val="24"/>
        </w:rPr>
      </w:pPr>
    </w:p>
    <w:p w:rsidR="006A4EED" w:rsidRPr="003B00C8" w:rsidRDefault="006A4EED" w:rsidP="00AC721D">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Les éléments de </w:t>
      </w:r>
      <w:r w:rsidR="00BE1E32">
        <w:rPr>
          <w:rFonts w:ascii="Times New Roman" w:hAnsi="Times New Roman"/>
          <w:sz w:val="24"/>
          <w:szCs w:val="24"/>
        </w:rPr>
        <w:t>sémiotique</w:t>
      </w:r>
      <w:r w:rsidRPr="003B00C8">
        <w:rPr>
          <w:rFonts w:ascii="Times New Roman" w:hAnsi="Times New Roman"/>
          <w:sz w:val="24"/>
          <w:szCs w:val="24"/>
        </w:rPr>
        <w:t xml:space="preserve"> du théâtre ont été extraits et analysés tout au long de cette thèse, depuis l’étude narratologique des deux pièces, jusqu’au rôle des personnages-narrateurs. Ce chapitre vise à présent à procéder à une synthèse confrontée des approches sémiotiques dans les théâtres de Kaki et de Ghelderode. Il s’agit en définitive de dégager les grands axes révélateurs de la </w:t>
      </w:r>
      <w:r w:rsidR="00BE1E32">
        <w:rPr>
          <w:rFonts w:ascii="Times New Roman" w:hAnsi="Times New Roman"/>
          <w:sz w:val="24"/>
          <w:szCs w:val="24"/>
        </w:rPr>
        <w:t>sémiotique</w:t>
      </w:r>
      <w:r w:rsidRPr="003B00C8">
        <w:rPr>
          <w:rFonts w:ascii="Times New Roman" w:hAnsi="Times New Roman"/>
          <w:sz w:val="24"/>
          <w:szCs w:val="24"/>
        </w:rPr>
        <w:t xml:space="preserve"> dans chacune des œuvres et d’opérer des corrélations. </w:t>
      </w:r>
    </w:p>
    <w:p w:rsidR="006A4EED" w:rsidRPr="004F5262" w:rsidRDefault="006A4EED" w:rsidP="00AC721D">
      <w:pPr>
        <w:autoSpaceDE w:val="0"/>
        <w:autoSpaceDN w:val="0"/>
        <w:adjustRightInd w:val="0"/>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Pour chacun des auteurs, nous présenterons dès lors tout d’abord le contexte et les enjeux de l’analyse sémiotique. Ensuite, nous livrerons, en synthèse, les thèmes précis révélateurs des choix sémiotiques opérés par chacun des auteurs, avec à la clé, quelques illustrations. Cette synthèse comparative est proposée sous forme d’analyse – interprétation, en procédant directement à des </w:t>
      </w:r>
      <w:r w:rsidRPr="004F5262">
        <w:rPr>
          <w:rFonts w:ascii="Times New Roman" w:hAnsi="Times New Roman"/>
          <w:sz w:val="24"/>
          <w:szCs w:val="24"/>
        </w:rPr>
        <w:t>confrontations du matériau dramatique considéré (les deux pièces étudiées) avec des éléments de la littérature.</w:t>
      </w:r>
      <w:r w:rsidR="006119BD" w:rsidRPr="004F5262">
        <w:rPr>
          <w:rFonts w:ascii="Times New Roman" w:hAnsi="Times New Roman"/>
          <w:sz w:val="24"/>
          <w:szCs w:val="24"/>
        </w:rPr>
        <w:t xml:space="preserve"> Nous traiterons avant cela des aspects de polyphonie énonciative.</w:t>
      </w:r>
    </w:p>
    <w:p w:rsidR="002409A2" w:rsidRDefault="002409A2" w:rsidP="002409A2">
      <w:pPr>
        <w:pStyle w:val="Titre3"/>
        <w:spacing w:before="0" w:after="0" w:line="360" w:lineRule="auto"/>
        <w:ind w:left="641" w:hanging="357"/>
        <w:jc w:val="both"/>
        <w:rPr>
          <w:rFonts w:ascii="Times New Roman" w:hAnsi="Times New Roman" w:cs="Times New Roman"/>
          <w:sz w:val="24"/>
          <w:szCs w:val="24"/>
        </w:rPr>
      </w:pPr>
    </w:p>
    <w:p w:rsidR="000F2951" w:rsidRPr="002409A2" w:rsidRDefault="002409A2" w:rsidP="002409A2">
      <w:pPr>
        <w:pStyle w:val="Titre3"/>
        <w:spacing w:before="0" w:after="0" w:line="360" w:lineRule="auto"/>
        <w:ind w:left="641" w:hanging="357"/>
        <w:jc w:val="both"/>
        <w:rPr>
          <w:rFonts w:ascii="Times New Roman" w:hAnsi="Times New Roman" w:cs="Times New Roman"/>
          <w:sz w:val="24"/>
          <w:szCs w:val="24"/>
        </w:rPr>
      </w:pPr>
      <w:bookmarkStart w:id="159" w:name="_Toc471484526"/>
      <w:r w:rsidRPr="002409A2">
        <w:rPr>
          <w:rFonts w:ascii="Times New Roman" w:hAnsi="Times New Roman" w:cs="Times New Roman"/>
          <w:sz w:val="24"/>
          <w:szCs w:val="24"/>
        </w:rPr>
        <w:t>1. Sémiotique</w:t>
      </w:r>
      <w:r w:rsidR="000F2951" w:rsidRPr="002409A2">
        <w:rPr>
          <w:rFonts w:ascii="Times New Roman" w:hAnsi="Times New Roman" w:cs="Times New Roman"/>
          <w:sz w:val="24"/>
          <w:szCs w:val="24"/>
        </w:rPr>
        <w:t xml:space="preserve"> discursive et polyphonie énonciative</w:t>
      </w:r>
      <w:bookmarkEnd w:id="159"/>
      <w:r w:rsidR="000F2951" w:rsidRPr="002409A2">
        <w:rPr>
          <w:rFonts w:ascii="Times New Roman" w:hAnsi="Times New Roman" w:cs="Times New Roman"/>
          <w:sz w:val="24"/>
          <w:szCs w:val="24"/>
        </w:rPr>
        <w:t xml:space="preserve"> </w:t>
      </w:r>
    </w:p>
    <w:p w:rsidR="00815402" w:rsidRPr="004F5262" w:rsidRDefault="00815402" w:rsidP="002409A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Cette sous section sert de prélude à l’analyse de la sémiotique discursive dans chacune des œuvres.</w:t>
      </w:r>
    </w:p>
    <w:p w:rsidR="00815402" w:rsidRPr="004F5262" w:rsidRDefault="00815402" w:rsidP="002409A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Rappelons que notre questionnement de notre analyse sémiotique s’inscrit autour de  l’énonciation et du discours afin de déterminer les lieux où se manifestent l’intertexte, la polyphonie des genres et des discours. A ce titre nous explorerons, chez Kaki comme chez Ghelderode, la nature sémiotique des objets comme : le sacré, l’imaginaire, le mythe, l’oralité, le rite et le rituel, le socio-culturel et la réalité. Nous tenterons aussi de comprendre ce que </w:t>
      </w:r>
      <w:r w:rsidR="00E55F0F" w:rsidRPr="004F5262">
        <w:rPr>
          <w:rFonts w:ascii="Times New Roman" w:eastAsia="Times New Roman" w:hAnsi="Times New Roman"/>
          <w:sz w:val="24"/>
          <w:szCs w:val="24"/>
          <w:lang w:eastAsia="fr-FR"/>
        </w:rPr>
        <w:t>révèle</w:t>
      </w:r>
      <w:r w:rsidRPr="004F5262">
        <w:rPr>
          <w:rFonts w:ascii="Times New Roman" w:eastAsia="Times New Roman" w:hAnsi="Times New Roman"/>
          <w:sz w:val="24"/>
          <w:szCs w:val="24"/>
          <w:lang w:eastAsia="fr-FR"/>
        </w:rPr>
        <w:t xml:space="preserve"> des confrontations entre  des objets comme l’implicite/l’explicite, le dit et le non-dit dans les deux discours des pièces examinées.</w:t>
      </w:r>
    </w:p>
    <w:p w:rsidR="000F2951" w:rsidRPr="004F5262" w:rsidRDefault="000F2951" w:rsidP="002409A2">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On entend par polyphonie énonciative,   la présence de plusieurs voix </w:t>
      </w:r>
      <w:r w:rsidR="006119BD" w:rsidRPr="004F5262">
        <w:rPr>
          <w:rFonts w:ascii="Times New Roman" w:eastAsia="Times New Roman" w:hAnsi="Times New Roman"/>
          <w:sz w:val="24"/>
          <w:szCs w:val="24"/>
          <w:lang w:eastAsia="fr-FR"/>
        </w:rPr>
        <w:t>dans la conduite du discours. Là ou s’observent plusieurs</w:t>
      </w:r>
      <w:r w:rsidRPr="004F5262">
        <w:rPr>
          <w:rFonts w:ascii="Times New Roman" w:eastAsia="Times New Roman" w:hAnsi="Times New Roman"/>
          <w:sz w:val="24"/>
          <w:szCs w:val="24"/>
          <w:lang w:eastAsia="fr-FR"/>
        </w:rPr>
        <w:t xml:space="preserve"> qui racontent et qui rapportent.  La genèse du concept est à la fois littéraire et linguistique. La filiation littéraire renvoie à Mikhaïl Bakhtine</w:t>
      </w:r>
      <w:r w:rsidRPr="004F5262">
        <w:rPr>
          <w:rFonts w:ascii="Times New Roman" w:eastAsia="Times New Roman" w:hAnsi="Times New Roman"/>
          <w:sz w:val="24"/>
          <w:szCs w:val="24"/>
          <w:vertAlign w:val="superscript"/>
          <w:lang w:eastAsia="fr-FR"/>
        </w:rPr>
        <w:footnoteReference w:id="273"/>
      </w:r>
      <w:r w:rsidRPr="004F5262">
        <w:rPr>
          <w:rFonts w:ascii="Times New Roman" w:eastAsia="Times New Roman" w:hAnsi="Times New Roman"/>
          <w:sz w:val="24"/>
          <w:szCs w:val="24"/>
          <w:lang w:eastAsia="fr-FR"/>
        </w:rPr>
        <w:t xml:space="preserve">, notamment à ce qu’il désigne sous le nom de </w:t>
      </w:r>
      <w:r w:rsidRPr="004F5262">
        <w:rPr>
          <w:rFonts w:ascii="Times New Roman" w:eastAsia="Times New Roman" w:hAnsi="Times New Roman"/>
          <w:sz w:val="24"/>
          <w:szCs w:val="24"/>
          <w:lang w:eastAsia="fr-FR"/>
        </w:rPr>
        <w:lastRenderedPageBreak/>
        <w:t>« polylinguisme », « polyvocalité » ou « dialogisme ». Ces mots recouvrent l’idée qu’il n’y a pas d’énoncé isolés dans le champ du discours social, que tout discours en réalité est inter discours, l’œuvre et la société se définissant comme des espaces unis, sur le plan synchronique et diachronique, des discours qui se répandent en échos implicites et explicites. A cet effet Mikhaïl Bakhtine affirme :</w:t>
      </w:r>
    </w:p>
    <w:p w:rsidR="000F2951" w:rsidRPr="000268BC" w:rsidRDefault="000F2951" w:rsidP="000268BC">
      <w:pPr>
        <w:pStyle w:val="Citationintense"/>
        <w:spacing w:before="0" w:after="0"/>
        <w:ind w:left="567" w:right="0"/>
        <w:rPr>
          <w:sz w:val="20"/>
          <w:szCs w:val="20"/>
        </w:rPr>
      </w:pPr>
      <w:r w:rsidRPr="000268BC">
        <w:rPr>
          <w:sz w:val="20"/>
          <w:szCs w:val="20"/>
        </w:rPr>
        <w:t>L’orientation du discours parmi les énoncés et les langages d’autrui, comme aussi tous les phénomènes et toutes les possibilités qui lui sont relatés, prennent, dans le style du roman, une signification littéraire. La plurivocalité et le plurilinguisme entrent dans le roman et s’y organisent en système littéraire harmonieux</w:t>
      </w:r>
      <w:r w:rsidRPr="000268BC">
        <w:rPr>
          <w:sz w:val="20"/>
          <w:szCs w:val="20"/>
          <w:vertAlign w:val="superscript"/>
        </w:rPr>
        <w:footnoteReference w:id="274"/>
      </w:r>
      <w:r w:rsidR="000268BC">
        <w:rPr>
          <w:sz w:val="20"/>
          <w:szCs w:val="20"/>
        </w:rPr>
        <w:t>.</w:t>
      </w:r>
    </w:p>
    <w:p w:rsidR="000268BC" w:rsidRDefault="000268BC" w:rsidP="000F2951">
      <w:pPr>
        <w:autoSpaceDE w:val="0"/>
        <w:autoSpaceDN w:val="0"/>
        <w:adjustRightInd w:val="0"/>
        <w:spacing w:after="0" w:line="360" w:lineRule="auto"/>
        <w:ind w:right="283"/>
        <w:jc w:val="both"/>
        <w:rPr>
          <w:rFonts w:ascii="Times New Roman" w:eastAsia="Times New Roman" w:hAnsi="Times New Roman"/>
          <w:sz w:val="24"/>
          <w:szCs w:val="24"/>
          <w:lang w:eastAsia="fr-FR"/>
        </w:rPr>
      </w:pPr>
    </w:p>
    <w:p w:rsidR="000F2951" w:rsidRPr="004F5262" w:rsidRDefault="000F2951" w:rsidP="000268B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En ce qui concerne la plurivocalité, la narration dans la pièce de théâtre se fait effectivement à plusieurs voix. En effet, dans </w:t>
      </w:r>
      <w:r w:rsidRPr="004F5262">
        <w:rPr>
          <w:rFonts w:ascii="Times New Roman" w:eastAsia="Times New Roman" w:hAnsi="Times New Roman"/>
          <w:i/>
          <w:sz w:val="24"/>
          <w:szCs w:val="24"/>
          <w:lang w:eastAsia="fr-FR"/>
        </w:rPr>
        <w:t>L</w:t>
      </w:r>
      <w:r w:rsidRPr="004F5262">
        <w:rPr>
          <w:rFonts w:ascii="Times New Roman" w:eastAsia="Times New Roman" w:hAnsi="Times New Roman"/>
          <w:bCs/>
          <w:i/>
          <w:iCs/>
          <w:sz w:val="24"/>
          <w:szCs w:val="24"/>
          <w:lang w:eastAsia="fr-FR"/>
        </w:rPr>
        <w:t xml:space="preserve">e porteur d'eau et les marabouts </w:t>
      </w:r>
      <w:r w:rsidRPr="004F5262">
        <w:rPr>
          <w:rFonts w:ascii="Times New Roman" w:eastAsia="Times New Roman" w:hAnsi="Times New Roman"/>
          <w:bCs/>
          <w:iCs/>
          <w:sz w:val="24"/>
          <w:szCs w:val="24"/>
          <w:lang w:eastAsia="fr-FR"/>
        </w:rPr>
        <w:t xml:space="preserve">de </w:t>
      </w:r>
      <w:r w:rsidRPr="004F5262">
        <w:rPr>
          <w:rFonts w:ascii="Times New Roman" w:eastAsia="Times New Roman" w:hAnsi="Times New Roman"/>
          <w:sz w:val="24"/>
          <w:szCs w:val="24"/>
          <w:lang w:eastAsia="fr-FR"/>
        </w:rPr>
        <w:t>Ould Abderrahmane K</w:t>
      </w:r>
      <w:r w:rsidR="000268BC">
        <w:rPr>
          <w:rFonts w:ascii="Times New Roman" w:eastAsia="Times New Roman" w:hAnsi="Times New Roman"/>
          <w:sz w:val="24"/>
          <w:szCs w:val="24"/>
          <w:lang w:eastAsia="fr-FR"/>
        </w:rPr>
        <w:t>aki</w:t>
      </w:r>
      <w:r w:rsidRPr="004F5262">
        <w:rPr>
          <w:rFonts w:ascii="Times New Roman" w:eastAsia="Times New Roman" w:hAnsi="Times New Roman"/>
          <w:sz w:val="24"/>
          <w:szCs w:val="24"/>
          <w:lang w:eastAsia="fr-FR"/>
        </w:rPr>
        <w:t>, l’instance narrative chevauche de Slimane au narrateur-conteur en passant de temps à autres par le Derviche, le Servant, les trois marabouts vertueux, et Halima. Aussi faut-il une lecture attentive pour se rendre compte de qui raconte à telle période du récit. Toutefois, il faut reconnaitre que la plupart du temps, le narrateur cède la place à Slimane son personnage principal pour mieux narrer, ne reprenant la parole que pour situer le lecteur, ou introduire un dialogue.</w:t>
      </w:r>
    </w:p>
    <w:p w:rsidR="000F2951" w:rsidRPr="004F5262" w:rsidRDefault="000F2951" w:rsidP="000268BC">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L’extrait suivant nous présente un peu le contact entre Slimane et les trois marabouts vertueux sous une énonciation polyphonique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SLIMANE- </w:t>
      </w:r>
      <w:r w:rsidRPr="000268BC">
        <w:rPr>
          <w:iCs w:val="0"/>
          <w:sz w:val="20"/>
          <w:szCs w:val="20"/>
          <w:lang w:eastAsia="fr-FR"/>
        </w:rPr>
        <w:t xml:space="preserve">[…] Sidi-Okbi… Sidi-Okbi… J’ai trouvé ! Euréka ! J’allais chercher de l’eau à la source de Sidi-Okbi quand les Marabouts Vertueux m’apparurent et j’ai perdu la boule ! Je suis devenu derviche, le derviche qui a vu les Marabouts Vertueux à Sidi-Okbi ! Je vais expérimenter une invocation ou deux pour voir laquelle je garderai pour officier en tant que derviche : Ô Marabouts Vertueux ! </w:t>
      </w:r>
      <w:proofErr w:type="gramStart"/>
      <w:r w:rsidRPr="000268BC">
        <w:rPr>
          <w:iCs w:val="0"/>
          <w:sz w:val="20"/>
          <w:szCs w:val="20"/>
          <w:lang w:eastAsia="fr-FR"/>
        </w:rPr>
        <w:t>.[</w:t>
      </w:r>
      <w:proofErr w:type="gramEnd"/>
      <w:r w:rsidRPr="000268BC">
        <w:rPr>
          <w:iCs w:val="0"/>
          <w:sz w:val="20"/>
          <w:szCs w:val="20"/>
          <w:lang w:eastAsia="fr-FR"/>
        </w:rPr>
        <w:t>…]</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MARABOUT-1 </w:t>
      </w:r>
      <w:r w:rsidRPr="000268BC">
        <w:rPr>
          <w:iCs w:val="0"/>
          <w:sz w:val="20"/>
          <w:szCs w:val="20"/>
          <w:lang w:eastAsia="fr-FR"/>
        </w:rPr>
        <w:t>Nous sommes là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MARABOUT-2 </w:t>
      </w:r>
      <w:r w:rsidRPr="000268BC">
        <w:rPr>
          <w:iCs w:val="0"/>
          <w:sz w:val="20"/>
          <w:szCs w:val="20"/>
          <w:lang w:eastAsia="fr-FR"/>
        </w:rPr>
        <w:t>Prêts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MARABOUT-3 </w:t>
      </w:r>
      <w:r w:rsidRPr="000268BC">
        <w:rPr>
          <w:iCs w:val="0"/>
          <w:sz w:val="20"/>
          <w:szCs w:val="20"/>
          <w:lang w:eastAsia="fr-FR"/>
        </w:rPr>
        <w:t>Debout derrière toi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SLIMANE- </w:t>
      </w:r>
      <w:r w:rsidRPr="000268BC">
        <w:rPr>
          <w:iCs w:val="0"/>
          <w:sz w:val="20"/>
          <w:szCs w:val="20"/>
          <w:lang w:eastAsia="fr-FR"/>
        </w:rPr>
        <w:t>Quoi ? Quoi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MARABOUT-1 </w:t>
      </w:r>
      <w:r w:rsidRPr="000268BC">
        <w:rPr>
          <w:iCs w:val="0"/>
          <w:sz w:val="20"/>
          <w:szCs w:val="20"/>
          <w:lang w:eastAsia="fr-FR"/>
        </w:rPr>
        <w:t>Tes oreilles n’ont rien capté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MARABOUT-2 </w:t>
      </w:r>
      <w:r w:rsidRPr="000268BC">
        <w:rPr>
          <w:iCs w:val="0"/>
          <w:sz w:val="20"/>
          <w:szCs w:val="20"/>
          <w:lang w:eastAsia="fr-FR"/>
        </w:rPr>
        <w:t>Tu n’as rien entendu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MARABOUT-3 </w:t>
      </w:r>
      <w:r w:rsidRPr="000268BC">
        <w:rPr>
          <w:iCs w:val="0"/>
          <w:sz w:val="20"/>
          <w:szCs w:val="20"/>
          <w:lang w:eastAsia="fr-FR"/>
        </w:rPr>
        <w:t>Retourne-toi, tu verras les Vertueux.</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SLIMANE- </w:t>
      </w:r>
      <w:r w:rsidRPr="000268BC">
        <w:rPr>
          <w:iCs w:val="0"/>
          <w:sz w:val="20"/>
          <w:szCs w:val="20"/>
          <w:lang w:eastAsia="fr-FR"/>
        </w:rPr>
        <w:t>Je ne me retournerai pas et je refuse de croire ce que j’entends!</w:t>
      </w:r>
    </w:p>
    <w:p w:rsidR="000F2951" w:rsidRPr="000268BC" w:rsidRDefault="000F2951" w:rsidP="000268BC">
      <w:pPr>
        <w:pStyle w:val="Citationintense"/>
        <w:spacing w:before="0" w:after="0"/>
        <w:ind w:left="567" w:right="113"/>
        <w:rPr>
          <w:iCs w:val="0"/>
          <w:sz w:val="20"/>
          <w:szCs w:val="20"/>
          <w:lang w:eastAsia="fr-FR"/>
        </w:rPr>
      </w:pPr>
      <w:r w:rsidRPr="000268BC">
        <w:rPr>
          <w:iCs w:val="0"/>
          <w:sz w:val="20"/>
          <w:szCs w:val="20"/>
          <w:lang w:eastAsia="fr-FR"/>
        </w:rPr>
        <w:t>Qu’est-ce que c’est que cette plaisanterie ! Alors on n’a plus le droit de se livrer à de petites invocations à part soi sans que les invoqués apparaissent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MARABOUT-1 </w:t>
      </w:r>
      <w:r w:rsidRPr="000268BC">
        <w:rPr>
          <w:iCs w:val="0"/>
          <w:sz w:val="20"/>
          <w:szCs w:val="20"/>
          <w:lang w:eastAsia="fr-FR"/>
        </w:rPr>
        <w:t>N’est-ce pas toi qui as appelé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MARABOUT-2 </w:t>
      </w:r>
      <w:r w:rsidRPr="000268BC">
        <w:rPr>
          <w:iCs w:val="0"/>
          <w:sz w:val="20"/>
          <w:szCs w:val="20"/>
          <w:lang w:eastAsia="fr-FR"/>
        </w:rPr>
        <w:t>N’est-ce pas toi qui as crié ?</w:t>
      </w:r>
    </w:p>
    <w:p w:rsidR="000F2951" w:rsidRPr="000268BC" w:rsidRDefault="000F2951" w:rsidP="000268BC">
      <w:pPr>
        <w:pStyle w:val="Citationintense"/>
        <w:spacing w:before="0" w:after="0"/>
        <w:ind w:left="567" w:right="113"/>
        <w:rPr>
          <w:iCs w:val="0"/>
          <w:sz w:val="20"/>
          <w:szCs w:val="20"/>
          <w:lang w:eastAsia="fr-FR"/>
        </w:rPr>
      </w:pPr>
      <w:r w:rsidRPr="000268BC">
        <w:rPr>
          <w:b/>
          <w:iCs w:val="0"/>
          <w:sz w:val="20"/>
          <w:szCs w:val="20"/>
          <w:lang w:eastAsia="fr-FR"/>
        </w:rPr>
        <w:t xml:space="preserve">MARABOUT-3 </w:t>
      </w:r>
      <w:r w:rsidRPr="000268BC">
        <w:rPr>
          <w:iCs w:val="0"/>
          <w:sz w:val="20"/>
          <w:szCs w:val="20"/>
          <w:lang w:eastAsia="fr-FR"/>
        </w:rPr>
        <w:t>N’est-ce pas toi qui as hurlé ?</w:t>
      </w:r>
    </w:p>
    <w:p w:rsidR="000F2951" w:rsidRPr="009D52CA" w:rsidRDefault="000F2951" w:rsidP="009D52CA">
      <w:pPr>
        <w:pStyle w:val="Citationintense"/>
        <w:spacing w:before="0" w:after="0"/>
        <w:ind w:left="567" w:right="113"/>
        <w:rPr>
          <w:sz w:val="20"/>
          <w:szCs w:val="20"/>
          <w:lang w:eastAsia="fr-FR"/>
        </w:rPr>
      </w:pPr>
      <w:r w:rsidRPr="000268BC">
        <w:rPr>
          <w:b/>
          <w:iCs w:val="0"/>
          <w:sz w:val="20"/>
          <w:szCs w:val="20"/>
          <w:lang w:eastAsia="fr-FR"/>
        </w:rPr>
        <w:t xml:space="preserve">SLIMANE- </w:t>
      </w:r>
      <w:r w:rsidRPr="000268BC">
        <w:rPr>
          <w:iCs w:val="0"/>
          <w:sz w:val="20"/>
          <w:szCs w:val="20"/>
          <w:lang w:eastAsia="fr-FR"/>
        </w:rPr>
        <w:t>J’ai fait ça pour rire ! Je ne vous ai pas demandé de venir !</w:t>
      </w:r>
      <w:r w:rsidRPr="000268BC">
        <w:rPr>
          <w:sz w:val="20"/>
          <w:szCs w:val="20"/>
          <w:lang w:eastAsia="fr-FR"/>
        </w:rPr>
        <w:t xml:space="preserve"> </w:t>
      </w:r>
      <w:r w:rsidRPr="009D52CA">
        <w:rPr>
          <w:sz w:val="20"/>
          <w:szCs w:val="20"/>
          <w:lang w:eastAsia="fr-FR"/>
        </w:rPr>
        <w:t>(</w:t>
      </w:r>
      <w:r w:rsidR="009D52CA" w:rsidRPr="009D52CA">
        <w:rPr>
          <w:sz w:val="20"/>
          <w:szCs w:val="20"/>
        </w:rPr>
        <w:t>O-A. Kaki,</w:t>
      </w:r>
      <w:r w:rsidR="009D52CA" w:rsidRPr="009D52CA">
        <w:rPr>
          <w:sz w:val="20"/>
          <w:szCs w:val="20"/>
          <w:lang w:eastAsia="fr-FR"/>
        </w:rPr>
        <w:t xml:space="preserve"> 1965, </w:t>
      </w:r>
      <w:r w:rsidRPr="009D52CA">
        <w:rPr>
          <w:sz w:val="20"/>
          <w:szCs w:val="20"/>
          <w:lang w:eastAsia="fr-FR"/>
        </w:rPr>
        <w:t>p.18-19)</w:t>
      </w:r>
    </w:p>
    <w:p w:rsidR="000F2951" w:rsidRPr="004F5262" w:rsidRDefault="000F2951" w:rsidP="000F2951">
      <w:pPr>
        <w:autoSpaceDE w:val="0"/>
        <w:autoSpaceDN w:val="0"/>
        <w:adjustRightInd w:val="0"/>
        <w:spacing w:after="0" w:line="240" w:lineRule="auto"/>
        <w:ind w:right="283"/>
        <w:jc w:val="both"/>
        <w:rPr>
          <w:rFonts w:ascii="Times New Roman" w:eastAsia="Times New Roman" w:hAnsi="Times New Roman"/>
          <w:i/>
          <w:sz w:val="20"/>
          <w:szCs w:val="20"/>
          <w:lang w:eastAsia="fr-FR"/>
        </w:rPr>
      </w:pPr>
    </w:p>
    <w:p w:rsidR="000F2951" w:rsidRPr="004F5262" w:rsidRDefault="000F2951" w:rsidP="00CE0816">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lastRenderedPageBreak/>
        <w:t xml:space="preserve">Dans cet extrait le narrateur extradiégétique Slimane se lie d’amitié dans une tonalité comique avec les trois vertueux qui se mettent en situation de dialogue avec ce dernier. Le contact ainsi établit, la suite sera centrée autour des aventures que les trois marabouts vertueux auront avec Slimane. Dans ce cas précis, on se rend compte que </w:t>
      </w:r>
      <w:r w:rsidRPr="00CE0816">
        <w:rPr>
          <w:rFonts w:ascii="Times New Roman" w:eastAsia="Times New Roman" w:hAnsi="Times New Roman"/>
          <w:sz w:val="24"/>
          <w:szCs w:val="24"/>
          <w:lang w:eastAsia="fr-FR"/>
        </w:rPr>
        <w:t>« le narrateur conduit précisément l’histoire de son héros –sa propre histoire- jusqu’au point où dit Jean Rousset, ʺle héros va devenir le narrateur ʺ »</w:t>
      </w:r>
      <w:r w:rsidRPr="00CE0816">
        <w:rPr>
          <w:rFonts w:ascii="Times New Roman" w:eastAsia="Times New Roman" w:hAnsi="Times New Roman"/>
          <w:sz w:val="24"/>
          <w:szCs w:val="24"/>
          <w:vertAlign w:val="superscript"/>
          <w:lang w:eastAsia="fr-FR"/>
        </w:rPr>
        <w:footnoteReference w:id="275"/>
      </w:r>
      <w:r w:rsidR="00CE0816">
        <w:rPr>
          <w:rFonts w:ascii="Times New Roman" w:eastAsia="Times New Roman" w:hAnsi="Times New Roman"/>
          <w:sz w:val="24"/>
          <w:szCs w:val="24"/>
          <w:lang w:eastAsia="fr-FR"/>
        </w:rPr>
        <w:t xml:space="preserve">. </w:t>
      </w:r>
      <w:r w:rsidRPr="00CE0816">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 xml:space="preserve">Le reste de la narration dans cette perspective est conduit par Slimane, puis par Halima et Safi dit Fassi. </w:t>
      </w:r>
    </w:p>
    <w:p w:rsidR="000F2951" w:rsidRPr="004F5262" w:rsidRDefault="000F2951" w:rsidP="00CE0816">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i/>
          <w:sz w:val="24"/>
          <w:szCs w:val="24"/>
          <w:lang w:eastAsia="fr-FR"/>
        </w:rPr>
        <w:t>L</w:t>
      </w:r>
      <w:r w:rsidRPr="004F5262">
        <w:rPr>
          <w:rFonts w:ascii="Times New Roman" w:eastAsia="Times New Roman" w:hAnsi="Times New Roman"/>
          <w:bCs/>
          <w:i/>
          <w:iCs/>
          <w:sz w:val="24"/>
          <w:szCs w:val="24"/>
          <w:lang w:eastAsia="fr-FR"/>
        </w:rPr>
        <w:t xml:space="preserve">e porteur d'eau et les marabouts </w:t>
      </w:r>
      <w:r w:rsidRPr="004F5262">
        <w:rPr>
          <w:rFonts w:ascii="Times New Roman" w:eastAsia="Times New Roman" w:hAnsi="Times New Roman"/>
          <w:bCs/>
          <w:iCs/>
          <w:sz w:val="24"/>
          <w:szCs w:val="24"/>
          <w:lang w:eastAsia="fr-FR"/>
        </w:rPr>
        <w:t xml:space="preserve">de </w:t>
      </w:r>
      <w:r w:rsidRPr="004F5262">
        <w:rPr>
          <w:rFonts w:ascii="Times New Roman" w:eastAsia="Times New Roman" w:hAnsi="Times New Roman"/>
          <w:sz w:val="24"/>
          <w:szCs w:val="24"/>
          <w:lang w:eastAsia="fr-FR"/>
        </w:rPr>
        <w:t>Kaki Ould Abderrahmane se présente dès lors comme un témoignage du narrateur de sa rencontre avec les trois marabouts vertueux, et sa narration comme s’il disait : « je vous raconte les histoires que les marabouts vertueux m’ont racontées et je vous fais part de l’expérience vécue à leur cotés. » Cette pensée se précise avec l’extrait suivant :</w:t>
      </w:r>
    </w:p>
    <w:p w:rsidR="000F2951" w:rsidRPr="00CE0816" w:rsidRDefault="000F2951" w:rsidP="00CE0816">
      <w:pPr>
        <w:pStyle w:val="Citationintense"/>
        <w:spacing w:before="0" w:after="0"/>
        <w:ind w:left="567" w:right="113"/>
        <w:rPr>
          <w:sz w:val="20"/>
          <w:szCs w:val="20"/>
          <w:lang w:eastAsia="fr-FR"/>
        </w:rPr>
      </w:pPr>
      <w:r w:rsidRPr="00CE0816">
        <w:rPr>
          <w:b/>
          <w:iCs w:val="0"/>
          <w:sz w:val="20"/>
          <w:szCs w:val="20"/>
          <w:lang w:eastAsia="fr-FR"/>
        </w:rPr>
        <w:t xml:space="preserve">SLIMANE- </w:t>
      </w:r>
      <w:r w:rsidRPr="00CE0816">
        <w:rPr>
          <w:iCs w:val="0"/>
          <w:sz w:val="20"/>
          <w:szCs w:val="20"/>
          <w:lang w:eastAsia="fr-FR"/>
        </w:rPr>
        <w:t>Je suis le seul véritable servant des Marabouts ! Ceux auxquels vous avez eu affaire avant sont des plaisantins ! Ils n’ont jamais vu de Marabouts ! Garde à vous ! Allez ! Le droit de visite! Bien. Maintenant, repos ! Et retournez d’où vous venez ! La visite s’achève ici. Allons mes seigneurs, vite, vite ! J’ai encore du travail ! D’autres visiteurs attendent</w:t>
      </w:r>
      <w:r w:rsidRPr="00CE0816">
        <w:rPr>
          <w:sz w:val="20"/>
          <w:szCs w:val="20"/>
          <w:lang w:eastAsia="fr-FR"/>
        </w:rPr>
        <w:t xml:space="preserve"> ! (</w:t>
      </w:r>
      <w:r w:rsidR="00CE0816" w:rsidRPr="009D52CA">
        <w:rPr>
          <w:sz w:val="20"/>
          <w:szCs w:val="20"/>
        </w:rPr>
        <w:t>O-A. Kaki,</w:t>
      </w:r>
      <w:r w:rsidR="00CE0816" w:rsidRPr="009D52CA">
        <w:rPr>
          <w:sz w:val="20"/>
          <w:szCs w:val="20"/>
          <w:lang w:eastAsia="fr-FR"/>
        </w:rPr>
        <w:t xml:space="preserve"> 1965, p.</w:t>
      </w:r>
      <w:r w:rsidRPr="00CE0816">
        <w:rPr>
          <w:sz w:val="20"/>
          <w:szCs w:val="20"/>
          <w:lang w:eastAsia="fr-FR"/>
        </w:rPr>
        <w:t>69)</w:t>
      </w:r>
      <w:r w:rsidR="00CE0816">
        <w:rPr>
          <w:sz w:val="20"/>
          <w:szCs w:val="20"/>
          <w:lang w:eastAsia="fr-FR"/>
        </w:rPr>
        <w:t>.</w:t>
      </w:r>
    </w:p>
    <w:p w:rsidR="00CE0816" w:rsidRDefault="00CE0816" w:rsidP="000F2951">
      <w:pPr>
        <w:autoSpaceDE w:val="0"/>
        <w:autoSpaceDN w:val="0"/>
        <w:adjustRightInd w:val="0"/>
        <w:spacing w:after="0" w:line="360" w:lineRule="auto"/>
        <w:jc w:val="both"/>
        <w:rPr>
          <w:rFonts w:ascii="Times New Roman" w:eastAsia="Times New Roman" w:hAnsi="Times New Roman"/>
          <w:sz w:val="24"/>
          <w:szCs w:val="24"/>
          <w:lang w:eastAsia="fr-FR"/>
        </w:rPr>
      </w:pPr>
    </w:p>
    <w:p w:rsidR="000F2951" w:rsidRPr="004F5262" w:rsidRDefault="000F2951" w:rsidP="003A332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L’extrait en sus démontre à suffisance que le fait pour Slimane d’avoir été le plus proche compagnon des vertueux lors de leur visite sur la terre lui donnait la posture de témoin oculaire. Ce qui n’est pas faut. Mais le drame ici réside dans le fait qu’il s’en serve pour escroquer et ruiner les habitants venus d’ailleurs pour voir de leurs yeux les prodiges accomplis dans une contrée naguère frappée de misère et de disette. </w:t>
      </w:r>
    </w:p>
    <w:p w:rsidR="000F2951" w:rsidRPr="004F5262" w:rsidRDefault="000F2951" w:rsidP="003A332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Il ressort donc clairement dans le texte de Kaki que la voix narrative est polyphonique. Dans cette narration qui erre d’un narrateur premier à un narrateur second, le corpus réussit à concilier deux principes opposés :</w:t>
      </w:r>
    </w:p>
    <w:p w:rsidR="000F2951" w:rsidRPr="003A3321" w:rsidRDefault="000F2951" w:rsidP="003A3321">
      <w:pPr>
        <w:pStyle w:val="Citationintense"/>
        <w:spacing w:before="0" w:after="0"/>
        <w:ind w:left="567" w:right="0"/>
        <w:rPr>
          <w:sz w:val="20"/>
          <w:szCs w:val="20"/>
        </w:rPr>
      </w:pPr>
      <w:r w:rsidRPr="003A3321">
        <w:rPr>
          <w:sz w:val="20"/>
          <w:szCs w:val="20"/>
        </w:rPr>
        <w:t>Celui d’un discours théorique omniprésent, qui ne s’accommode guère de la narration « objective » classique et qui exige que l’expérience du héros se confonde avec le passé du narrateur, qui pourra ainsi sans apparence d’intrusion d’où l’adoption finale d’une narration autodiégétique directe où peuvent se mêler et se fondre les voix du héros, du narrateur et de l’auteur</w:t>
      </w:r>
      <w:r w:rsidRPr="003A3321">
        <w:rPr>
          <w:sz w:val="20"/>
          <w:szCs w:val="20"/>
          <w:vertAlign w:val="superscript"/>
        </w:rPr>
        <w:footnoteReference w:id="276"/>
      </w:r>
      <w:r w:rsidR="003A3321">
        <w:rPr>
          <w:sz w:val="20"/>
          <w:szCs w:val="20"/>
        </w:rPr>
        <w:t>.</w:t>
      </w:r>
    </w:p>
    <w:p w:rsidR="003A3321" w:rsidRDefault="003A3321" w:rsidP="000F2951">
      <w:pPr>
        <w:tabs>
          <w:tab w:val="left" w:pos="9072"/>
        </w:tabs>
        <w:autoSpaceDE w:val="0"/>
        <w:autoSpaceDN w:val="0"/>
        <w:adjustRightInd w:val="0"/>
        <w:spacing w:after="0" w:line="360" w:lineRule="auto"/>
        <w:jc w:val="both"/>
        <w:rPr>
          <w:rFonts w:ascii="Times New Roman" w:eastAsia="Times New Roman" w:hAnsi="Times New Roman"/>
          <w:sz w:val="24"/>
          <w:szCs w:val="24"/>
          <w:lang w:eastAsia="fr-FR"/>
        </w:rPr>
      </w:pPr>
    </w:p>
    <w:p w:rsidR="000F2951" w:rsidRPr="004F5262" w:rsidRDefault="000F2951" w:rsidP="003A3321">
      <w:pPr>
        <w:tabs>
          <w:tab w:val="left" w:pos="9072"/>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lastRenderedPageBreak/>
        <w:t xml:space="preserve">Bien plus, on perçoit également dans </w:t>
      </w:r>
      <w:r w:rsidRPr="004F5262">
        <w:rPr>
          <w:rFonts w:ascii="Times New Roman" w:eastAsia="Times New Roman" w:hAnsi="Times New Roman"/>
          <w:i/>
          <w:sz w:val="24"/>
          <w:szCs w:val="24"/>
          <w:lang w:eastAsia="fr-FR"/>
        </w:rPr>
        <w:t>L</w:t>
      </w:r>
      <w:r w:rsidRPr="004F5262">
        <w:rPr>
          <w:rFonts w:ascii="Times New Roman" w:eastAsia="Times New Roman" w:hAnsi="Times New Roman"/>
          <w:bCs/>
          <w:i/>
          <w:iCs/>
          <w:sz w:val="24"/>
          <w:szCs w:val="24"/>
          <w:lang w:eastAsia="fr-FR"/>
        </w:rPr>
        <w:t>e porteur d'eau et les marabouts</w:t>
      </w:r>
      <w:r w:rsidRPr="004F5262">
        <w:rPr>
          <w:rFonts w:ascii="Times New Roman" w:eastAsia="Times New Roman" w:hAnsi="Times New Roman"/>
          <w:bCs/>
          <w:iCs/>
          <w:sz w:val="24"/>
          <w:szCs w:val="24"/>
          <w:lang w:eastAsia="fr-FR"/>
        </w:rPr>
        <w:t xml:space="preserve"> de </w:t>
      </w:r>
      <w:r w:rsidRPr="004F5262">
        <w:rPr>
          <w:rFonts w:ascii="Times New Roman" w:eastAsia="Times New Roman" w:hAnsi="Times New Roman"/>
          <w:sz w:val="24"/>
          <w:szCs w:val="24"/>
          <w:lang w:eastAsia="fr-FR"/>
        </w:rPr>
        <w:t>Kaki le polylinguisme. Il y a dans cette pièce théâtrale la présence de plusieurs langues que les personnages manipulent à volonté. Il est certes vrai que la polylinguisme dont il est question ici n’est pas aussi accru qu’on puisse le dire. Néanmoins, le texte de Ould Abderrahmane Kaki traduit en français peine à se détacher de sa langue première. Les structures linguistiques de l’Arabe telles que l’indique Messaoud Benyoucef planent encor</w:t>
      </w:r>
      <w:r w:rsidR="009A0F4F" w:rsidRPr="004F5262">
        <w:rPr>
          <w:rFonts w:ascii="Times New Roman" w:eastAsia="Times New Roman" w:hAnsi="Times New Roman"/>
          <w:sz w:val="24"/>
          <w:szCs w:val="24"/>
          <w:lang w:eastAsia="fr-FR"/>
        </w:rPr>
        <w:t xml:space="preserve">e sur le texte francisé comme une </w:t>
      </w:r>
      <w:r w:rsidRPr="004F5262">
        <w:rPr>
          <w:rFonts w:ascii="Times New Roman" w:eastAsia="Times New Roman" w:hAnsi="Times New Roman"/>
          <w:sz w:val="24"/>
          <w:szCs w:val="24"/>
          <w:lang w:eastAsia="fr-FR"/>
        </w:rPr>
        <w:t xml:space="preserve">épée de Damoclès. Tout porte à croire après la lecture de cette pièce de théâtre que le lecteur francophone de </w:t>
      </w:r>
      <w:r w:rsidRPr="004F5262">
        <w:rPr>
          <w:rFonts w:ascii="Times New Roman" w:eastAsia="Times New Roman" w:hAnsi="Times New Roman"/>
          <w:i/>
          <w:sz w:val="24"/>
          <w:szCs w:val="24"/>
          <w:lang w:eastAsia="fr-FR"/>
        </w:rPr>
        <w:t>L</w:t>
      </w:r>
      <w:r w:rsidRPr="004F5262">
        <w:rPr>
          <w:rFonts w:ascii="Times New Roman" w:eastAsia="Times New Roman" w:hAnsi="Times New Roman"/>
          <w:bCs/>
          <w:i/>
          <w:iCs/>
          <w:sz w:val="24"/>
          <w:szCs w:val="24"/>
          <w:lang w:eastAsia="fr-FR"/>
        </w:rPr>
        <w:t>e porteur d'eau et les marabouts</w:t>
      </w:r>
      <w:r w:rsidRPr="004F5262">
        <w:rPr>
          <w:rFonts w:ascii="Times New Roman" w:eastAsia="Times New Roman" w:hAnsi="Times New Roman"/>
          <w:bCs/>
          <w:iCs/>
          <w:sz w:val="24"/>
          <w:szCs w:val="24"/>
          <w:lang w:eastAsia="fr-FR"/>
        </w:rPr>
        <w:t xml:space="preserve"> </w:t>
      </w:r>
      <w:proofErr w:type="gramStart"/>
      <w:r w:rsidRPr="004F5262">
        <w:rPr>
          <w:rFonts w:ascii="Times New Roman" w:eastAsia="Times New Roman" w:hAnsi="Times New Roman"/>
          <w:bCs/>
          <w:iCs/>
          <w:sz w:val="24"/>
          <w:szCs w:val="24"/>
          <w:lang w:eastAsia="fr-FR"/>
        </w:rPr>
        <w:t xml:space="preserve">de </w:t>
      </w:r>
      <w:r w:rsidRPr="004F5262">
        <w:rPr>
          <w:rFonts w:ascii="Times New Roman" w:eastAsia="Times New Roman" w:hAnsi="Times New Roman"/>
          <w:sz w:val="24"/>
          <w:szCs w:val="24"/>
          <w:lang w:eastAsia="fr-FR"/>
        </w:rPr>
        <w:t>Ould</w:t>
      </w:r>
      <w:proofErr w:type="gramEnd"/>
      <w:r w:rsidRPr="004F5262">
        <w:rPr>
          <w:rFonts w:ascii="Times New Roman" w:eastAsia="Times New Roman" w:hAnsi="Times New Roman"/>
          <w:sz w:val="24"/>
          <w:szCs w:val="24"/>
          <w:lang w:eastAsia="fr-FR"/>
        </w:rPr>
        <w:t xml:space="preserve"> Abderrahmane Kaki bénéficie d’un texte dilué et ne peut véritablement pas prétendre avoir cerné la profondeur de la symbolique du texte.  Par contre, le lecteur arabe jouit d’un surcroit d’informations qui lui s</w:t>
      </w:r>
      <w:r w:rsidR="009A0F4F" w:rsidRPr="004F5262">
        <w:rPr>
          <w:rFonts w:ascii="Times New Roman" w:eastAsia="Times New Roman" w:hAnsi="Times New Roman"/>
          <w:sz w:val="24"/>
          <w:szCs w:val="24"/>
          <w:lang w:eastAsia="fr-FR"/>
        </w:rPr>
        <w:t>e</w:t>
      </w:r>
      <w:r w:rsidRPr="004F5262">
        <w:rPr>
          <w:rFonts w:ascii="Times New Roman" w:eastAsia="Times New Roman" w:hAnsi="Times New Roman"/>
          <w:sz w:val="24"/>
          <w:szCs w:val="24"/>
          <w:lang w:eastAsia="fr-FR"/>
        </w:rPr>
        <w:t>ront données par le texte original et originel.</w:t>
      </w:r>
    </w:p>
    <w:p w:rsidR="000F2951" w:rsidRPr="004F5262" w:rsidRDefault="000F2951" w:rsidP="003A3321">
      <w:pPr>
        <w:tabs>
          <w:tab w:val="left" w:pos="9072"/>
        </w:tabs>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En effet, le texte de ce dramaturge plonge dans la littérature négro-africaine bien que maghrébine, qui se caractérise par les résurgences du culturel qui a rapport lié avec le contexte de production de l’œuvre. La prise en considération du contexte pour accéder aux messages des textes littéraires est nécessaire. Nous le soulignerons ici suite à ce qu’affirme Makouta M’boukou:</w:t>
      </w:r>
    </w:p>
    <w:p w:rsidR="000F2951" w:rsidRPr="003A3321" w:rsidRDefault="000F2951" w:rsidP="000C4D1C">
      <w:pPr>
        <w:pStyle w:val="Citationintense"/>
        <w:spacing w:before="0" w:after="0"/>
        <w:ind w:left="567" w:right="0"/>
        <w:rPr>
          <w:sz w:val="20"/>
          <w:szCs w:val="20"/>
        </w:rPr>
      </w:pPr>
      <w:r w:rsidRPr="003A3321">
        <w:rPr>
          <w:sz w:val="20"/>
          <w:szCs w:val="20"/>
        </w:rPr>
        <w:t>L’œuvre ne doit jamais sortir de son contexte (…) Ce qui signifie qu’elle ne doit pas être abordée de l’extérieur. Ce contexte est à mille facettes qui doivent être embrassées d’un seul coup de regard pour que l’œuvre livre ses secrets, pour que son message soit perçu. Il faut accepter l’idée qu’un texte doit être conçu comme un signe, et un livre décrypté pour mieux permettre l’accès au message. Ce décryptage doit nécessairement passer par les mille facettes du contexte : facette géographique, historico-politique, socio-ethnologique, socioculturelle, linguistique</w:t>
      </w:r>
      <w:r w:rsidRPr="003A3321">
        <w:rPr>
          <w:sz w:val="20"/>
          <w:szCs w:val="20"/>
          <w:vertAlign w:val="superscript"/>
        </w:rPr>
        <w:footnoteReference w:id="277"/>
      </w:r>
      <w:r w:rsidR="000C4D1C">
        <w:rPr>
          <w:sz w:val="20"/>
          <w:szCs w:val="20"/>
        </w:rPr>
        <w:t>.</w:t>
      </w:r>
    </w:p>
    <w:p w:rsidR="003A3321" w:rsidRDefault="003A3321" w:rsidP="000F2951">
      <w:pPr>
        <w:autoSpaceDE w:val="0"/>
        <w:autoSpaceDN w:val="0"/>
        <w:adjustRightInd w:val="0"/>
        <w:spacing w:after="0" w:line="360" w:lineRule="auto"/>
        <w:jc w:val="both"/>
        <w:rPr>
          <w:rFonts w:ascii="Times New Roman" w:eastAsia="Times New Roman" w:hAnsi="Times New Roman"/>
          <w:sz w:val="24"/>
          <w:szCs w:val="24"/>
          <w:lang w:eastAsia="fr-FR"/>
        </w:rPr>
      </w:pPr>
    </w:p>
    <w:p w:rsidR="000F2951" w:rsidRPr="004F5262" w:rsidRDefault="000F2951" w:rsidP="006E6179">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La notion de contexte mérite des précisions. Pour une approche moderne du texte théâtral, le recours à ce concept pourrait choquer les structuralistes de première obédience. D’autant plus qu’il s’agit ici, non d’un contexte stylistique comme pertinent, encodé et variable, rompu par un élément imprévisible et intéressant surtout des considérations linguistiques, mais d’un texte d’énonciation faisant appel à des considérations d’ordre linguistique et/ou extra-linguistique visant les conditions de production et de réception de l’œuvre, liées à la situation </w:t>
      </w:r>
      <w:r w:rsidRPr="004F5262">
        <w:rPr>
          <w:rFonts w:ascii="Times New Roman" w:eastAsia="Times New Roman" w:hAnsi="Times New Roman"/>
          <w:sz w:val="24"/>
          <w:szCs w:val="24"/>
          <w:lang w:eastAsia="fr-FR"/>
        </w:rPr>
        <w:lastRenderedPageBreak/>
        <w:t>de l’auteur et du récepteur et conditionnant l’échange des informations exprimées par le langage littéraire.</w:t>
      </w:r>
    </w:p>
    <w:p w:rsidR="000F2951" w:rsidRPr="004F5262" w:rsidRDefault="000F2951" w:rsidP="006E6179">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Pour ceux qui ne prennent en compte que le texte et le système de rapports de ses signes, comme objet clos, pour ceux qui ne se préoccupent ni de son monde référentiel, ni de ses lieux d’enracinement, ni même des circonstances de son énonciation, la perspective critique dans laquelle nous nous plaçons est de nature à susciter quelques craintes d’ordre méthodologique.</w:t>
      </w:r>
    </w:p>
    <w:p w:rsidR="000F2951" w:rsidRPr="004F5262" w:rsidRDefault="000F2951" w:rsidP="006E6179">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La tendance critique qui prévaut aujourd’hui consiste à considérer le texte en lui-même, hors de toute provenance, pour en étudier la langue ou les messages. Cette option est intéressante mais non pertinente pour l’approche de certains ouvrages et notamment des œuvres africaines.</w:t>
      </w:r>
    </w:p>
    <w:p w:rsidR="000F2951" w:rsidRPr="004F5262" w:rsidRDefault="000F2951" w:rsidP="006E6179">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L’analyse de </w:t>
      </w:r>
      <w:r w:rsidRPr="004F5262">
        <w:rPr>
          <w:rFonts w:ascii="Times New Roman" w:eastAsia="Times New Roman" w:hAnsi="Times New Roman"/>
          <w:i/>
          <w:sz w:val="24"/>
          <w:szCs w:val="24"/>
          <w:lang w:eastAsia="fr-FR"/>
        </w:rPr>
        <w:t>L</w:t>
      </w:r>
      <w:r w:rsidRPr="004F5262">
        <w:rPr>
          <w:rFonts w:ascii="Times New Roman" w:eastAsia="Times New Roman" w:hAnsi="Times New Roman"/>
          <w:bCs/>
          <w:i/>
          <w:iCs/>
          <w:sz w:val="24"/>
          <w:szCs w:val="24"/>
          <w:lang w:eastAsia="fr-FR"/>
        </w:rPr>
        <w:t>e porteur d'eau et les marabouts</w:t>
      </w:r>
      <w:r w:rsidRPr="004F5262">
        <w:rPr>
          <w:rFonts w:ascii="Times New Roman" w:eastAsia="Times New Roman" w:hAnsi="Times New Roman"/>
          <w:bCs/>
          <w:iCs/>
          <w:sz w:val="24"/>
          <w:szCs w:val="24"/>
          <w:lang w:eastAsia="fr-FR"/>
        </w:rPr>
        <w:t xml:space="preserve"> </w:t>
      </w:r>
      <w:proofErr w:type="gramStart"/>
      <w:r w:rsidRPr="004F5262">
        <w:rPr>
          <w:rFonts w:ascii="Times New Roman" w:eastAsia="Times New Roman" w:hAnsi="Times New Roman"/>
          <w:bCs/>
          <w:iCs/>
          <w:sz w:val="24"/>
          <w:szCs w:val="24"/>
          <w:lang w:eastAsia="fr-FR"/>
        </w:rPr>
        <w:t xml:space="preserve">de </w:t>
      </w:r>
      <w:r w:rsidRPr="004F5262">
        <w:rPr>
          <w:rFonts w:ascii="Times New Roman" w:eastAsia="Times New Roman" w:hAnsi="Times New Roman"/>
          <w:sz w:val="24"/>
          <w:szCs w:val="24"/>
          <w:lang w:eastAsia="fr-FR"/>
        </w:rPr>
        <w:t>Ould</w:t>
      </w:r>
      <w:proofErr w:type="gramEnd"/>
      <w:r w:rsidRPr="004F5262">
        <w:rPr>
          <w:rFonts w:ascii="Times New Roman" w:eastAsia="Times New Roman" w:hAnsi="Times New Roman"/>
          <w:sz w:val="24"/>
          <w:szCs w:val="24"/>
          <w:lang w:eastAsia="fr-FR"/>
        </w:rPr>
        <w:t xml:space="preserve"> Abderrahmane Kaki dans la perspective </w:t>
      </w:r>
      <w:r w:rsidRPr="004F5262">
        <w:rPr>
          <w:rFonts w:ascii="Times New Roman" w:eastAsia="Times New Roman" w:hAnsi="Times New Roman"/>
          <w:bCs/>
          <w:sz w:val="24"/>
          <w:szCs w:val="24"/>
          <w:lang w:eastAsia="fr-FR"/>
        </w:rPr>
        <w:t>du polylinguisme</w:t>
      </w:r>
      <w:r w:rsidRPr="004F5262">
        <w:rPr>
          <w:rFonts w:ascii="Times New Roman" w:eastAsia="Times New Roman" w:hAnsi="Times New Roman"/>
          <w:sz w:val="24"/>
          <w:szCs w:val="24"/>
          <w:lang w:eastAsia="fr-FR"/>
        </w:rPr>
        <w:t xml:space="preserve"> atteste l’idée selon laquelle, il est des réalités connues dans nos langues maternelles que la langue française ne peut exprimer. On comprend très vite le pourquoi de la curieuse présence des notes de bas de pages à valeur référentielle explicative dans la pièce théâtrale traduite. Nous avons inventorié quinze (15) notes de bas de page qui s’étalent sur les pages 3</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5</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11</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26</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39</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46</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52</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60</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61</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68</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73</w:t>
      </w:r>
      <w:r w:rsidR="006E6179">
        <w:rPr>
          <w:rFonts w:ascii="Times New Roman" w:eastAsia="Times New Roman" w:hAnsi="Times New Roman"/>
          <w:sz w:val="24"/>
          <w:szCs w:val="24"/>
          <w:lang w:eastAsia="fr-FR"/>
        </w:rPr>
        <w:t xml:space="preserve">, </w:t>
      </w:r>
      <w:r w:rsidRPr="004F5262">
        <w:rPr>
          <w:rFonts w:ascii="Times New Roman" w:eastAsia="Times New Roman" w:hAnsi="Times New Roman"/>
          <w:sz w:val="24"/>
          <w:szCs w:val="24"/>
          <w:lang w:eastAsia="fr-FR"/>
        </w:rPr>
        <w:t>81.</w:t>
      </w:r>
    </w:p>
    <w:p w:rsidR="000F2951" w:rsidRPr="004F5262" w:rsidRDefault="000F2951" w:rsidP="006B5F94">
      <w:pPr>
        <w:autoSpaceDE w:val="0"/>
        <w:autoSpaceDN w:val="0"/>
        <w:adjustRightInd w:val="0"/>
        <w:spacing w:after="0" w:line="360" w:lineRule="auto"/>
        <w:ind w:firstLine="284"/>
        <w:contextualSpacing/>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Dans la plupart des cas, si la voix narrative passe du narrateur au personnage, le niveau narratif de l’extradiégèse à la métadiégèse en passant par l’intradiégèse, on peut dire que ce manque de fixation de la voix narrative fait penser à une probable errance du récit. A cette tendance s’ajoute le polylinguisme du corpus. De cette analyse, on peut dire que la polyphonie matérialise la littérarisation du mythe de misère qui entraine l’errance, l’aventure des personnages dans la mesure où elle illustre les voix des personnages rencontrés, leurs divers horizons et leurs diverses langues.</w:t>
      </w:r>
    </w:p>
    <w:p w:rsidR="006B5F94" w:rsidRDefault="006B5F94" w:rsidP="006B5F94">
      <w:pPr>
        <w:pStyle w:val="Titre3"/>
        <w:spacing w:before="0" w:after="0" w:line="360" w:lineRule="auto"/>
        <w:ind w:left="641" w:hanging="357"/>
        <w:jc w:val="both"/>
        <w:rPr>
          <w:rFonts w:ascii="Times New Roman" w:hAnsi="Times New Roman" w:cs="Times New Roman"/>
          <w:sz w:val="24"/>
          <w:szCs w:val="24"/>
        </w:rPr>
      </w:pPr>
    </w:p>
    <w:p w:rsidR="006A4EED" w:rsidRPr="006B5F94" w:rsidRDefault="006B5F94" w:rsidP="006B5F94">
      <w:pPr>
        <w:pStyle w:val="Titre3"/>
        <w:spacing w:before="0" w:after="0" w:line="360" w:lineRule="auto"/>
        <w:ind w:left="641" w:hanging="357"/>
        <w:jc w:val="both"/>
        <w:rPr>
          <w:rFonts w:ascii="Times New Roman" w:hAnsi="Times New Roman" w:cs="Times New Roman"/>
          <w:sz w:val="24"/>
          <w:szCs w:val="24"/>
        </w:rPr>
      </w:pPr>
      <w:bookmarkStart w:id="160" w:name="_Toc471484527"/>
      <w:r w:rsidRPr="006B5F94">
        <w:rPr>
          <w:rFonts w:ascii="Times New Roman" w:hAnsi="Times New Roman" w:cs="Times New Roman"/>
          <w:sz w:val="24"/>
          <w:szCs w:val="24"/>
        </w:rPr>
        <w:t>2. Sémiotique</w:t>
      </w:r>
      <w:r w:rsidR="006A4EED" w:rsidRPr="006B5F94">
        <w:rPr>
          <w:rFonts w:ascii="Times New Roman" w:hAnsi="Times New Roman" w:cs="Times New Roman"/>
          <w:sz w:val="24"/>
          <w:szCs w:val="24"/>
        </w:rPr>
        <w:t xml:space="preserve"> </w:t>
      </w:r>
      <w:r w:rsidR="00B3341E" w:rsidRPr="006B5F94">
        <w:rPr>
          <w:rFonts w:ascii="Times New Roman" w:hAnsi="Times New Roman" w:cs="Times New Roman"/>
          <w:sz w:val="24"/>
          <w:szCs w:val="24"/>
        </w:rPr>
        <w:t xml:space="preserve">du discours </w:t>
      </w:r>
      <w:r w:rsidR="009D05FC" w:rsidRPr="006B5F94">
        <w:rPr>
          <w:rFonts w:ascii="Times New Roman" w:hAnsi="Times New Roman" w:cs="Times New Roman"/>
          <w:sz w:val="24"/>
          <w:szCs w:val="24"/>
        </w:rPr>
        <w:t>dans l’œuvre de</w:t>
      </w:r>
      <w:r w:rsidR="006A4EED" w:rsidRPr="006B5F94">
        <w:rPr>
          <w:rFonts w:ascii="Times New Roman" w:hAnsi="Times New Roman" w:cs="Times New Roman"/>
          <w:sz w:val="24"/>
          <w:szCs w:val="24"/>
        </w:rPr>
        <w:t xml:space="preserve"> Kaki</w:t>
      </w:r>
      <w:bookmarkEnd w:id="160"/>
    </w:p>
    <w:p w:rsidR="006A4EED" w:rsidRPr="004F5262" w:rsidRDefault="006B5F94" w:rsidP="006B5F94">
      <w:pPr>
        <w:pStyle w:val="Titre4"/>
        <w:spacing w:before="0" w:after="0" w:line="360" w:lineRule="auto"/>
        <w:ind w:left="641" w:hanging="357"/>
        <w:jc w:val="both"/>
        <w:rPr>
          <w:rFonts w:ascii="Times New Roman" w:hAnsi="Times New Roman"/>
          <w:i w:val="0"/>
          <w:iCs/>
        </w:rPr>
      </w:pPr>
      <w:bookmarkStart w:id="161" w:name="_Toc471484528"/>
      <w:r>
        <w:rPr>
          <w:rFonts w:ascii="Times New Roman" w:hAnsi="Times New Roman"/>
          <w:i w:val="0"/>
          <w:iCs/>
        </w:rPr>
        <w:t>2.1.</w:t>
      </w:r>
      <w:r w:rsidRPr="004F5262">
        <w:rPr>
          <w:rFonts w:ascii="Times New Roman" w:hAnsi="Times New Roman"/>
          <w:i w:val="0"/>
          <w:iCs/>
        </w:rPr>
        <w:t xml:space="preserve"> Contexte</w:t>
      </w:r>
      <w:r w:rsidR="006A4EED" w:rsidRPr="004F5262">
        <w:rPr>
          <w:rFonts w:ascii="Times New Roman" w:hAnsi="Times New Roman"/>
          <w:i w:val="0"/>
          <w:iCs/>
        </w:rPr>
        <w:t xml:space="preserve"> et enjeux de</w:t>
      </w:r>
      <w:r w:rsidR="009D05FC" w:rsidRPr="004F5262">
        <w:rPr>
          <w:rFonts w:ascii="Times New Roman" w:hAnsi="Times New Roman"/>
          <w:i w:val="0"/>
          <w:iCs/>
        </w:rPr>
        <w:t xml:space="preserve"> l’analyse sémiotique de la pièce de </w:t>
      </w:r>
      <w:r w:rsidR="006A4EED" w:rsidRPr="004F5262">
        <w:rPr>
          <w:rFonts w:ascii="Times New Roman" w:hAnsi="Times New Roman"/>
          <w:i w:val="0"/>
          <w:iCs/>
        </w:rPr>
        <w:t>Kaki</w:t>
      </w:r>
      <w:bookmarkEnd w:id="161"/>
    </w:p>
    <w:p w:rsidR="003D598E" w:rsidRPr="004F5262" w:rsidRDefault="006A4EED" w:rsidP="007C3284">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Le théâtre de Kaki se caractérise essentiellement par la mise en condition de plusieurs signes. L'élaboration du sens et la construction du discours global se construisent chez Kaki à travers l'interrogation des éléments «médiateurs». C’est à travers ces instruments que nous sommes amenés à comprendre, possiblement, les </w:t>
      </w:r>
      <w:r w:rsidRPr="004F5262">
        <w:rPr>
          <w:rFonts w:ascii="Times New Roman" w:hAnsi="Times New Roman"/>
          <w:sz w:val="24"/>
          <w:szCs w:val="24"/>
        </w:rPr>
        <w:lastRenderedPageBreak/>
        <w:t>tenants et les aboutissants d'un choix esthétique qui reste prisonnier des espaces conventionnels de la représentation.</w:t>
      </w:r>
    </w:p>
    <w:p w:rsidR="006A4EED" w:rsidRPr="004F5262" w:rsidRDefault="006A4EED" w:rsidP="007C3284">
      <w:pPr>
        <w:autoSpaceDE w:val="0"/>
        <w:autoSpaceDN w:val="0"/>
        <w:adjustRightInd w:val="0"/>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L’objectif de Kaki est d’atteindre le grand public réfractaire au théâtre classique. Alors Comment arriver à séduire les spectateurs ? Kaki choisira pour toucher le public de recourir à des signes de la culture populaire. </w:t>
      </w:r>
      <w:r w:rsidR="00A6282E" w:rsidRPr="004F5262">
        <w:rPr>
          <w:rFonts w:ascii="Times New Roman" w:hAnsi="Times New Roman"/>
          <w:sz w:val="24"/>
          <w:szCs w:val="24"/>
        </w:rPr>
        <w:t xml:space="preserve"> </w:t>
      </w:r>
      <w:r w:rsidRPr="004F5262">
        <w:rPr>
          <w:rFonts w:ascii="Times New Roman" w:hAnsi="Times New Roman"/>
          <w:sz w:val="24"/>
          <w:szCs w:val="24"/>
        </w:rPr>
        <w:t>Par ailleurs, la formation de Kaki, sous la direction du Français Cordereau, lui permet de se familiariser avec les techniques d'écriture et de plonger dans la «tradition» populaire.</w:t>
      </w:r>
    </w:p>
    <w:p w:rsidR="006A4EED" w:rsidRPr="004F5262" w:rsidRDefault="006A4EED" w:rsidP="006A4EED">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4F5262" w:rsidRDefault="00E05A1B" w:rsidP="00E05A1B">
      <w:pPr>
        <w:pStyle w:val="Titre4"/>
        <w:spacing w:before="0" w:after="0" w:line="360" w:lineRule="auto"/>
        <w:ind w:left="641" w:hanging="357"/>
        <w:jc w:val="both"/>
        <w:rPr>
          <w:rFonts w:ascii="Times New Roman" w:hAnsi="Times New Roman"/>
          <w:i w:val="0"/>
          <w:iCs/>
        </w:rPr>
      </w:pPr>
      <w:bookmarkStart w:id="162" w:name="_Toc471484529"/>
      <w:r>
        <w:rPr>
          <w:rFonts w:ascii="Times New Roman" w:hAnsi="Times New Roman"/>
          <w:i w:val="0"/>
          <w:iCs/>
        </w:rPr>
        <w:t>2.2.</w:t>
      </w:r>
      <w:r w:rsidRPr="004F5262">
        <w:rPr>
          <w:rFonts w:ascii="Times New Roman" w:hAnsi="Times New Roman"/>
          <w:i w:val="0"/>
          <w:iCs/>
        </w:rPr>
        <w:t xml:space="preserve"> Thèmes</w:t>
      </w:r>
      <w:r w:rsidR="006A4EED" w:rsidRPr="004F5262">
        <w:rPr>
          <w:rFonts w:ascii="Times New Roman" w:hAnsi="Times New Roman"/>
          <w:i w:val="0"/>
          <w:iCs/>
        </w:rPr>
        <w:t xml:space="preserve"> et illustrations de la sémiotique chez Kaki</w:t>
      </w:r>
      <w:bookmarkEnd w:id="162"/>
    </w:p>
    <w:p w:rsidR="006A4EED" w:rsidRPr="00B14DAF" w:rsidRDefault="00B14DAF" w:rsidP="00B14DAF">
      <w:pPr>
        <w:pStyle w:val="Titre5"/>
        <w:spacing w:before="0" w:after="0"/>
        <w:ind w:left="641" w:hanging="357"/>
        <w:jc w:val="both"/>
        <w:rPr>
          <w:rFonts w:ascii="Times New Roman" w:hAnsi="Times New Roman"/>
          <w:color w:val="auto"/>
          <w:lang w:eastAsia="fr-FR"/>
        </w:rPr>
      </w:pPr>
      <w:bookmarkStart w:id="163" w:name="_Toc471484530"/>
      <w:r w:rsidRPr="00B14DAF">
        <w:rPr>
          <w:rFonts w:ascii="Times New Roman" w:hAnsi="Times New Roman"/>
          <w:color w:val="auto"/>
          <w:lang w:eastAsia="fr-FR"/>
        </w:rPr>
        <w:t>2.2.1. L’utilisation</w:t>
      </w:r>
      <w:r w:rsidR="006A4EED" w:rsidRPr="00B14DAF">
        <w:rPr>
          <w:rFonts w:ascii="Times New Roman" w:hAnsi="Times New Roman"/>
          <w:color w:val="auto"/>
          <w:lang w:eastAsia="fr-FR"/>
        </w:rPr>
        <w:t xml:space="preserve"> des signes de la culture populaire</w:t>
      </w:r>
      <w:bookmarkEnd w:id="163"/>
    </w:p>
    <w:p w:rsidR="006A4EED" w:rsidRPr="004F5262" w:rsidRDefault="009A1CD5" w:rsidP="00B14DA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 xml:space="preserve"> </w:t>
      </w:r>
      <w:r w:rsidR="006A4EED" w:rsidRPr="004F5262">
        <w:rPr>
          <w:rFonts w:ascii="Times New Roman" w:eastAsia="Times New Roman" w:hAnsi="Times New Roman"/>
          <w:sz w:val="24"/>
          <w:szCs w:val="24"/>
          <w:lang w:eastAsia="fr-FR"/>
        </w:rPr>
        <w:t>Pour toucher son public Kaki, on l’a longuement démontré au cours de cette thèse, employait le Meddah, le chant et la poésie populaire. Aussi, cherchait-il à provoquer une forme de reconnaissance, un déclic poussait son public algérien notamment à découvrir le théâtre à travers les signes de sa propre culture. La culture populaire est porteuse d’une sémiotique particulière par laquelle Kaki nous fat partager ses espoirs et sa célébration. La culture populaire de Kaki est d’abord folklore, lumière, danses. Elle est aussi authenticité et singularité algérienne.</w:t>
      </w:r>
    </w:p>
    <w:p w:rsidR="006A4EED" w:rsidRPr="004F5262" w:rsidRDefault="006A4EED" w:rsidP="00B14DA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L’autre signe fort du recours à la culture populaire que l’on retrouve chez Kaki est le plaisir de la fable, matérialisé par le rôle du goual. « </w:t>
      </w:r>
      <w:r w:rsidRPr="004F5262">
        <w:rPr>
          <w:rFonts w:ascii="Times New Roman" w:eastAsia="Times New Roman" w:hAnsi="Times New Roman"/>
          <w:i/>
          <w:iCs/>
          <w:sz w:val="24"/>
          <w:szCs w:val="24"/>
          <w:lang w:eastAsia="fr-FR"/>
        </w:rPr>
        <w:t>Qu’il est doux, qu’il est doux d’écouter des histoires</w:t>
      </w:r>
      <w:r w:rsidRPr="004F5262">
        <w:rPr>
          <w:rFonts w:ascii="Times New Roman" w:eastAsia="Times New Roman" w:hAnsi="Times New Roman"/>
          <w:sz w:val="24"/>
          <w:szCs w:val="24"/>
          <w:lang w:eastAsia="fr-FR"/>
        </w:rPr>
        <w:t xml:space="preserve"> » </w:t>
      </w:r>
      <w:r w:rsidR="00101A91" w:rsidRPr="004F5262">
        <w:rPr>
          <w:rFonts w:ascii="Times New Roman" w:eastAsia="Times New Roman" w:hAnsi="Times New Roman"/>
          <w:sz w:val="24"/>
          <w:szCs w:val="24"/>
          <w:lang w:eastAsia="fr-FR"/>
        </w:rPr>
        <w:t>écrivait Alfred de V</w:t>
      </w:r>
      <w:r w:rsidR="00B14DAF">
        <w:rPr>
          <w:rFonts w:ascii="Times New Roman" w:eastAsia="Times New Roman" w:hAnsi="Times New Roman"/>
          <w:sz w:val="24"/>
          <w:szCs w:val="24"/>
          <w:lang w:eastAsia="fr-FR"/>
        </w:rPr>
        <w:t>igny</w:t>
      </w:r>
      <w:r w:rsidR="00101A91" w:rsidRPr="004F5262">
        <w:rPr>
          <w:rFonts w:ascii="Times New Roman" w:eastAsia="Times New Roman" w:hAnsi="Times New Roman"/>
          <w:sz w:val="24"/>
          <w:szCs w:val="24"/>
          <w:lang w:eastAsia="fr-FR"/>
        </w:rPr>
        <w:t xml:space="preserve"> dans son poème </w:t>
      </w:r>
      <w:r w:rsidR="00101A91" w:rsidRPr="004F5262">
        <w:rPr>
          <w:rFonts w:ascii="Times New Roman" w:eastAsia="Times New Roman" w:hAnsi="Times New Roman"/>
          <w:i/>
          <w:iCs/>
          <w:sz w:val="24"/>
          <w:szCs w:val="24"/>
          <w:lang w:eastAsia="fr-FR"/>
        </w:rPr>
        <w:t>La</w:t>
      </w:r>
      <w:r w:rsidR="00101A91" w:rsidRPr="004F5262">
        <w:rPr>
          <w:rFonts w:ascii="Times New Roman" w:eastAsia="Times New Roman" w:hAnsi="Times New Roman"/>
          <w:sz w:val="24"/>
          <w:szCs w:val="24"/>
          <w:lang w:eastAsia="fr-FR"/>
        </w:rPr>
        <w:t xml:space="preserve"> </w:t>
      </w:r>
      <w:r w:rsidR="00101A91" w:rsidRPr="004F5262">
        <w:rPr>
          <w:rFonts w:ascii="Times New Roman" w:eastAsia="Times New Roman" w:hAnsi="Times New Roman"/>
          <w:i/>
          <w:iCs/>
          <w:sz w:val="24"/>
          <w:szCs w:val="24"/>
          <w:lang w:eastAsia="fr-FR"/>
        </w:rPr>
        <w:t>Neige</w:t>
      </w:r>
      <w:r w:rsidRPr="004F5262">
        <w:rPr>
          <w:rFonts w:ascii="Times New Roman" w:eastAsia="Times New Roman" w:hAnsi="Times New Roman"/>
          <w:sz w:val="24"/>
          <w:szCs w:val="24"/>
          <w:lang w:eastAsia="fr-FR"/>
        </w:rPr>
        <w:t>.  Kaki raconte une histoire, une fable :</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Un jour et innombrables sont les jours du Très-Haut</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Dans le jardin d’Eden et vaste est le jardin du Très-Haut</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Trois marabouts se sont rencontrés au détour d’une piste</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Tous les trois sont des mystiques et droite est leur conduite</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Qui les a invoqués tous les trois des maléfices n’aura cure</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Qui les aura priés de la jalousie ne connaîtra pas la morsure</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Tous les trois sont des mystiques avons-nous dit</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Nul ne les surpasse déshérité vagabond ou seigneur</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 xml:space="preserve">Ils sont le palmier mâle quand le jardin est en fleurs  </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Sidi-Abdelkader l’Oriental</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Sidi-Boumédiène l’Occidental</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Et Sidi-Abderrahmane ont quitté le jardin d’Eden</w:t>
      </w:r>
    </w:p>
    <w:p w:rsidR="006A4EED" w:rsidRPr="004F5262" w:rsidRDefault="006A4EED" w:rsidP="00B14DAF">
      <w:pPr>
        <w:pStyle w:val="Citationintense"/>
        <w:spacing w:before="0" w:after="0"/>
        <w:ind w:left="567" w:right="0"/>
        <w:rPr>
          <w:iCs w:val="0"/>
          <w:sz w:val="20"/>
          <w:szCs w:val="20"/>
          <w:lang w:eastAsia="fr-FR"/>
        </w:rPr>
      </w:pPr>
      <w:r w:rsidRPr="004F5262">
        <w:rPr>
          <w:iCs w:val="0"/>
          <w:sz w:val="20"/>
          <w:szCs w:val="20"/>
          <w:lang w:eastAsia="fr-FR"/>
        </w:rPr>
        <w:t>Ils viennent rendre visite aux humains d’ici-bas</w:t>
      </w:r>
      <w:r w:rsidR="00B14DAF">
        <w:rPr>
          <w:iCs w:val="0"/>
          <w:sz w:val="20"/>
          <w:szCs w:val="20"/>
          <w:lang w:eastAsia="fr-FR"/>
        </w:rPr>
        <w:t xml:space="preserve"> (</w:t>
      </w:r>
      <w:r w:rsidR="00B14DAF" w:rsidRPr="009A1CD5">
        <w:rPr>
          <w:sz w:val="20"/>
          <w:szCs w:val="20"/>
          <w:lang w:eastAsia="fr-FR"/>
        </w:rPr>
        <w:t>M</w:t>
      </w:r>
      <w:r w:rsidR="00B14DAF">
        <w:rPr>
          <w:sz w:val="20"/>
          <w:szCs w:val="20"/>
          <w:lang w:eastAsia="fr-FR"/>
        </w:rPr>
        <w:t>. D</w:t>
      </w:r>
      <w:r w:rsidR="00B14DAF" w:rsidRPr="009A1CD5">
        <w:rPr>
          <w:sz w:val="20"/>
          <w:szCs w:val="20"/>
          <w:lang w:eastAsia="fr-FR"/>
        </w:rPr>
        <w:t>e G</w:t>
      </w:r>
      <w:r w:rsidR="00B14DAF">
        <w:rPr>
          <w:sz w:val="20"/>
          <w:szCs w:val="20"/>
          <w:lang w:eastAsia="fr-FR"/>
        </w:rPr>
        <w:t>helderode, 1984, p.9).</w:t>
      </w:r>
    </w:p>
    <w:p w:rsidR="00C46FB6" w:rsidRPr="004F5262" w:rsidRDefault="00C46FB6" w:rsidP="00C46FB6">
      <w:pPr>
        <w:rPr>
          <w:lang w:eastAsia="fr-FR"/>
        </w:rPr>
      </w:pPr>
    </w:p>
    <w:p w:rsidR="003A331A" w:rsidRPr="004F5262" w:rsidRDefault="00B14DAF" w:rsidP="00B14DA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À</w:t>
      </w:r>
      <w:r w:rsidR="006A4EED" w:rsidRPr="004F5262">
        <w:rPr>
          <w:rFonts w:ascii="Times New Roman" w:eastAsia="Times New Roman" w:hAnsi="Times New Roman"/>
          <w:sz w:val="24"/>
          <w:szCs w:val="24"/>
          <w:lang w:eastAsia="fr-FR"/>
        </w:rPr>
        <w:t xml:space="preserve"> ce propos, nous avons vu que le goual ne faisait rien d’autre que raconter des histoires. C’est certainement ce qui faisait s’agglutiner autour de lui la foule, ce  </w:t>
      </w:r>
      <w:r w:rsidR="006A4EED" w:rsidRPr="004F5262">
        <w:rPr>
          <w:rFonts w:ascii="Times New Roman" w:eastAsia="Times New Roman" w:hAnsi="Times New Roman"/>
          <w:sz w:val="24"/>
          <w:szCs w:val="24"/>
          <w:lang w:eastAsia="fr-FR"/>
        </w:rPr>
        <w:lastRenderedPageBreak/>
        <w:t xml:space="preserve">plaisir d’écouter et même d’écouter pour la énième fois une histoire dont certains auditeurs connaissent les moindres détails, allant même jusqu’à reprendre le goual quand il en oublie certains passages. Kaki use à volonté de ce signe qui marque le recours au populaire et consacre l’adhésion du public : lui offrir ce qu’il connait de façon familière et qu’il aime écouter. </w:t>
      </w:r>
    </w:p>
    <w:p w:rsidR="006A4EED" w:rsidRPr="004F5262" w:rsidRDefault="006A4EED" w:rsidP="00B14DA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Ce plaisir de la narration, plaisir de la fiction, n’est pas spécifique au théâtre. Mais sa singularité chez un auteur comme Kaki c’est que la narration est directe et vivante, médiatisée par la parole humaine dans toute sa nudité. Le goual de Kaki, son narrateur est là, ici et maintenant, avec ses gestes et sa mimique. En somme, c’est une narration théâtralisée qui est source de plaisir.</w:t>
      </w:r>
    </w:p>
    <w:p w:rsidR="001B4407" w:rsidRDefault="001B4407" w:rsidP="001B4407">
      <w:pPr>
        <w:pStyle w:val="Titre5"/>
        <w:spacing w:before="0" w:after="0"/>
        <w:ind w:left="641" w:hanging="357"/>
        <w:jc w:val="both"/>
        <w:rPr>
          <w:rFonts w:ascii="Times New Roman" w:hAnsi="Times New Roman"/>
          <w:lang w:eastAsia="fr-FR"/>
        </w:rPr>
      </w:pPr>
    </w:p>
    <w:p w:rsidR="006A4EED" w:rsidRPr="001B4407" w:rsidRDefault="001B4407" w:rsidP="0067208B">
      <w:pPr>
        <w:pStyle w:val="Titre5"/>
        <w:spacing w:before="0" w:after="0"/>
        <w:ind w:left="641" w:hanging="357"/>
        <w:jc w:val="both"/>
        <w:rPr>
          <w:rFonts w:ascii="Times New Roman" w:hAnsi="Times New Roman"/>
          <w:color w:val="auto"/>
          <w:lang w:eastAsia="fr-FR"/>
        </w:rPr>
      </w:pPr>
      <w:bookmarkStart w:id="164" w:name="_Toc471484531"/>
      <w:r w:rsidRPr="001B4407">
        <w:rPr>
          <w:rFonts w:ascii="Times New Roman" w:hAnsi="Times New Roman"/>
          <w:color w:val="auto"/>
          <w:lang w:eastAsia="fr-FR"/>
        </w:rPr>
        <w:t>2.2.2</w:t>
      </w:r>
      <w:r w:rsidR="0067208B" w:rsidRPr="001B4407">
        <w:rPr>
          <w:rFonts w:ascii="Times New Roman" w:hAnsi="Times New Roman"/>
          <w:color w:val="auto"/>
          <w:lang w:eastAsia="fr-FR"/>
        </w:rPr>
        <w:t>.</w:t>
      </w:r>
      <w:r w:rsidR="0067208B">
        <w:rPr>
          <w:rFonts w:ascii="Times New Roman" w:hAnsi="Times New Roman"/>
          <w:color w:val="auto"/>
          <w:lang w:eastAsia="fr-FR"/>
        </w:rPr>
        <w:t xml:space="preserve"> Eléments</w:t>
      </w:r>
      <w:r w:rsidR="006A4EED" w:rsidRPr="001B4407">
        <w:rPr>
          <w:rFonts w:ascii="Times New Roman" w:hAnsi="Times New Roman"/>
          <w:color w:val="auto"/>
          <w:lang w:eastAsia="fr-FR"/>
        </w:rPr>
        <w:t xml:space="preserve"> d’expression scénique</w:t>
      </w:r>
      <w:bookmarkEnd w:id="164"/>
    </w:p>
    <w:p w:rsidR="006A4EED" w:rsidRPr="001B4407" w:rsidRDefault="006A4EED" w:rsidP="001B4407">
      <w:pPr>
        <w:spacing w:after="0" w:line="360" w:lineRule="auto"/>
        <w:ind w:firstLine="284"/>
        <w:jc w:val="both"/>
        <w:rPr>
          <w:rFonts w:asciiTheme="majorBidi" w:hAnsiTheme="majorBidi" w:cstheme="majorBidi"/>
          <w:sz w:val="24"/>
          <w:szCs w:val="24"/>
          <w:lang w:eastAsia="fr-FR"/>
        </w:rPr>
      </w:pPr>
      <w:r w:rsidRPr="003B00C8">
        <w:rPr>
          <w:rFonts w:ascii="Times New Roman" w:eastAsia="Times New Roman" w:hAnsi="Times New Roman"/>
          <w:sz w:val="24"/>
          <w:szCs w:val="24"/>
          <w:lang w:eastAsia="fr-FR"/>
        </w:rPr>
        <w:t>Jean-Pierre Vincent, metteur en scène français, décrit de façon particulière sa rencontre avec Kaki. Il dit avoir  appris de lui,  la vivacité unique, brûlante de l’acte artistique. Un acte qui, pour concerner les autres, doit d’abord concerner le metteur en scène lui-même, en le brûlant un peu</w:t>
      </w:r>
      <w:r w:rsidRPr="001B4407">
        <w:rPr>
          <w:rFonts w:asciiTheme="majorBidi" w:eastAsia="Times New Roman" w:hAnsiTheme="majorBidi" w:cstheme="majorBidi"/>
          <w:sz w:val="24"/>
          <w:szCs w:val="24"/>
          <w:lang w:eastAsia="fr-FR"/>
        </w:rPr>
        <w:t>.</w:t>
      </w:r>
      <w:r w:rsidR="001B4407" w:rsidRPr="001B4407">
        <w:rPr>
          <w:rFonts w:asciiTheme="majorBidi" w:eastAsia="Times New Roman" w:hAnsiTheme="majorBidi" w:cstheme="majorBidi"/>
          <w:sz w:val="24"/>
          <w:szCs w:val="24"/>
          <w:lang w:eastAsia="fr-FR"/>
        </w:rPr>
        <w:t xml:space="preserve"> « </w:t>
      </w:r>
      <w:r w:rsidRPr="001B4407">
        <w:rPr>
          <w:rFonts w:asciiTheme="majorBidi" w:hAnsiTheme="majorBidi" w:cstheme="majorBidi"/>
          <w:iCs/>
          <w:sz w:val="24"/>
          <w:szCs w:val="24"/>
          <w:lang w:eastAsia="fr-FR"/>
        </w:rPr>
        <w:t xml:space="preserve">J’ai aussi découvert alors l’importance du travail corporel de l’acteur. La tradition française est plutôt "langagière", "littéraire". Kaki m’a ouvert un autre monde : celui de l’acrobatie, du corps qui se fait parfois souffrir pour devenir beau et </w:t>
      </w:r>
      <w:r w:rsidR="001B3590" w:rsidRPr="001B4407">
        <w:rPr>
          <w:rFonts w:asciiTheme="majorBidi" w:hAnsiTheme="majorBidi" w:cstheme="majorBidi"/>
          <w:iCs/>
          <w:sz w:val="24"/>
          <w:szCs w:val="24"/>
          <w:lang w:eastAsia="fr-FR"/>
        </w:rPr>
        <w:t>significatif</w:t>
      </w:r>
      <w:r w:rsidR="001B4407" w:rsidRPr="001B4407">
        <w:rPr>
          <w:rFonts w:asciiTheme="majorBidi" w:hAnsiTheme="majorBidi" w:cstheme="majorBidi"/>
          <w:iCs/>
          <w:sz w:val="24"/>
          <w:szCs w:val="24"/>
          <w:lang w:eastAsia="fr-FR"/>
        </w:rPr>
        <w:t> »</w:t>
      </w:r>
      <w:r w:rsidR="001B3590" w:rsidRPr="001B4407">
        <w:rPr>
          <w:rStyle w:val="Appelnotedebasdep"/>
          <w:rFonts w:asciiTheme="majorBidi" w:hAnsiTheme="majorBidi" w:cstheme="majorBidi"/>
          <w:sz w:val="24"/>
          <w:szCs w:val="24"/>
          <w:lang w:eastAsia="fr-FR"/>
        </w:rPr>
        <w:footnoteReference w:id="278"/>
      </w:r>
      <w:r w:rsidR="001B4407">
        <w:rPr>
          <w:rFonts w:asciiTheme="majorBidi" w:hAnsiTheme="majorBidi" w:cstheme="majorBidi"/>
          <w:iCs/>
          <w:sz w:val="24"/>
          <w:szCs w:val="24"/>
          <w:lang w:eastAsia="fr-FR"/>
        </w:rPr>
        <w:t>.</w:t>
      </w:r>
    </w:p>
    <w:p w:rsidR="00533081" w:rsidRDefault="001B4407" w:rsidP="001B4407">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À</w:t>
      </w:r>
      <w:r w:rsidR="006A4EED" w:rsidRPr="003B00C8">
        <w:rPr>
          <w:rFonts w:ascii="Times New Roman" w:eastAsia="Times New Roman" w:hAnsi="Times New Roman"/>
          <w:sz w:val="24"/>
          <w:szCs w:val="24"/>
          <w:lang w:eastAsia="fr-FR"/>
        </w:rPr>
        <w:t xml:space="preserve"> ce propos, force est de noter que le titre de la pièce, </w:t>
      </w:r>
      <w:r w:rsidR="00085D0A" w:rsidRPr="003B00C8">
        <w:rPr>
          <w:rFonts w:ascii="Times New Roman" w:eastAsia="Times New Roman" w:hAnsi="Times New Roman"/>
          <w:i/>
          <w:sz w:val="24"/>
          <w:szCs w:val="24"/>
          <w:lang w:eastAsia="fr-FR"/>
        </w:rPr>
        <w:t>L</w:t>
      </w:r>
      <w:r w:rsidR="00085D0A" w:rsidRPr="003B00C8">
        <w:rPr>
          <w:rFonts w:ascii="Times New Roman" w:eastAsia="Times New Roman" w:hAnsi="Times New Roman"/>
          <w:bCs/>
          <w:i/>
          <w:iCs/>
          <w:sz w:val="24"/>
          <w:szCs w:val="24"/>
          <w:lang w:eastAsia="fr-FR"/>
        </w:rPr>
        <w:t xml:space="preserve">e porteur d'eau et les marabouts </w:t>
      </w:r>
      <w:r w:rsidR="00085D0A">
        <w:rPr>
          <w:rFonts w:ascii="Times New Roman" w:eastAsia="Times New Roman" w:hAnsi="Times New Roman"/>
          <w:bCs/>
          <w:i/>
          <w:iCs/>
          <w:sz w:val="24"/>
          <w:szCs w:val="24"/>
          <w:lang w:eastAsia="fr-FR"/>
        </w:rPr>
        <w:t xml:space="preserve"> (</w:t>
      </w:r>
      <w:r w:rsidR="006A4EED" w:rsidRPr="003B00C8">
        <w:rPr>
          <w:rFonts w:ascii="Times New Roman" w:eastAsia="Times New Roman" w:hAnsi="Times New Roman"/>
          <w:i/>
          <w:sz w:val="24"/>
          <w:szCs w:val="24"/>
          <w:lang w:eastAsia="fr-FR"/>
        </w:rPr>
        <w:t>El Guerrab oua salihine</w:t>
      </w:r>
      <w:r w:rsidR="00085D0A">
        <w:rPr>
          <w:rFonts w:ascii="Times New Roman" w:eastAsia="Times New Roman" w:hAnsi="Times New Roman"/>
          <w:i/>
          <w:sz w:val="24"/>
          <w:szCs w:val="24"/>
          <w:lang w:eastAsia="fr-FR"/>
        </w:rPr>
        <w:t>)</w:t>
      </w:r>
      <w:r w:rsidR="006A4EED" w:rsidRPr="003B00C8">
        <w:rPr>
          <w:rFonts w:ascii="Times New Roman" w:eastAsia="Times New Roman" w:hAnsi="Times New Roman"/>
          <w:sz w:val="24"/>
          <w:szCs w:val="24"/>
          <w:lang w:eastAsia="fr-FR"/>
        </w:rPr>
        <w:t xml:space="preserve"> annonce le projet dramaturgique de </w:t>
      </w:r>
      <w:r w:rsidR="00085D0A" w:rsidRPr="003B00C8">
        <w:rPr>
          <w:rFonts w:ascii="Times New Roman" w:eastAsia="Times New Roman" w:hAnsi="Times New Roman"/>
          <w:sz w:val="24"/>
          <w:szCs w:val="24"/>
          <w:lang w:eastAsia="fr-FR"/>
        </w:rPr>
        <w:t xml:space="preserve">Kaki. </w:t>
      </w:r>
      <w:r w:rsidR="006A4EED" w:rsidRPr="003B00C8">
        <w:rPr>
          <w:rFonts w:ascii="Times New Roman" w:eastAsia="Times New Roman" w:hAnsi="Times New Roman"/>
          <w:sz w:val="24"/>
          <w:szCs w:val="24"/>
          <w:lang w:eastAsia="fr-FR"/>
        </w:rPr>
        <w:t>Dans la plupart des représentations, la scène est presque nue. Il n’y a pas de rideau de fond, comme pour dégager la scène pour des raisons probablement de visibilité. Le dramaturge exploite ce décor pour créer un autre espace : la halqa, un espace circulaire.</w:t>
      </w:r>
      <w:r>
        <w:rPr>
          <w:rFonts w:ascii="Times New Roman" w:eastAsia="Times New Roman" w:hAnsi="Times New Roman"/>
          <w:sz w:val="24"/>
          <w:szCs w:val="24"/>
          <w:lang w:eastAsia="fr-FR"/>
        </w:rPr>
        <w:t xml:space="preserve"> </w:t>
      </w:r>
      <w:r w:rsidR="006A4EED" w:rsidRPr="003B00C8">
        <w:rPr>
          <w:rFonts w:ascii="Times New Roman" w:eastAsia="Times New Roman" w:hAnsi="Times New Roman"/>
          <w:sz w:val="24"/>
          <w:szCs w:val="24"/>
          <w:lang w:eastAsia="fr-FR"/>
        </w:rPr>
        <w:t xml:space="preserve">Ne pouvant se défaire des </w:t>
      </w:r>
      <w:r w:rsidR="00533081">
        <w:rPr>
          <w:rFonts w:ascii="Times New Roman" w:eastAsia="Times New Roman" w:hAnsi="Times New Roman"/>
          <w:sz w:val="24"/>
          <w:szCs w:val="24"/>
          <w:lang w:eastAsia="fr-FR"/>
        </w:rPr>
        <w:t>s</w:t>
      </w:r>
      <w:r w:rsidR="006A4EED" w:rsidRPr="003B00C8">
        <w:rPr>
          <w:rFonts w:ascii="Times New Roman" w:eastAsia="Times New Roman" w:hAnsi="Times New Roman"/>
          <w:sz w:val="24"/>
          <w:szCs w:val="24"/>
          <w:lang w:eastAsia="fr-FR"/>
        </w:rPr>
        <w:t xml:space="preserve">alles conventionnelles, Kaki invente une ambiance qui suggère une structure circulaire. Cette ambiance est suscitée par le récit opéré par un goual ou même de nombreux gouals. Un récit circulaire qui évolue dans un aller-retour entre d’une part, le chœur et d’autre part, le goual unique, entre le passé et le présent. Tout comme le goual originel qui n’avait aucun décor, le goual de Kaki évolue dans un espace scénique nu. </w:t>
      </w:r>
    </w:p>
    <w:p w:rsidR="006A4EED" w:rsidRPr="003B00C8" w:rsidRDefault="006A4EED" w:rsidP="001B4407">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lastRenderedPageBreak/>
        <w:t>C’est une invitation à la participation du public à reconstituer l’histoire, mais aussi à imaginer les lieux. On est déjà dans le recours à l’imaginaire et la culture populaire.</w:t>
      </w:r>
    </w:p>
    <w:p w:rsidR="001B4407" w:rsidRDefault="001B4407" w:rsidP="001B4407">
      <w:pPr>
        <w:pStyle w:val="Titre5"/>
        <w:spacing w:before="0" w:after="0"/>
        <w:ind w:left="641" w:hanging="357"/>
        <w:jc w:val="both"/>
        <w:rPr>
          <w:rFonts w:ascii="Times New Roman" w:hAnsi="Times New Roman"/>
          <w:color w:val="auto"/>
          <w:lang w:eastAsia="fr-FR"/>
        </w:rPr>
      </w:pPr>
    </w:p>
    <w:p w:rsidR="006A4EED" w:rsidRPr="001B4407" w:rsidRDefault="001B4407" w:rsidP="001B4407">
      <w:pPr>
        <w:pStyle w:val="Titre5"/>
        <w:spacing w:before="0" w:after="0"/>
        <w:ind w:left="641" w:hanging="357"/>
        <w:jc w:val="both"/>
        <w:rPr>
          <w:rFonts w:ascii="Times New Roman" w:hAnsi="Times New Roman"/>
          <w:color w:val="auto"/>
          <w:lang w:eastAsia="fr-FR"/>
        </w:rPr>
      </w:pPr>
      <w:bookmarkStart w:id="165" w:name="_Toc471484532"/>
      <w:r w:rsidRPr="001B4407">
        <w:rPr>
          <w:rFonts w:ascii="Times New Roman" w:hAnsi="Times New Roman"/>
          <w:color w:val="auto"/>
          <w:lang w:eastAsia="fr-FR"/>
        </w:rPr>
        <w:t>2.2.3. Spectacle</w:t>
      </w:r>
      <w:r w:rsidR="00A6282E" w:rsidRPr="001B4407">
        <w:rPr>
          <w:rFonts w:ascii="Times New Roman" w:hAnsi="Times New Roman"/>
          <w:color w:val="auto"/>
          <w:lang w:eastAsia="fr-FR"/>
        </w:rPr>
        <w:t xml:space="preserve"> et</w:t>
      </w:r>
      <w:r w:rsidR="006A4EED" w:rsidRPr="001B4407">
        <w:rPr>
          <w:rFonts w:ascii="Times New Roman" w:hAnsi="Times New Roman"/>
          <w:color w:val="auto"/>
          <w:lang w:eastAsia="fr-FR"/>
        </w:rPr>
        <w:t xml:space="preserve"> mise en scène des séquences </w:t>
      </w:r>
      <w:r w:rsidR="00A6282E" w:rsidRPr="001B4407">
        <w:rPr>
          <w:rFonts w:ascii="Times New Roman" w:hAnsi="Times New Roman"/>
          <w:color w:val="auto"/>
          <w:lang w:eastAsia="fr-FR"/>
        </w:rPr>
        <w:t>du discours</w:t>
      </w:r>
      <w:bookmarkEnd w:id="165"/>
    </w:p>
    <w:p w:rsidR="006A4EED" w:rsidRPr="003B00C8" w:rsidRDefault="006A4EED" w:rsidP="001B4407">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4F5262">
        <w:rPr>
          <w:rFonts w:ascii="Times New Roman" w:eastAsia="Times New Roman" w:hAnsi="Times New Roman"/>
          <w:sz w:val="24"/>
          <w:szCs w:val="24"/>
          <w:lang w:eastAsia="fr-FR"/>
        </w:rPr>
        <w:t>Le récit dans le théâtre de Kaki ne se fonde pas, comme dans l'écriture dramatique</w:t>
      </w:r>
      <w:r w:rsidR="00A6282E" w:rsidRPr="004F5262">
        <w:rPr>
          <w:rFonts w:ascii="Times New Roman" w:eastAsia="Times New Roman" w:hAnsi="Times New Roman"/>
          <w:sz w:val="24"/>
          <w:szCs w:val="24"/>
          <w:lang w:eastAsia="fr-FR"/>
        </w:rPr>
        <w:t xml:space="preserve"> classique</w:t>
      </w:r>
      <w:r w:rsidRPr="004F5262">
        <w:rPr>
          <w:rFonts w:ascii="Times New Roman" w:eastAsia="Times New Roman" w:hAnsi="Times New Roman"/>
          <w:sz w:val="24"/>
          <w:szCs w:val="24"/>
          <w:lang w:eastAsia="fr-FR"/>
        </w:rPr>
        <w:t>, sur une linéarité ou une progression continue d'une courbe dramatique, mais est marqué par une</w:t>
      </w:r>
      <w:r w:rsidRPr="003B00C8">
        <w:rPr>
          <w:rFonts w:ascii="Times New Roman" w:eastAsia="Times New Roman" w:hAnsi="Times New Roman"/>
          <w:sz w:val="24"/>
          <w:szCs w:val="24"/>
          <w:lang w:eastAsia="fr-FR"/>
        </w:rPr>
        <w:t xml:space="preserve"> certaine fragmentation en séquences relativement autonomes qui concourent à l'élaboration du discours théâtral global. Ainsi, L'usage du conteur sert à mieux éclairer les lecteurs-spectateurs sur les intentions, les différentes péripéties du récit et l'itinéraire des personnages. </w:t>
      </w:r>
    </w:p>
    <w:p w:rsidR="006A4EED" w:rsidRPr="003B00C8" w:rsidRDefault="006A4EED" w:rsidP="006A4EED">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3B00C8" w:rsidRDefault="006A4EED" w:rsidP="00BA725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Dans le théâtre de Kaki et à la suite de Bertolt Brecht dont il s’inspire, la narration occupe une place centrale.  Justement, le narrateur chez Kaki est un narrateur tantôt homodiégétique, tantôt intradiégétique. Un narrateur de second degré qui raconte sa propre histoire.</w:t>
      </w:r>
      <w:r w:rsidRPr="003B00C8">
        <w:rPr>
          <w:rFonts w:ascii="Times New Roman" w:eastAsia="Times New Roman" w:hAnsi="Times New Roman"/>
          <w:sz w:val="24"/>
          <w:szCs w:val="24"/>
          <w:vertAlign w:val="superscript"/>
          <w:lang w:eastAsia="fr-FR"/>
        </w:rPr>
        <w:footnoteReference w:id="279"/>
      </w:r>
      <w:r w:rsidRPr="003B00C8">
        <w:rPr>
          <w:rFonts w:ascii="Times New Roman" w:eastAsia="Times New Roman" w:hAnsi="Times New Roman"/>
          <w:sz w:val="24"/>
          <w:szCs w:val="24"/>
          <w:lang w:eastAsia="fr-FR"/>
        </w:rPr>
        <w:t xml:space="preserve"> </w:t>
      </w:r>
    </w:p>
    <w:p w:rsidR="006A4EED" w:rsidRPr="003B00C8" w:rsidRDefault="006A4EED" w:rsidP="00BA725B">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L’on sait maintenant que comme spécificité théâtrale : le narrateur au premier degré est toujours absent. Ce personnage a deux narrataires : interne et externe. Le narrataire externe c’est le public, ou comme le nomme C. K. Orecchioni </w:t>
      </w:r>
      <w:r w:rsidRPr="00BA725B">
        <w:rPr>
          <w:rFonts w:ascii="Times New Roman" w:eastAsia="Times New Roman" w:hAnsi="Times New Roman"/>
          <w:sz w:val="24"/>
          <w:szCs w:val="24"/>
          <w:lang w:eastAsia="fr-FR"/>
        </w:rPr>
        <w:t>« le public est un destinataire indirect, pour l’auteur, […] c’est un récepteur additionnel pour le personnage »</w:t>
      </w:r>
      <w:r w:rsidRPr="00BA725B">
        <w:rPr>
          <w:rFonts w:ascii="Times New Roman" w:eastAsia="Times New Roman" w:hAnsi="Times New Roman"/>
          <w:sz w:val="24"/>
          <w:szCs w:val="24"/>
          <w:vertAlign w:val="superscript"/>
          <w:lang w:eastAsia="fr-FR"/>
        </w:rPr>
        <w:footnoteReference w:id="280"/>
      </w:r>
      <w:r w:rsidRPr="00BA725B">
        <w:rPr>
          <w:rFonts w:ascii="Times New Roman" w:eastAsia="Times New Roman" w:hAnsi="Times New Roman"/>
          <w:sz w:val="24"/>
          <w:szCs w:val="24"/>
          <w:lang w:eastAsia="fr-FR"/>
        </w:rPr>
        <w:t>. Le narrataire interne est absent et présent à la fois. C</w:t>
      </w:r>
      <w:r w:rsidRPr="003B00C8">
        <w:rPr>
          <w:rFonts w:ascii="Times New Roman" w:eastAsia="Times New Roman" w:hAnsi="Times New Roman"/>
          <w:sz w:val="24"/>
          <w:szCs w:val="24"/>
          <w:lang w:eastAsia="fr-FR"/>
        </w:rPr>
        <w:t xml:space="preserve">’est un élément de décor à qui s‘adresse constamment Le porteur d’eau  en lui disant : </w:t>
      </w:r>
    </w:p>
    <w:p w:rsidR="006A4EED" w:rsidRPr="00C46FB6" w:rsidRDefault="006A4EED" w:rsidP="00410428">
      <w:pPr>
        <w:pStyle w:val="Citationintense"/>
        <w:spacing w:before="0" w:after="0"/>
        <w:ind w:left="567" w:right="0"/>
        <w:jc w:val="left"/>
        <w:rPr>
          <w:iCs w:val="0"/>
          <w:sz w:val="20"/>
          <w:szCs w:val="20"/>
        </w:rPr>
      </w:pPr>
      <w:r w:rsidRPr="00C46FB6">
        <w:rPr>
          <w:iCs w:val="0"/>
          <w:sz w:val="20"/>
          <w:szCs w:val="20"/>
        </w:rPr>
        <w:t>De l’eau ! De l’eau ! L’eau du Très-Haut !</w:t>
      </w:r>
      <w:r w:rsidRPr="00C46FB6">
        <w:rPr>
          <w:iCs w:val="0"/>
          <w:sz w:val="20"/>
          <w:szCs w:val="20"/>
        </w:rPr>
        <w:br/>
      </w:r>
      <w:proofErr w:type="gramStart"/>
      <w:r w:rsidRPr="00C46FB6">
        <w:rPr>
          <w:iCs w:val="0"/>
          <w:sz w:val="20"/>
          <w:szCs w:val="20"/>
        </w:rPr>
        <w:t>Tout droit</w:t>
      </w:r>
      <w:proofErr w:type="gramEnd"/>
      <w:r w:rsidRPr="00C46FB6">
        <w:rPr>
          <w:iCs w:val="0"/>
          <w:sz w:val="20"/>
          <w:szCs w:val="20"/>
        </w:rPr>
        <w:t xml:space="preserve"> sortie de la source de Sidi-Okbi !</w:t>
      </w:r>
    </w:p>
    <w:p w:rsidR="00410428" w:rsidRDefault="00410428" w:rsidP="006A4EED">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3B00C8" w:rsidRDefault="006A4EED" w:rsidP="00410428">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 décor reste sans réaction mais tout le récit du personnage est fait dans sa direction</w:t>
      </w:r>
      <w:r w:rsidR="00410428">
        <w:rPr>
          <w:rFonts w:ascii="Times New Roman" w:eastAsia="Times New Roman" w:hAnsi="Times New Roman"/>
          <w:sz w:val="24"/>
          <w:szCs w:val="24"/>
          <w:lang w:eastAsia="fr-FR"/>
        </w:rPr>
        <w:t xml:space="preserve"> a</w:t>
      </w:r>
      <w:r w:rsidRPr="003B00C8">
        <w:rPr>
          <w:rFonts w:ascii="Times New Roman" w:eastAsia="Times New Roman" w:hAnsi="Times New Roman"/>
          <w:sz w:val="24"/>
          <w:szCs w:val="24"/>
          <w:lang w:eastAsia="fr-FR"/>
        </w:rPr>
        <w:t xml:space="preserve">u niveau scénique l’ensemble est donc agencé et construit pour stimuler l’imagination du spectateur. Les décors sont plus ou moins réalistes mais les allusions font la part belle à l’imagination du spectateur.  </w:t>
      </w:r>
    </w:p>
    <w:p w:rsidR="006A4EED" w:rsidRPr="003B00C8" w:rsidRDefault="006A4EED" w:rsidP="0041042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Au niveau textuel, aucune marque de séparation ne vient perturber le débit continu de la narration, opérée sans didascalies. Pour le praticien comme pour le </w:t>
      </w:r>
      <w:r w:rsidRPr="003B00C8">
        <w:rPr>
          <w:rFonts w:ascii="Times New Roman" w:eastAsia="Times New Roman" w:hAnsi="Times New Roman"/>
          <w:sz w:val="24"/>
          <w:szCs w:val="24"/>
          <w:lang w:eastAsia="fr-FR"/>
        </w:rPr>
        <w:lastRenderedPageBreak/>
        <w:t>public, tout est à inventer. La narration est effectuée comme évoqué par le goual, par lequel le public est interpellé. Cette mise en espace de la narration oppose deux structures l’une circulaire, l’autre en U. Le goual ou narrateur se transforme par la force des choses en simple comédien.</w:t>
      </w:r>
    </w:p>
    <w:p w:rsidR="006A4EED" w:rsidRPr="003B00C8" w:rsidRDefault="006A4EED" w:rsidP="00410428">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Finalement, chaque spectateur est libre de  proposer une grille de lecture. C’est du reste, le but du rideau levé car Kaki se réclame du théâtre brechtien qui défend un spectateur actif et critique placé devant quelque chose pour le pousser indirectement à la réflexion, à l’étonnement.   L’ultime tirade du conteur le confirme jusqu’au bout :</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Les histoires des conteurs</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Sont parfois sucrées parfois salées</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Tout ce qu'ils trouveront à dire sur le lion c'est du bien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 xml:space="preserve">Mais de </w:t>
      </w:r>
      <w:r w:rsidR="00533081" w:rsidRPr="00C46FB6">
        <w:rPr>
          <w:iCs w:val="0"/>
          <w:sz w:val="20"/>
          <w:szCs w:val="20"/>
          <w:lang w:eastAsia="fr-FR"/>
        </w:rPr>
        <w:t>l’hyène</w:t>
      </w:r>
      <w:r w:rsidRPr="00C46FB6">
        <w:rPr>
          <w:iCs w:val="0"/>
          <w:sz w:val="20"/>
          <w:szCs w:val="20"/>
          <w:lang w:eastAsia="fr-FR"/>
        </w:rPr>
        <w:t xml:space="preserve"> ils diront qu'elle est pire qu'un chien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Cette histoire n'a pas de fin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Elle est comme la vie enfin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Et comporte une leçon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À qui prête attention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Le Fassi qui n'est pas de Fès</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Le cousin de Halima l'aveugle</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S'appelle en réalité Safi  Le Pur car il est juste et bon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Et ni le caïd ni le mufti ni le cadi n'y verront d'objection</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Où est le bien véritable</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Celui qu'a fait Halima</w:t>
      </w:r>
    </w:p>
    <w:p w:rsidR="006A4EED" w:rsidRPr="00C46FB6" w:rsidRDefault="006A4EED" w:rsidP="00410428">
      <w:pPr>
        <w:pStyle w:val="Citationintense"/>
        <w:spacing w:before="0" w:after="0"/>
        <w:ind w:left="567" w:right="0"/>
        <w:rPr>
          <w:iCs w:val="0"/>
          <w:sz w:val="20"/>
          <w:szCs w:val="20"/>
          <w:lang w:eastAsia="fr-FR"/>
        </w:rPr>
      </w:pPr>
      <w:r w:rsidRPr="00C46FB6">
        <w:rPr>
          <w:iCs w:val="0"/>
          <w:sz w:val="20"/>
          <w:szCs w:val="20"/>
          <w:lang w:eastAsia="fr-FR"/>
        </w:rPr>
        <w:t>Ou celui qu'a commencé à faire Safi</w:t>
      </w:r>
      <w:r w:rsidR="00C46FB6">
        <w:rPr>
          <w:iCs w:val="0"/>
          <w:sz w:val="20"/>
          <w:szCs w:val="20"/>
          <w:lang w:eastAsia="fr-FR"/>
        </w:rPr>
        <w:t> ? (</w:t>
      </w:r>
      <w:r w:rsidR="007624AE" w:rsidRPr="009A1CD5">
        <w:rPr>
          <w:sz w:val="20"/>
          <w:szCs w:val="20"/>
          <w:lang w:eastAsia="fr-FR"/>
        </w:rPr>
        <w:t>M</w:t>
      </w:r>
      <w:r w:rsidR="007624AE">
        <w:rPr>
          <w:sz w:val="20"/>
          <w:szCs w:val="20"/>
          <w:lang w:eastAsia="fr-FR"/>
        </w:rPr>
        <w:t>. D</w:t>
      </w:r>
      <w:r w:rsidR="007624AE" w:rsidRPr="009A1CD5">
        <w:rPr>
          <w:sz w:val="20"/>
          <w:szCs w:val="20"/>
          <w:lang w:eastAsia="fr-FR"/>
        </w:rPr>
        <w:t>e G</w:t>
      </w:r>
      <w:r w:rsidR="007624AE">
        <w:rPr>
          <w:sz w:val="20"/>
          <w:szCs w:val="20"/>
          <w:lang w:eastAsia="fr-FR"/>
        </w:rPr>
        <w:t xml:space="preserve">helderode, 1984, </w:t>
      </w:r>
      <w:r w:rsidR="00C46FB6">
        <w:rPr>
          <w:iCs w:val="0"/>
          <w:sz w:val="20"/>
          <w:szCs w:val="20"/>
          <w:lang w:eastAsia="fr-FR"/>
        </w:rPr>
        <w:t>p.81)</w:t>
      </w:r>
      <w:r w:rsidR="007624AE">
        <w:rPr>
          <w:iCs w:val="0"/>
          <w:sz w:val="20"/>
          <w:szCs w:val="20"/>
          <w:lang w:eastAsia="fr-FR"/>
        </w:rPr>
        <w:t>.</w:t>
      </w:r>
      <w:r w:rsidRPr="00C46FB6">
        <w:rPr>
          <w:iCs w:val="0"/>
          <w:sz w:val="20"/>
          <w:szCs w:val="20"/>
          <w:lang w:eastAsia="fr-FR"/>
        </w:rPr>
        <w:t xml:space="preserve">   </w:t>
      </w:r>
    </w:p>
    <w:p w:rsidR="00D41605" w:rsidRDefault="00D41605" w:rsidP="00D41605">
      <w:pPr>
        <w:pStyle w:val="Titre5"/>
        <w:spacing w:before="0" w:after="0"/>
        <w:ind w:left="641" w:hanging="357"/>
        <w:jc w:val="both"/>
        <w:rPr>
          <w:rFonts w:ascii="Times New Roman" w:hAnsi="Times New Roman"/>
          <w:color w:val="auto"/>
          <w:lang w:eastAsia="fr-FR"/>
        </w:rPr>
      </w:pPr>
    </w:p>
    <w:p w:rsidR="006A4EED" w:rsidRPr="00D41605" w:rsidRDefault="00D41605" w:rsidP="00D41605">
      <w:pPr>
        <w:pStyle w:val="Titre5"/>
        <w:spacing w:before="0" w:after="0"/>
        <w:ind w:left="641" w:hanging="357"/>
        <w:jc w:val="both"/>
        <w:rPr>
          <w:rFonts w:ascii="Times New Roman" w:hAnsi="Times New Roman"/>
          <w:color w:val="auto"/>
          <w:lang w:eastAsia="fr-FR"/>
        </w:rPr>
      </w:pPr>
      <w:bookmarkStart w:id="166" w:name="_Toc471484533"/>
      <w:r w:rsidRPr="00D41605">
        <w:rPr>
          <w:rFonts w:ascii="Times New Roman" w:hAnsi="Times New Roman"/>
          <w:color w:val="auto"/>
          <w:lang w:eastAsia="fr-FR"/>
        </w:rPr>
        <w:t>2.2.4. L’exploitation</w:t>
      </w:r>
      <w:r w:rsidR="006A4EED" w:rsidRPr="00D41605">
        <w:rPr>
          <w:rFonts w:ascii="Times New Roman" w:hAnsi="Times New Roman"/>
          <w:color w:val="auto"/>
          <w:lang w:eastAsia="fr-FR"/>
        </w:rPr>
        <w:t xml:space="preserve"> de la littérature orale</w:t>
      </w:r>
      <w:bookmarkEnd w:id="166"/>
    </w:p>
    <w:p w:rsidR="006A4EED" w:rsidRPr="003B00C8" w:rsidRDefault="006A4EED" w:rsidP="00D41605">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La littérature orale constituée essentiellement de contes et de poèmes populaires fournit à Kaki un matériau dramatique de première importance. Le récit s'inspire souvent de la légende populaire et puise dans la saga poétique orale ses images, ses paraboles et ses métaphores. Ainsi, les mots obéissent à une certaine musique interne et à un rythme précis.</w:t>
      </w:r>
    </w:p>
    <w:p w:rsidR="006A4EED" w:rsidRPr="00C46FB6" w:rsidRDefault="006A4EED" w:rsidP="00587201">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Cette légende populaire puise dans la tradition, m</w:t>
      </w:r>
      <w:r w:rsidR="00CF4238">
        <w:rPr>
          <w:rFonts w:ascii="Times New Roman" w:eastAsia="Times New Roman" w:hAnsi="Times New Roman"/>
          <w:sz w:val="24"/>
          <w:szCs w:val="24"/>
          <w:lang w:eastAsia="fr-FR"/>
        </w:rPr>
        <w:t>a</w:t>
      </w:r>
      <w:r w:rsidRPr="003B00C8">
        <w:rPr>
          <w:rFonts w:ascii="Times New Roman" w:eastAsia="Times New Roman" w:hAnsi="Times New Roman"/>
          <w:sz w:val="24"/>
          <w:szCs w:val="24"/>
          <w:lang w:eastAsia="fr-FR"/>
        </w:rPr>
        <w:t xml:space="preserve">is aussi dans des récits </w:t>
      </w:r>
      <w:r w:rsidR="00CF4238">
        <w:rPr>
          <w:rFonts w:ascii="Times New Roman" w:eastAsia="Times New Roman" w:hAnsi="Times New Roman"/>
          <w:sz w:val="24"/>
          <w:szCs w:val="24"/>
          <w:lang w:eastAsia="fr-FR"/>
        </w:rPr>
        <w:t>coraniques</w:t>
      </w:r>
      <w:r w:rsidR="00D41605">
        <w:rPr>
          <w:rFonts w:ascii="Times New Roman" w:eastAsia="Times New Roman" w:hAnsi="Times New Roman"/>
          <w:sz w:val="24"/>
          <w:szCs w:val="24"/>
          <w:lang w:eastAsia="fr-FR"/>
        </w:rPr>
        <w:t> :</w:t>
      </w:r>
      <w:r w:rsidRPr="003B00C8">
        <w:rPr>
          <w:rFonts w:ascii="Times New Roman" w:eastAsia="Times New Roman" w:hAnsi="Times New Roman"/>
          <w:sz w:val="24"/>
          <w:szCs w:val="24"/>
          <w:lang w:eastAsia="fr-FR"/>
        </w:rPr>
        <w:t xml:space="preserve"> </w:t>
      </w:r>
      <w:r w:rsidR="00587201">
        <w:rPr>
          <w:rFonts w:ascii="Times New Roman" w:eastAsia="Times New Roman" w:hAnsi="Times New Roman"/>
          <w:sz w:val="24"/>
          <w:szCs w:val="24"/>
          <w:lang w:eastAsia="fr-FR"/>
        </w:rPr>
        <w:tab/>
      </w:r>
    </w:p>
    <w:p w:rsidR="006A4EED" w:rsidRPr="00C46FB6" w:rsidRDefault="006A4EED" w:rsidP="00D41605">
      <w:pPr>
        <w:pStyle w:val="Citationintense"/>
        <w:spacing w:before="0" w:after="0"/>
        <w:ind w:left="567" w:right="0"/>
        <w:jc w:val="left"/>
        <w:rPr>
          <w:iCs w:val="0"/>
          <w:sz w:val="20"/>
          <w:szCs w:val="20"/>
        </w:rPr>
      </w:pPr>
      <w:r w:rsidRPr="00C46FB6">
        <w:rPr>
          <w:iCs w:val="0"/>
          <w:sz w:val="20"/>
          <w:szCs w:val="20"/>
        </w:rPr>
        <w:t>De l’eau ! De l’eau ! L’eau du Très-Haut !</w:t>
      </w:r>
      <w:r w:rsidRPr="00C46FB6">
        <w:rPr>
          <w:iCs w:val="0"/>
          <w:sz w:val="20"/>
          <w:szCs w:val="20"/>
        </w:rPr>
        <w:br/>
      </w:r>
      <w:proofErr w:type="gramStart"/>
      <w:r w:rsidRPr="00C46FB6">
        <w:rPr>
          <w:iCs w:val="0"/>
          <w:sz w:val="20"/>
          <w:szCs w:val="20"/>
        </w:rPr>
        <w:t>Tout droit</w:t>
      </w:r>
      <w:proofErr w:type="gramEnd"/>
      <w:r w:rsidRPr="00C46FB6">
        <w:rPr>
          <w:iCs w:val="0"/>
          <w:sz w:val="20"/>
          <w:szCs w:val="20"/>
        </w:rPr>
        <w:t xml:space="preserve"> sortie de la source de Sidi-Okbi !</w:t>
      </w:r>
    </w:p>
    <w:p w:rsidR="006A4EED" w:rsidRPr="00C46FB6" w:rsidRDefault="006A4EED" w:rsidP="00D41605">
      <w:pPr>
        <w:pStyle w:val="Citationintense"/>
        <w:spacing w:before="0" w:after="0"/>
        <w:ind w:left="567" w:right="0"/>
        <w:jc w:val="left"/>
        <w:rPr>
          <w:iCs w:val="0"/>
          <w:sz w:val="20"/>
          <w:szCs w:val="20"/>
        </w:rPr>
      </w:pPr>
      <w:r w:rsidRPr="00C46FB6">
        <w:rPr>
          <w:iCs w:val="0"/>
          <w:sz w:val="20"/>
          <w:szCs w:val="20"/>
        </w:rPr>
        <w:t xml:space="preserve">Dieu ne ferme une porte que pour en ouvrir dix … même si c’est des portes de prison. Les choses ont tourné à la catastrophe le jour de l’Aïd quand est né Saïd. Saïd était tout petit mais il est né le jour de l’Aïd El Kébir… </w:t>
      </w:r>
    </w:p>
    <w:p w:rsidR="006A4EED" w:rsidRPr="00C46FB6" w:rsidRDefault="006A4EED" w:rsidP="00D41605">
      <w:pPr>
        <w:pStyle w:val="Citationintense"/>
        <w:spacing w:before="0" w:after="0"/>
        <w:ind w:left="567" w:right="0"/>
        <w:jc w:val="left"/>
        <w:rPr>
          <w:iCs w:val="0"/>
          <w:sz w:val="20"/>
          <w:szCs w:val="20"/>
        </w:rPr>
      </w:pPr>
      <w:r w:rsidRPr="00C46FB6">
        <w:rPr>
          <w:iCs w:val="0"/>
          <w:sz w:val="20"/>
          <w:szCs w:val="20"/>
        </w:rPr>
        <w:t>Halima l’aveugle, qui possédait une chèvre et un bouc, a sacrifié le bouc …</w:t>
      </w:r>
    </w:p>
    <w:p w:rsidR="006A4EED" w:rsidRPr="00C46FB6" w:rsidRDefault="006A4EED" w:rsidP="00D41605">
      <w:pPr>
        <w:pStyle w:val="Citationintense"/>
        <w:spacing w:before="0" w:after="0"/>
        <w:ind w:left="567" w:right="0"/>
        <w:jc w:val="left"/>
        <w:rPr>
          <w:iCs w:val="0"/>
          <w:sz w:val="20"/>
          <w:szCs w:val="20"/>
        </w:rPr>
      </w:pPr>
      <w:r w:rsidRPr="00C46FB6">
        <w:rPr>
          <w:iCs w:val="0"/>
          <w:sz w:val="20"/>
          <w:szCs w:val="20"/>
        </w:rPr>
        <w:t>Elle a dit aux gens du village que le patriarche Abraham lui était apparu en songe et lui avait enjoint de sacrifier4 le bouc le jour de l’Aïd El Kébir …</w:t>
      </w:r>
    </w:p>
    <w:p w:rsidR="006A4EED" w:rsidRPr="00C46FB6" w:rsidRDefault="006A4EED" w:rsidP="00D41605">
      <w:pPr>
        <w:pStyle w:val="Citationintense"/>
        <w:spacing w:before="0" w:after="0"/>
        <w:ind w:left="567" w:right="0"/>
        <w:jc w:val="left"/>
      </w:pPr>
      <w:r w:rsidRPr="00C46FB6">
        <w:rPr>
          <w:iCs w:val="0"/>
          <w:sz w:val="20"/>
          <w:szCs w:val="20"/>
        </w:rPr>
        <w:t>Elle s’est exécutée … J’ai tenté ma chance …Peut-être pourrais-je distraire un morceau de bouc, m'étais-je dit</w:t>
      </w:r>
      <w:r w:rsidRPr="00C46FB6">
        <w:rPr>
          <w:sz w:val="20"/>
          <w:szCs w:val="20"/>
        </w:rPr>
        <w:t xml:space="preserve"> </w:t>
      </w:r>
      <w:r w:rsidR="00C46FB6" w:rsidRPr="00C46FB6">
        <w:rPr>
          <w:sz w:val="20"/>
          <w:szCs w:val="20"/>
        </w:rPr>
        <w:t xml:space="preserve">  </w:t>
      </w:r>
      <w:r w:rsidR="00C46FB6" w:rsidRPr="00C46FB6">
        <w:rPr>
          <w:iCs w:val="0"/>
          <w:sz w:val="20"/>
          <w:szCs w:val="20"/>
          <w:lang w:eastAsia="fr-FR"/>
        </w:rPr>
        <w:t>(</w:t>
      </w:r>
      <w:r w:rsidR="00D41605">
        <w:rPr>
          <w:i/>
          <w:sz w:val="20"/>
          <w:szCs w:val="20"/>
          <w:lang w:eastAsia="fr-FR"/>
        </w:rPr>
        <w:t xml:space="preserve">Ibid, </w:t>
      </w:r>
      <w:r w:rsidR="00C46FB6" w:rsidRPr="00C46FB6">
        <w:rPr>
          <w:iCs w:val="0"/>
          <w:sz w:val="20"/>
          <w:szCs w:val="20"/>
          <w:lang w:eastAsia="fr-FR"/>
        </w:rPr>
        <w:t>p.11)</w:t>
      </w:r>
      <w:r w:rsidR="00D41605">
        <w:rPr>
          <w:iCs w:val="0"/>
          <w:sz w:val="20"/>
          <w:szCs w:val="20"/>
          <w:lang w:eastAsia="fr-FR"/>
        </w:rPr>
        <w:t>.</w:t>
      </w:r>
      <w:r w:rsidR="00C46FB6" w:rsidRPr="00C46FB6">
        <w:rPr>
          <w:iCs w:val="0"/>
          <w:sz w:val="20"/>
          <w:szCs w:val="20"/>
          <w:lang w:eastAsia="fr-FR"/>
        </w:rPr>
        <w:t xml:space="preserve">   </w:t>
      </w:r>
    </w:p>
    <w:p w:rsidR="006A4EED" w:rsidRPr="00D41605" w:rsidRDefault="00D41605" w:rsidP="00D41605">
      <w:pPr>
        <w:pStyle w:val="Titre5"/>
        <w:spacing w:before="0" w:after="0"/>
        <w:ind w:left="641" w:hanging="357"/>
        <w:jc w:val="both"/>
        <w:rPr>
          <w:rFonts w:ascii="Times New Roman" w:hAnsi="Times New Roman"/>
          <w:color w:val="auto"/>
          <w:lang w:eastAsia="fr-FR"/>
        </w:rPr>
      </w:pPr>
      <w:bookmarkStart w:id="167" w:name="_Toc471484534"/>
      <w:r w:rsidRPr="00D41605">
        <w:rPr>
          <w:rFonts w:ascii="Times New Roman" w:hAnsi="Times New Roman"/>
          <w:color w:val="auto"/>
          <w:lang w:eastAsia="fr-FR"/>
        </w:rPr>
        <w:lastRenderedPageBreak/>
        <w:t>2.2.5.</w:t>
      </w:r>
      <w:r>
        <w:rPr>
          <w:rFonts w:ascii="Times New Roman" w:hAnsi="Times New Roman"/>
          <w:color w:val="auto"/>
          <w:lang w:eastAsia="fr-FR"/>
        </w:rPr>
        <w:t xml:space="preserve"> </w:t>
      </w:r>
      <w:r w:rsidR="006A4EED" w:rsidRPr="00D41605">
        <w:rPr>
          <w:rFonts w:ascii="Times New Roman" w:hAnsi="Times New Roman"/>
          <w:color w:val="auto"/>
          <w:lang w:eastAsia="fr-FR"/>
        </w:rPr>
        <w:t>Célébration du conteur, des images et de  la voix</w:t>
      </w:r>
      <w:bookmarkEnd w:id="167"/>
    </w:p>
    <w:p w:rsidR="006A4EED" w:rsidRPr="003B00C8" w:rsidRDefault="006A4EED" w:rsidP="00D41605">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Une pièce de théâtre, c’est pour Kaki, une mise en espace de la voix et du corps à travers la prose rimée, la poésie, le chant et les percussions, le tout réglé par le maître de céans, le grand ordonnateur de ce spectacle total, régisseur avisé de la parole et du rythme de la déclamation, le conteur. Finalement, la structure de ses pièces obéit à double logique narrative : la forme circulaire du conte et la structure théâtrale.</w:t>
      </w:r>
    </w:p>
    <w:p w:rsidR="006A4EED" w:rsidRPr="003B00C8" w:rsidRDefault="006A4EED" w:rsidP="006A4EED">
      <w:pPr>
        <w:rPr>
          <w:rFonts w:ascii="Times New Roman" w:hAnsi="Times New Roman"/>
          <w:lang w:eastAsia="fr-FR"/>
        </w:rPr>
      </w:pPr>
    </w:p>
    <w:p w:rsidR="006A4EED" w:rsidRPr="00D41605" w:rsidRDefault="00D41605" w:rsidP="00D41605">
      <w:pPr>
        <w:pStyle w:val="Titre5"/>
        <w:spacing w:before="0" w:after="0"/>
        <w:ind w:left="641" w:hanging="357"/>
        <w:jc w:val="both"/>
        <w:rPr>
          <w:rFonts w:ascii="Times New Roman" w:hAnsi="Times New Roman"/>
          <w:color w:val="auto"/>
          <w:lang w:eastAsia="fr-FR"/>
        </w:rPr>
      </w:pPr>
      <w:bookmarkStart w:id="168" w:name="_Toc471484535"/>
      <w:r w:rsidRPr="00D41605">
        <w:rPr>
          <w:rFonts w:ascii="Times New Roman" w:hAnsi="Times New Roman"/>
          <w:color w:val="auto"/>
          <w:lang w:eastAsia="fr-FR"/>
        </w:rPr>
        <w:t>2.2.6. La</w:t>
      </w:r>
      <w:r w:rsidR="006A4EED" w:rsidRPr="00D41605">
        <w:rPr>
          <w:rFonts w:ascii="Times New Roman" w:hAnsi="Times New Roman"/>
          <w:color w:val="auto"/>
          <w:lang w:eastAsia="fr-FR"/>
        </w:rPr>
        <w:t xml:space="preserve"> fonction du rire et du plaisir</w:t>
      </w:r>
      <w:bookmarkEnd w:id="168"/>
    </w:p>
    <w:p w:rsidR="006A4EED" w:rsidRPr="003B00C8" w:rsidRDefault="006A4EED" w:rsidP="00D41605">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Tout au long de cette thèse nous avons tenu à insister sur le fait qu’à côté de l'usage des formes dramatiques populaires, Kaki recourt à des techniques empruntées à différents types de théâtre : tragédie grecque, comédie de Plaute, Artaud, Absurde et Brecht etc. </w:t>
      </w:r>
    </w:p>
    <w:p w:rsidR="006A4EED" w:rsidRPr="003B00C8" w:rsidRDefault="006A4EED" w:rsidP="00D41605">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Mais le théâtre en particulier a pour but de divertir. Pour la conception brechtienne, c’est apprendre en se divertissant (théâtre didactique). </w:t>
      </w:r>
    </w:p>
    <w:p w:rsidR="006A4EED" w:rsidRPr="00C46FB6" w:rsidRDefault="006A4EED" w:rsidP="00D41605">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C46FB6">
        <w:rPr>
          <w:rFonts w:ascii="Times New Roman" w:eastAsia="Times New Roman" w:hAnsi="Times New Roman"/>
          <w:sz w:val="24"/>
          <w:szCs w:val="24"/>
          <w:lang w:eastAsia="fr-FR"/>
        </w:rPr>
        <w:t>Il convient d’intégrer et donner toute sa résonance à cette fonction dans les analyses de la pièce de Kaki</w:t>
      </w:r>
    </w:p>
    <w:p w:rsidR="006A4EED" w:rsidRPr="003B00C8" w:rsidRDefault="006A4EED" w:rsidP="00D41605">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Divertir, c'est donner du rire, du plaisir, de « la jouissance », pour reprendre parler </w:t>
      </w:r>
      <w:r w:rsidRPr="00C46FB6">
        <w:rPr>
          <w:rFonts w:ascii="Times New Roman" w:eastAsia="Times New Roman" w:hAnsi="Times New Roman"/>
          <w:sz w:val="24"/>
          <w:szCs w:val="24"/>
          <w:lang w:eastAsia="fr-FR"/>
        </w:rPr>
        <w:t>comme B. Brecht qui voyait dans  les récits de théâtre des « </w:t>
      </w:r>
      <w:r w:rsidRPr="00C46FB6">
        <w:rPr>
          <w:rFonts w:ascii="Times New Roman" w:eastAsia="Times New Roman" w:hAnsi="Times New Roman"/>
          <w:iCs/>
          <w:sz w:val="24"/>
          <w:szCs w:val="24"/>
          <w:lang w:eastAsia="fr-FR"/>
        </w:rPr>
        <w:t>reproductions vivantes d’événements, rapportés ou inventés qui se produisent entre des hommes, et ce aux fins de divertir </w:t>
      </w:r>
      <w:r w:rsidRPr="00C46FB6">
        <w:rPr>
          <w:rFonts w:ascii="Times New Roman" w:eastAsia="Times New Roman" w:hAnsi="Times New Roman"/>
          <w:sz w:val="24"/>
          <w:szCs w:val="24"/>
          <w:lang w:eastAsia="fr-FR"/>
        </w:rPr>
        <w:t>»</w:t>
      </w:r>
      <w:r w:rsidRPr="00C46FB6">
        <w:rPr>
          <w:rFonts w:ascii="Times New Roman" w:eastAsia="Times New Roman" w:hAnsi="Times New Roman"/>
          <w:sz w:val="24"/>
          <w:szCs w:val="24"/>
          <w:vertAlign w:val="superscript"/>
          <w:lang w:eastAsia="fr-FR"/>
        </w:rPr>
        <w:footnoteReference w:id="281"/>
      </w:r>
      <w:r w:rsidRPr="00C46FB6">
        <w:rPr>
          <w:rFonts w:ascii="Times New Roman" w:eastAsia="Times New Roman" w:hAnsi="Times New Roman"/>
          <w:sz w:val="24"/>
          <w:szCs w:val="24"/>
          <w:lang w:eastAsia="fr-FR"/>
        </w:rPr>
        <w:t xml:space="preserve"> .</w:t>
      </w:r>
    </w:p>
    <w:p w:rsidR="006A4EED" w:rsidRPr="003B00C8" w:rsidRDefault="006A4EED" w:rsidP="00873DA6">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La pièce de Kaki toute entière ne se détache presque jamais des émotions du plaisir et du rire, à travers tout un système de signes, qui préservent ce plaisir théâtral tout au long de la pièce. Un plaisir théâtral présent, éparpillé sur scène dans sa largeur et dans sa profondeur. Le rire est parfois camouflé, mais jamais absent. Et avec le théâtre, à la différence de la lecture, le plaisir et le rire ne sont pas solitaires. Comme une traînée de poudre, </w:t>
      </w:r>
      <w:r w:rsidR="00CF4238" w:rsidRPr="003B00C8">
        <w:rPr>
          <w:rFonts w:ascii="Times New Roman" w:eastAsia="Times New Roman" w:hAnsi="Times New Roman"/>
          <w:sz w:val="24"/>
          <w:szCs w:val="24"/>
          <w:lang w:eastAsia="fr-FR"/>
        </w:rPr>
        <w:t>ils se propagent</w:t>
      </w:r>
      <w:r w:rsidRPr="003B00C8">
        <w:rPr>
          <w:rFonts w:ascii="Times New Roman" w:eastAsia="Times New Roman" w:hAnsi="Times New Roman"/>
          <w:sz w:val="24"/>
          <w:szCs w:val="24"/>
          <w:lang w:eastAsia="fr-FR"/>
        </w:rPr>
        <w:t xml:space="preserve"> à la manière d’une onde qui envahit les spectateurs. Et ca se voit, ca se vit ! </w:t>
      </w:r>
    </w:p>
    <w:p w:rsidR="006A4EED" w:rsidRPr="003B00C8" w:rsidRDefault="006A4EED" w:rsidP="00873DA6">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Le plaisir théâtral offert par Kaki dans sa pièce est multiforme. Il est même composé d’éléments contradictoires : plaisir de rire / Vs / plaisir de pleurer ; plaisir d’aimer certains personnages / Vs / plaisir d’haïr d’autres ;  plaisir d’imaginer </w:t>
      </w:r>
      <w:r w:rsidRPr="003B00C8">
        <w:rPr>
          <w:rFonts w:ascii="Times New Roman" w:eastAsia="Times New Roman" w:hAnsi="Times New Roman"/>
          <w:sz w:val="24"/>
          <w:szCs w:val="24"/>
          <w:lang w:eastAsia="fr-FR"/>
        </w:rPr>
        <w:lastRenderedPageBreak/>
        <w:t>l’absent / Vs / plaisir de contempler un réel scénique, concret et se composant parfois d’objets anodins.</w:t>
      </w:r>
    </w:p>
    <w:p w:rsidR="006A4EED" w:rsidRDefault="006A4EED" w:rsidP="00873DA6">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Le plaisir est aussi multiple par ses sources. La représentation de Kaki est pleine de signes visuels, linguistiques et acoustiques, les spectateurs prennent du plaisir où ils le trouvent, selon leurs volontés et leurs où leurs penchants</w:t>
      </w:r>
      <w:r w:rsidR="00873DA6">
        <w:rPr>
          <w:rFonts w:ascii="Times New Roman" w:eastAsia="Times New Roman" w:hAnsi="Times New Roman"/>
          <w:sz w:val="24"/>
          <w:szCs w:val="24"/>
          <w:lang w:eastAsia="fr-FR"/>
        </w:rPr>
        <w:t>.</w:t>
      </w:r>
      <w:r w:rsidRPr="003B00C8">
        <w:rPr>
          <w:rFonts w:ascii="Times New Roman" w:eastAsia="Times New Roman" w:hAnsi="Times New Roman"/>
          <w:sz w:val="24"/>
          <w:szCs w:val="24"/>
          <w:lang w:eastAsia="fr-FR"/>
        </w:rPr>
        <w:t xml:space="preserve"> </w:t>
      </w:r>
    </w:p>
    <w:p w:rsidR="006A4EED" w:rsidRPr="00503F6F" w:rsidRDefault="00503F6F" w:rsidP="00503F6F">
      <w:pPr>
        <w:pStyle w:val="Titre5"/>
        <w:spacing w:before="0" w:after="0"/>
        <w:ind w:left="641" w:hanging="357"/>
        <w:jc w:val="both"/>
        <w:rPr>
          <w:rFonts w:ascii="Times New Roman" w:hAnsi="Times New Roman"/>
          <w:color w:val="auto"/>
          <w:lang w:eastAsia="fr-FR"/>
        </w:rPr>
      </w:pPr>
      <w:bookmarkStart w:id="169" w:name="_Toc471484536"/>
      <w:r w:rsidRPr="00503F6F">
        <w:rPr>
          <w:rFonts w:ascii="Times New Roman" w:hAnsi="Times New Roman"/>
          <w:color w:val="auto"/>
          <w:lang w:eastAsia="fr-FR"/>
        </w:rPr>
        <w:t>2.2.7. Exploitation</w:t>
      </w:r>
      <w:r w:rsidR="006A4EED" w:rsidRPr="00503F6F">
        <w:rPr>
          <w:rFonts w:ascii="Times New Roman" w:hAnsi="Times New Roman"/>
          <w:color w:val="auto"/>
          <w:lang w:eastAsia="fr-FR"/>
        </w:rPr>
        <w:t xml:space="preserve"> d’une  structure dramatique hybride</w:t>
      </w:r>
      <w:bookmarkEnd w:id="169"/>
      <w:r w:rsidR="006A4EED" w:rsidRPr="00503F6F">
        <w:rPr>
          <w:rFonts w:ascii="Times New Roman" w:hAnsi="Times New Roman"/>
          <w:color w:val="auto"/>
          <w:lang w:eastAsia="fr-FR"/>
        </w:rPr>
        <w:t> </w:t>
      </w:r>
    </w:p>
    <w:p w:rsidR="006A4EED" w:rsidRPr="003B00C8" w:rsidRDefault="006A4EED" w:rsidP="00503F6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Force est de noter, déjà, que Kaki réussit à «marier» trois structures dramatiques, apparemment éloignées l'une de l'autre : formes populaires, Eschyle et Brecht. C'est un théâtre «syncrétique» paradoxal associant deux entités dramatiques différentes. </w:t>
      </w:r>
    </w:p>
    <w:p w:rsidR="006A4EED" w:rsidRPr="003B00C8" w:rsidRDefault="006A4EED" w:rsidP="00503F6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Par ailleurs, il faut dire qu’à côté de l'usage des formes dramatiques populaires, l'auteur recourt à des techniques empruntées à différents types de théâtre : tragédie grecque, la comédie de Plaute, Molière, drame élisabéthain, Artaud, Absurde et Brecht. Son texte est en quelque sorte un lieu où se retrouvent agencés plusieurs procédés dramatiques qui donnent au discours une dimension plurielle.</w:t>
      </w:r>
    </w:p>
    <w:p w:rsidR="006A4EED" w:rsidRDefault="006A4EED" w:rsidP="00503F6F">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Enfin, ce qui caractérise Kaki, c'est sa maîtrise de l'écriture dramatique et sa capacité de regrouper ensemble plusieurs expériences dramatiques souvent considérées comme incompatibles. La forme se révèle ouverte, se compose et se recompose pour produire une structure «syncrétique».</w:t>
      </w:r>
    </w:p>
    <w:p w:rsidR="00CF4238" w:rsidRPr="003B00C8" w:rsidRDefault="00CF4238" w:rsidP="006A4EED">
      <w:pPr>
        <w:autoSpaceDE w:val="0"/>
        <w:autoSpaceDN w:val="0"/>
        <w:adjustRightInd w:val="0"/>
        <w:spacing w:after="0" w:line="360" w:lineRule="auto"/>
        <w:ind w:firstLine="708"/>
        <w:jc w:val="both"/>
        <w:rPr>
          <w:rFonts w:ascii="Times New Roman" w:eastAsia="Times New Roman" w:hAnsi="Times New Roman"/>
          <w:sz w:val="24"/>
          <w:szCs w:val="24"/>
          <w:lang w:eastAsia="fr-FR"/>
        </w:rPr>
      </w:pPr>
    </w:p>
    <w:p w:rsidR="006A4EED" w:rsidRPr="00503F6F" w:rsidRDefault="00306223" w:rsidP="00503F6F">
      <w:pPr>
        <w:pStyle w:val="Titre3"/>
        <w:spacing w:before="0" w:after="0" w:line="360" w:lineRule="auto"/>
        <w:ind w:left="641" w:hanging="357"/>
        <w:jc w:val="both"/>
        <w:rPr>
          <w:rFonts w:ascii="Times New Roman" w:hAnsi="Times New Roman" w:cs="Times New Roman"/>
          <w:sz w:val="24"/>
          <w:szCs w:val="24"/>
        </w:rPr>
      </w:pPr>
      <w:bookmarkStart w:id="170" w:name="_Toc471484537"/>
      <w:r w:rsidRPr="00503F6F">
        <w:rPr>
          <w:rFonts w:ascii="Times New Roman" w:hAnsi="Times New Roman" w:cs="Times New Roman"/>
          <w:sz w:val="24"/>
          <w:szCs w:val="24"/>
        </w:rPr>
        <w:t>3. Sémiotique</w:t>
      </w:r>
      <w:r w:rsidR="006A4EED" w:rsidRPr="00503F6F">
        <w:rPr>
          <w:rFonts w:ascii="Times New Roman" w:hAnsi="Times New Roman" w:cs="Times New Roman"/>
          <w:sz w:val="24"/>
          <w:szCs w:val="24"/>
        </w:rPr>
        <w:t xml:space="preserve"> </w:t>
      </w:r>
      <w:r w:rsidR="00B3341E" w:rsidRPr="00503F6F">
        <w:rPr>
          <w:rFonts w:ascii="Times New Roman" w:hAnsi="Times New Roman" w:cs="Times New Roman"/>
          <w:sz w:val="24"/>
          <w:szCs w:val="24"/>
        </w:rPr>
        <w:t xml:space="preserve">du discours </w:t>
      </w:r>
      <w:r w:rsidR="00E74413" w:rsidRPr="00503F6F">
        <w:rPr>
          <w:rFonts w:ascii="Times New Roman" w:hAnsi="Times New Roman" w:cs="Times New Roman"/>
          <w:sz w:val="24"/>
          <w:szCs w:val="24"/>
        </w:rPr>
        <w:t>dans l’œuvre de</w:t>
      </w:r>
      <w:r w:rsidR="006A4EED" w:rsidRPr="00503F6F">
        <w:rPr>
          <w:rFonts w:ascii="Times New Roman" w:hAnsi="Times New Roman" w:cs="Times New Roman"/>
          <w:sz w:val="24"/>
          <w:szCs w:val="24"/>
        </w:rPr>
        <w:t xml:space="preserve"> Ghelderode</w:t>
      </w:r>
      <w:bookmarkEnd w:id="170"/>
    </w:p>
    <w:p w:rsidR="006A4EED" w:rsidRPr="004F5262" w:rsidRDefault="00306223" w:rsidP="00306223">
      <w:pPr>
        <w:pStyle w:val="Titre4"/>
        <w:spacing w:before="0" w:after="0" w:line="360" w:lineRule="auto"/>
        <w:ind w:left="641" w:hanging="357"/>
        <w:jc w:val="both"/>
        <w:rPr>
          <w:rFonts w:ascii="Times New Roman" w:hAnsi="Times New Roman"/>
          <w:i w:val="0"/>
          <w:iCs/>
          <w:lang w:eastAsia="fr-FR"/>
        </w:rPr>
      </w:pPr>
      <w:bookmarkStart w:id="171" w:name="_Toc471484538"/>
      <w:r>
        <w:rPr>
          <w:rFonts w:ascii="Times New Roman" w:hAnsi="Times New Roman"/>
          <w:i w:val="0"/>
          <w:iCs/>
          <w:lang w:eastAsia="fr-FR"/>
        </w:rPr>
        <w:t>3.1.</w:t>
      </w:r>
      <w:r w:rsidRPr="004F5262">
        <w:rPr>
          <w:rFonts w:ascii="Times New Roman" w:hAnsi="Times New Roman"/>
          <w:i w:val="0"/>
          <w:iCs/>
          <w:lang w:eastAsia="fr-FR"/>
        </w:rPr>
        <w:t xml:space="preserve"> Contexte</w:t>
      </w:r>
      <w:r w:rsidR="00E74413" w:rsidRPr="004F5262">
        <w:rPr>
          <w:rFonts w:ascii="Times New Roman" w:hAnsi="Times New Roman"/>
          <w:i w:val="0"/>
          <w:iCs/>
          <w:lang w:eastAsia="fr-FR"/>
        </w:rPr>
        <w:t xml:space="preserve"> et enjeux de l’analyse sémiotique de la pièce </w:t>
      </w:r>
      <w:r w:rsidR="006A4EED" w:rsidRPr="004F5262">
        <w:rPr>
          <w:rFonts w:ascii="Times New Roman" w:hAnsi="Times New Roman"/>
          <w:i w:val="0"/>
          <w:iCs/>
          <w:lang w:eastAsia="fr-FR"/>
        </w:rPr>
        <w:t>Ghelderode</w:t>
      </w:r>
      <w:bookmarkEnd w:id="171"/>
    </w:p>
    <w:p w:rsidR="00CF4238" w:rsidRPr="00CF4238" w:rsidRDefault="00CF4238" w:rsidP="006A4EED">
      <w:pPr>
        <w:autoSpaceDE w:val="0"/>
        <w:autoSpaceDN w:val="0"/>
        <w:adjustRightInd w:val="0"/>
        <w:spacing w:after="0" w:line="360" w:lineRule="auto"/>
        <w:jc w:val="both"/>
        <w:rPr>
          <w:rFonts w:ascii="Times New Roman" w:eastAsia="Times New Roman" w:hAnsi="Times New Roman"/>
          <w:sz w:val="10"/>
          <w:szCs w:val="10"/>
          <w:lang w:eastAsia="fr-FR"/>
        </w:rPr>
      </w:pPr>
    </w:p>
    <w:p w:rsidR="00C46FB6" w:rsidRDefault="006A4EED" w:rsidP="00306223">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Paul N</w:t>
      </w:r>
      <w:r w:rsidR="00306223">
        <w:rPr>
          <w:rFonts w:ascii="Times New Roman" w:eastAsia="Times New Roman" w:hAnsi="Times New Roman"/>
          <w:sz w:val="24"/>
          <w:szCs w:val="24"/>
          <w:lang w:eastAsia="fr-FR"/>
        </w:rPr>
        <w:t>euhuys</w:t>
      </w:r>
      <w:r w:rsidRPr="003B00C8">
        <w:rPr>
          <w:rFonts w:ascii="Times New Roman" w:eastAsia="Times New Roman" w:hAnsi="Times New Roman"/>
          <w:sz w:val="24"/>
          <w:szCs w:val="24"/>
          <w:lang w:eastAsia="fr-FR"/>
        </w:rPr>
        <w:t xml:space="preserve"> après avoir assisté, en mars 1929, à la représentation de </w:t>
      </w:r>
      <w:r w:rsidRPr="003B00C8">
        <w:rPr>
          <w:rFonts w:ascii="Times New Roman" w:eastAsia="Times New Roman" w:hAnsi="Times New Roman"/>
          <w:i/>
          <w:iCs/>
          <w:sz w:val="24"/>
          <w:szCs w:val="24"/>
          <w:lang w:eastAsia="fr-FR"/>
        </w:rPr>
        <w:t>Barabbas</w:t>
      </w:r>
      <w:r w:rsidRPr="003B00C8">
        <w:rPr>
          <w:rFonts w:ascii="Times New Roman" w:eastAsia="Times New Roman" w:hAnsi="Times New Roman"/>
          <w:sz w:val="24"/>
          <w:szCs w:val="24"/>
          <w:lang w:eastAsia="fr-FR"/>
        </w:rPr>
        <w:t xml:space="preserve"> par le Vlaamsche V</w:t>
      </w:r>
      <w:r w:rsidR="00306223">
        <w:rPr>
          <w:rFonts w:ascii="Times New Roman" w:eastAsia="Times New Roman" w:hAnsi="Times New Roman"/>
          <w:sz w:val="24"/>
          <w:szCs w:val="24"/>
          <w:lang w:eastAsia="fr-FR"/>
        </w:rPr>
        <w:t>olkstooneel</w:t>
      </w:r>
      <w:r w:rsidRPr="003B00C8">
        <w:rPr>
          <w:rFonts w:ascii="Times New Roman" w:eastAsia="Times New Roman" w:hAnsi="Times New Roman"/>
          <w:sz w:val="24"/>
          <w:szCs w:val="24"/>
          <w:lang w:eastAsia="fr-FR"/>
        </w:rPr>
        <w:t xml:space="preserve"> y consacre sa « Lettre d'Anvers » dans </w:t>
      </w:r>
      <w:r w:rsidRPr="003B00C8">
        <w:rPr>
          <w:rFonts w:ascii="Times New Roman" w:eastAsia="Times New Roman" w:hAnsi="Times New Roman"/>
          <w:i/>
          <w:iCs/>
          <w:sz w:val="24"/>
          <w:szCs w:val="24"/>
          <w:lang w:eastAsia="fr-FR"/>
        </w:rPr>
        <w:t>La Renaissance d'Occident</w:t>
      </w:r>
      <w:r w:rsidRPr="003B00C8">
        <w:rPr>
          <w:rFonts w:ascii="Times New Roman" w:eastAsia="Times New Roman" w:hAnsi="Times New Roman"/>
          <w:sz w:val="24"/>
          <w:szCs w:val="24"/>
          <w:lang w:eastAsia="fr-FR"/>
        </w:rPr>
        <w:t xml:space="preserve">. Neuhuys souligne à cette occasion le caractère visuel du théâtre de Ghelderode, décrit comme un </w:t>
      </w:r>
    </w:p>
    <w:p w:rsidR="006A4EED" w:rsidRPr="00306223" w:rsidRDefault="006A4EED" w:rsidP="00306223">
      <w:pPr>
        <w:pStyle w:val="Citationintense"/>
        <w:spacing w:before="0" w:after="0"/>
        <w:ind w:left="567" w:right="0"/>
        <w:rPr>
          <w:sz w:val="20"/>
          <w:szCs w:val="20"/>
          <w:lang w:eastAsia="fr-FR"/>
        </w:rPr>
      </w:pPr>
      <w:r w:rsidRPr="00306223">
        <w:rPr>
          <w:rFonts w:eastAsia="Times New Roman"/>
          <w:sz w:val="20"/>
          <w:szCs w:val="20"/>
          <w:lang w:eastAsia="fr-FR"/>
        </w:rPr>
        <w:t>« </w:t>
      </w:r>
      <w:proofErr w:type="gramStart"/>
      <w:r w:rsidRPr="00306223">
        <w:rPr>
          <w:rFonts w:eastAsia="Times New Roman"/>
          <w:sz w:val="20"/>
          <w:szCs w:val="20"/>
          <w:lang w:eastAsia="fr-FR"/>
        </w:rPr>
        <w:t>théâtre</w:t>
      </w:r>
      <w:proofErr w:type="gramEnd"/>
      <w:r w:rsidRPr="00306223">
        <w:rPr>
          <w:rFonts w:eastAsia="Times New Roman"/>
          <w:sz w:val="20"/>
          <w:szCs w:val="20"/>
          <w:lang w:eastAsia="fr-FR"/>
        </w:rPr>
        <w:t xml:space="preserve"> populaire » qui </w:t>
      </w:r>
      <w:r w:rsidR="00CF4238" w:rsidRPr="00306223">
        <w:rPr>
          <w:rFonts w:eastAsia="Times New Roman"/>
          <w:sz w:val="20"/>
          <w:szCs w:val="20"/>
          <w:lang w:eastAsia="fr-FR"/>
        </w:rPr>
        <w:t xml:space="preserve">: </w:t>
      </w:r>
      <w:r w:rsidR="00CF4238" w:rsidRPr="00306223">
        <w:rPr>
          <w:sz w:val="20"/>
          <w:szCs w:val="20"/>
          <w:lang w:eastAsia="fr-FR"/>
        </w:rPr>
        <w:t>«</w:t>
      </w:r>
      <w:r w:rsidRPr="00306223">
        <w:rPr>
          <w:sz w:val="20"/>
          <w:szCs w:val="20"/>
          <w:lang w:eastAsia="fr-FR"/>
        </w:rPr>
        <w:t> par son outrance même […] acquiert un caractère proprement religieux »</w:t>
      </w:r>
      <w:r w:rsidR="00CF4238" w:rsidRPr="00306223">
        <w:rPr>
          <w:sz w:val="20"/>
          <w:szCs w:val="20"/>
          <w:lang w:eastAsia="fr-FR"/>
        </w:rPr>
        <w:t xml:space="preserve"> </w:t>
      </w:r>
      <w:r w:rsidRPr="00306223">
        <w:rPr>
          <w:sz w:val="20"/>
          <w:szCs w:val="20"/>
          <w:lang w:eastAsia="fr-FR"/>
        </w:rPr>
        <w:t>et qui « par sa truculente actualité […] rappelle la grande tradition, les mystères du moyen âge […] où la farce se mêlait au lyrisme »</w:t>
      </w:r>
      <w:r w:rsidRPr="00306223">
        <w:rPr>
          <w:rStyle w:val="Appelnotedebasdep"/>
          <w:sz w:val="20"/>
          <w:szCs w:val="20"/>
          <w:lang w:eastAsia="fr-FR"/>
        </w:rPr>
        <w:footnoteReference w:id="282"/>
      </w:r>
    </w:p>
    <w:p w:rsidR="006A4EED" w:rsidRPr="003B00C8" w:rsidRDefault="006A4EED" w:rsidP="006A4EED">
      <w:pPr>
        <w:autoSpaceDE w:val="0"/>
        <w:autoSpaceDN w:val="0"/>
        <w:adjustRightInd w:val="0"/>
        <w:spacing w:after="0" w:line="360" w:lineRule="auto"/>
        <w:jc w:val="both"/>
        <w:rPr>
          <w:rFonts w:ascii="Times New Roman" w:eastAsia="Times New Roman" w:hAnsi="Times New Roman"/>
          <w:sz w:val="24"/>
          <w:szCs w:val="24"/>
          <w:lang w:eastAsia="fr-FR"/>
        </w:rPr>
      </w:pPr>
    </w:p>
    <w:p w:rsidR="006A4EED" w:rsidRPr="003B00C8" w:rsidRDefault="006A4EED" w:rsidP="00306223">
      <w:pPr>
        <w:autoSpaceDE w:val="0"/>
        <w:autoSpaceDN w:val="0"/>
        <w:adjustRightInd w:val="0"/>
        <w:spacing w:after="0" w:line="360" w:lineRule="auto"/>
        <w:ind w:firstLine="284"/>
        <w:jc w:val="both"/>
        <w:rPr>
          <w:rFonts w:ascii="Times New Roman" w:eastAsia="Times New Roman" w:hAnsi="Times New Roman"/>
          <w:sz w:val="24"/>
          <w:szCs w:val="24"/>
          <w:lang w:eastAsia="fr-FR"/>
        </w:rPr>
      </w:pPr>
      <w:r w:rsidRPr="00306223">
        <w:rPr>
          <w:rFonts w:ascii="Times New Roman" w:eastAsia="Times New Roman" w:hAnsi="Times New Roman"/>
          <w:sz w:val="24"/>
          <w:szCs w:val="24"/>
          <w:lang w:eastAsia="fr-FR"/>
        </w:rPr>
        <w:t>Roland B</w:t>
      </w:r>
      <w:r w:rsidR="00306223" w:rsidRPr="00306223">
        <w:rPr>
          <w:rFonts w:ascii="Times New Roman" w:eastAsia="Times New Roman" w:hAnsi="Times New Roman"/>
          <w:sz w:val="24"/>
          <w:szCs w:val="24"/>
          <w:lang w:eastAsia="fr-FR"/>
        </w:rPr>
        <w:t>eyen</w:t>
      </w:r>
      <w:r w:rsidRPr="00306223">
        <w:rPr>
          <w:rFonts w:ascii="Times New Roman" w:eastAsia="Times New Roman" w:hAnsi="Times New Roman"/>
          <w:sz w:val="24"/>
          <w:szCs w:val="24"/>
          <w:lang w:eastAsia="fr-FR"/>
        </w:rPr>
        <w:t xml:space="preserve"> qui connait bien Ghelderode rappelle d’ailleurs qu’à cette époque l’auteur de </w:t>
      </w:r>
      <w:r w:rsidR="00CF4238" w:rsidRPr="00306223">
        <w:rPr>
          <w:rFonts w:ascii="Times New Roman" w:eastAsia="Times New Roman" w:hAnsi="Times New Roman"/>
          <w:i/>
          <w:sz w:val="24"/>
          <w:szCs w:val="24"/>
          <w:lang w:eastAsia="fr-FR"/>
        </w:rPr>
        <w:t>Ba</w:t>
      </w:r>
      <w:r w:rsidRPr="00306223">
        <w:rPr>
          <w:rFonts w:ascii="Times New Roman" w:eastAsia="Times New Roman" w:hAnsi="Times New Roman"/>
          <w:i/>
          <w:sz w:val="24"/>
          <w:szCs w:val="24"/>
          <w:lang w:eastAsia="fr-FR"/>
        </w:rPr>
        <w:t>ra</w:t>
      </w:r>
      <w:r w:rsidR="00CF4238" w:rsidRPr="00306223">
        <w:rPr>
          <w:rFonts w:ascii="Times New Roman" w:eastAsia="Times New Roman" w:hAnsi="Times New Roman"/>
          <w:i/>
          <w:sz w:val="24"/>
          <w:szCs w:val="24"/>
          <w:lang w:eastAsia="fr-FR"/>
        </w:rPr>
        <w:t>b</w:t>
      </w:r>
      <w:r w:rsidRPr="00306223">
        <w:rPr>
          <w:rFonts w:ascii="Times New Roman" w:eastAsia="Times New Roman" w:hAnsi="Times New Roman"/>
          <w:i/>
          <w:sz w:val="24"/>
          <w:szCs w:val="24"/>
          <w:lang w:eastAsia="fr-FR"/>
        </w:rPr>
        <w:t>bas</w:t>
      </w:r>
      <w:r w:rsidRPr="00306223">
        <w:rPr>
          <w:rFonts w:ascii="Times New Roman" w:eastAsia="Times New Roman" w:hAnsi="Times New Roman"/>
          <w:sz w:val="24"/>
          <w:szCs w:val="24"/>
          <w:lang w:eastAsia="fr-FR"/>
        </w:rPr>
        <w:t xml:space="preserve"> ne trouvait pas d'éditeur pour ses premières pièces. Désirant </w:t>
      </w:r>
      <w:r w:rsidRPr="00306223">
        <w:rPr>
          <w:rFonts w:ascii="Times New Roman" w:eastAsia="Times New Roman" w:hAnsi="Times New Roman"/>
          <w:sz w:val="24"/>
          <w:szCs w:val="24"/>
          <w:lang w:eastAsia="fr-FR"/>
        </w:rPr>
        <w:lastRenderedPageBreak/>
        <w:t>ardemment qu'elles soient jouées, il les cédait volontiers  à des revues</w:t>
      </w:r>
      <w:r w:rsidRPr="00306223">
        <w:rPr>
          <w:rStyle w:val="Appelnotedebasdep"/>
          <w:rFonts w:ascii="Times New Roman" w:hAnsi="Times New Roman"/>
          <w:sz w:val="24"/>
          <w:szCs w:val="24"/>
          <w:lang w:eastAsia="fr-FR"/>
        </w:rPr>
        <w:footnoteReference w:id="283"/>
      </w:r>
      <w:r w:rsidRPr="00306223">
        <w:rPr>
          <w:rFonts w:ascii="Times New Roman" w:eastAsia="Times New Roman" w:hAnsi="Times New Roman"/>
          <w:sz w:val="24"/>
          <w:szCs w:val="24"/>
          <w:lang w:eastAsia="fr-FR"/>
        </w:rPr>
        <w:t>, à condition qu'elles lui procurent un certain nombre de tirés à part. En revanche, il trouvait de véritables éditeurs en Flandre, et certaine</w:t>
      </w:r>
      <w:r w:rsidR="003F4B5D" w:rsidRPr="00306223">
        <w:rPr>
          <w:rFonts w:ascii="Times New Roman" w:eastAsia="Times New Roman" w:hAnsi="Times New Roman"/>
          <w:sz w:val="24"/>
          <w:szCs w:val="24"/>
          <w:lang w:eastAsia="fr-FR"/>
        </w:rPr>
        <w:t>s</w:t>
      </w:r>
      <w:r w:rsidRPr="00306223">
        <w:rPr>
          <w:rFonts w:ascii="Times New Roman" w:eastAsia="Times New Roman" w:hAnsi="Times New Roman"/>
          <w:sz w:val="24"/>
          <w:szCs w:val="24"/>
          <w:lang w:eastAsia="fr-FR"/>
        </w:rPr>
        <w:t xml:space="preserve"> pièces comme </w:t>
      </w:r>
      <w:r w:rsidRPr="00306223">
        <w:rPr>
          <w:rFonts w:ascii="Times New Roman" w:eastAsia="Times New Roman" w:hAnsi="Times New Roman"/>
          <w:i/>
          <w:sz w:val="24"/>
          <w:szCs w:val="24"/>
          <w:lang w:eastAsia="fr-FR"/>
        </w:rPr>
        <w:t>Bara</w:t>
      </w:r>
      <w:r w:rsidR="00CF4238" w:rsidRPr="00306223">
        <w:rPr>
          <w:rFonts w:ascii="Times New Roman" w:eastAsia="Times New Roman" w:hAnsi="Times New Roman"/>
          <w:i/>
          <w:sz w:val="24"/>
          <w:szCs w:val="24"/>
          <w:lang w:eastAsia="fr-FR"/>
        </w:rPr>
        <w:t>b</w:t>
      </w:r>
      <w:r w:rsidRPr="00306223">
        <w:rPr>
          <w:rFonts w:ascii="Times New Roman" w:eastAsia="Times New Roman" w:hAnsi="Times New Roman"/>
          <w:i/>
          <w:sz w:val="24"/>
          <w:szCs w:val="24"/>
          <w:lang w:eastAsia="fr-FR"/>
        </w:rPr>
        <w:t>bas</w:t>
      </w:r>
      <w:r w:rsidRPr="00306223">
        <w:rPr>
          <w:rFonts w:ascii="Times New Roman" w:eastAsia="Times New Roman" w:hAnsi="Times New Roman"/>
          <w:sz w:val="24"/>
          <w:szCs w:val="24"/>
          <w:lang w:eastAsia="fr-FR"/>
        </w:rPr>
        <w:t xml:space="preserve">, mais aussi </w:t>
      </w:r>
      <w:r w:rsidRPr="00306223">
        <w:rPr>
          <w:rFonts w:ascii="Times New Roman" w:eastAsia="Times New Roman" w:hAnsi="Times New Roman"/>
          <w:i/>
          <w:iCs/>
          <w:sz w:val="24"/>
          <w:szCs w:val="24"/>
          <w:lang w:eastAsia="fr-FR"/>
        </w:rPr>
        <w:t>La</w:t>
      </w:r>
      <w:r w:rsidRPr="003B00C8">
        <w:rPr>
          <w:rFonts w:ascii="Times New Roman" w:eastAsia="Times New Roman" w:hAnsi="Times New Roman"/>
          <w:i/>
          <w:iCs/>
          <w:sz w:val="24"/>
          <w:szCs w:val="24"/>
          <w:lang w:eastAsia="fr-FR"/>
        </w:rPr>
        <w:t xml:space="preserve"> Farce de la Mort qui faillit trépasser</w:t>
      </w:r>
      <w:r w:rsidRPr="003B00C8">
        <w:rPr>
          <w:rFonts w:ascii="Times New Roman" w:eastAsia="Times New Roman" w:hAnsi="Times New Roman"/>
          <w:sz w:val="24"/>
          <w:szCs w:val="24"/>
          <w:lang w:eastAsia="fr-FR"/>
        </w:rPr>
        <w:t xml:space="preserve"> </w:t>
      </w:r>
      <w:r w:rsidRPr="003B00C8">
        <w:rPr>
          <w:rFonts w:ascii="Times New Roman" w:eastAsia="Times New Roman" w:hAnsi="Times New Roman"/>
          <w:iCs/>
          <w:sz w:val="24"/>
          <w:szCs w:val="24"/>
          <w:lang w:eastAsia="fr-FR"/>
        </w:rPr>
        <w:t>tout comme</w:t>
      </w:r>
      <w:r w:rsidRPr="003B00C8">
        <w:rPr>
          <w:rFonts w:ascii="Times New Roman" w:eastAsia="Times New Roman" w:hAnsi="Times New Roman"/>
          <w:i/>
          <w:iCs/>
          <w:sz w:val="24"/>
          <w:szCs w:val="24"/>
          <w:lang w:eastAsia="fr-FR"/>
        </w:rPr>
        <w:t xml:space="preserve"> </w:t>
      </w:r>
      <w:r w:rsidRPr="003B00C8">
        <w:rPr>
          <w:rFonts w:ascii="Times New Roman" w:eastAsia="Times New Roman" w:hAnsi="Times New Roman"/>
          <w:sz w:val="24"/>
          <w:szCs w:val="24"/>
          <w:lang w:eastAsia="fr-FR"/>
        </w:rPr>
        <w:t xml:space="preserve"> </w:t>
      </w:r>
      <w:r w:rsidRPr="003B00C8">
        <w:rPr>
          <w:rFonts w:ascii="Times New Roman" w:eastAsia="Times New Roman" w:hAnsi="Times New Roman"/>
          <w:i/>
          <w:iCs/>
          <w:sz w:val="24"/>
          <w:szCs w:val="24"/>
          <w:lang w:eastAsia="fr-FR"/>
        </w:rPr>
        <w:t>Le Sommeil de la</w:t>
      </w:r>
      <w:r w:rsidRPr="003B00C8">
        <w:rPr>
          <w:rFonts w:ascii="Times New Roman" w:eastAsia="Times New Roman" w:hAnsi="Times New Roman"/>
          <w:sz w:val="24"/>
          <w:szCs w:val="24"/>
          <w:lang w:eastAsia="fr-FR"/>
        </w:rPr>
        <w:t xml:space="preserve"> </w:t>
      </w:r>
      <w:r w:rsidRPr="003B00C8">
        <w:rPr>
          <w:rFonts w:ascii="Times New Roman" w:eastAsia="Times New Roman" w:hAnsi="Times New Roman"/>
          <w:i/>
          <w:iCs/>
          <w:sz w:val="24"/>
          <w:szCs w:val="24"/>
          <w:lang w:eastAsia="fr-FR"/>
        </w:rPr>
        <w:t>Raison</w:t>
      </w:r>
      <w:r w:rsidRPr="003B00C8">
        <w:rPr>
          <w:rFonts w:ascii="Times New Roman" w:eastAsia="Times New Roman" w:hAnsi="Times New Roman"/>
          <w:sz w:val="24"/>
          <w:szCs w:val="24"/>
          <w:lang w:eastAsia="fr-FR"/>
        </w:rPr>
        <w:t xml:space="preserve"> </w:t>
      </w:r>
      <w:proofErr w:type="gramStart"/>
      <w:r w:rsidR="003F4B5D" w:rsidRPr="003B00C8">
        <w:rPr>
          <w:rFonts w:ascii="Times New Roman" w:eastAsia="Times New Roman" w:hAnsi="Times New Roman"/>
          <w:sz w:val="24"/>
          <w:szCs w:val="24"/>
          <w:lang w:eastAsia="fr-FR"/>
        </w:rPr>
        <w:t>o</w:t>
      </w:r>
      <w:r w:rsidR="003F4B5D">
        <w:rPr>
          <w:rFonts w:ascii="Times New Roman" w:eastAsia="Times New Roman" w:hAnsi="Times New Roman"/>
          <w:sz w:val="24"/>
          <w:szCs w:val="24"/>
          <w:lang w:eastAsia="fr-FR"/>
        </w:rPr>
        <w:t>n</w:t>
      </w:r>
      <w:r w:rsidR="003F4B5D" w:rsidRPr="003B00C8">
        <w:rPr>
          <w:rFonts w:ascii="Times New Roman" w:eastAsia="Times New Roman" w:hAnsi="Times New Roman"/>
          <w:sz w:val="24"/>
          <w:szCs w:val="24"/>
          <w:lang w:eastAsia="fr-FR"/>
        </w:rPr>
        <w:t>t</w:t>
      </w:r>
      <w:proofErr w:type="gramEnd"/>
      <w:r w:rsidRPr="003B00C8">
        <w:rPr>
          <w:rFonts w:ascii="Times New Roman" w:eastAsia="Times New Roman" w:hAnsi="Times New Roman"/>
          <w:sz w:val="24"/>
          <w:szCs w:val="24"/>
          <w:lang w:eastAsia="fr-FR"/>
        </w:rPr>
        <w:t xml:space="preserve"> d'abord été édité</w:t>
      </w:r>
      <w:r w:rsidR="00CF4238">
        <w:rPr>
          <w:rFonts w:ascii="Times New Roman" w:eastAsia="Times New Roman" w:hAnsi="Times New Roman"/>
          <w:sz w:val="24"/>
          <w:szCs w:val="24"/>
          <w:lang w:eastAsia="fr-FR"/>
        </w:rPr>
        <w:t>e</w:t>
      </w:r>
      <w:r w:rsidRPr="003B00C8">
        <w:rPr>
          <w:rFonts w:ascii="Times New Roman" w:eastAsia="Times New Roman" w:hAnsi="Times New Roman"/>
          <w:sz w:val="24"/>
          <w:szCs w:val="24"/>
          <w:lang w:eastAsia="fr-FR"/>
        </w:rPr>
        <w:t>s en traduction néerlandaise</w:t>
      </w:r>
      <w:r w:rsidRPr="003B00C8">
        <w:rPr>
          <w:rStyle w:val="Appelnotedebasdep"/>
          <w:rFonts w:ascii="Times New Roman" w:hAnsi="Times New Roman"/>
          <w:szCs w:val="24"/>
          <w:lang w:eastAsia="fr-FR"/>
        </w:rPr>
        <w:footnoteReference w:id="284"/>
      </w:r>
      <w:r w:rsidRPr="003B00C8">
        <w:rPr>
          <w:rFonts w:ascii="Times New Roman" w:eastAsia="Times New Roman" w:hAnsi="Times New Roman"/>
          <w:sz w:val="24"/>
          <w:szCs w:val="24"/>
          <w:lang w:eastAsia="fr-FR"/>
        </w:rPr>
        <w:t xml:space="preserve">. </w:t>
      </w:r>
    </w:p>
    <w:p w:rsidR="006A4EED" w:rsidRPr="005A5F3E" w:rsidRDefault="00306223" w:rsidP="00306223">
      <w:pPr>
        <w:pStyle w:val="Titre4"/>
        <w:spacing w:before="0" w:after="0" w:line="360" w:lineRule="auto"/>
        <w:ind w:left="641" w:hanging="357"/>
        <w:jc w:val="both"/>
        <w:rPr>
          <w:rFonts w:ascii="Times New Roman" w:hAnsi="Times New Roman"/>
          <w:i w:val="0"/>
          <w:iCs/>
          <w:lang w:eastAsia="fr-FR"/>
        </w:rPr>
      </w:pPr>
      <w:bookmarkStart w:id="172" w:name="_Toc471484539"/>
      <w:r>
        <w:rPr>
          <w:rFonts w:ascii="Times New Roman" w:hAnsi="Times New Roman"/>
          <w:i w:val="0"/>
          <w:iCs/>
          <w:lang w:eastAsia="fr-FR"/>
        </w:rPr>
        <w:t>3.2.</w:t>
      </w:r>
      <w:r w:rsidRPr="005A5F3E">
        <w:rPr>
          <w:rFonts w:ascii="Times New Roman" w:hAnsi="Times New Roman"/>
          <w:i w:val="0"/>
          <w:iCs/>
          <w:lang w:eastAsia="fr-FR"/>
        </w:rPr>
        <w:t xml:space="preserve"> Thèmes</w:t>
      </w:r>
      <w:r w:rsidR="006A4EED" w:rsidRPr="005A5F3E">
        <w:rPr>
          <w:rFonts w:ascii="Times New Roman" w:hAnsi="Times New Roman"/>
          <w:i w:val="0"/>
          <w:iCs/>
          <w:lang w:eastAsia="fr-FR"/>
        </w:rPr>
        <w:t xml:space="preserve"> et Illustrations de la sémiotique chez Ghelderode</w:t>
      </w:r>
      <w:bookmarkEnd w:id="172"/>
    </w:p>
    <w:p w:rsidR="006A4EED" w:rsidRPr="00306223" w:rsidRDefault="00306223" w:rsidP="00306223">
      <w:pPr>
        <w:pStyle w:val="Titre5"/>
        <w:spacing w:before="0" w:after="0"/>
        <w:ind w:left="641" w:hanging="357"/>
        <w:jc w:val="both"/>
        <w:rPr>
          <w:rFonts w:ascii="Times New Roman" w:hAnsi="Times New Roman"/>
          <w:color w:val="auto"/>
          <w:lang w:eastAsia="fr-FR"/>
        </w:rPr>
      </w:pPr>
      <w:bookmarkStart w:id="173" w:name="_Toc471484540"/>
      <w:r w:rsidRPr="00306223">
        <w:rPr>
          <w:rFonts w:ascii="Times New Roman" w:hAnsi="Times New Roman"/>
          <w:color w:val="auto"/>
          <w:lang w:eastAsia="fr-FR"/>
        </w:rPr>
        <w:t>3.2.1. Le</w:t>
      </w:r>
      <w:r w:rsidR="006A4EED" w:rsidRPr="00306223">
        <w:rPr>
          <w:rFonts w:ascii="Times New Roman" w:hAnsi="Times New Roman"/>
          <w:color w:val="auto"/>
          <w:lang w:eastAsia="fr-FR"/>
        </w:rPr>
        <w:t xml:space="preserve"> carnavalesque esthétique et festif</w:t>
      </w:r>
      <w:bookmarkEnd w:id="173"/>
    </w:p>
    <w:p w:rsidR="006A4EED" w:rsidRPr="00C46FB6" w:rsidRDefault="006A4EED" w:rsidP="00306223">
      <w:pPr>
        <w:spacing w:after="0" w:line="360" w:lineRule="auto"/>
        <w:ind w:firstLine="284"/>
        <w:jc w:val="both"/>
        <w:rPr>
          <w:rFonts w:ascii="Times New Roman" w:hAnsi="Times New Roman"/>
          <w:sz w:val="24"/>
          <w:szCs w:val="24"/>
        </w:rPr>
      </w:pPr>
      <w:r w:rsidRPr="00C46FB6">
        <w:rPr>
          <w:rFonts w:ascii="Times New Roman" w:hAnsi="Times New Roman"/>
          <w:sz w:val="24"/>
          <w:szCs w:val="24"/>
        </w:rPr>
        <w:t>Le carnavalesque, il faut le dire, épouse deux dimensions distinctes chez Ghelderode.</w:t>
      </w:r>
    </w:p>
    <w:p w:rsidR="006A4EED" w:rsidRPr="00C46FB6" w:rsidRDefault="006A4EED" w:rsidP="00230C65">
      <w:pPr>
        <w:pStyle w:val="Paragraphedeliste"/>
        <w:numPr>
          <w:ilvl w:val="0"/>
          <w:numId w:val="40"/>
        </w:numPr>
        <w:spacing w:line="360" w:lineRule="auto"/>
        <w:jc w:val="both"/>
        <w:rPr>
          <w:rFonts w:ascii="Times New Roman" w:hAnsi="Times New Roman"/>
          <w:sz w:val="24"/>
          <w:szCs w:val="24"/>
        </w:rPr>
      </w:pPr>
      <w:r w:rsidRPr="00C46FB6">
        <w:rPr>
          <w:rFonts w:ascii="Times New Roman" w:hAnsi="Times New Roman"/>
          <w:sz w:val="24"/>
          <w:szCs w:val="24"/>
        </w:rPr>
        <w:t>Un carnavalesque esthétique et festif : par lequel le dramaturge dépeint un univers de rites et de mythes festifs, populaires et joyeux.</w:t>
      </w:r>
    </w:p>
    <w:p w:rsidR="006A4EED" w:rsidRPr="00C46FB6" w:rsidRDefault="006A4EED" w:rsidP="00230C65">
      <w:pPr>
        <w:pStyle w:val="Paragraphedeliste"/>
        <w:numPr>
          <w:ilvl w:val="0"/>
          <w:numId w:val="40"/>
        </w:numPr>
        <w:spacing w:line="360" w:lineRule="auto"/>
        <w:jc w:val="both"/>
        <w:rPr>
          <w:rFonts w:ascii="Times New Roman" w:hAnsi="Times New Roman"/>
          <w:sz w:val="24"/>
          <w:szCs w:val="24"/>
        </w:rPr>
      </w:pPr>
      <w:r w:rsidRPr="00C46FB6">
        <w:rPr>
          <w:rFonts w:ascii="Times New Roman" w:hAnsi="Times New Roman"/>
          <w:sz w:val="24"/>
          <w:szCs w:val="24"/>
        </w:rPr>
        <w:t xml:space="preserve">Un carnavalesque grotesque et tragique : dont le but premier est de profaner, par des allusions grossières et irrévérencieuses sur le sacré. Une sorte d’entreprise de déconstruction du sacré et de la religion. </w:t>
      </w:r>
    </w:p>
    <w:p w:rsidR="006A4EED" w:rsidRPr="003B00C8" w:rsidRDefault="006A4EED" w:rsidP="00306223">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Chacun des deux niveaux de carnavalesque obéit à </w:t>
      </w:r>
      <w:proofErr w:type="gramStart"/>
      <w:r w:rsidRPr="003B00C8">
        <w:rPr>
          <w:rFonts w:ascii="Times New Roman" w:hAnsi="Times New Roman"/>
          <w:sz w:val="24"/>
          <w:szCs w:val="24"/>
        </w:rPr>
        <w:t>sa</w:t>
      </w:r>
      <w:proofErr w:type="gramEnd"/>
      <w:r w:rsidRPr="003B00C8">
        <w:rPr>
          <w:rFonts w:ascii="Times New Roman" w:hAnsi="Times New Roman"/>
          <w:sz w:val="24"/>
          <w:szCs w:val="24"/>
        </w:rPr>
        <w:t xml:space="preserve"> propre sémiotique et fait passer ses propres messages.</w:t>
      </w:r>
    </w:p>
    <w:p w:rsidR="006A4EED" w:rsidRPr="003B00C8" w:rsidRDefault="006A4EED" w:rsidP="00306223">
      <w:pPr>
        <w:spacing w:after="0" w:line="360" w:lineRule="auto"/>
        <w:ind w:firstLine="284"/>
        <w:jc w:val="both"/>
        <w:rPr>
          <w:rFonts w:ascii="Times New Roman" w:hAnsi="Times New Roman"/>
          <w:sz w:val="24"/>
          <w:szCs w:val="24"/>
        </w:rPr>
      </w:pPr>
      <w:r w:rsidRPr="003B00C8">
        <w:rPr>
          <w:rFonts w:ascii="Times New Roman" w:hAnsi="Times New Roman"/>
          <w:sz w:val="24"/>
          <w:szCs w:val="24"/>
        </w:rPr>
        <w:t>Commençons donc par le carnavalesque esthétique et festif</w:t>
      </w:r>
    </w:p>
    <w:p w:rsidR="006A4EED" w:rsidRPr="003B00C8" w:rsidRDefault="006A4EED" w:rsidP="00306223">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La pièce </w:t>
      </w:r>
      <w:r w:rsidRPr="003B00C8">
        <w:rPr>
          <w:rFonts w:ascii="Times New Roman" w:hAnsi="Times New Roman"/>
          <w:i/>
          <w:sz w:val="24"/>
          <w:szCs w:val="24"/>
        </w:rPr>
        <w:t>Bara</w:t>
      </w:r>
      <w:r w:rsidR="008B1F7B">
        <w:rPr>
          <w:rFonts w:ascii="Times New Roman" w:hAnsi="Times New Roman"/>
          <w:i/>
          <w:sz w:val="24"/>
          <w:szCs w:val="24"/>
        </w:rPr>
        <w:t>b</w:t>
      </w:r>
      <w:r w:rsidRPr="003B00C8">
        <w:rPr>
          <w:rFonts w:ascii="Times New Roman" w:hAnsi="Times New Roman"/>
          <w:i/>
          <w:sz w:val="24"/>
          <w:szCs w:val="24"/>
        </w:rPr>
        <w:t>bas</w:t>
      </w:r>
      <w:r w:rsidRPr="003B00C8">
        <w:rPr>
          <w:rFonts w:ascii="Times New Roman" w:hAnsi="Times New Roman"/>
          <w:sz w:val="24"/>
          <w:szCs w:val="24"/>
        </w:rPr>
        <w:t xml:space="preserve"> abonde d'éléments rituels et carnavalesques qui rappellent le carnaval dans son acception festive. </w:t>
      </w:r>
    </w:p>
    <w:p w:rsidR="006A4EED" w:rsidRPr="003B00C8" w:rsidRDefault="006A4EED" w:rsidP="00306223">
      <w:pPr>
        <w:spacing w:after="0" w:line="360" w:lineRule="auto"/>
        <w:ind w:firstLine="284"/>
        <w:jc w:val="both"/>
        <w:rPr>
          <w:rFonts w:ascii="Times New Roman" w:hAnsi="Times New Roman"/>
          <w:sz w:val="24"/>
          <w:szCs w:val="24"/>
        </w:rPr>
      </w:pPr>
      <w:r w:rsidRPr="003B00C8">
        <w:rPr>
          <w:rFonts w:ascii="Times New Roman" w:hAnsi="Times New Roman"/>
          <w:i/>
          <w:sz w:val="24"/>
          <w:szCs w:val="24"/>
        </w:rPr>
        <w:t>Bara</w:t>
      </w:r>
      <w:r w:rsidR="008B1F7B">
        <w:rPr>
          <w:rFonts w:ascii="Times New Roman" w:hAnsi="Times New Roman"/>
          <w:i/>
          <w:sz w:val="24"/>
          <w:szCs w:val="24"/>
        </w:rPr>
        <w:t>b</w:t>
      </w:r>
      <w:r w:rsidRPr="003B00C8">
        <w:rPr>
          <w:rFonts w:ascii="Times New Roman" w:hAnsi="Times New Roman"/>
          <w:i/>
          <w:sz w:val="24"/>
          <w:szCs w:val="24"/>
        </w:rPr>
        <w:t>bas</w:t>
      </w:r>
      <w:r w:rsidRPr="003B00C8">
        <w:rPr>
          <w:rFonts w:ascii="Times New Roman" w:hAnsi="Times New Roman"/>
          <w:sz w:val="24"/>
          <w:szCs w:val="24"/>
        </w:rPr>
        <w:t xml:space="preserve"> de Ghelderode nous plonge donc définitivement en pleine période de carnaval. Les signes de ce carnaval se retrouvent à différents niveaux.</w:t>
      </w:r>
    </w:p>
    <w:p w:rsidR="006A4EED" w:rsidRPr="00306223" w:rsidRDefault="006A4EED" w:rsidP="00306223">
      <w:pPr>
        <w:pStyle w:val="Titre6"/>
        <w:spacing w:before="0" w:after="0" w:line="360" w:lineRule="auto"/>
        <w:ind w:firstLine="284"/>
        <w:jc w:val="both"/>
        <w:rPr>
          <w:b/>
          <w:bCs w:val="0"/>
          <w:i w:val="0"/>
          <w:iCs/>
          <w:sz w:val="24"/>
          <w:szCs w:val="24"/>
        </w:rPr>
      </w:pPr>
      <w:r w:rsidRPr="00306223">
        <w:rPr>
          <w:b/>
          <w:bCs w:val="0"/>
          <w:i w:val="0"/>
          <w:iCs/>
          <w:sz w:val="24"/>
          <w:szCs w:val="24"/>
        </w:rPr>
        <w:t>La fête</w:t>
      </w:r>
    </w:p>
    <w:p w:rsidR="006A4EED" w:rsidRPr="003B00C8" w:rsidRDefault="006A4EED" w:rsidP="00306223">
      <w:pPr>
        <w:spacing w:after="0" w:line="360" w:lineRule="auto"/>
        <w:ind w:firstLine="284"/>
        <w:jc w:val="both"/>
        <w:rPr>
          <w:rFonts w:ascii="Times New Roman" w:hAnsi="Times New Roman"/>
          <w:sz w:val="24"/>
          <w:szCs w:val="24"/>
        </w:rPr>
      </w:pPr>
      <w:r w:rsidRPr="00306223">
        <w:rPr>
          <w:rFonts w:ascii="Times New Roman" w:hAnsi="Times New Roman"/>
          <w:sz w:val="24"/>
          <w:szCs w:val="24"/>
        </w:rPr>
        <w:t xml:space="preserve">Bakhtine avait coutume de dire : </w:t>
      </w:r>
      <w:r w:rsidRPr="00306223">
        <w:rPr>
          <w:rStyle w:val="CitationintenseCar"/>
          <w:sz w:val="24"/>
          <w:szCs w:val="24"/>
        </w:rPr>
        <w:t>« La fête théâtralise les antagonismes, les inverse sans jamais les abolir»</w:t>
      </w:r>
      <w:r w:rsidRPr="00306223">
        <w:rPr>
          <w:rFonts w:ascii="Times New Roman" w:hAnsi="Times New Roman"/>
          <w:sz w:val="24"/>
          <w:szCs w:val="24"/>
          <w:vertAlign w:val="superscript"/>
        </w:rPr>
        <w:footnoteReference w:id="285"/>
      </w:r>
      <w:r w:rsidR="00306223">
        <w:rPr>
          <w:rStyle w:val="CitationintenseCar"/>
          <w:sz w:val="24"/>
          <w:szCs w:val="24"/>
        </w:rPr>
        <w:t xml:space="preserve">. </w:t>
      </w:r>
      <w:r w:rsidRPr="003B00C8">
        <w:rPr>
          <w:rFonts w:ascii="Times New Roman" w:hAnsi="Times New Roman"/>
          <w:sz w:val="24"/>
          <w:szCs w:val="24"/>
        </w:rPr>
        <w:t xml:space="preserve">La fête est soulignée dès le premier acte de </w:t>
      </w:r>
      <w:r w:rsidRPr="003B00C8">
        <w:rPr>
          <w:rFonts w:ascii="Times New Roman" w:hAnsi="Times New Roman"/>
          <w:i/>
          <w:sz w:val="24"/>
          <w:szCs w:val="24"/>
        </w:rPr>
        <w:t>Bara</w:t>
      </w:r>
      <w:r w:rsidR="008B1F7B">
        <w:rPr>
          <w:rFonts w:ascii="Times New Roman" w:hAnsi="Times New Roman"/>
          <w:i/>
          <w:sz w:val="24"/>
          <w:szCs w:val="24"/>
        </w:rPr>
        <w:t>b</w:t>
      </w:r>
      <w:r w:rsidRPr="003B00C8">
        <w:rPr>
          <w:rFonts w:ascii="Times New Roman" w:hAnsi="Times New Roman"/>
          <w:i/>
          <w:sz w:val="24"/>
          <w:szCs w:val="24"/>
        </w:rPr>
        <w:t>bas</w:t>
      </w:r>
      <w:r w:rsidRPr="003B00C8">
        <w:rPr>
          <w:rFonts w:ascii="Times New Roman" w:hAnsi="Times New Roman"/>
          <w:sz w:val="24"/>
          <w:szCs w:val="24"/>
        </w:rPr>
        <w:t xml:space="preserve"> où elle devient le dernier recours auquel se tournent les trois condamnés, Jésus, Barabbas et les deux larrons dans l'attente de leur condamnation à mort.</w:t>
      </w:r>
    </w:p>
    <w:p w:rsidR="006A4EED" w:rsidRPr="003B00C8" w:rsidRDefault="006A4EED" w:rsidP="00306223">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D’ailleurs, le contexte historique de la pièce nous place d’emblée dans la période de la pâque. Fête religieuse qui coïncidait avec la fête romaine qui est le symbole du mythe de Saturne et son âge d'or. Les romains avaient une liberté </w:t>
      </w:r>
      <w:r w:rsidRPr="003B00C8">
        <w:rPr>
          <w:rFonts w:ascii="Times New Roman" w:hAnsi="Times New Roman"/>
          <w:sz w:val="24"/>
          <w:szCs w:val="24"/>
        </w:rPr>
        <w:lastRenderedPageBreak/>
        <w:t>absolue de mascarade qui durait sept jours ; du 17 au 23 Décembre. Période pendant laquelle les esclaves revêtaient la robe pourpre et la toge blanche; insignes des hommes libres. Ils jouaient le rôle des maîtres et ceux-ci les servaient à leur place.</w:t>
      </w:r>
    </w:p>
    <w:p w:rsidR="006A4EED" w:rsidRPr="00001D87" w:rsidRDefault="006A4EED" w:rsidP="00001D87">
      <w:pPr>
        <w:spacing w:after="0" w:line="360" w:lineRule="auto"/>
        <w:ind w:firstLine="284"/>
        <w:jc w:val="both"/>
        <w:rPr>
          <w:rFonts w:asciiTheme="majorBidi" w:hAnsiTheme="majorBidi" w:cstheme="majorBidi"/>
          <w:sz w:val="24"/>
          <w:szCs w:val="24"/>
        </w:rPr>
      </w:pPr>
      <w:r w:rsidRPr="00001D87">
        <w:rPr>
          <w:rFonts w:asciiTheme="majorBidi" w:hAnsiTheme="majorBidi" w:cstheme="majorBidi"/>
          <w:sz w:val="24"/>
          <w:szCs w:val="24"/>
        </w:rPr>
        <w:t>Plus tard, le nom des Saturnales est devenu fête religieuse, synonyme de l'excès et qui venait après une période d'abstinence et qu'on appelle jusqu'à nos jours le carême des fêles de Pâques.</w:t>
      </w:r>
    </w:p>
    <w:p w:rsidR="006A4EED" w:rsidRPr="00001D87" w:rsidRDefault="006A4EED" w:rsidP="00001D87">
      <w:pPr>
        <w:spacing w:after="0" w:line="360" w:lineRule="auto"/>
        <w:ind w:firstLine="284"/>
        <w:jc w:val="both"/>
        <w:rPr>
          <w:rFonts w:asciiTheme="majorBidi" w:hAnsiTheme="majorBidi" w:cstheme="majorBidi"/>
          <w:sz w:val="24"/>
          <w:szCs w:val="24"/>
          <w:vertAlign w:val="superscript"/>
        </w:rPr>
      </w:pPr>
      <w:r w:rsidRPr="00001D87">
        <w:rPr>
          <w:rFonts w:asciiTheme="majorBidi" w:hAnsiTheme="majorBidi" w:cstheme="majorBidi"/>
          <w:sz w:val="24"/>
          <w:szCs w:val="24"/>
        </w:rPr>
        <w:t xml:space="preserve">Dans notre corpus, l'ambiance est à la fête, les dialogues en sont imprégnés. Le prêtre promet à Barabbas sa libération. Il le dit explicitement : </w:t>
      </w:r>
      <w:r w:rsidRPr="00001D87">
        <w:rPr>
          <w:rFonts w:asciiTheme="majorBidi" w:hAnsiTheme="majorBidi" w:cstheme="majorBidi"/>
          <w:i/>
          <w:iCs/>
          <w:sz w:val="24"/>
          <w:szCs w:val="24"/>
        </w:rPr>
        <w:t>« Pour aujourd'hui (sa libération) peut être c'est la pâque »</w:t>
      </w:r>
      <w:r w:rsidR="00C46FB6" w:rsidRPr="00001D87">
        <w:rPr>
          <w:rFonts w:asciiTheme="majorBidi" w:hAnsiTheme="majorBidi" w:cstheme="majorBidi"/>
          <w:iCs/>
          <w:sz w:val="24"/>
          <w:szCs w:val="24"/>
          <w:lang w:eastAsia="fr-FR"/>
        </w:rPr>
        <w:t xml:space="preserve"> (</w:t>
      </w:r>
      <w:r w:rsidR="00001D87">
        <w:rPr>
          <w:rFonts w:ascii="Times New Roman" w:hAnsi="Times New Roman"/>
          <w:sz w:val="24"/>
          <w:szCs w:val="24"/>
          <w:lang w:eastAsia="fr-FR"/>
        </w:rPr>
        <w:t xml:space="preserve">M. </w:t>
      </w:r>
      <w:r w:rsidR="00001D87" w:rsidRPr="005D3549">
        <w:rPr>
          <w:rFonts w:ascii="Times New Roman" w:hAnsi="Times New Roman"/>
          <w:sz w:val="24"/>
          <w:szCs w:val="24"/>
          <w:lang w:eastAsia="fr-FR"/>
        </w:rPr>
        <w:t>G</w:t>
      </w:r>
      <w:r w:rsidR="00001D87">
        <w:rPr>
          <w:rFonts w:ascii="Times New Roman" w:hAnsi="Times New Roman"/>
          <w:sz w:val="24"/>
          <w:szCs w:val="24"/>
          <w:lang w:eastAsia="fr-FR"/>
        </w:rPr>
        <w:t xml:space="preserve">helderode, 1984, </w:t>
      </w:r>
      <w:r w:rsidR="00C46FB6" w:rsidRPr="00001D87">
        <w:rPr>
          <w:rFonts w:asciiTheme="majorBidi" w:hAnsiTheme="majorBidi" w:cstheme="majorBidi"/>
          <w:iCs/>
          <w:sz w:val="24"/>
          <w:szCs w:val="24"/>
          <w:lang w:eastAsia="fr-FR"/>
        </w:rPr>
        <w:t>p.55)</w:t>
      </w:r>
      <w:r w:rsidR="00001D87">
        <w:rPr>
          <w:rFonts w:asciiTheme="majorBidi" w:hAnsiTheme="majorBidi" w:cstheme="majorBidi"/>
          <w:iCs/>
          <w:sz w:val="24"/>
          <w:szCs w:val="24"/>
          <w:lang w:eastAsia="fr-FR"/>
        </w:rPr>
        <w:t>.</w:t>
      </w:r>
      <w:r w:rsidR="00C46FB6" w:rsidRPr="00001D87">
        <w:rPr>
          <w:rFonts w:asciiTheme="majorBidi" w:hAnsiTheme="majorBidi" w:cstheme="majorBidi"/>
          <w:iCs/>
          <w:sz w:val="24"/>
          <w:szCs w:val="24"/>
          <w:lang w:eastAsia="fr-FR"/>
        </w:rPr>
        <w:t xml:space="preserve">   </w:t>
      </w:r>
    </w:p>
    <w:p w:rsidR="006A4EED" w:rsidRPr="00001D87" w:rsidRDefault="006A4EED" w:rsidP="00001D87">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Dans la scène où Barabbas interpelle les larrons dans la geôle.</w:t>
      </w:r>
      <w:r w:rsidR="00001D87">
        <w:rPr>
          <w:rFonts w:ascii="Times New Roman" w:hAnsi="Times New Roman"/>
          <w:sz w:val="24"/>
          <w:szCs w:val="24"/>
        </w:rPr>
        <w:t xml:space="preserve"> </w:t>
      </w:r>
      <w:r w:rsidR="00001D87" w:rsidRPr="00001D87">
        <w:rPr>
          <w:rFonts w:asciiTheme="majorBidi" w:hAnsiTheme="majorBidi" w:cstheme="majorBidi"/>
          <w:sz w:val="24"/>
          <w:szCs w:val="24"/>
        </w:rPr>
        <w:t>« </w:t>
      </w:r>
      <w:r w:rsidRPr="00001D87">
        <w:rPr>
          <w:rFonts w:asciiTheme="majorBidi" w:hAnsiTheme="majorBidi" w:cstheme="majorBidi"/>
          <w:i/>
          <w:iCs/>
          <w:sz w:val="24"/>
          <w:szCs w:val="24"/>
        </w:rPr>
        <w:t>[...] Les fêtes commencent. Entendez les musiques. La foule est joyeuse [...]</w:t>
      </w:r>
      <w:r w:rsidR="00001D87" w:rsidRPr="00001D87">
        <w:rPr>
          <w:rFonts w:asciiTheme="majorBidi" w:hAnsiTheme="majorBidi" w:cstheme="majorBidi"/>
          <w:i/>
          <w:iCs/>
          <w:sz w:val="24"/>
          <w:szCs w:val="24"/>
        </w:rPr>
        <w:t> »</w:t>
      </w:r>
      <w:r w:rsidR="00C46FB6" w:rsidRPr="00001D87">
        <w:rPr>
          <w:rFonts w:asciiTheme="majorBidi" w:hAnsiTheme="majorBidi" w:cstheme="majorBidi"/>
          <w:i/>
          <w:iCs/>
          <w:sz w:val="24"/>
          <w:szCs w:val="24"/>
        </w:rPr>
        <w:t xml:space="preserve"> </w:t>
      </w:r>
      <w:r w:rsidR="00C46FB6" w:rsidRPr="00001D87">
        <w:rPr>
          <w:rFonts w:asciiTheme="majorBidi" w:hAnsiTheme="majorBidi" w:cstheme="majorBidi"/>
          <w:iCs/>
          <w:sz w:val="24"/>
          <w:szCs w:val="24"/>
          <w:lang w:eastAsia="fr-FR"/>
        </w:rPr>
        <w:t>(</w:t>
      </w:r>
      <w:r w:rsidR="00001D87">
        <w:rPr>
          <w:rFonts w:asciiTheme="majorBidi" w:hAnsiTheme="majorBidi" w:cstheme="majorBidi"/>
          <w:i/>
          <w:sz w:val="24"/>
          <w:szCs w:val="24"/>
          <w:lang w:eastAsia="fr-FR"/>
        </w:rPr>
        <w:t xml:space="preserve">Ibid, </w:t>
      </w:r>
      <w:r w:rsidR="00C46FB6" w:rsidRPr="00001D87">
        <w:rPr>
          <w:rFonts w:asciiTheme="majorBidi" w:hAnsiTheme="majorBidi" w:cstheme="majorBidi"/>
          <w:iCs/>
          <w:sz w:val="24"/>
          <w:szCs w:val="24"/>
          <w:lang w:eastAsia="fr-FR"/>
        </w:rPr>
        <w:t>p.58)</w:t>
      </w:r>
      <w:r w:rsidR="00001D87">
        <w:rPr>
          <w:rFonts w:asciiTheme="majorBidi" w:hAnsiTheme="majorBidi" w:cstheme="majorBidi"/>
          <w:iCs/>
          <w:sz w:val="24"/>
          <w:szCs w:val="24"/>
          <w:lang w:eastAsia="fr-FR"/>
        </w:rPr>
        <w:t>.</w:t>
      </w:r>
      <w:r w:rsidR="00C46FB6" w:rsidRPr="00001D87">
        <w:rPr>
          <w:rFonts w:asciiTheme="majorBidi" w:hAnsiTheme="majorBidi" w:cstheme="majorBidi"/>
          <w:iCs/>
          <w:sz w:val="24"/>
          <w:szCs w:val="24"/>
          <w:lang w:eastAsia="fr-FR"/>
        </w:rPr>
        <w:t xml:space="preserve">   </w:t>
      </w:r>
    </w:p>
    <w:p w:rsidR="006A4EED" w:rsidRPr="007A5752" w:rsidRDefault="007A5752" w:rsidP="007A5752">
      <w:pPr>
        <w:spacing w:after="0" w:line="360" w:lineRule="auto"/>
        <w:ind w:firstLine="284"/>
        <w:jc w:val="both"/>
        <w:rPr>
          <w:rFonts w:asciiTheme="majorBidi" w:hAnsiTheme="majorBidi" w:cstheme="majorBidi"/>
          <w:sz w:val="24"/>
          <w:szCs w:val="24"/>
        </w:rPr>
      </w:pPr>
      <w:r>
        <w:rPr>
          <w:rFonts w:ascii="Times New Roman" w:hAnsi="Times New Roman"/>
          <w:sz w:val="24"/>
          <w:szCs w:val="24"/>
        </w:rPr>
        <w:t>À</w:t>
      </w:r>
      <w:r w:rsidR="006A4EED" w:rsidRPr="003B00C8">
        <w:rPr>
          <w:rFonts w:ascii="Times New Roman" w:hAnsi="Times New Roman"/>
          <w:sz w:val="24"/>
          <w:szCs w:val="24"/>
        </w:rPr>
        <w:t xml:space="preserve"> la fin de l'acte I. nous sommes confortés sur le contexte du déroulement de la pièce puisque le dramaturge nous précise dans la didascalie</w:t>
      </w:r>
      <w:r>
        <w:rPr>
          <w:rFonts w:ascii="Times New Roman" w:hAnsi="Times New Roman"/>
          <w:sz w:val="24"/>
          <w:szCs w:val="24"/>
        </w:rPr>
        <w:t> </w:t>
      </w:r>
      <w:r w:rsidRPr="007A5752">
        <w:rPr>
          <w:rFonts w:asciiTheme="majorBidi" w:hAnsiTheme="majorBidi" w:cstheme="majorBidi"/>
          <w:sz w:val="24"/>
          <w:szCs w:val="24"/>
        </w:rPr>
        <w:t>: « </w:t>
      </w:r>
      <w:r w:rsidR="006A4EED" w:rsidRPr="007A5752">
        <w:rPr>
          <w:rFonts w:asciiTheme="majorBidi" w:hAnsiTheme="majorBidi" w:cstheme="majorBidi"/>
          <w:i/>
          <w:iCs/>
          <w:sz w:val="24"/>
          <w:szCs w:val="24"/>
        </w:rPr>
        <w:t>Trompettes dehors. Une musique commence, musettes et timbales. Rumeurs, comme le   bruit d'une ville qui s'éveille un matin de fête</w:t>
      </w:r>
      <w:r w:rsidR="006A4EED" w:rsidRPr="007A5752">
        <w:rPr>
          <w:rFonts w:asciiTheme="majorBidi" w:hAnsiTheme="majorBidi" w:cstheme="majorBidi"/>
          <w:sz w:val="24"/>
          <w:szCs w:val="24"/>
        </w:rPr>
        <w:t xml:space="preserve">» </w:t>
      </w:r>
      <w:r w:rsidR="00C46FB6" w:rsidRPr="007A5752">
        <w:rPr>
          <w:rFonts w:asciiTheme="majorBidi" w:hAnsiTheme="majorBidi" w:cstheme="majorBidi"/>
          <w:iCs/>
          <w:sz w:val="24"/>
          <w:szCs w:val="24"/>
          <w:lang w:eastAsia="fr-FR"/>
        </w:rPr>
        <w:t>(</w:t>
      </w:r>
      <w:r>
        <w:rPr>
          <w:rFonts w:asciiTheme="majorBidi" w:hAnsiTheme="majorBidi" w:cstheme="majorBidi"/>
          <w:i/>
          <w:sz w:val="24"/>
          <w:szCs w:val="24"/>
          <w:lang w:eastAsia="fr-FR"/>
        </w:rPr>
        <w:t xml:space="preserve">Ibid, </w:t>
      </w:r>
      <w:r w:rsidR="00C46FB6" w:rsidRPr="007A5752">
        <w:rPr>
          <w:rFonts w:asciiTheme="majorBidi" w:hAnsiTheme="majorBidi" w:cstheme="majorBidi"/>
          <w:iCs/>
          <w:sz w:val="24"/>
          <w:szCs w:val="24"/>
          <w:lang w:eastAsia="fr-FR"/>
        </w:rPr>
        <w:t>p.58)</w:t>
      </w:r>
      <w:r>
        <w:rPr>
          <w:rFonts w:asciiTheme="majorBidi" w:hAnsiTheme="majorBidi" w:cstheme="majorBidi"/>
          <w:iCs/>
          <w:sz w:val="24"/>
          <w:szCs w:val="24"/>
          <w:lang w:eastAsia="fr-FR"/>
        </w:rPr>
        <w:t>.</w:t>
      </w:r>
      <w:r w:rsidR="00C46FB6" w:rsidRPr="007A5752">
        <w:rPr>
          <w:rFonts w:asciiTheme="majorBidi" w:hAnsiTheme="majorBidi" w:cstheme="majorBidi"/>
          <w:iCs/>
          <w:sz w:val="24"/>
          <w:szCs w:val="24"/>
          <w:lang w:eastAsia="fr-FR"/>
        </w:rPr>
        <w:t xml:space="preserve">   </w:t>
      </w:r>
    </w:p>
    <w:p w:rsidR="006A4EED" w:rsidRPr="0001212F" w:rsidRDefault="006A4EED" w:rsidP="0001212F">
      <w:pPr>
        <w:pStyle w:val="Titre6"/>
        <w:spacing w:before="0" w:after="0" w:line="360" w:lineRule="auto"/>
        <w:ind w:firstLine="284"/>
        <w:jc w:val="both"/>
        <w:rPr>
          <w:b/>
          <w:bCs w:val="0"/>
          <w:i w:val="0"/>
          <w:iCs/>
          <w:sz w:val="24"/>
          <w:szCs w:val="24"/>
        </w:rPr>
      </w:pPr>
      <w:r w:rsidRPr="0001212F">
        <w:rPr>
          <w:b/>
          <w:bCs w:val="0"/>
          <w:i w:val="0"/>
          <w:iCs/>
          <w:sz w:val="24"/>
          <w:szCs w:val="24"/>
        </w:rPr>
        <w:t>Le manger et le boire</w:t>
      </w:r>
    </w:p>
    <w:p w:rsidR="006A4EED" w:rsidRPr="0001212F" w:rsidRDefault="006A4EED" w:rsidP="0001212F">
      <w:pPr>
        <w:spacing w:after="0" w:line="360" w:lineRule="auto"/>
        <w:ind w:firstLine="284"/>
        <w:jc w:val="both"/>
        <w:rPr>
          <w:rFonts w:asciiTheme="majorBidi" w:hAnsiTheme="majorBidi" w:cstheme="majorBidi"/>
          <w:sz w:val="24"/>
          <w:szCs w:val="24"/>
        </w:rPr>
      </w:pPr>
      <w:r w:rsidRPr="0001212F">
        <w:rPr>
          <w:rFonts w:ascii="Times New Roman" w:hAnsi="Times New Roman"/>
          <w:sz w:val="24"/>
          <w:szCs w:val="24"/>
        </w:rPr>
        <w:t>Le vin va symboliser l'image dominante de ce carvanal, de cette fête, et ce, dés le premier acte de la pièce. Barabbas, après un jeu de prière et simulacres remarquables dans son entretien avec le chef gardien de la prison, va obtenir de ce dernier une amphore de vin.</w:t>
      </w:r>
      <w:r w:rsidR="007E06F2" w:rsidRPr="0001212F">
        <w:rPr>
          <w:rFonts w:ascii="Times New Roman" w:hAnsi="Times New Roman"/>
          <w:sz w:val="24"/>
          <w:szCs w:val="24"/>
        </w:rPr>
        <w:t xml:space="preserve"> </w:t>
      </w:r>
      <w:r w:rsidRPr="0001212F">
        <w:rPr>
          <w:rFonts w:ascii="Times New Roman" w:hAnsi="Times New Roman"/>
          <w:sz w:val="24"/>
          <w:szCs w:val="24"/>
        </w:rPr>
        <w:t xml:space="preserve">« </w:t>
      </w:r>
      <w:r w:rsidRPr="0001212F">
        <w:rPr>
          <w:rFonts w:ascii="Times New Roman" w:hAnsi="Times New Roman"/>
          <w:i/>
          <w:iCs/>
          <w:sz w:val="24"/>
          <w:szCs w:val="24"/>
        </w:rPr>
        <w:t>Une liturgie des buveurs</w:t>
      </w:r>
      <w:r w:rsidRPr="0001212F">
        <w:rPr>
          <w:rFonts w:ascii="Times New Roman" w:hAnsi="Times New Roman"/>
          <w:sz w:val="24"/>
          <w:szCs w:val="24"/>
        </w:rPr>
        <w:t>»</w:t>
      </w:r>
      <w:r w:rsidRPr="0001212F">
        <w:rPr>
          <w:rFonts w:ascii="Times New Roman" w:hAnsi="Times New Roman"/>
          <w:sz w:val="24"/>
          <w:szCs w:val="24"/>
          <w:vertAlign w:val="superscript"/>
        </w:rPr>
        <w:footnoteReference w:id="286"/>
      </w:r>
      <w:r w:rsidRPr="0001212F">
        <w:rPr>
          <w:rFonts w:ascii="Times New Roman" w:hAnsi="Times New Roman"/>
          <w:sz w:val="24"/>
          <w:szCs w:val="24"/>
          <w:vertAlign w:val="superscript"/>
        </w:rPr>
        <w:t xml:space="preserve"> </w:t>
      </w:r>
      <w:r w:rsidRPr="0001212F">
        <w:rPr>
          <w:rFonts w:ascii="Times New Roman" w:hAnsi="Times New Roman"/>
          <w:sz w:val="24"/>
          <w:szCs w:val="24"/>
        </w:rPr>
        <w:t xml:space="preserve"> est célébrée par les protagonistes avant leur mort. Barabbas serrant </w:t>
      </w:r>
      <w:r w:rsidRPr="0001212F">
        <w:rPr>
          <w:rFonts w:asciiTheme="majorBidi" w:hAnsiTheme="majorBidi" w:cstheme="majorBidi"/>
          <w:sz w:val="24"/>
          <w:szCs w:val="24"/>
        </w:rPr>
        <w:t>l'amphore</w:t>
      </w:r>
      <w:r w:rsidR="0001212F" w:rsidRPr="0001212F">
        <w:rPr>
          <w:rFonts w:asciiTheme="majorBidi" w:hAnsiTheme="majorBidi" w:cstheme="majorBidi"/>
          <w:sz w:val="24"/>
          <w:szCs w:val="24"/>
        </w:rPr>
        <w:t> : « </w:t>
      </w:r>
      <w:r w:rsidRPr="0001212F">
        <w:rPr>
          <w:rFonts w:asciiTheme="majorBidi" w:hAnsiTheme="majorBidi" w:cstheme="majorBidi"/>
          <w:i/>
          <w:iCs/>
          <w:sz w:val="24"/>
          <w:szCs w:val="24"/>
        </w:rPr>
        <w:t xml:space="preserve"> [...] Par la vertu de ce vin mon agonie sera splendide</w:t>
      </w:r>
      <w:r w:rsidR="0086366F">
        <w:rPr>
          <w:rFonts w:asciiTheme="majorBidi" w:hAnsiTheme="majorBidi" w:cstheme="majorBidi"/>
          <w:sz w:val="24"/>
          <w:szCs w:val="24"/>
        </w:rPr>
        <w:t> »</w:t>
      </w:r>
      <w:r w:rsidRPr="0001212F">
        <w:rPr>
          <w:rFonts w:asciiTheme="majorBidi" w:hAnsiTheme="majorBidi" w:cstheme="majorBidi"/>
          <w:sz w:val="24"/>
          <w:szCs w:val="24"/>
        </w:rPr>
        <w:t xml:space="preserve"> </w:t>
      </w:r>
      <w:r w:rsidR="00C46FB6" w:rsidRPr="0001212F">
        <w:rPr>
          <w:rFonts w:asciiTheme="majorBidi" w:hAnsiTheme="majorBidi" w:cstheme="majorBidi"/>
          <w:iCs/>
          <w:sz w:val="24"/>
          <w:szCs w:val="24"/>
          <w:lang w:eastAsia="fr-FR"/>
        </w:rPr>
        <w:t>(</w:t>
      </w:r>
      <w:r w:rsidR="0001212F">
        <w:rPr>
          <w:rFonts w:asciiTheme="majorBidi" w:hAnsiTheme="majorBidi" w:cstheme="majorBidi"/>
          <w:iCs/>
          <w:sz w:val="24"/>
          <w:szCs w:val="24"/>
          <w:lang w:eastAsia="fr-FR"/>
        </w:rPr>
        <w:t xml:space="preserve">Ibid, </w:t>
      </w:r>
      <w:r w:rsidR="00C46FB6" w:rsidRPr="0001212F">
        <w:rPr>
          <w:rFonts w:asciiTheme="majorBidi" w:hAnsiTheme="majorBidi" w:cstheme="majorBidi"/>
          <w:iCs/>
          <w:sz w:val="24"/>
          <w:szCs w:val="24"/>
          <w:lang w:eastAsia="fr-FR"/>
        </w:rPr>
        <w:t>p.44)</w:t>
      </w:r>
      <w:r w:rsidR="0001212F">
        <w:rPr>
          <w:rFonts w:asciiTheme="majorBidi" w:hAnsiTheme="majorBidi" w:cstheme="majorBidi"/>
          <w:iCs/>
          <w:sz w:val="24"/>
          <w:szCs w:val="24"/>
          <w:lang w:eastAsia="fr-FR"/>
        </w:rPr>
        <w:t>.</w:t>
      </w:r>
      <w:r w:rsidR="00C46FB6" w:rsidRPr="0001212F">
        <w:rPr>
          <w:rFonts w:asciiTheme="majorBidi" w:hAnsiTheme="majorBidi" w:cstheme="majorBidi"/>
          <w:iCs/>
          <w:sz w:val="24"/>
          <w:szCs w:val="24"/>
          <w:lang w:eastAsia="fr-FR"/>
        </w:rPr>
        <w:t xml:space="preserve">  </w:t>
      </w:r>
    </w:p>
    <w:p w:rsidR="006A4EED" w:rsidRPr="00071A59" w:rsidRDefault="006A4EED" w:rsidP="0086366F">
      <w:pPr>
        <w:spacing w:after="0" w:line="360" w:lineRule="auto"/>
        <w:ind w:firstLine="284"/>
        <w:jc w:val="both"/>
        <w:rPr>
          <w:rFonts w:asciiTheme="majorBidi" w:hAnsiTheme="majorBidi" w:cstheme="majorBidi"/>
          <w:sz w:val="24"/>
          <w:szCs w:val="24"/>
        </w:rPr>
      </w:pPr>
      <w:r w:rsidRPr="00071A59">
        <w:rPr>
          <w:rFonts w:asciiTheme="majorBidi" w:hAnsiTheme="majorBidi" w:cstheme="majorBidi"/>
          <w:sz w:val="24"/>
          <w:szCs w:val="24"/>
        </w:rPr>
        <w:t>Puis s'adressant aux larrons après leur avoir offert le reste de l'amphore, il leur somme :</w:t>
      </w:r>
      <w:r w:rsidR="0086366F">
        <w:rPr>
          <w:rFonts w:asciiTheme="majorBidi" w:hAnsiTheme="majorBidi" w:cstheme="majorBidi"/>
          <w:sz w:val="24"/>
          <w:szCs w:val="24"/>
        </w:rPr>
        <w:t> « </w:t>
      </w:r>
      <w:r w:rsidRPr="00071A59">
        <w:rPr>
          <w:rFonts w:asciiTheme="majorBidi" w:hAnsiTheme="majorBidi" w:cstheme="majorBidi"/>
          <w:i/>
          <w:iCs/>
          <w:sz w:val="24"/>
          <w:szCs w:val="24"/>
        </w:rPr>
        <w:t>Soyez titubants et spasmodiques semblables aux épouvantais des champs</w:t>
      </w:r>
      <w:r w:rsidR="0086366F">
        <w:rPr>
          <w:rFonts w:asciiTheme="majorBidi" w:hAnsiTheme="majorBidi" w:cstheme="majorBidi"/>
          <w:i/>
          <w:iCs/>
          <w:sz w:val="24"/>
          <w:szCs w:val="24"/>
        </w:rPr>
        <w:t> »</w:t>
      </w:r>
      <w:r w:rsidRPr="00071A59">
        <w:rPr>
          <w:rFonts w:asciiTheme="majorBidi" w:hAnsiTheme="majorBidi" w:cstheme="majorBidi"/>
          <w:i/>
          <w:iCs/>
          <w:sz w:val="24"/>
          <w:szCs w:val="24"/>
        </w:rPr>
        <w:t>.</w:t>
      </w:r>
      <w:r w:rsidR="00C46FB6" w:rsidRPr="00071A59">
        <w:rPr>
          <w:rFonts w:asciiTheme="majorBidi" w:hAnsiTheme="majorBidi" w:cstheme="majorBidi"/>
          <w:iCs/>
          <w:sz w:val="24"/>
          <w:szCs w:val="24"/>
          <w:lang w:eastAsia="fr-FR"/>
        </w:rPr>
        <w:t xml:space="preserve"> (</w:t>
      </w:r>
      <w:r w:rsidR="0086366F">
        <w:rPr>
          <w:rFonts w:asciiTheme="majorBidi" w:hAnsiTheme="majorBidi" w:cstheme="majorBidi"/>
          <w:i/>
          <w:sz w:val="24"/>
          <w:szCs w:val="24"/>
          <w:lang w:eastAsia="fr-FR"/>
        </w:rPr>
        <w:t xml:space="preserve">Ibid, </w:t>
      </w:r>
      <w:r w:rsidR="00C46FB6" w:rsidRPr="00071A59">
        <w:rPr>
          <w:rFonts w:asciiTheme="majorBidi" w:hAnsiTheme="majorBidi" w:cstheme="majorBidi"/>
          <w:iCs/>
          <w:sz w:val="24"/>
          <w:szCs w:val="24"/>
          <w:lang w:eastAsia="fr-FR"/>
        </w:rPr>
        <w:t>p.45)</w:t>
      </w:r>
      <w:r w:rsidR="0086366F">
        <w:rPr>
          <w:rFonts w:asciiTheme="majorBidi" w:hAnsiTheme="majorBidi" w:cstheme="majorBidi"/>
          <w:iCs/>
          <w:sz w:val="24"/>
          <w:szCs w:val="24"/>
          <w:lang w:eastAsia="fr-FR"/>
        </w:rPr>
        <w:t>.</w:t>
      </w:r>
      <w:r w:rsidR="00C46FB6" w:rsidRPr="00071A59">
        <w:rPr>
          <w:rFonts w:asciiTheme="majorBidi" w:hAnsiTheme="majorBidi" w:cstheme="majorBidi"/>
          <w:iCs/>
          <w:sz w:val="24"/>
          <w:szCs w:val="24"/>
          <w:lang w:eastAsia="fr-FR"/>
        </w:rPr>
        <w:t xml:space="preserve">   </w:t>
      </w:r>
    </w:p>
    <w:p w:rsidR="006A4EED" w:rsidRPr="00E35029" w:rsidRDefault="006A4EED" w:rsidP="00E35029">
      <w:pPr>
        <w:spacing w:after="0" w:line="360" w:lineRule="auto"/>
        <w:ind w:firstLine="284"/>
        <w:jc w:val="both"/>
        <w:rPr>
          <w:sz w:val="24"/>
          <w:szCs w:val="24"/>
        </w:rPr>
      </w:pPr>
      <w:r w:rsidRPr="00E35029">
        <w:rPr>
          <w:rFonts w:ascii="Times New Roman" w:hAnsi="Times New Roman"/>
          <w:sz w:val="24"/>
          <w:szCs w:val="24"/>
        </w:rPr>
        <w:t xml:space="preserve">Dans le réalisme du grotesque de M. Bakhtine, il est souligné que </w:t>
      </w:r>
      <w:r w:rsidRPr="00E35029">
        <w:rPr>
          <w:rFonts w:asciiTheme="majorBidi" w:hAnsiTheme="majorBidi" w:cstheme="majorBidi"/>
          <w:sz w:val="24"/>
          <w:szCs w:val="24"/>
        </w:rPr>
        <w:t xml:space="preserve">: </w:t>
      </w:r>
      <w:r w:rsidR="00E35029" w:rsidRPr="00E35029">
        <w:rPr>
          <w:rFonts w:asciiTheme="majorBidi" w:hAnsiTheme="majorBidi" w:cstheme="majorBidi"/>
          <w:sz w:val="24"/>
          <w:szCs w:val="24"/>
        </w:rPr>
        <w:t>« </w:t>
      </w:r>
      <w:r w:rsidRPr="00E35029">
        <w:rPr>
          <w:rFonts w:asciiTheme="majorBidi" w:hAnsiTheme="majorBidi" w:cstheme="majorBidi"/>
          <w:sz w:val="24"/>
          <w:szCs w:val="24"/>
        </w:rPr>
        <w:t>[...] Le manger et le boire sont une des manifestations les plus importantes de la vie..»</w:t>
      </w:r>
      <w:r w:rsidRPr="00E35029">
        <w:rPr>
          <w:rFonts w:asciiTheme="majorBidi" w:hAnsiTheme="majorBidi" w:cstheme="majorBidi"/>
          <w:sz w:val="24"/>
          <w:szCs w:val="24"/>
          <w:vertAlign w:val="superscript"/>
        </w:rPr>
        <w:footnoteReference w:id="287"/>
      </w:r>
    </w:p>
    <w:p w:rsidR="006A4EED" w:rsidRPr="003B00C8" w:rsidRDefault="006A4EED" w:rsidP="00EA304E">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Barabbas et ses compagnons-larrons triomphent momentanément sur la mort et lui font un pied de nez. Le «boire» va remplir dans le corpus de l'œuvre très </w:t>
      </w:r>
      <w:r w:rsidRPr="003B00C8">
        <w:rPr>
          <w:rFonts w:ascii="Times New Roman" w:hAnsi="Times New Roman"/>
          <w:sz w:val="24"/>
          <w:szCs w:val="24"/>
        </w:rPr>
        <w:lastRenderedPageBreak/>
        <w:t>souvent des fonctions de couronnement, il va affranchir les détenus de leur peur, et de leur remords. C'est une vérité libre et sans peur qui les sortira de l'état de léthargie auquel ils étaient soumis dès l'entame du premier acte.</w:t>
      </w:r>
    </w:p>
    <w:p w:rsidR="006A4EED" w:rsidRPr="003B00C8" w:rsidRDefault="006A4EED" w:rsidP="008017E4">
      <w:pPr>
        <w:spacing w:after="0" w:line="360" w:lineRule="auto"/>
        <w:ind w:firstLine="284"/>
        <w:jc w:val="both"/>
        <w:rPr>
          <w:rFonts w:ascii="Times New Roman" w:hAnsi="Times New Roman"/>
          <w:sz w:val="24"/>
          <w:szCs w:val="24"/>
        </w:rPr>
      </w:pPr>
      <w:r w:rsidRPr="003B00C8">
        <w:rPr>
          <w:rFonts w:ascii="Times New Roman" w:hAnsi="Times New Roman"/>
          <w:sz w:val="24"/>
          <w:szCs w:val="24"/>
        </w:rPr>
        <w:t>Relayé par le chant qui va représenter une autre forme de liberté. Les trois compagnons de geôle entament un jeu de procession, parodiant le baptême de l'église et les prières liturgiques du culte.</w:t>
      </w:r>
    </w:p>
    <w:p w:rsidR="006A4EED" w:rsidRPr="003B00C8" w:rsidRDefault="006A4EED" w:rsidP="008017E4">
      <w:pPr>
        <w:spacing w:after="0" w:line="360" w:lineRule="auto"/>
        <w:ind w:firstLine="284"/>
        <w:jc w:val="both"/>
        <w:rPr>
          <w:rFonts w:ascii="Times New Roman" w:hAnsi="Times New Roman"/>
          <w:sz w:val="24"/>
          <w:szCs w:val="24"/>
        </w:rPr>
      </w:pPr>
      <w:r w:rsidRPr="003B00C8">
        <w:rPr>
          <w:rFonts w:ascii="Times New Roman" w:hAnsi="Times New Roman"/>
          <w:sz w:val="24"/>
          <w:szCs w:val="24"/>
        </w:rPr>
        <w:t>Il s'ensuit un effet dialogique du sacré et du profane, conséquence du travestissement des chants qu'ils entonnent à la page 45.</w:t>
      </w:r>
    </w:p>
    <w:p w:rsidR="006A4EED" w:rsidRPr="00C46FB6" w:rsidRDefault="006A4EED" w:rsidP="00217013">
      <w:pPr>
        <w:spacing w:after="0" w:line="240" w:lineRule="auto"/>
        <w:ind w:left="567"/>
        <w:jc w:val="both"/>
        <w:rPr>
          <w:rFonts w:ascii="Times New Roman" w:hAnsi="Times New Roman"/>
          <w:iCs/>
          <w:sz w:val="20"/>
          <w:szCs w:val="20"/>
        </w:rPr>
      </w:pPr>
      <w:r w:rsidRPr="00C46FB6">
        <w:rPr>
          <w:rFonts w:ascii="Times New Roman" w:hAnsi="Times New Roman"/>
          <w:iCs/>
          <w:sz w:val="20"/>
          <w:szCs w:val="20"/>
        </w:rPr>
        <w:t>Meilleur que la source jaillie dans le désert brûlant</w:t>
      </w:r>
    </w:p>
    <w:p w:rsidR="006A4EED" w:rsidRPr="00C46FB6" w:rsidRDefault="006A4EED" w:rsidP="00217013">
      <w:pPr>
        <w:spacing w:after="0" w:line="240" w:lineRule="auto"/>
        <w:ind w:left="567"/>
        <w:jc w:val="both"/>
        <w:rPr>
          <w:rFonts w:ascii="Times New Roman" w:hAnsi="Times New Roman"/>
          <w:iCs/>
          <w:sz w:val="20"/>
          <w:szCs w:val="20"/>
        </w:rPr>
      </w:pPr>
      <w:r w:rsidRPr="00C46FB6">
        <w:rPr>
          <w:rFonts w:ascii="Times New Roman" w:hAnsi="Times New Roman"/>
          <w:iCs/>
          <w:sz w:val="20"/>
          <w:szCs w:val="20"/>
        </w:rPr>
        <w:t xml:space="preserve">Meilleur que la rose matinale </w:t>
      </w:r>
    </w:p>
    <w:p w:rsidR="006A4EED" w:rsidRPr="00C46FB6" w:rsidRDefault="006A4EED" w:rsidP="00217013">
      <w:pPr>
        <w:spacing w:after="0" w:line="240" w:lineRule="auto"/>
        <w:ind w:left="567"/>
        <w:jc w:val="both"/>
        <w:rPr>
          <w:rFonts w:ascii="Times New Roman" w:hAnsi="Times New Roman"/>
          <w:iCs/>
          <w:sz w:val="20"/>
          <w:szCs w:val="20"/>
        </w:rPr>
      </w:pPr>
      <w:r w:rsidRPr="00C46FB6">
        <w:rPr>
          <w:rFonts w:ascii="Times New Roman" w:hAnsi="Times New Roman"/>
          <w:iCs/>
          <w:sz w:val="20"/>
          <w:szCs w:val="20"/>
        </w:rPr>
        <w:t xml:space="preserve">Meilleur que la pluie sur la terre aride  </w:t>
      </w:r>
    </w:p>
    <w:p w:rsidR="006A4EED" w:rsidRPr="00C46FB6" w:rsidRDefault="006A4EED" w:rsidP="00217013">
      <w:pPr>
        <w:spacing w:after="0" w:line="240" w:lineRule="auto"/>
        <w:ind w:left="567"/>
        <w:jc w:val="both"/>
        <w:rPr>
          <w:rFonts w:ascii="Times New Roman" w:hAnsi="Times New Roman"/>
          <w:sz w:val="20"/>
          <w:szCs w:val="20"/>
        </w:rPr>
      </w:pPr>
      <w:r w:rsidRPr="00C46FB6">
        <w:rPr>
          <w:rFonts w:ascii="Times New Roman" w:hAnsi="Times New Roman"/>
          <w:iCs/>
          <w:sz w:val="20"/>
          <w:szCs w:val="20"/>
        </w:rPr>
        <w:t>Meilleur que la musique des symboles et des sistres</w:t>
      </w:r>
      <w:r w:rsidRPr="00C46FB6">
        <w:rPr>
          <w:rFonts w:ascii="Times New Roman" w:hAnsi="Times New Roman"/>
          <w:sz w:val="24"/>
          <w:szCs w:val="24"/>
        </w:rPr>
        <w:t xml:space="preserve"> </w:t>
      </w:r>
    </w:p>
    <w:p w:rsidR="006A4EED" w:rsidRPr="00217013" w:rsidRDefault="006A4EED" w:rsidP="00217013">
      <w:pPr>
        <w:spacing w:after="0" w:line="360" w:lineRule="auto"/>
        <w:ind w:firstLine="284"/>
        <w:jc w:val="both"/>
        <w:rPr>
          <w:rFonts w:ascii="Times New Roman" w:hAnsi="Times New Roman"/>
          <w:sz w:val="24"/>
          <w:szCs w:val="24"/>
        </w:rPr>
      </w:pPr>
      <w:r w:rsidRPr="00217013">
        <w:rPr>
          <w:rFonts w:ascii="Times New Roman" w:hAnsi="Times New Roman"/>
          <w:sz w:val="24"/>
          <w:szCs w:val="24"/>
        </w:rPr>
        <w:t>La danse va illustrer la fête quand Barabbas est libéré</w:t>
      </w:r>
      <w:r w:rsidR="00217013" w:rsidRPr="00217013">
        <w:rPr>
          <w:rFonts w:ascii="Times New Roman" w:hAnsi="Times New Roman"/>
          <w:sz w:val="24"/>
          <w:szCs w:val="24"/>
        </w:rPr>
        <w:t> : « </w:t>
      </w:r>
      <w:r w:rsidRPr="00217013">
        <w:rPr>
          <w:rFonts w:ascii="Times New Roman" w:hAnsi="Times New Roman"/>
          <w:i/>
          <w:sz w:val="24"/>
          <w:szCs w:val="24"/>
        </w:rPr>
        <w:t>Barabbas au milieu des hurlements sauvages se met à bondir comme un fauve. Les gueux crient avec lui et battent des mains. Au loin la foule répond, et l'exaltation atteint son combl</w:t>
      </w:r>
      <w:r w:rsidR="006C7FA1" w:rsidRPr="00217013">
        <w:rPr>
          <w:rFonts w:ascii="Times New Roman" w:hAnsi="Times New Roman"/>
          <w:i/>
          <w:sz w:val="24"/>
          <w:szCs w:val="24"/>
        </w:rPr>
        <w:t>e</w:t>
      </w:r>
      <w:r w:rsidR="00217013">
        <w:rPr>
          <w:rFonts w:ascii="Times New Roman" w:hAnsi="Times New Roman"/>
          <w:iCs/>
          <w:sz w:val="24"/>
          <w:szCs w:val="24"/>
        </w:rPr>
        <w:t> »</w:t>
      </w:r>
      <w:r w:rsidR="006C7FA1" w:rsidRPr="00217013">
        <w:rPr>
          <w:rFonts w:ascii="Times New Roman" w:hAnsi="Times New Roman"/>
          <w:iCs/>
          <w:sz w:val="24"/>
          <w:szCs w:val="24"/>
        </w:rPr>
        <w:t xml:space="preserve"> (</w:t>
      </w:r>
      <w:r w:rsidR="00217013">
        <w:rPr>
          <w:rFonts w:ascii="Times New Roman" w:hAnsi="Times New Roman"/>
          <w:i/>
          <w:sz w:val="24"/>
          <w:szCs w:val="24"/>
        </w:rPr>
        <w:t xml:space="preserve">Ibid, </w:t>
      </w:r>
      <w:r w:rsidR="006C7FA1" w:rsidRPr="00217013">
        <w:rPr>
          <w:rFonts w:ascii="Times New Roman" w:hAnsi="Times New Roman"/>
          <w:iCs/>
          <w:sz w:val="24"/>
          <w:szCs w:val="24"/>
        </w:rPr>
        <w:t>p.44)</w:t>
      </w:r>
      <w:r w:rsidR="00217013">
        <w:rPr>
          <w:rFonts w:ascii="Times New Roman" w:hAnsi="Times New Roman"/>
          <w:iCs/>
          <w:sz w:val="24"/>
          <w:szCs w:val="24"/>
        </w:rPr>
        <w:t>.</w:t>
      </w:r>
    </w:p>
    <w:p w:rsidR="006A4EED" w:rsidRPr="003B00C8" w:rsidRDefault="006A4EED" w:rsidP="006A4EED">
      <w:pPr>
        <w:spacing w:line="240" w:lineRule="auto"/>
        <w:ind w:right="794"/>
        <w:jc w:val="both"/>
        <w:rPr>
          <w:rFonts w:ascii="Times New Roman" w:hAnsi="Times New Roman"/>
          <w:sz w:val="20"/>
          <w:szCs w:val="20"/>
        </w:rPr>
      </w:pPr>
    </w:p>
    <w:p w:rsidR="006A4EED" w:rsidRPr="003B00C8" w:rsidRDefault="006A4EED" w:rsidP="00217013">
      <w:pPr>
        <w:spacing w:after="0" w:line="360" w:lineRule="auto"/>
        <w:ind w:firstLine="284"/>
        <w:jc w:val="both"/>
        <w:rPr>
          <w:rFonts w:ascii="Times New Roman" w:hAnsi="Times New Roman"/>
          <w:sz w:val="24"/>
          <w:szCs w:val="24"/>
        </w:rPr>
      </w:pPr>
      <w:r w:rsidRPr="003B00C8">
        <w:rPr>
          <w:rFonts w:ascii="Times New Roman" w:hAnsi="Times New Roman"/>
          <w:sz w:val="24"/>
          <w:szCs w:val="24"/>
        </w:rPr>
        <w:t>En guise de conclusion sur ce carnavalesque festif, disons que toutes ces formes de la fête populaire sont le regard tourné vers l'avenir et présentent sa victoire sur le passé.</w:t>
      </w:r>
    </w:p>
    <w:p w:rsidR="006A4EED" w:rsidRPr="003B00C8" w:rsidRDefault="006A4EED" w:rsidP="00217013">
      <w:pPr>
        <w:spacing w:after="0" w:line="360" w:lineRule="auto"/>
        <w:ind w:firstLine="284"/>
        <w:jc w:val="both"/>
        <w:rPr>
          <w:rFonts w:ascii="Times New Roman" w:hAnsi="Times New Roman"/>
          <w:sz w:val="24"/>
          <w:szCs w:val="24"/>
        </w:rPr>
      </w:pPr>
      <w:r w:rsidRPr="003B00C8">
        <w:rPr>
          <w:rFonts w:ascii="Times New Roman" w:hAnsi="Times New Roman"/>
          <w:sz w:val="24"/>
          <w:szCs w:val="24"/>
        </w:rPr>
        <w:t>Les images de fête populaire renforcent cette esthétique carnavalesque, de par les formes d'expression du chant, du boire, du manger et de la danse.</w:t>
      </w:r>
    </w:p>
    <w:p w:rsidR="006A4EED" w:rsidRPr="003B00C8" w:rsidRDefault="006A4EED" w:rsidP="00217013">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fête symbolise dans cette pièce, le lieu de toutes les transgressions possibles tant verbales que corporelles permettant aux personnages de s'affranchir du carcan des incertitudes.</w:t>
      </w:r>
    </w:p>
    <w:p w:rsidR="006A4EED" w:rsidRPr="00217013" w:rsidRDefault="006A4EED" w:rsidP="00217013">
      <w:pPr>
        <w:spacing w:after="0" w:line="360" w:lineRule="auto"/>
        <w:ind w:firstLine="284"/>
        <w:jc w:val="both"/>
        <w:rPr>
          <w:rFonts w:ascii="Times New Roman" w:hAnsi="Times New Roman"/>
          <w:sz w:val="24"/>
          <w:szCs w:val="24"/>
        </w:rPr>
      </w:pPr>
      <w:r w:rsidRPr="00217013">
        <w:rPr>
          <w:rFonts w:ascii="Times New Roman" w:hAnsi="Times New Roman"/>
          <w:sz w:val="24"/>
          <w:szCs w:val="24"/>
        </w:rPr>
        <w:t xml:space="preserve">C'est « </w:t>
      </w:r>
      <w:r w:rsidRPr="00217013">
        <w:rPr>
          <w:rFonts w:ascii="Times New Roman" w:hAnsi="Times New Roman"/>
          <w:i/>
          <w:iCs/>
          <w:sz w:val="24"/>
          <w:szCs w:val="24"/>
        </w:rPr>
        <w:t>L'image festive et festoyante</w:t>
      </w:r>
      <w:r w:rsidRPr="00217013">
        <w:rPr>
          <w:rFonts w:ascii="Times New Roman" w:hAnsi="Times New Roman"/>
          <w:sz w:val="24"/>
          <w:szCs w:val="24"/>
        </w:rPr>
        <w:t>»</w:t>
      </w:r>
      <w:r w:rsidRPr="00217013">
        <w:rPr>
          <w:rFonts w:ascii="Times New Roman" w:hAnsi="Times New Roman"/>
          <w:sz w:val="24"/>
          <w:szCs w:val="24"/>
          <w:vertAlign w:val="superscript"/>
        </w:rPr>
        <w:t xml:space="preserve"> </w:t>
      </w:r>
      <w:r w:rsidRPr="00217013">
        <w:rPr>
          <w:rFonts w:ascii="Times New Roman" w:hAnsi="Times New Roman"/>
          <w:sz w:val="24"/>
          <w:szCs w:val="24"/>
          <w:vertAlign w:val="superscript"/>
        </w:rPr>
        <w:footnoteReference w:id="288"/>
      </w:r>
      <w:r w:rsidRPr="00217013">
        <w:rPr>
          <w:rFonts w:ascii="Times New Roman" w:hAnsi="Times New Roman"/>
          <w:sz w:val="24"/>
          <w:szCs w:val="24"/>
        </w:rPr>
        <w:t xml:space="preserve"> qui exprime une conception du monde. </w:t>
      </w:r>
    </w:p>
    <w:p w:rsidR="006A4EED" w:rsidRPr="003B00C8" w:rsidRDefault="006A4EED" w:rsidP="00217013">
      <w:pPr>
        <w:spacing w:after="0" w:line="360" w:lineRule="auto"/>
        <w:ind w:firstLine="284"/>
        <w:jc w:val="both"/>
        <w:rPr>
          <w:rFonts w:ascii="Times New Roman" w:hAnsi="Times New Roman"/>
          <w:sz w:val="24"/>
          <w:szCs w:val="24"/>
        </w:rPr>
      </w:pPr>
      <w:r w:rsidRPr="003B00C8">
        <w:rPr>
          <w:rFonts w:ascii="Times New Roman" w:hAnsi="Times New Roman"/>
          <w:sz w:val="24"/>
          <w:szCs w:val="24"/>
        </w:rPr>
        <w:t>Visitons à présent les signes en rapport avec une autre forme de carnavalesque, celle du grotesque et du tragique.</w:t>
      </w:r>
    </w:p>
    <w:p w:rsidR="006A4EED" w:rsidRPr="003B00C8" w:rsidRDefault="006A4EED" w:rsidP="006A4EED">
      <w:pPr>
        <w:rPr>
          <w:rFonts w:ascii="Times New Roman" w:hAnsi="Times New Roman"/>
          <w:sz w:val="24"/>
          <w:szCs w:val="24"/>
        </w:rPr>
      </w:pPr>
    </w:p>
    <w:p w:rsidR="006A4EED" w:rsidRPr="00217013" w:rsidRDefault="00217013" w:rsidP="00217013">
      <w:pPr>
        <w:pStyle w:val="Titre5"/>
        <w:spacing w:before="0" w:after="0"/>
        <w:ind w:left="641" w:hanging="357"/>
        <w:jc w:val="both"/>
        <w:rPr>
          <w:rFonts w:ascii="Times New Roman" w:hAnsi="Times New Roman"/>
          <w:color w:val="auto"/>
          <w:lang w:eastAsia="fr-FR"/>
        </w:rPr>
      </w:pPr>
      <w:bookmarkStart w:id="174" w:name="_Toc471484541"/>
      <w:r w:rsidRPr="00217013">
        <w:rPr>
          <w:rFonts w:ascii="Times New Roman" w:hAnsi="Times New Roman"/>
          <w:color w:val="auto"/>
          <w:lang w:eastAsia="fr-FR"/>
        </w:rPr>
        <w:t>3.2.2. Le</w:t>
      </w:r>
      <w:r w:rsidR="006A4EED" w:rsidRPr="00217013">
        <w:rPr>
          <w:rFonts w:ascii="Times New Roman" w:hAnsi="Times New Roman"/>
          <w:color w:val="auto"/>
          <w:lang w:eastAsia="fr-FR"/>
        </w:rPr>
        <w:t xml:space="preserve"> carnavalesque grotesque et tragique</w:t>
      </w:r>
      <w:bookmarkEnd w:id="174"/>
    </w:p>
    <w:p w:rsidR="006A4EED" w:rsidRPr="003B00C8" w:rsidRDefault="006A4EED" w:rsidP="00217013">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 carnavalesque du grotesque et du tragique est un procédé sémiotique largement utilisé par Ghelderode. A l’inverse du carnavalesque festif, il est ici question de dépeindre le grossier. Ghelderode exploite les signes pour profaner et </w:t>
      </w:r>
      <w:r w:rsidRPr="003B00C8">
        <w:rPr>
          <w:rFonts w:ascii="Times New Roman" w:hAnsi="Times New Roman"/>
          <w:sz w:val="24"/>
          <w:szCs w:val="24"/>
        </w:rPr>
        <w:lastRenderedPageBreak/>
        <w:t>désacraliser. Le procédé peut susciter rejet, dégout ou révolte, mais il ne laisse jamais indifférent. Et c’est précisément l’objectif du dramaturge belge : faire réagir.</w:t>
      </w:r>
    </w:p>
    <w:p w:rsidR="006A4EED" w:rsidRPr="003B00C8" w:rsidRDefault="006A4EED" w:rsidP="00887EEB">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Ghelderode exploite dans cette entreprise du carnavalesque grotesque et tragique plusieurs signes. </w:t>
      </w:r>
    </w:p>
    <w:p w:rsidR="006A4EED" w:rsidRPr="00887EEB" w:rsidRDefault="006A4EED" w:rsidP="00887EEB">
      <w:pPr>
        <w:pStyle w:val="Titre6"/>
        <w:spacing w:before="0" w:after="0" w:line="360" w:lineRule="auto"/>
        <w:ind w:firstLine="284"/>
        <w:jc w:val="both"/>
        <w:rPr>
          <w:b/>
          <w:bCs w:val="0"/>
          <w:i w:val="0"/>
          <w:iCs/>
          <w:sz w:val="24"/>
          <w:szCs w:val="24"/>
        </w:rPr>
      </w:pPr>
      <w:r w:rsidRPr="00887EEB">
        <w:rPr>
          <w:b/>
          <w:bCs w:val="0"/>
          <w:i w:val="0"/>
          <w:iCs/>
          <w:sz w:val="24"/>
          <w:szCs w:val="24"/>
        </w:rPr>
        <w:t>Le motif du masque</w:t>
      </w:r>
    </w:p>
    <w:p w:rsidR="006A4EED" w:rsidRPr="00887EEB" w:rsidRDefault="006A4EED" w:rsidP="00887EEB">
      <w:pPr>
        <w:spacing w:after="0" w:line="360" w:lineRule="auto"/>
        <w:ind w:firstLine="284"/>
        <w:jc w:val="both"/>
        <w:rPr>
          <w:rFonts w:ascii="Times New Roman" w:hAnsi="Times New Roman"/>
          <w:sz w:val="24"/>
          <w:szCs w:val="24"/>
        </w:rPr>
      </w:pPr>
      <w:r w:rsidRPr="00887EEB">
        <w:rPr>
          <w:rFonts w:ascii="Times New Roman" w:hAnsi="Times New Roman"/>
          <w:sz w:val="24"/>
          <w:szCs w:val="24"/>
        </w:rPr>
        <w:t>Le masque est un niveau clé de la sémiotique du grotesque telle qu’elle nous est offerte par Ghelderode.</w:t>
      </w:r>
    </w:p>
    <w:p w:rsidR="006A4EED" w:rsidRPr="00887EEB" w:rsidRDefault="006A4EED" w:rsidP="00887EEB">
      <w:pPr>
        <w:spacing w:after="0" w:line="360" w:lineRule="auto"/>
        <w:ind w:firstLine="284"/>
        <w:jc w:val="both"/>
        <w:rPr>
          <w:rFonts w:ascii="Times New Roman" w:hAnsi="Times New Roman"/>
          <w:sz w:val="24"/>
          <w:szCs w:val="24"/>
        </w:rPr>
      </w:pPr>
      <w:r w:rsidRPr="00887EEB">
        <w:rPr>
          <w:rFonts w:ascii="Times New Roman" w:hAnsi="Times New Roman"/>
          <w:sz w:val="24"/>
          <w:szCs w:val="24"/>
        </w:rPr>
        <w:t xml:space="preserve">Selon Bakhtine : « C'est dans le masque que se révèle avec éclat l'essence profonde du grotesque.» </w:t>
      </w:r>
      <w:r w:rsidRPr="00887EEB">
        <w:rPr>
          <w:rFonts w:ascii="Times New Roman" w:hAnsi="Times New Roman"/>
          <w:sz w:val="24"/>
          <w:szCs w:val="24"/>
          <w:vertAlign w:val="superscript"/>
        </w:rPr>
        <w:footnoteReference w:id="289"/>
      </w:r>
    </w:p>
    <w:p w:rsidR="006A4EED" w:rsidRDefault="006A4EED" w:rsidP="00887EEB">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L'apparition de ce motif commence dès le troisième acte souligné par les didascalies de la page 96 ou les apôtres sont masqués et à la page 100 ou Pierre arrache son masque. </w:t>
      </w:r>
    </w:p>
    <w:p w:rsidR="006A4EED" w:rsidRPr="003B00C8" w:rsidRDefault="006A4EED" w:rsidP="00887EEB">
      <w:pPr>
        <w:spacing w:after="0" w:line="360" w:lineRule="auto"/>
        <w:ind w:firstLine="284"/>
        <w:jc w:val="both"/>
        <w:rPr>
          <w:rFonts w:ascii="Times New Roman" w:hAnsi="Times New Roman"/>
          <w:sz w:val="20"/>
          <w:szCs w:val="20"/>
        </w:rPr>
      </w:pPr>
      <w:r w:rsidRPr="003B00C8">
        <w:rPr>
          <w:rFonts w:ascii="Times New Roman" w:hAnsi="Times New Roman"/>
          <w:sz w:val="24"/>
          <w:szCs w:val="24"/>
        </w:rPr>
        <w:t xml:space="preserve">D'autre part ce motif est souligné dans le corps des textes, </w:t>
      </w:r>
      <w:r w:rsidR="004E22D0">
        <w:rPr>
          <w:rFonts w:ascii="Times New Roman" w:hAnsi="Times New Roman"/>
          <w:sz w:val="24"/>
          <w:szCs w:val="24"/>
        </w:rPr>
        <w:t xml:space="preserve">dans la page 96 </w:t>
      </w:r>
      <w:r w:rsidRPr="003B00C8">
        <w:rPr>
          <w:rFonts w:ascii="Times New Roman" w:hAnsi="Times New Roman"/>
          <w:sz w:val="24"/>
          <w:szCs w:val="24"/>
        </w:rPr>
        <w:t>o</w:t>
      </w:r>
      <w:r w:rsidR="004E22D0">
        <w:rPr>
          <w:rFonts w:ascii="Times New Roman" w:hAnsi="Times New Roman"/>
          <w:sz w:val="24"/>
          <w:szCs w:val="24"/>
        </w:rPr>
        <w:t>ù</w:t>
      </w:r>
      <w:r w:rsidRPr="003B00C8">
        <w:rPr>
          <w:rFonts w:ascii="Times New Roman" w:hAnsi="Times New Roman"/>
          <w:sz w:val="24"/>
          <w:szCs w:val="24"/>
        </w:rPr>
        <w:t xml:space="preserve"> Madeleine vilipende les apôtres</w:t>
      </w:r>
      <w:r>
        <w:rPr>
          <w:rFonts w:ascii="Times New Roman" w:hAnsi="Times New Roman"/>
          <w:sz w:val="24"/>
          <w:szCs w:val="24"/>
        </w:rPr>
        <w:t xml:space="preserve"> : </w:t>
      </w:r>
      <w:r w:rsidRPr="005A0F57">
        <w:rPr>
          <w:rFonts w:ascii="Times New Roman" w:hAnsi="Times New Roman"/>
          <w:i/>
          <w:iCs/>
          <w:sz w:val="24"/>
          <w:szCs w:val="24"/>
        </w:rPr>
        <w:t>«Frères ou sont vos purs visages d'apôtres»</w:t>
      </w:r>
      <w:r w:rsidR="00887EEB">
        <w:rPr>
          <w:rFonts w:ascii="Times New Roman" w:hAnsi="Times New Roman"/>
          <w:i/>
          <w:iCs/>
          <w:sz w:val="24"/>
          <w:szCs w:val="24"/>
        </w:rPr>
        <w:t>.</w:t>
      </w:r>
      <w:r w:rsidRPr="005A0F57">
        <w:rPr>
          <w:rFonts w:ascii="Times New Roman" w:hAnsi="Times New Roman"/>
          <w:sz w:val="32"/>
          <w:szCs w:val="32"/>
        </w:rPr>
        <w:t xml:space="preserve"> </w:t>
      </w:r>
    </w:p>
    <w:p w:rsidR="006A4EED" w:rsidRPr="003B00C8" w:rsidRDefault="006A4EED" w:rsidP="00887EEB">
      <w:pPr>
        <w:spacing w:after="0" w:line="360" w:lineRule="auto"/>
        <w:ind w:firstLine="284"/>
        <w:jc w:val="both"/>
        <w:rPr>
          <w:rFonts w:ascii="Times New Roman" w:hAnsi="Times New Roman"/>
          <w:sz w:val="20"/>
          <w:szCs w:val="20"/>
        </w:rPr>
      </w:pPr>
      <w:r w:rsidRPr="003B00C8">
        <w:rPr>
          <w:rFonts w:ascii="Times New Roman" w:hAnsi="Times New Roman"/>
          <w:sz w:val="24"/>
          <w:szCs w:val="24"/>
        </w:rPr>
        <w:t>Ou</w:t>
      </w:r>
      <w:r w:rsidR="004E22D0">
        <w:rPr>
          <w:rFonts w:ascii="Times New Roman" w:hAnsi="Times New Roman"/>
          <w:sz w:val="24"/>
          <w:szCs w:val="24"/>
        </w:rPr>
        <w:t>, toujours dans la même page,</w:t>
      </w:r>
      <w:r w:rsidRPr="003B00C8">
        <w:rPr>
          <w:rFonts w:ascii="Times New Roman" w:hAnsi="Times New Roman"/>
          <w:sz w:val="24"/>
          <w:szCs w:val="24"/>
        </w:rPr>
        <w:t xml:space="preserve"> lors de la réunion des apôtres</w:t>
      </w:r>
      <w:r>
        <w:rPr>
          <w:rFonts w:ascii="Times New Roman" w:hAnsi="Times New Roman"/>
          <w:sz w:val="24"/>
          <w:szCs w:val="24"/>
        </w:rPr>
        <w:t xml:space="preserve"> : </w:t>
      </w:r>
      <w:r w:rsidRPr="005A0F57">
        <w:rPr>
          <w:rFonts w:ascii="Times New Roman" w:hAnsi="Times New Roman"/>
          <w:i/>
          <w:iCs/>
          <w:sz w:val="24"/>
          <w:szCs w:val="24"/>
        </w:rPr>
        <w:t>« Nous reconnaîtrons nos frères à leurs masques»</w:t>
      </w:r>
      <w:r w:rsidR="00887EEB">
        <w:rPr>
          <w:rFonts w:ascii="Times New Roman" w:hAnsi="Times New Roman"/>
          <w:i/>
          <w:iCs/>
          <w:sz w:val="24"/>
          <w:szCs w:val="24"/>
        </w:rPr>
        <w:t>.</w:t>
      </w:r>
      <w:r w:rsidRPr="005A0F57">
        <w:rPr>
          <w:rFonts w:ascii="Times New Roman" w:hAnsi="Times New Roman"/>
          <w:i/>
          <w:iCs/>
          <w:sz w:val="32"/>
          <w:szCs w:val="32"/>
        </w:rPr>
        <w:t xml:space="preserve"> </w:t>
      </w:r>
    </w:p>
    <w:p w:rsidR="006A4EED" w:rsidRPr="00887EEB" w:rsidRDefault="006A4EED" w:rsidP="00887EEB">
      <w:pPr>
        <w:spacing w:after="0" w:line="360" w:lineRule="auto"/>
        <w:ind w:firstLine="284"/>
        <w:jc w:val="both"/>
        <w:rPr>
          <w:rFonts w:asciiTheme="majorBidi" w:hAnsiTheme="majorBidi" w:cstheme="majorBidi"/>
          <w:sz w:val="24"/>
          <w:szCs w:val="24"/>
        </w:rPr>
      </w:pPr>
      <w:r w:rsidRPr="00887EEB">
        <w:rPr>
          <w:rFonts w:ascii="Times New Roman" w:hAnsi="Times New Roman"/>
          <w:sz w:val="24"/>
          <w:szCs w:val="24"/>
        </w:rPr>
        <w:t>Pour Bakhtine </w:t>
      </w:r>
      <w:r w:rsidRPr="00887EEB">
        <w:rPr>
          <w:rFonts w:asciiTheme="majorBidi" w:hAnsiTheme="majorBidi" w:cstheme="majorBidi"/>
          <w:sz w:val="24"/>
          <w:szCs w:val="24"/>
        </w:rPr>
        <w:t>: « Le masque arraché à l'unité de la vision populaire et carnavalesque qui s'appauvrit et acquiert de nombreuses significations ; il trompe, il dissimule et cèle»</w:t>
      </w:r>
      <w:r w:rsidRPr="00887EEB">
        <w:rPr>
          <w:rStyle w:val="Appelnotedebasdep"/>
          <w:rFonts w:asciiTheme="majorBidi" w:hAnsiTheme="majorBidi" w:cstheme="majorBidi"/>
          <w:sz w:val="24"/>
          <w:szCs w:val="24"/>
        </w:rPr>
        <w:footnoteReference w:id="290"/>
      </w:r>
      <w:r w:rsidR="00887EEB">
        <w:rPr>
          <w:rFonts w:asciiTheme="majorBidi" w:hAnsiTheme="majorBidi" w:cstheme="majorBidi"/>
          <w:sz w:val="24"/>
          <w:szCs w:val="24"/>
        </w:rPr>
        <w:t>.</w:t>
      </w:r>
      <w:r w:rsidRPr="00887EEB">
        <w:rPr>
          <w:rFonts w:asciiTheme="majorBidi" w:hAnsiTheme="majorBidi" w:cstheme="majorBidi"/>
          <w:sz w:val="24"/>
          <w:szCs w:val="24"/>
        </w:rPr>
        <w:t xml:space="preserve"> </w:t>
      </w:r>
    </w:p>
    <w:p w:rsidR="006A4EED" w:rsidRPr="00887EEB" w:rsidRDefault="006A4EED" w:rsidP="00887EEB">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George Bataille a peut être illustré le mieux ce masque qui cache le véritable, la vérité celle de ces apôtres qui ont dénié leur maîtres et fuient la vindicte populaire</w:t>
      </w:r>
      <w:r w:rsidRPr="00887EEB">
        <w:rPr>
          <w:rFonts w:asciiTheme="majorBidi" w:hAnsiTheme="majorBidi" w:cstheme="majorBidi"/>
          <w:sz w:val="24"/>
          <w:szCs w:val="24"/>
        </w:rPr>
        <w:t>.</w:t>
      </w:r>
      <w:r w:rsidR="00887EEB" w:rsidRPr="00887EEB">
        <w:rPr>
          <w:rFonts w:asciiTheme="majorBidi" w:hAnsiTheme="majorBidi" w:cstheme="majorBidi"/>
          <w:sz w:val="24"/>
          <w:szCs w:val="24"/>
        </w:rPr>
        <w:t xml:space="preserve"> « </w:t>
      </w:r>
      <w:r w:rsidRPr="00887EEB">
        <w:rPr>
          <w:rFonts w:asciiTheme="majorBidi" w:hAnsiTheme="majorBidi" w:cstheme="majorBidi"/>
          <w:sz w:val="24"/>
          <w:szCs w:val="24"/>
        </w:rPr>
        <w:t>Ce qui est communiqué dans l'accord des visages ouverts est la stabilité rassurante de l'ordre instauré à la surface claire du sol entre les hommes. Mais quand le visage se ferme et se couvre d'un masque il n’y'a plus de stabilité ni de sol</w:t>
      </w:r>
      <w:r w:rsidR="00887EEB">
        <w:rPr>
          <w:rFonts w:asciiTheme="majorBidi" w:hAnsiTheme="majorBidi" w:cstheme="majorBidi"/>
          <w:sz w:val="24"/>
          <w:szCs w:val="24"/>
        </w:rPr>
        <w:t> »</w:t>
      </w:r>
      <w:r w:rsidRPr="00887EEB">
        <w:rPr>
          <w:rFonts w:asciiTheme="majorBidi" w:hAnsiTheme="majorBidi" w:cstheme="majorBidi"/>
          <w:sz w:val="24"/>
          <w:szCs w:val="24"/>
          <w:vertAlign w:val="superscript"/>
        </w:rPr>
        <w:footnoteReference w:id="291"/>
      </w:r>
      <w:r w:rsidR="00887EEB">
        <w:rPr>
          <w:rFonts w:asciiTheme="majorBidi" w:hAnsiTheme="majorBidi" w:cstheme="majorBidi"/>
          <w:sz w:val="24"/>
          <w:szCs w:val="24"/>
        </w:rPr>
        <w:t>.</w:t>
      </w:r>
    </w:p>
    <w:p w:rsidR="006A4EED" w:rsidRPr="003B00C8" w:rsidRDefault="006A4EED" w:rsidP="00887EEB">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masque communique donc l'incertitude mais aussi les changements subis, imprévisibles et aussi impossibles à supporter par les apôtres, compagnons de Jésus.</w:t>
      </w:r>
    </w:p>
    <w:p w:rsidR="00587201" w:rsidRDefault="00587201" w:rsidP="00887EEB">
      <w:pPr>
        <w:pStyle w:val="Titre6"/>
        <w:spacing w:before="0" w:after="0" w:line="360" w:lineRule="auto"/>
        <w:ind w:firstLine="284"/>
        <w:jc w:val="both"/>
        <w:rPr>
          <w:b/>
          <w:bCs w:val="0"/>
          <w:i w:val="0"/>
          <w:iCs/>
          <w:sz w:val="24"/>
          <w:szCs w:val="24"/>
        </w:rPr>
      </w:pPr>
    </w:p>
    <w:p w:rsidR="006A4EED" w:rsidRPr="00887EEB" w:rsidRDefault="006A4EED" w:rsidP="00887EEB">
      <w:pPr>
        <w:pStyle w:val="Titre6"/>
        <w:spacing w:before="0" w:after="0" w:line="360" w:lineRule="auto"/>
        <w:ind w:firstLine="284"/>
        <w:jc w:val="both"/>
        <w:rPr>
          <w:b/>
          <w:bCs w:val="0"/>
          <w:i w:val="0"/>
          <w:iCs/>
          <w:sz w:val="24"/>
          <w:szCs w:val="24"/>
        </w:rPr>
      </w:pPr>
      <w:r w:rsidRPr="00887EEB">
        <w:rPr>
          <w:b/>
          <w:bCs w:val="0"/>
          <w:i w:val="0"/>
          <w:iCs/>
          <w:sz w:val="24"/>
          <w:szCs w:val="24"/>
        </w:rPr>
        <w:lastRenderedPageBreak/>
        <w:t xml:space="preserve">Le travestissement  </w:t>
      </w:r>
    </w:p>
    <w:p w:rsidR="006A4EED" w:rsidRPr="00C46FB6" w:rsidRDefault="006A4EED" w:rsidP="00232CBD">
      <w:pPr>
        <w:spacing w:after="0" w:line="360" w:lineRule="auto"/>
        <w:ind w:firstLine="284"/>
        <w:jc w:val="both"/>
        <w:rPr>
          <w:rFonts w:ascii="Times New Roman" w:hAnsi="Times New Roman"/>
          <w:sz w:val="20"/>
          <w:szCs w:val="20"/>
        </w:rPr>
      </w:pPr>
      <w:r w:rsidRPr="003B00C8">
        <w:rPr>
          <w:rFonts w:ascii="Times New Roman" w:hAnsi="Times New Roman"/>
          <w:sz w:val="24"/>
          <w:szCs w:val="24"/>
        </w:rPr>
        <w:t>C'est une forme carnavalesque représentative du rabaissement et du découronnement. Elle est illustrée à la page 73 ou Hérode faussement ingénu répond à Pilate sur l'accoutrement qu'il a mis au Christ dans son transfert à la prison.</w:t>
      </w:r>
      <w:r w:rsidR="00232CBD">
        <w:rPr>
          <w:rFonts w:ascii="Times New Roman" w:hAnsi="Times New Roman"/>
          <w:sz w:val="24"/>
          <w:szCs w:val="24"/>
        </w:rPr>
        <w:t xml:space="preserve"> </w:t>
      </w:r>
      <w:r w:rsidR="00232CBD" w:rsidRPr="00232CBD">
        <w:rPr>
          <w:rFonts w:asciiTheme="majorBidi" w:hAnsiTheme="majorBidi" w:cstheme="majorBidi"/>
          <w:sz w:val="24"/>
          <w:szCs w:val="24"/>
        </w:rPr>
        <w:t>«</w:t>
      </w:r>
      <w:r w:rsidRPr="00232CBD">
        <w:rPr>
          <w:rFonts w:asciiTheme="majorBidi" w:hAnsiTheme="majorBidi" w:cstheme="majorBidi"/>
          <w:i/>
          <w:sz w:val="24"/>
          <w:szCs w:val="24"/>
        </w:rPr>
        <w:t>Quoi ? Ce qu'Hérode envoya à Pilate? Le Galiléen, je pensais que ce personnage Funambulesque allait le divertir ? Quel sort lui réserver ? Sinon l'habiller de la robe des fous c'est   dans ce costume que je te l'ai envoyé</w:t>
      </w:r>
      <w:r w:rsidRPr="00232CBD">
        <w:rPr>
          <w:rFonts w:asciiTheme="majorBidi" w:hAnsiTheme="majorBidi" w:cstheme="majorBidi"/>
          <w:iCs/>
          <w:sz w:val="24"/>
          <w:szCs w:val="24"/>
        </w:rPr>
        <w:t>.</w:t>
      </w:r>
      <w:r w:rsidR="00232CBD">
        <w:rPr>
          <w:rFonts w:asciiTheme="majorBidi" w:hAnsiTheme="majorBidi" w:cstheme="majorBidi"/>
          <w:iCs/>
          <w:sz w:val="24"/>
          <w:szCs w:val="24"/>
        </w:rPr>
        <w:t> »</w:t>
      </w:r>
      <w:r w:rsidRPr="00232CBD">
        <w:rPr>
          <w:rFonts w:asciiTheme="majorBidi" w:hAnsiTheme="majorBidi" w:cstheme="majorBidi"/>
          <w:sz w:val="24"/>
          <w:szCs w:val="24"/>
        </w:rPr>
        <w:t xml:space="preserve"> </w:t>
      </w:r>
      <w:r w:rsidR="00C46FB6" w:rsidRPr="00232CBD">
        <w:rPr>
          <w:rFonts w:asciiTheme="majorBidi" w:hAnsiTheme="majorBidi" w:cstheme="majorBidi"/>
          <w:iCs/>
          <w:sz w:val="24"/>
          <w:szCs w:val="24"/>
          <w:lang w:eastAsia="fr-FR"/>
        </w:rPr>
        <w:t>(</w:t>
      </w:r>
      <w:r w:rsidR="00232CBD">
        <w:rPr>
          <w:rFonts w:asciiTheme="majorBidi" w:hAnsiTheme="majorBidi" w:cstheme="majorBidi"/>
          <w:i/>
          <w:sz w:val="24"/>
          <w:szCs w:val="24"/>
          <w:lang w:eastAsia="fr-FR"/>
        </w:rPr>
        <w:t xml:space="preserve">Ibid, </w:t>
      </w:r>
      <w:r w:rsidR="00C46FB6" w:rsidRPr="00232CBD">
        <w:rPr>
          <w:rFonts w:asciiTheme="majorBidi" w:hAnsiTheme="majorBidi" w:cstheme="majorBidi"/>
          <w:iCs/>
          <w:sz w:val="24"/>
          <w:szCs w:val="24"/>
          <w:lang w:eastAsia="fr-FR"/>
        </w:rPr>
        <w:t>p.73)</w:t>
      </w:r>
      <w:r w:rsidR="00232CBD">
        <w:rPr>
          <w:rFonts w:asciiTheme="majorBidi" w:hAnsiTheme="majorBidi" w:cstheme="majorBidi"/>
          <w:iCs/>
          <w:sz w:val="24"/>
          <w:szCs w:val="24"/>
          <w:lang w:eastAsia="fr-FR"/>
        </w:rPr>
        <w:t>.</w:t>
      </w:r>
      <w:r w:rsidR="00C46FB6" w:rsidRPr="00C46FB6">
        <w:rPr>
          <w:iCs/>
          <w:sz w:val="20"/>
          <w:szCs w:val="20"/>
          <w:lang w:eastAsia="fr-FR"/>
        </w:rPr>
        <w:t xml:space="preserve">   </w:t>
      </w:r>
    </w:p>
    <w:p w:rsidR="006A4EED" w:rsidRPr="00057473" w:rsidRDefault="006A4EED" w:rsidP="00057473">
      <w:pPr>
        <w:spacing w:after="0" w:line="360" w:lineRule="auto"/>
        <w:ind w:firstLine="284"/>
        <w:jc w:val="both"/>
        <w:rPr>
          <w:rFonts w:ascii="Times New Roman" w:hAnsi="Times New Roman"/>
          <w:iCs/>
          <w:sz w:val="24"/>
          <w:szCs w:val="24"/>
        </w:rPr>
      </w:pPr>
      <w:r w:rsidRPr="003B00C8">
        <w:rPr>
          <w:rFonts w:ascii="Times New Roman" w:hAnsi="Times New Roman"/>
          <w:sz w:val="24"/>
          <w:szCs w:val="24"/>
        </w:rPr>
        <w:t>Le travestissement du Christ est amplifié lors de sa présentation devant la foule et que la didascalie décrit</w:t>
      </w:r>
      <w:r>
        <w:rPr>
          <w:rFonts w:ascii="Times New Roman" w:hAnsi="Times New Roman"/>
          <w:sz w:val="24"/>
          <w:szCs w:val="24"/>
        </w:rPr>
        <w:t> </w:t>
      </w:r>
      <w:r w:rsidRPr="00057473">
        <w:rPr>
          <w:rFonts w:ascii="Times New Roman" w:hAnsi="Times New Roman"/>
          <w:sz w:val="24"/>
          <w:szCs w:val="24"/>
        </w:rPr>
        <w:t xml:space="preserve">: </w:t>
      </w:r>
      <w:r w:rsidR="00057473" w:rsidRPr="00057473">
        <w:rPr>
          <w:rFonts w:ascii="Times New Roman" w:hAnsi="Times New Roman"/>
          <w:sz w:val="24"/>
          <w:szCs w:val="24"/>
        </w:rPr>
        <w:t>« </w:t>
      </w:r>
      <w:r w:rsidR="00057473" w:rsidRPr="00057473">
        <w:rPr>
          <w:rFonts w:ascii="Times New Roman" w:hAnsi="Times New Roman"/>
          <w:i/>
          <w:iCs/>
          <w:sz w:val="24"/>
          <w:szCs w:val="24"/>
        </w:rPr>
        <w:t>À</w:t>
      </w:r>
      <w:r w:rsidRPr="00057473">
        <w:rPr>
          <w:rFonts w:ascii="Times New Roman" w:hAnsi="Times New Roman"/>
          <w:i/>
          <w:iCs/>
          <w:sz w:val="24"/>
          <w:szCs w:val="24"/>
        </w:rPr>
        <w:t xml:space="preserve"> ce moment est ramené le Christ [...] hideusement couronné d'épines, le roseau entre ses mains ligotés</w:t>
      </w:r>
      <w:r w:rsidRPr="00057473">
        <w:rPr>
          <w:rFonts w:ascii="Times New Roman" w:hAnsi="Times New Roman"/>
          <w:iCs/>
          <w:sz w:val="24"/>
          <w:szCs w:val="24"/>
        </w:rPr>
        <w:t xml:space="preserve">.» </w:t>
      </w:r>
      <w:r w:rsidR="00C46FB6" w:rsidRPr="00057473">
        <w:rPr>
          <w:rFonts w:ascii="Times New Roman" w:hAnsi="Times New Roman"/>
          <w:iCs/>
          <w:sz w:val="24"/>
          <w:szCs w:val="24"/>
        </w:rPr>
        <w:t>(</w:t>
      </w:r>
      <w:r w:rsidR="00057473">
        <w:rPr>
          <w:rFonts w:ascii="Times New Roman" w:hAnsi="Times New Roman"/>
          <w:i/>
          <w:sz w:val="24"/>
          <w:szCs w:val="24"/>
        </w:rPr>
        <w:t xml:space="preserve">Ibid, </w:t>
      </w:r>
      <w:r w:rsidR="00C46FB6" w:rsidRPr="00057473">
        <w:rPr>
          <w:rFonts w:ascii="Times New Roman" w:hAnsi="Times New Roman"/>
          <w:iCs/>
          <w:sz w:val="24"/>
          <w:szCs w:val="24"/>
        </w:rPr>
        <w:t>p.86)</w:t>
      </w:r>
      <w:r w:rsidR="00057473">
        <w:rPr>
          <w:rFonts w:ascii="Times New Roman" w:hAnsi="Times New Roman"/>
          <w:iCs/>
          <w:sz w:val="24"/>
          <w:szCs w:val="24"/>
        </w:rPr>
        <w:t>.</w:t>
      </w:r>
      <w:r w:rsidR="00C46FB6" w:rsidRPr="00057473">
        <w:rPr>
          <w:rFonts w:ascii="Times New Roman" w:hAnsi="Times New Roman"/>
          <w:iCs/>
          <w:sz w:val="24"/>
          <w:szCs w:val="24"/>
        </w:rPr>
        <w:t xml:space="preserve">   </w:t>
      </w:r>
    </w:p>
    <w:p w:rsidR="006A4EED" w:rsidRPr="00CE3FA8" w:rsidRDefault="006A4EED" w:rsidP="00CE3FA8">
      <w:pPr>
        <w:spacing w:after="0" w:line="360" w:lineRule="auto"/>
        <w:ind w:firstLine="284"/>
        <w:jc w:val="both"/>
        <w:rPr>
          <w:rFonts w:ascii="Times New Roman" w:hAnsi="Times New Roman"/>
          <w:iCs/>
          <w:sz w:val="24"/>
          <w:szCs w:val="24"/>
        </w:rPr>
      </w:pPr>
      <w:r w:rsidRPr="00CE3FA8">
        <w:rPr>
          <w:rFonts w:ascii="Times New Roman" w:hAnsi="Times New Roman"/>
          <w:sz w:val="24"/>
          <w:szCs w:val="24"/>
        </w:rPr>
        <w:t>L'obscénité est un trait qui se manifeste dans le déguisement, elle est essentielle dans l'activité carnavalesque. Ce que souligne Hérode en apostrophant Pilate à propos du Christ sur l'accoutrement du travestissement du Christ </w:t>
      </w:r>
      <w:r w:rsidR="007E06F2" w:rsidRPr="00CE3FA8">
        <w:rPr>
          <w:rFonts w:ascii="Times New Roman" w:hAnsi="Times New Roman"/>
          <w:i/>
          <w:iCs/>
          <w:sz w:val="24"/>
          <w:szCs w:val="24"/>
        </w:rPr>
        <w:t xml:space="preserve">: </w:t>
      </w:r>
      <w:r w:rsidR="00CE3FA8">
        <w:rPr>
          <w:rFonts w:ascii="Times New Roman" w:hAnsi="Times New Roman"/>
          <w:i/>
          <w:iCs/>
          <w:sz w:val="24"/>
          <w:szCs w:val="24"/>
        </w:rPr>
        <w:t>« </w:t>
      </w:r>
      <w:r w:rsidRPr="00CE3FA8">
        <w:rPr>
          <w:rFonts w:ascii="Times New Roman" w:hAnsi="Times New Roman"/>
          <w:i/>
          <w:sz w:val="24"/>
          <w:szCs w:val="24"/>
        </w:rPr>
        <w:t>Il est vraiment royal il a reçu en outrages ce que les vrais rois reçoivent en flatteries</w:t>
      </w:r>
      <w:r w:rsidRPr="00CE3FA8">
        <w:rPr>
          <w:rFonts w:ascii="Times New Roman" w:hAnsi="Times New Roman"/>
          <w:iCs/>
          <w:sz w:val="24"/>
          <w:szCs w:val="24"/>
        </w:rPr>
        <w:t xml:space="preserve">» </w:t>
      </w:r>
      <w:r w:rsidR="00C46FB6" w:rsidRPr="00CE3FA8">
        <w:rPr>
          <w:rFonts w:ascii="Times New Roman" w:hAnsi="Times New Roman"/>
          <w:iCs/>
          <w:sz w:val="24"/>
          <w:szCs w:val="24"/>
        </w:rPr>
        <w:t>(</w:t>
      </w:r>
      <w:r w:rsidR="00CE3FA8">
        <w:rPr>
          <w:rFonts w:ascii="Times New Roman" w:hAnsi="Times New Roman"/>
          <w:i/>
          <w:sz w:val="24"/>
          <w:szCs w:val="24"/>
        </w:rPr>
        <w:t xml:space="preserve">Ibid, </w:t>
      </w:r>
      <w:r w:rsidR="00C46FB6" w:rsidRPr="00CE3FA8">
        <w:rPr>
          <w:rFonts w:ascii="Times New Roman" w:hAnsi="Times New Roman"/>
          <w:iCs/>
          <w:sz w:val="24"/>
          <w:szCs w:val="24"/>
        </w:rPr>
        <w:t>p.86)</w:t>
      </w:r>
      <w:r w:rsidR="00CE3FA8">
        <w:rPr>
          <w:rFonts w:ascii="Times New Roman" w:hAnsi="Times New Roman"/>
          <w:iCs/>
          <w:sz w:val="24"/>
          <w:szCs w:val="24"/>
        </w:rPr>
        <w:t>.</w:t>
      </w:r>
      <w:r w:rsidR="00C46FB6" w:rsidRPr="00CE3FA8">
        <w:rPr>
          <w:rFonts w:ascii="Times New Roman" w:hAnsi="Times New Roman"/>
          <w:iCs/>
          <w:sz w:val="24"/>
          <w:szCs w:val="24"/>
        </w:rPr>
        <w:t xml:space="preserve">   </w:t>
      </w:r>
    </w:p>
    <w:p w:rsidR="006A4EED" w:rsidRPr="003B00C8" w:rsidRDefault="006A4EED" w:rsidP="00276F6B">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carnaval est un moment de rupture avec la continuité de la cohérence de la vie ordinaire. Cette dernière  va  se  régénérer  en  renversant  les</w:t>
      </w:r>
      <w:r w:rsidR="00276F6B">
        <w:rPr>
          <w:rFonts w:ascii="Times New Roman" w:hAnsi="Times New Roman"/>
          <w:sz w:val="24"/>
          <w:szCs w:val="24"/>
        </w:rPr>
        <w:t xml:space="preserve"> </w:t>
      </w:r>
      <w:r w:rsidRPr="003B00C8">
        <w:rPr>
          <w:rFonts w:ascii="Times New Roman" w:hAnsi="Times New Roman"/>
          <w:sz w:val="24"/>
          <w:szCs w:val="24"/>
        </w:rPr>
        <w:t>«interdits», le découronnement et le travestissement du Christ en est un.</w:t>
      </w:r>
      <w:r>
        <w:rPr>
          <w:rFonts w:ascii="Times New Roman" w:hAnsi="Times New Roman"/>
          <w:sz w:val="24"/>
          <w:szCs w:val="24"/>
        </w:rPr>
        <w:t xml:space="preserve"> </w:t>
      </w:r>
      <w:r w:rsidRPr="003B00C8">
        <w:rPr>
          <w:rFonts w:ascii="Times New Roman" w:hAnsi="Times New Roman"/>
          <w:sz w:val="24"/>
          <w:szCs w:val="24"/>
        </w:rPr>
        <w:t xml:space="preserve">Il fait éclater la barrière entre le haut spirituel et le bas corporel entre </w:t>
      </w:r>
      <w:r>
        <w:rPr>
          <w:rFonts w:ascii="Times New Roman" w:hAnsi="Times New Roman"/>
          <w:sz w:val="24"/>
          <w:szCs w:val="24"/>
        </w:rPr>
        <w:t>l</w:t>
      </w:r>
      <w:r w:rsidRPr="003B00C8">
        <w:rPr>
          <w:rFonts w:ascii="Times New Roman" w:hAnsi="Times New Roman"/>
          <w:sz w:val="24"/>
          <w:szCs w:val="24"/>
        </w:rPr>
        <w:t>e bien et le mal, le jeu et le sérieux.</w:t>
      </w:r>
    </w:p>
    <w:p w:rsidR="006A4EED" w:rsidRPr="00276F6B" w:rsidRDefault="006A4EED" w:rsidP="00276F6B">
      <w:pPr>
        <w:pStyle w:val="Titre6"/>
        <w:spacing w:before="0" w:after="0" w:line="360" w:lineRule="auto"/>
        <w:ind w:firstLine="284"/>
        <w:jc w:val="both"/>
        <w:rPr>
          <w:b/>
          <w:bCs w:val="0"/>
          <w:i w:val="0"/>
          <w:iCs/>
          <w:sz w:val="24"/>
          <w:szCs w:val="24"/>
        </w:rPr>
      </w:pPr>
      <w:r w:rsidRPr="00276F6B">
        <w:rPr>
          <w:b/>
          <w:bCs w:val="0"/>
          <w:i w:val="0"/>
          <w:iCs/>
          <w:sz w:val="24"/>
          <w:szCs w:val="24"/>
        </w:rPr>
        <w:t>L’inversion et la substitution</w:t>
      </w:r>
    </w:p>
    <w:p w:rsidR="006A4EED" w:rsidRPr="007E06F2" w:rsidRDefault="006A4EED" w:rsidP="00276F6B">
      <w:pPr>
        <w:spacing w:after="0" w:line="360" w:lineRule="auto"/>
        <w:ind w:firstLine="284"/>
        <w:jc w:val="both"/>
        <w:rPr>
          <w:rFonts w:ascii="Times New Roman" w:hAnsi="Times New Roman"/>
          <w:sz w:val="10"/>
          <w:szCs w:val="10"/>
          <w:lang w:eastAsia="fr-FR"/>
        </w:rPr>
      </w:pPr>
      <w:r w:rsidRPr="003B00C8">
        <w:rPr>
          <w:rFonts w:ascii="Times New Roman" w:hAnsi="Times New Roman"/>
          <w:sz w:val="24"/>
          <w:szCs w:val="24"/>
        </w:rPr>
        <w:t xml:space="preserve">«Le monde à l'envers» est l'essence même de la sémiotique du grotesque chez Ghelderode. Le thème de la pièce </w:t>
      </w:r>
      <w:r w:rsidRPr="003B00C8">
        <w:rPr>
          <w:rFonts w:ascii="Times New Roman" w:hAnsi="Times New Roman"/>
          <w:i/>
          <w:sz w:val="24"/>
          <w:szCs w:val="24"/>
        </w:rPr>
        <w:t>Bara</w:t>
      </w:r>
      <w:r w:rsidR="007E06F2">
        <w:rPr>
          <w:rFonts w:ascii="Times New Roman" w:hAnsi="Times New Roman"/>
          <w:i/>
          <w:sz w:val="24"/>
          <w:szCs w:val="24"/>
        </w:rPr>
        <w:t>b</w:t>
      </w:r>
      <w:r w:rsidRPr="003B00C8">
        <w:rPr>
          <w:rFonts w:ascii="Times New Roman" w:hAnsi="Times New Roman"/>
          <w:i/>
          <w:sz w:val="24"/>
          <w:szCs w:val="24"/>
        </w:rPr>
        <w:t>bas</w:t>
      </w:r>
      <w:r w:rsidRPr="003B00C8">
        <w:rPr>
          <w:rFonts w:ascii="Times New Roman" w:hAnsi="Times New Roman"/>
          <w:sz w:val="24"/>
          <w:szCs w:val="24"/>
        </w:rPr>
        <w:t xml:space="preserve"> repose essentiellement sur cette inversion dans les rapports qui unissent les personnages. Cette logique des choses à l'envers est illustrée par les permutations constantes du haut et du bas, par les rabaissements, les profanations et par les formes les plus diverses du parodique et du travestissement. Ce monde second s'édifie comme une parodie du vrai monde</w:t>
      </w:r>
      <w:r w:rsidR="00276F6B">
        <w:rPr>
          <w:rFonts w:ascii="Times New Roman" w:hAnsi="Times New Roman"/>
          <w:sz w:val="24"/>
          <w:szCs w:val="24"/>
        </w:rPr>
        <w:t>.</w:t>
      </w:r>
    </w:p>
    <w:p w:rsidR="006A4EED" w:rsidRPr="003B00C8" w:rsidRDefault="006A4EED" w:rsidP="00276F6B">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monde ou se déroule les événements de la pièce, ressemble à ce ‹‹Monde à I ' envers» qui s'installe pendant le carnaval et qui est son essence.</w:t>
      </w:r>
    </w:p>
    <w:p w:rsidR="006A4EED" w:rsidRPr="00276F6B" w:rsidRDefault="006A4EED" w:rsidP="00276F6B">
      <w:pPr>
        <w:spacing w:after="0" w:line="360" w:lineRule="auto"/>
        <w:ind w:firstLine="284"/>
        <w:jc w:val="both"/>
        <w:rPr>
          <w:rFonts w:ascii="Times New Roman" w:hAnsi="Times New Roman"/>
          <w:iCs/>
          <w:sz w:val="24"/>
          <w:szCs w:val="24"/>
        </w:rPr>
      </w:pPr>
      <w:r w:rsidRPr="00276F6B">
        <w:rPr>
          <w:rFonts w:ascii="Times New Roman" w:hAnsi="Times New Roman"/>
          <w:sz w:val="24"/>
          <w:szCs w:val="24"/>
        </w:rPr>
        <w:t xml:space="preserve">L'ordre logique des choses est inversé. Barabbas le brigand, le meurtrier est libéré tandis que Jésus l'innocent « Le roi des juifs» est condamné au supplice : </w:t>
      </w:r>
      <w:r w:rsidR="00276F6B">
        <w:rPr>
          <w:rFonts w:ascii="Times New Roman" w:hAnsi="Times New Roman"/>
          <w:sz w:val="24"/>
          <w:szCs w:val="24"/>
        </w:rPr>
        <w:t>« </w:t>
      </w:r>
      <w:r w:rsidRPr="00276F6B">
        <w:rPr>
          <w:rFonts w:ascii="Times New Roman" w:hAnsi="Times New Roman"/>
          <w:i/>
          <w:sz w:val="24"/>
          <w:szCs w:val="24"/>
        </w:rPr>
        <w:t>Je suis le roi des assassins et l'on me réhabilite, l'autre est le roi des juifs, on l'exécute. C'est comique.</w:t>
      </w:r>
      <w:r w:rsidRPr="00276F6B">
        <w:rPr>
          <w:rFonts w:ascii="Times New Roman" w:hAnsi="Times New Roman"/>
          <w:iCs/>
          <w:sz w:val="24"/>
          <w:szCs w:val="24"/>
        </w:rPr>
        <w:t xml:space="preserve">» </w:t>
      </w:r>
      <w:r w:rsidR="00BC11B4" w:rsidRPr="00276F6B">
        <w:rPr>
          <w:rFonts w:ascii="Times New Roman" w:hAnsi="Times New Roman"/>
          <w:iCs/>
          <w:sz w:val="24"/>
          <w:szCs w:val="24"/>
        </w:rPr>
        <w:t>(</w:t>
      </w:r>
      <w:r w:rsidR="00276F6B">
        <w:rPr>
          <w:rFonts w:ascii="Times New Roman" w:hAnsi="Times New Roman"/>
          <w:i/>
          <w:sz w:val="24"/>
          <w:szCs w:val="24"/>
        </w:rPr>
        <w:t xml:space="preserve">Ibid, </w:t>
      </w:r>
      <w:r w:rsidR="00BC11B4" w:rsidRPr="00276F6B">
        <w:rPr>
          <w:rFonts w:ascii="Times New Roman" w:hAnsi="Times New Roman"/>
          <w:iCs/>
          <w:sz w:val="24"/>
          <w:szCs w:val="24"/>
        </w:rPr>
        <w:t>p.109)</w:t>
      </w:r>
      <w:r w:rsidR="00276F6B">
        <w:rPr>
          <w:rFonts w:ascii="Times New Roman" w:hAnsi="Times New Roman"/>
          <w:iCs/>
          <w:sz w:val="24"/>
          <w:szCs w:val="24"/>
        </w:rPr>
        <w:t>.</w:t>
      </w:r>
      <w:r w:rsidR="00BC11B4" w:rsidRPr="00276F6B">
        <w:rPr>
          <w:rFonts w:ascii="Times New Roman" w:hAnsi="Times New Roman"/>
          <w:iCs/>
          <w:sz w:val="24"/>
          <w:szCs w:val="24"/>
        </w:rPr>
        <w:t xml:space="preserve">   </w:t>
      </w:r>
    </w:p>
    <w:p w:rsidR="006A4EED" w:rsidRPr="003B00C8" w:rsidRDefault="006A4EED" w:rsidP="007E125E">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L'intronisation bouffonne suivie de la destitution du roi est le principal acte carnavalesque dans le monde du carnaval, c'est aussi l'image du roi éphémère qui incarne la philosophie du carnaval et qui le distingue des autres fêtes.</w:t>
      </w:r>
    </w:p>
    <w:p w:rsidR="006A4EED" w:rsidRPr="003B00C8" w:rsidRDefault="006A4EED" w:rsidP="007E125E">
      <w:pPr>
        <w:spacing w:after="0" w:line="360" w:lineRule="auto"/>
        <w:ind w:firstLine="284"/>
        <w:jc w:val="both"/>
        <w:rPr>
          <w:rFonts w:ascii="Times New Roman" w:hAnsi="Times New Roman"/>
          <w:sz w:val="24"/>
          <w:szCs w:val="24"/>
        </w:rPr>
      </w:pPr>
      <w:r w:rsidRPr="003B00C8">
        <w:rPr>
          <w:rFonts w:ascii="Times New Roman" w:hAnsi="Times New Roman"/>
          <w:sz w:val="24"/>
          <w:szCs w:val="24"/>
        </w:rPr>
        <w:t>Dans l'acte I</w:t>
      </w:r>
      <w:r w:rsidR="007E125E">
        <w:rPr>
          <w:rFonts w:ascii="Times New Roman" w:hAnsi="Times New Roman"/>
          <w:sz w:val="24"/>
          <w:szCs w:val="24"/>
        </w:rPr>
        <w:t xml:space="preserve">, </w:t>
      </w:r>
      <w:r w:rsidRPr="003B00C8">
        <w:rPr>
          <w:rFonts w:ascii="Times New Roman" w:hAnsi="Times New Roman"/>
          <w:sz w:val="24"/>
          <w:szCs w:val="24"/>
        </w:rPr>
        <w:t>Barabbas et Jésus sont présentés à la foule par le chef des prêtres Caïphe. Cette dernière va décider comme l'exige la coutume juive, du sort de chacun.</w:t>
      </w:r>
    </w:p>
    <w:p w:rsidR="006A4EED" w:rsidRPr="007E06F2" w:rsidRDefault="006A4EED" w:rsidP="006A4EED">
      <w:pPr>
        <w:spacing w:line="360" w:lineRule="auto"/>
        <w:jc w:val="both"/>
        <w:rPr>
          <w:rFonts w:ascii="Times New Roman" w:hAnsi="Times New Roman"/>
          <w:sz w:val="10"/>
          <w:szCs w:val="10"/>
        </w:rPr>
      </w:pPr>
    </w:p>
    <w:p w:rsidR="006A4EED" w:rsidRPr="007E125E" w:rsidRDefault="006A4EED" w:rsidP="007E125E">
      <w:pPr>
        <w:spacing w:after="0" w:line="360" w:lineRule="auto"/>
        <w:ind w:firstLine="284"/>
        <w:jc w:val="both"/>
        <w:rPr>
          <w:rFonts w:ascii="Times New Roman" w:hAnsi="Times New Roman"/>
          <w:iCs/>
          <w:sz w:val="24"/>
          <w:szCs w:val="24"/>
        </w:rPr>
      </w:pPr>
      <w:r w:rsidRPr="003B00C8">
        <w:rPr>
          <w:rFonts w:ascii="Times New Roman" w:hAnsi="Times New Roman"/>
          <w:sz w:val="24"/>
          <w:szCs w:val="24"/>
        </w:rPr>
        <w:t>L'un des deux prisonniers va être libéré, l'autre condamné. Dressant une véritable plaidoirie pour Barabbas, Caïphe va conditionner la foule sur son choix</w:t>
      </w:r>
      <w:r w:rsidR="007E125E">
        <w:rPr>
          <w:rFonts w:ascii="Times New Roman" w:hAnsi="Times New Roman"/>
          <w:sz w:val="24"/>
          <w:szCs w:val="24"/>
        </w:rPr>
        <w:t> </w:t>
      </w:r>
      <w:r w:rsidR="007E125E" w:rsidRPr="007E125E">
        <w:rPr>
          <w:rFonts w:ascii="Times New Roman" w:hAnsi="Times New Roman"/>
          <w:sz w:val="24"/>
          <w:szCs w:val="24"/>
        </w:rPr>
        <w:t>: « </w:t>
      </w:r>
      <w:r w:rsidR="007E125E" w:rsidRPr="00587201">
        <w:rPr>
          <w:rFonts w:ascii="Times New Roman" w:hAnsi="Times New Roman"/>
          <w:sz w:val="24"/>
          <w:szCs w:val="24"/>
        </w:rPr>
        <w:t>Ô</w:t>
      </w:r>
      <w:r w:rsidRPr="00587201">
        <w:rPr>
          <w:rFonts w:ascii="Times New Roman" w:hAnsi="Times New Roman"/>
          <w:sz w:val="24"/>
          <w:szCs w:val="24"/>
        </w:rPr>
        <w:t>. peuple, vois-tu ces larmes de repentir?...  Quoi? Toi, Barabbas, un misérable? Au contraire nous te plaignons de te voir en compagnie de ce Galiléen, dont les forfaits sont inégalables</w:t>
      </w:r>
      <w:r w:rsidR="007E125E">
        <w:rPr>
          <w:rFonts w:ascii="Times New Roman" w:hAnsi="Times New Roman"/>
          <w:sz w:val="24"/>
          <w:szCs w:val="24"/>
        </w:rPr>
        <w:t xml:space="preserve"> » </w:t>
      </w:r>
      <w:r w:rsidR="00BC11B4" w:rsidRPr="007E125E">
        <w:rPr>
          <w:rFonts w:ascii="Times New Roman" w:hAnsi="Times New Roman"/>
          <w:iCs/>
          <w:sz w:val="24"/>
          <w:szCs w:val="24"/>
        </w:rPr>
        <w:t>(</w:t>
      </w:r>
      <w:r w:rsidR="007E125E">
        <w:rPr>
          <w:rFonts w:ascii="Times New Roman" w:hAnsi="Times New Roman"/>
          <w:i/>
          <w:sz w:val="24"/>
          <w:szCs w:val="24"/>
        </w:rPr>
        <w:t xml:space="preserve">Ibid, </w:t>
      </w:r>
      <w:r w:rsidR="00BC11B4" w:rsidRPr="007E125E">
        <w:rPr>
          <w:rFonts w:ascii="Times New Roman" w:hAnsi="Times New Roman"/>
          <w:iCs/>
          <w:sz w:val="24"/>
          <w:szCs w:val="24"/>
        </w:rPr>
        <w:t>p.84)</w:t>
      </w:r>
      <w:r w:rsidR="007E125E">
        <w:rPr>
          <w:rFonts w:ascii="Times New Roman" w:hAnsi="Times New Roman"/>
          <w:iCs/>
          <w:sz w:val="24"/>
          <w:szCs w:val="24"/>
        </w:rPr>
        <w:t>.</w:t>
      </w:r>
      <w:r w:rsidR="00BC11B4" w:rsidRPr="007E125E">
        <w:rPr>
          <w:rFonts w:ascii="Times New Roman" w:hAnsi="Times New Roman"/>
          <w:iCs/>
          <w:sz w:val="24"/>
          <w:szCs w:val="24"/>
        </w:rPr>
        <w:t xml:space="preserve">   </w:t>
      </w:r>
    </w:p>
    <w:p w:rsidR="006A4EED" w:rsidRPr="00D052FB" w:rsidRDefault="006A4EED" w:rsidP="00E577E6">
      <w:pPr>
        <w:spacing w:after="0" w:line="360" w:lineRule="auto"/>
        <w:ind w:firstLine="284"/>
        <w:jc w:val="both"/>
        <w:rPr>
          <w:rFonts w:ascii="Times New Roman" w:hAnsi="Times New Roman"/>
          <w:iCs/>
          <w:sz w:val="24"/>
          <w:szCs w:val="24"/>
        </w:rPr>
      </w:pPr>
      <w:r w:rsidRPr="003B00C8">
        <w:rPr>
          <w:rFonts w:ascii="Times New Roman" w:hAnsi="Times New Roman"/>
          <w:sz w:val="24"/>
          <w:szCs w:val="24"/>
        </w:rPr>
        <w:t>Il poursuit en s'apitoyant sur le sort du meurtrier</w:t>
      </w:r>
      <w:r w:rsidR="00D052FB">
        <w:rPr>
          <w:rFonts w:ascii="Times New Roman" w:hAnsi="Times New Roman"/>
          <w:sz w:val="24"/>
          <w:szCs w:val="24"/>
        </w:rPr>
        <w:t> </w:t>
      </w:r>
      <w:r w:rsidR="00D052FB" w:rsidRPr="00D052FB">
        <w:rPr>
          <w:rFonts w:ascii="Times New Roman" w:hAnsi="Times New Roman"/>
          <w:sz w:val="24"/>
          <w:szCs w:val="24"/>
        </w:rPr>
        <w:t>: « </w:t>
      </w:r>
      <w:r w:rsidRPr="00587201">
        <w:rPr>
          <w:rFonts w:ascii="Times New Roman" w:hAnsi="Times New Roman"/>
          <w:iCs/>
          <w:sz w:val="24"/>
          <w:szCs w:val="24"/>
        </w:rPr>
        <w:t>C'est un bon patriote. Jamais il ne se révolta contre les prêtres. Jamais il n'insulta les choses saintes, jamais il ne s'en prit à V</w:t>
      </w:r>
      <w:r w:rsidR="00E577E6" w:rsidRPr="00587201">
        <w:rPr>
          <w:rFonts w:ascii="Times New Roman" w:hAnsi="Times New Roman"/>
          <w:iCs/>
          <w:sz w:val="24"/>
          <w:szCs w:val="24"/>
        </w:rPr>
        <w:t xml:space="preserve">. </w:t>
      </w:r>
      <w:r w:rsidRPr="00587201">
        <w:rPr>
          <w:rFonts w:ascii="Times New Roman" w:hAnsi="Times New Roman"/>
          <w:iCs/>
          <w:sz w:val="24"/>
          <w:szCs w:val="24"/>
        </w:rPr>
        <w:t>Eternel .11 est brutal dans sa force ; il est bon dans son âme.</w:t>
      </w:r>
      <w:r w:rsidR="00D052FB" w:rsidRPr="00587201">
        <w:rPr>
          <w:rFonts w:ascii="Times New Roman" w:hAnsi="Times New Roman"/>
          <w:iCs/>
          <w:sz w:val="24"/>
          <w:szCs w:val="24"/>
        </w:rPr>
        <w:t>»</w:t>
      </w:r>
      <w:r w:rsidRPr="00D052FB">
        <w:rPr>
          <w:rFonts w:ascii="Times New Roman" w:hAnsi="Times New Roman"/>
          <w:iCs/>
          <w:sz w:val="24"/>
          <w:szCs w:val="24"/>
        </w:rPr>
        <w:t xml:space="preserve"> </w:t>
      </w:r>
      <w:r w:rsidR="00BC11B4" w:rsidRPr="00D052FB">
        <w:rPr>
          <w:rFonts w:ascii="Times New Roman" w:hAnsi="Times New Roman"/>
          <w:iCs/>
          <w:sz w:val="24"/>
          <w:szCs w:val="24"/>
        </w:rPr>
        <w:t>(</w:t>
      </w:r>
      <w:r w:rsidR="00D052FB">
        <w:rPr>
          <w:rFonts w:ascii="Times New Roman" w:hAnsi="Times New Roman"/>
          <w:i/>
          <w:sz w:val="24"/>
          <w:szCs w:val="24"/>
        </w:rPr>
        <w:t xml:space="preserve">Ibid, </w:t>
      </w:r>
      <w:r w:rsidR="00BC11B4" w:rsidRPr="00D052FB">
        <w:rPr>
          <w:rFonts w:ascii="Times New Roman" w:hAnsi="Times New Roman"/>
          <w:iCs/>
          <w:sz w:val="24"/>
          <w:szCs w:val="24"/>
        </w:rPr>
        <w:t>p.85)</w:t>
      </w:r>
      <w:r w:rsidR="00D052FB">
        <w:rPr>
          <w:rFonts w:ascii="Times New Roman" w:hAnsi="Times New Roman"/>
          <w:iCs/>
          <w:sz w:val="24"/>
          <w:szCs w:val="24"/>
        </w:rPr>
        <w:t>.</w:t>
      </w:r>
      <w:r w:rsidR="00BC11B4" w:rsidRPr="00D052FB">
        <w:rPr>
          <w:rFonts w:ascii="Times New Roman" w:hAnsi="Times New Roman"/>
          <w:iCs/>
          <w:sz w:val="24"/>
          <w:szCs w:val="24"/>
        </w:rPr>
        <w:t xml:space="preserve">   </w:t>
      </w:r>
    </w:p>
    <w:p w:rsidR="006A4EED" w:rsidRPr="00D052FB" w:rsidRDefault="006A4EED" w:rsidP="00D052FB">
      <w:pPr>
        <w:spacing w:after="0" w:line="360" w:lineRule="auto"/>
        <w:ind w:firstLine="284"/>
        <w:jc w:val="both"/>
        <w:rPr>
          <w:rFonts w:ascii="Times New Roman" w:hAnsi="Times New Roman"/>
          <w:iCs/>
          <w:sz w:val="24"/>
          <w:szCs w:val="24"/>
        </w:rPr>
      </w:pPr>
      <w:r w:rsidRPr="003B00C8">
        <w:rPr>
          <w:rFonts w:ascii="Times New Roman" w:hAnsi="Times New Roman"/>
          <w:sz w:val="24"/>
          <w:szCs w:val="24"/>
        </w:rPr>
        <w:t>Contrairement à Barabbas, de véritables diatribes sont distillées à l'encontre du Christ</w:t>
      </w:r>
      <w:r w:rsidR="00D052FB">
        <w:rPr>
          <w:rFonts w:ascii="Times New Roman" w:hAnsi="Times New Roman"/>
          <w:sz w:val="24"/>
          <w:szCs w:val="24"/>
        </w:rPr>
        <w:t> : « </w:t>
      </w:r>
      <w:r w:rsidRPr="00587201">
        <w:rPr>
          <w:rFonts w:ascii="Times New Roman" w:hAnsi="Times New Roman"/>
          <w:iCs/>
          <w:sz w:val="24"/>
          <w:szCs w:val="24"/>
        </w:rPr>
        <w:t>Il nous faut écraser la couleuvre sous la pierre qui la cache. Il nous faut sacrifier la brebis galeuse qui contamine le troupeau. Il nous faut frapper le renégat de ses ancêtres, de sa notion, de son dieu. Celui dont le nom dérisoire salit vos bouches.</w:t>
      </w:r>
      <w:r w:rsidR="00D052FB">
        <w:rPr>
          <w:rFonts w:ascii="Times New Roman" w:hAnsi="Times New Roman"/>
          <w:iCs/>
          <w:sz w:val="24"/>
          <w:szCs w:val="24"/>
        </w:rPr>
        <w:t> »</w:t>
      </w:r>
      <w:r w:rsidRPr="00D052FB">
        <w:rPr>
          <w:rFonts w:ascii="Times New Roman" w:hAnsi="Times New Roman"/>
          <w:iCs/>
          <w:sz w:val="24"/>
          <w:szCs w:val="24"/>
        </w:rPr>
        <w:t xml:space="preserve"> </w:t>
      </w:r>
      <w:r w:rsidR="00BC11B4" w:rsidRPr="00D052FB">
        <w:rPr>
          <w:rFonts w:ascii="Times New Roman" w:hAnsi="Times New Roman"/>
          <w:iCs/>
          <w:sz w:val="24"/>
          <w:szCs w:val="24"/>
        </w:rPr>
        <w:t>(</w:t>
      </w:r>
      <w:r w:rsidR="00D052FB">
        <w:rPr>
          <w:rFonts w:ascii="Times New Roman" w:hAnsi="Times New Roman"/>
          <w:i/>
          <w:sz w:val="24"/>
          <w:szCs w:val="24"/>
        </w:rPr>
        <w:t xml:space="preserve">Ibid, </w:t>
      </w:r>
      <w:r w:rsidR="00BC11B4" w:rsidRPr="00D052FB">
        <w:rPr>
          <w:rFonts w:ascii="Times New Roman" w:hAnsi="Times New Roman"/>
          <w:iCs/>
          <w:sz w:val="24"/>
          <w:szCs w:val="24"/>
        </w:rPr>
        <w:t>p.79)</w:t>
      </w:r>
      <w:r w:rsidR="00D052FB">
        <w:rPr>
          <w:rFonts w:ascii="Times New Roman" w:hAnsi="Times New Roman"/>
          <w:iCs/>
          <w:sz w:val="24"/>
          <w:szCs w:val="24"/>
        </w:rPr>
        <w:t>.</w:t>
      </w:r>
      <w:r w:rsidR="00BC11B4" w:rsidRPr="00D052FB">
        <w:rPr>
          <w:rFonts w:ascii="Times New Roman" w:hAnsi="Times New Roman"/>
          <w:iCs/>
          <w:sz w:val="24"/>
          <w:szCs w:val="24"/>
        </w:rPr>
        <w:t xml:space="preserve"> </w:t>
      </w:r>
    </w:p>
    <w:p w:rsidR="006A4EED" w:rsidRPr="00061203" w:rsidRDefault="006A4EED" w:rsidP="00061203">
      <w:pPr>
        <w:spacing w:after="0" w:line="360" w:lineRule="auto"/>
        <w:ind w:firstLine="284"/>
        <w:jc w:val="both"/>
        <w:rPr>
          <w:rFonts w:ascii="Times New Roman" w:hAnsi="Times New Roman"/>
          <w:iCs/>
          <w:sz w:val="24"/>
          <w:szCs w:val="24"/>
        </w:rPr>
      </w:pPr>
      <w:r w:rsidRPr="003B00C8">
        <w:rPr>
          <w:rFonts w:ascii="Times New Roman" w:hAnsi="Times New Roman"/>
          <w:sz w:val="24"/>
          <w:szCs w:val="24"/>
        </w:rPr>
        <w:t xml:space="preserve">La foule décide de libérer le meurtrier Barabbas et de crucifier Jésus. Ironie du sort, l'assassin est réhabilité, et le juste est châtié. Le réhabilité va faire l'apologie du crime en s'adressant à son </w:t>
      </w:r>
      <w:r w:rsidR="007E06F2" w:rsidRPr="003B00C8">
        <w:rPr>
          <w:rFonts w:ascii="Times New Roman" w:hAnsi="Times New Roman"/>
          <w:sz w:val="24"/>
          <w:szCs w:val="24"/>
        </w:rPr>
        <w:t>D</w:t>
      </w:r>
      <w:r w:rsidRPr="003B00C8">
        <w:rPr>
          <w:rFonts w:ascii="Times New Roman" w:hAnsi="Times New Roman"/>
          <w:sz w:val="24"/>
          <w:szCs w:val="24"/>
        </w:rPr>
        <w:t>ieu</w:t>
      </w:r>
      <w:r w:rsidR="00061203">
        <w:rPr>
          <w:rFonts w:ascii="Times New Roman" w:hAnsi="Times New Roman"/>
          <w:sz w:val="24"/>
          <w:szCs w:val="24"/>
        </w:rPr>
        <w:t> </w:t>
      </w:r>
      <w:r w:rsidR="00061203" w:rsidRPr="00061203">
        <w:rPr>
          <w:rFonts w:ascii="Times New Roman" w:hAnsi="Times New Roman"/>
          <w:sz w:val="24"/>
          <w:szCs w:val="24"/>
        </w:rPr>
        <w:t>: « </w:t>
      </w:r>
      <w:r w:rsidRPr="00587201">
        <w:rPr>
          <w:rFonts w:ascii="Times New Roman" w:hAnsi="Times New Roman"/>
          <w:iCs/>
          <w:sz w:val="24"/>
          <w:szCs w:val="24"/>
        </w:rPr>
        <w:t>Eternel [...] je suis libre. On a libéré le crime, il y'a une justice oui, celle que les criminels rendront [...] vive le meurtre</w:t>
      </w:r>
      <w:r w:rsidR="00061203">
        <w:rPr>
          <w:rFonts w:ascii="Times New Roman" w:hAnsi="Times New Roman"/>
          <w:iCs/>
          <w:sz w:val="24"/>
          <w:szCs w:val="24"/>
        </w:rPr>
        <w:t>.</w:t>
      </w:r>
      <w:r w:rsidR="00061203" w:rsidRPr="00061203">
        <w:rPr>
          <w:rFonts w:ascii="Times New Roman" w:hAnsi="Times New Roman"/>
          <w:iCs/>
          <w:sz w:val="24"/>
          <w:szCs w:val="24"/>
        </w:rPr>
        <w:t> »</w:t>
      </w:r>
      <w:r w:rsidRPr="00061203">
        <w:rPr>
          <w:rFonts w:ascii="Times New Roman" w:hAnsi="Times New Roman"/>
          <w:iCs/>
          <w:sz w:val="24"/>
          <w:szCs w:val="24"/>
        </w:rPr>
        <w:t xml:space="preserve"> </w:t>
      </w:r>
      <w:r w:rsidR="00BC11B4" w:rsidRPr="00061203">
        <w:rPr>
          <w:rFonts w:ascii="Times New Roman" w:hAnsi="Times New Roman"/>
          <w:iCs/>
          <w:sz w:val="24"/>
          <w:szCs w:val="24"/>
        </w:rPr>
        <w:t>(</w:t>
      </w:r>
      <w:r w:rsidR="00061203">
        <w:rPr>
          <w:rFonts w:ascii="Times New Roman" w:hAnsi="Times New Roman"/>
          <w:i/>
          <w:sz w:val="24"/>
          <w:szCs w:val="24"/>
        </w:rPr>
        <w:t xml:space="preserve">Ibid, </w:t>
      </w:r>
      <w:r w:rsidR="00BC11B4" w:rsidRPr="00061203">
        <w:rPr>
          <w:rFonts w:ascii="Times New Roman" w:hAnsi="Times New Roman"/>
          <w:iCs/>
          <w:sz w:val="24"/>
          <w:szCs w:val="24"/>
        </w:rPr>
        <w:t>p.90)</w:t>
      </w:r>
      <w:r w:rsidR="00061203">
        <w:rPr>
          <w:rFonts w:ascii="Times New Roman" w:hAnsi="Times New Roman"/>
          <w:iCs/>
          <w:sz w:val="24"/>
          <w:szCs w:val="24"/>
        </w:rPr>
        <w:t>.</w:t>
      </w:r>
      <w:r w:rsidR="00BC11B4" w:rsidRPr="00061203">
        <w:rPr>
          <w:rFonts w:ascii="Times New Roman" w:hAnsi="Times New Roman"/>
          <w:iCs/>
          <w:sz w:val="24"/>
          <w:szCs w:val="24"/>
        </w:rPr>
        <w:t xml:space="preserve">   </w:t>
      </w:r>
    </w:p>
    <w:p w:rsidR="006A4EED" w:rsidRPr="003B00C8" w:rsidRDefault="006A4EED" w:rsidP="00CC71A3">
      <w:pPr>
        <w:spacing w:after="0" w:line="360" w:lineRule="auto"/>
        <w:ind w:firstLine="284"/>
        <w:jc w:val="both"/>
        <w:rPr>
          <w:rFonts w:ascii="Times New Roman" w:hAnsi="Times New Roman"/>
          <w:sz w:val="24"/>
          <w:szCs w:val="24"/>
        </w:rPr>
      </w:pPr>
      <w:r w:rsidRPr="003B00C8">
        <w:rPr>
          <w:rFonts w:ascii="Times New Roman" w:hAnsi="Times New Roman"/>
          <w:sz w:val="24"/>
          <w:szCs w:val="24"/>
        </w:rPr>
        <w:t>Dans l'acte III de la pièce, c'est la carnavalisation politique et existentielle qui est soulignée dans la conduite des personnages. Barabbas va tenter de conduire une révolte des gueux en s'intronisant comme leur chef, car sa libération est vécue comme un couronnement du meurtre.</w:t>
      </w:r>
    </w:p>
    <w:p w:rsidR="006A4EED" w:rsidRPr="00BC11B4" w:rsidRDefault="006A4EED" w:rsidP="00CC71A3">
      <w:pPr>
        <w:spacing w:after="0" w:line="240" w:lineRule="auto"/>
        <w:ind w:left="567"/>
        <w:jc w:val="both"/>
        <w:rPr>
          <w:rFonts w:ascii="Times New Roman" w:hAnsi="Times New Roman"/>
          <w:iCs/>
          <w:sz w:val="20"/>
          <w:szCs w:val="20"/>
        </w:rPr>
      </w:pPr>
      <w:r w:rsidRPr="00BC11B4">
        <w:rPr>
          <w:rFonts w:ascii="Times New Roman" w:hAnsi="Times New Roman"/>
          <w:iCs/>
          <w:sz w:val="20"/>
          <w:szCs w:val="20"/>
        </w:rPr>
        <w:t>Donnez-moi un poignard, camarades. Je suis un honnête homme, un bon citoyen. Les prêtres l'on dit, et vous savez qu'ils ne mentent jamais [...] je vais devenir juge ou sénateur. Avec ma renommée, ce sera chose facile. Quel avenir! Quelle fortune! Je ferai de la politique, de la morale, des réformes, des lois</w:t>
      </w:r>
      <w:r w:rsidR="00CC71A3">
        <w:rPr>
          <w:rFonts w:ascii="Times New Roman" w:hAnsi="Times New Roman"/>
          <w:iCs/>
          <w:sz w:val="20"/>
          <w:szCs w:val="20"/>
        </w:rPr>
        <w:t>.</w:t>
      </w:r>
      <w:r w:rsidRPr="00BC11B4">
        <w:rPr>
          <w:rFonts w:ascii="Times New Roman" w:hAnsi="Times New Roman"/>
          <w:iCs/>
          <w:sz w:val="20"/>
          <w:szCs w:val="20"/>
        </w:rPr>
        <w:t xml:space="preserve"> </w:t>
      </w:r>
      <w:r w:rsidR="00BC11B4" w:rsidRPr="00C46FB6">
        <w:rPr>
          <w:rFonts w:ascii="Times New Roman" w:hAnsi="Times New Roman"/>
          <w:iCs/>
          <w:sz w:val="20"/>
          <w:szCs w:val="20"/>
        </w:rPr>
        <w:t>(</w:t>
      </w:r>
      <w:r w:rsidR="00CC71A3">
        <w:rPr>
          <w:rFonts w:ascii="Times New Roman" w:hAnsi="Times New Roman"/>
          <w:i/>
          <w:sz w:val="20"/>
          <w:szCs w:val="20"/>
        </w:rPr>
        <w:t xml:space="preserve">Ibid, </w:t>
      </w:r>
      <w:r w:rsidR="00BC11B4">
        <w:rPr>
          <w:rFonts w:ascii="Times New Roman" w:hAnsi="Times New Roman"/>
          <w:iCs/>
          <w:sz w:val="20"/>
          <w:szCs w:val="20"/>
        </w:rPr>
        <w:t>p.91</w:t>
      </w:r>
      <w:r w:rsidR="00BC11B4" w:rsidRPr="00C46FB6">
        <w:rPr>
          <w:rFonts w:ascii="Times New Roman" w:hAnsi="Times New Roman"/>
          <w:iCs/>
          <w:sz w:val="20"/>
          <w:szCs w:val="20"/>
        </w:rPr>
        <w:t>)</w:t>
      </w:r>
      <w:r w:rsidR="00CC71A3">
        <w:rPr>
          <w:rFonts w:ascii="Times New Roman" w:hAnsi="Times New Roman"/>
          <w:iCs/>
          <w:sz w:val="20"/>
          <w:szCs w:val="20"/>
        </w:rPr>
        <w:t>.</w:t>
      </w:r>
      <w:r w:rsidR="00BC11B4" w:rsidRPr="00C46FB6">
        <w:rPr>
          <w:rFonts w:ascii="Times New Roman" w:hAnsi="Times New Roman"/>
          <w:iCs/>
          <w:sz w:val="20"/>
          <w:szCs w:val="20"/>
        </w:rPr>
        <w:t xml:space="preserve">   </w:t>
      </w:r>
    </w:p>
    <w:p w:rsidR="005A47A1" w:rsidRDefault="006A4EED" w:rsidP="006A4EED">
      <w:pPr>
        <w:spacing w:line="360" w:lineRule="auto"/>
        <w:jc w:val="both"/>
        <w:rPr>
          <w:rFonts w:ascii="Times New Roman" w:hAnsi="Times New Roman"/>
          <w:sz w:val="24"/>
          <w:szCs w:val="24"/>
        </w:rPr>
      </w:pPr>
      <w:r w:rsidRPr="003B00C8">
        <w:rPr>
          <w:rFonts w:ascii="Times New Roman" w:hAnsi="Times New Roman"/>
          <w:sz w:val="24"/>
          <w:szCs w:val="24"/>
        </w:rPr>
        <w:t xml:space="preserve">       </w:t>
      </w:r>
    </w:p>
    <w:p w:rsidR="006A4EED" w:rsidRPr="003B00C8" w:rsidRDefault="006A4EED" w:rsidP="005A47A1">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Cette apologie du crime va se poursuivre avec l'auto-intronisation de Barabbas, du fait de sa connivence avec l'autorité politique et religieuse dans la condamnation de Jésus et de sa réhabilitation. Il va aspirer à son couronnement en s'adressant aux gueux en s'autoproclamant roi.</w:t>
      </w:r>
    </w:p>
    <w:p w:rsidR="006A4EED" w:rsidRPr="005A47A1" w:rsidRDefault="006A4EED" w:rsidP="005A47A1">
      <w:pPr>
        <w:pStyle w:val="Citationintense"/>
        <w:spacing w:before="0" w:after="0"/>
        <w:ind w:left="567" w:right="0"/>
        <w:rPr>
          <w:sz w:val="20"/>
          <w:szCs w:val="20"/>
        </w:rPr>
      </w:pPr>
      <w:r w:rsidRPr="005A47A1">
        <w:rPr>
          <w:sz w:val="20"/>
          <w:szCs w:val="20"/>
        </w:rPr>
        <w:t xml:space="preserve">Camarades! Un temps nouveau commence c'est l'avènement des gueux. Tout est renversé. Je suis votre roi [...] pas comme l'autre qu'on va crucifier, mais un roi redoutable, avec des troupes, des armes, ami des grands, protégé des juges. C'est le paradis retrouvé. Tout va changer, le crime sera légal. Les malfaiteurs seront des justes. Et c'est moi Barabbas qui </w:t>
      </w:r>
      <w:proofErr w:type="gramStart"/>
      <w:r w:rsidRPr="005A47A1">
        <w:rPr>
          <w:sz w:val="20"/>
          <w:szCs w:val="20"/>
        </w:rPr>
        <w:t>chamboulerai</w:t>
      </w:r>
      <w:proofErr w:type="gramEnd"/>
      <w:r w:rsidRPr="005A47A1">
        <w:rPr>
          <w:sz w:val="20"/>
          <w:szCs w:val="20"/>
        </w:rPr>
        <w:t xml:space="preserve"> l'univers. </w:t>
      </w:r>
      <w:r w:rsidR="00BC11B4" w:rsidRPr="005A47A1">
        <w:rPr>
          <w:sz w:val="20"/>
          <w:szCs w:val="20"/>
        </w:rPr>
        <w:t>(</w:t>
      </w:r>
      <w:r w:rsidR="005A47A1">
        <w:rPr>
          <w:i/>
          <w:iCs w:val="0"/>
          <w:sz w:val="20"/>
          <w:szCs w:val="20"/>
        </w:rPr>
        <w:t xml:space="preserve">Ibid, </w:t>
      </w:r>
      <w:r w:rsidR="00BC11B4" w:rsidRPr="005A47A1">
        <w:rPr>
          <w:sz w:val="20"/>
          <w:szCs w:val="20"/>
        </w:rPr>
        <w:t>p.91)</w:t>
      </w:r>
      <w:r w:rsidR="005A47A1">
        <w:rPr>
          <w:sz w:val="20"/>
          <w:szCs w:val="20"/>
        </w:rPr>
        <w:t>.</w:t>
      </w:r>
      <w:r w:rsidR="00BC11B4" w:rsidRPr="005A47A1">
        <w:rPr>
          <w:sz w:val="20"/>
          <w:szCs w:val="20"/>
        </w:rPr>
        <w:t xml:space="preserve">   </w:t>
      </w:r>
    </w:p>
    <w:p w:rsidR="007E06F2" w:rsidRDefault="006A4EED" w:rsidP="006A4EED">
      <w:pPr>
        <w:spacing w:line="360" w:lineRule="auto"/>
        <w:jc w:val="both"/>
        <w:rPr>
          <w:rFonts w:ascii="Times New Roman" w:hAnsi="Times New Roman"/>
          <w:sz w:val="24"/>
          <w:szCs w:val="24"/>
        </w:rPr>
      </w:pPr>
      <w:r w:rsidRPr="003B00C8">
        <w:rPr>
          <w:rFonts w:ascii="Times New Roman" w:hAnsi="Times New Roman"/>
          <w:sz w:val="24"/>
          <w:szCs w:val="24"/>
        </w:rPr>
        <w:t xml:space="preserve">           </w:t>
      </w:r>
    </w:p>
    <w:p w:rsidR="006A4EED" w:rsidRPr="00E076FD" w:rsidRDefault="006A4EED" w:rsidP="00E076FD">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La décision est sans appel. Le couronnement de Barabbas est proclamé par la foule. L'envers du monde est érigé. A la genèse du désordre va succéder l'avènement du profane sur le sacré, qui est scellé. Selon Bakhtine:</w:t>
      </w:r>
      <w:r>
        <w:rPr>
          <w:rFonts w:ascii="Times New Roman" w:hAnsi="Times New Roman"/>
          <w:sz w:val="24"/>
          <w:szCs w:val="24"/>
        </w:rPr>
        <w:t xml:space="preserve"> </w:t>
      </w:r>
      <w:r w:rsidR="00E076FD" w:rsidRPr="00E076FD">
        <w:rPr>
          <w:rFonts w:asciiTheme="majorBidi" w:hAnsiTheme="majorBidi" w:cstheme="majorBidi"/>
          <w:sz w:val="24"/>
          <w:szCs w:val="24"/>
        </w:rPr>
        <w:t>« </w:t>
      </w:r>
      <w:r w:rsidRPr="00E076FD">
        <w:rPr>
          <w:rFonts w:asciiTheme="majorBidi" w:hAnsiTheme="majorBidi" w:cstheme="majorBidi"/>
          <w:sz w:val="24"/>
          <w:szCs w:val="24"/>
        </w:rPr>
        <w:t>L'orientation vers le bas est propre à toutes les formes carnavalesques. Tel est le mouvement qui marque ces formes [...] tous les attributs royaux sont renversés, intervertis [...] l'accent y est mis sur l'ascension que sur la chute.</w:t>
      </w:r>
      <w:r w:rsidR="00E076FD" w:rsidRPr="00E076FD">
        <w:rPr>
          <w:rFonts w:asciiTheme="majorBidi" w:hAnsiTheme="majorBidi" w:cstheme="majorBidi"/>
          <w:sz w:val="24"/>
          <w:szCs w:val="24"/>
        </w:rPr>
        <w:t>»</w:t>
      </w:r>
      <w:r w:rsidRPr="00E076FD">
        <w:rPr>
          <w:rFonts w:asciiTheme="majorBidi" w:hAnsiTheme="majorBidi" w:cstheme="majorBidi"/>
          <w:sz w:val="24"/>
          <w:szCs w:val="24"/>
          <w:vertAlign w:val="superscript"/>
        </w:rPr>
        <w:footnoteReference w:id="292"/>
      </w:r>
      <w:r w:rsidR="00E076FD">
        <w:rPr>
          <w:rFonts w:asciiTheme="majorBidi" w:hAnsiTheme="majorBidi" w:cstheme="majorBidi"/>
          <w:sz w:val="24"/>
          <w:szCs w:val="24"/>
        </w:rPr>
        <w:t>.</w:t>
      </w:r>
    </w:p>
    <w:p w:rsidR="00BC7421" w:rsidRDefault="00BC7421" w:rsidP="00E076FD">
      <w:pPr>
        <w:pStyle w:val="Titre6"/>
        <w:spacing w:before="0" w:after="0" w:line="360" w:lineRule="auto"/>
        <w:ind w:left="641" w:hanging="357"/>
        <w:jc w:val="both"/>
        <w:rPr>
          <w:b/>
          <w:bCs w:val="0"/>
          <w:i w:val="0"/>
          <w:iCs/>
          <w:sz w:val="24"/>
          <w:szCs w:val="24"/>
        </w:rPr>
      </w:pPr>
    </w:p>
    <w:p w:rsidR="006A4EED" w:rsidRPr="00E076FD" w:rsidRDefault="006A4EED" w:rsidP="00E076FD">
      <w:pPr>
        <w:pStyle w:val="Titre6"/>
        <w:spacing w:before="0" w:after="0" w:line="360" w:lineRule="auto"/>
        <w:ind w:left="641" w:hanging="357"/>
        <w:jc w:val="both"/>
        <w:rPr>
          <w:b/>
          <w:bCs w:val="0"/>
          <w:i w:val="0"/>
          <w:iCs/>
          <w:sz w:val="24"/>
          <w:szCs w:val="24"/>
        </w:rPr>
      </w:pPr>
      <w:r w:rsidRPr="00E076FD">
        <w:rPr>
          <w:b/>
          <w:bCs w:val="0"/>
          <w:i w:val="0"/>
          <w:iCs/>
          <w:sz w:val="24"/>
          <w:szCs w:val="24"/>
        </w:rPr>
        <w:t>La bouffonnerie</w:t>
      </w:r>
    </w:p>
    <w:p w:rsidR="006A4EED" w:rsidRPr="003B00C8" w:rsidRDefault="006A4EED" w:rsidP="00E076FD">
      <w:pPr>
        <w:spacing w:after="0" w:line="360" w:lineRule="auto"/>
        <w:ind w:firstLine="284"/>
        <w:jc w:val="both"/>
        <w:rPr>
          <w:rFonts w:ascii="Times New Roman" w:hAnsi="Times New Roman"/>
          <w:sz w:val="24"/>
          <w:szCs w:val="24"/>
        </w:rPr>
      </w:pPr>
      <w:r w:rsidRPr="003B00C8">
        <w:rPr>
          <w:rFonts w:ascii="Times New Roman" w:hAnsi="Times New Roman"/>
          <w:sz w:val="24"/>
          <w:szCs w:val="24"/>
        </w:rPr>
        <w:t>L'apparition du pitre dans l'acte III est l’une des formes carnavalesques grotesques  les plus pertinentes de la pièce. L</w:t>
      </w:r>
      <w:r w:rsidR="007E06F2">
        <w:rPr>
          <w:rFonts w:ascii="Times New Roman" w:hAnsi="Times New Roman"/>
          <w:sz w:val="24"/>
          <w:szCs w:val="24"/>
        </w:rPr>
        <w:t>e</w:t>
      </w:r>
      <w:r w:rsidRPr="003B00C8">
        <w:rPr>
          <w:rFonts w:ascii="Times New Roman" w:hAnsi="Times New Roman"/>
          <w:sz w:val="24"/>
          <w:szCs w:val="24"/>
        </w:rPr>
        <w:t xml:space="preserve"> pitre, ce bouffon, se situe à la frontière de la vie et de l'art, à l'intersection de deux espaces configurés dans l'acte III sur scène. Celui du vécu et du jeu théâtral. Sa défroque comique et sa position excentrique dans le système des personnages va lui conférer, non-conformité, indiscipline et transgression de toutes les actions qu'il entreprend dans ses relations avec les protagonistes du troisième acte. La liberté d'aller au-delà des normes tracées et des interdits. Son rire sarcastique va exprimer tout haut ce que les autres personnages pensent tout bas. Il va apparaître comme celui qui sème sans le vouloir désordre et confusion. Roi de l'inversion carnavalesque, il va se permettre la permutation de l'ordre des choses. D'abord parodiant chacun des actes du cérémonial sérieux celui du Calvaire du Christ déclenchant le rire dans une atmosphère tragique.</w:t>
      </w:r>
    </w:p>
    <w:p w:rsidR="006A4EED" w:rsidRPr="00E076FD" w:rsidRDefault="006A4EED" w:rsidP="00E076FD">
      <w:pPr>
        <w:spacing w:after="0" w:line="360" w:lineRule="auto"/>
        <w:ind w:firstLine="284"/>
        <w:jc w:val="both"/>
        <w:rPr>
          <w:sz w:val="24"/>
          <w:szCs w:val="24"/>
        </w:rPr>
      </w:pPr>
      <w:r w:rsidRPr="00E076FD">
        <w:rPr>
          <w:rFonts w:ascii="Times New Roman" w:hAnsi="Times New Roman"/>
          <w:sz w:val="24"/>
          <w:szCs w:val="24"/>
        </w:rPr>
        <w:t xml:space="preserve">Ses maladresses et ses provocations incitent l'ire des autres protagonistes qu'ils </w:t>
      </w:r>
      <w:r w:rsidRPr="00E076FD">
        <w:rPr>
          <w:rFonts w:asciiTheme="majorBidi" w:hAnsiTheme="majorBidi" w:cstheme="majorBidi"/>
          <w:sz w:val="24"/>
          <w:szCs w:val="24"/>
        </w:rPr>
        <w:t xml:space="preserve">provoquent : </w:t>
      </w:r>
      <w:r w:rsidRPr="00E076FD">
        <w:rPr>
          <w:rFonts w:asciiTheme="majorBidi" w:hAnsiTheme="majorBidi" w:cstheme="majorBidi"/>
          <w:i/>
          <w:sz w:val="24"/>
          <w:szCs w:val="24"/>
        </w:rPr>
        <w:t xml:space="preserve">« </w:t>
      </w:r>
      <w:r w:rsidRPr="00E076FD">
        <w:rPr>
          <w:rFonts w:asciiTheme="majorBidi" w:hAnsiTheme="majorBidi" w:cstheme="majorBidi"/>
          <w:i/>
          <w:iCs/>
          <w:sz w:val="24"/>
          <w:szCs w:val="24"/>
        </w:rPr>
        <w:t>Ah... Ah [...] qu'est ce qu'il dit?</w:t>
      </w:r>
      <w:r w:rsidRPr="00E076FD">
        <w:rPr>
          <w:rFonts w:asciiTheme="majorBidi" w:hAnsiTheme="majorBidi" w:cstheme="majorBidi"/>
          <w:sz w:val="24"/>
          <w:szCs w:val="24"/>
        </w:rPr>
        <w:t xml:space="preserve">» </w:t>
      </w:r>
      <w:r w:rsidR="00BC11B4" w:rsidRPr="00E076FD">
        <w:rPr>
          <w:rFonts w:asciiTheme="majorBidi" w:hAnsiTheme="majorBidi" w:cstheme="majorBidi"/>
          <w:sz w:val="24"/>
          <w:szCs w:val="24"/>
        </w:rPr>
        <w:t>(</w:t>
      </w:r>
      <w:r w:rsidR="00E076FD">
        <w:rPr>
          <w:rFonts w:asciiTheme="majorBidi" w:hAnsiTheme="majorBidi" w:cstheme="majorBidi"/>
          <w:i/>
          <w:iCs/>
          <w:sz w:val="24"/>
          <w:szCs w:val="24"/>
        </w:rPr>
        <w:t xml:space="preserve">Ibid, </w:t>
      </w:r>
      <w:r w:rsidR="00BC11B4" w:rsidRPr="00E076FD">
        <w:rPr>
          <w:rFonts w:asciiTheme="majorBidi" w:hAnsiTheme="majorBidi" w:cstheme="majorBidi"/>
          <w:sz w:val="24"/>
          <w:szCs w:val="24"/>
        </w:rPr>
        <w:t>p.94)</w:t>
      </w:r>
      <w:r w:rsidR="00E076FD">
        <w:rPr>
          <w:rFonts w:asciiTheme="majorBidi" w:hAnsiTheme="majorBidi" w:cstheme="majorBidi"/>
          <w:sz w:val="24"/>
          <w:szCs w:val="24"/>
        </w:rPr>
        <w:t>.</w:t>
      </w:r>
      <w:r w:rsidR="00BC11B4" w:rsidRPr="00E076FD">
        <w:rPr>
          <w:sz w:val="24"/>
          <w:szCs w:val="24"/>
        </w:rPr>
        <w:t xml:space="preserve">   </w:t>
      </w:r>
    </w:p>
    <w:p w:rsidR="006A4EED" w:rsidRPr="003B00C8" w:rsidRDefault="006A4EED" w:rsidP="005A1159">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Les trois répliques qu'il adressa dans un rire sarcastique à Barabbas, aux apôtres et à Madeleine. Ce rire grêle qui l'accompagnera jusqu'à   la fin de la pièce. Son ambivalence carnavalesque qui fait de lui ce personnage qui habite aussi bien l'espace de la vie réelle que celui du monde imaginaire</w:t>
      </w:r>
    </w:p>
    <w:p w:rsidR="006A4EED" w:rsidRPr="00A876CA" w:rsidRDefault="006A4EED" w:rsidP="00957327">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En tuant Barabbas il incarne à la fois le personnage possédant le plus de contours réels et qui va survivre sur le dos du héros et roi des gueux. Barabbas reste le personnage de l'illusion mimétique et le pitre conforte l'envers du monde du carnavalesque dans sa hiérarchie où il est l'agent de liaison entre le réalisme de la fable et l'illusion théâtrale. Selon Bakhtine</w:t>
      </w:r>
      <w:r>
        <w:rPr>
          <w:rFonts w:ascii="Times New Roman" w:hAnsi="Times New Roman"/>
          <w:sz w:val="24"/>
          <w:szCs w:val="24"/>
        </w:rPr>
        <w:t> </w:t>
      </w:r>
      <w:r w:rsidRPr="00A876CA">
        <w:rPr>
          <w:rFonts w:asciiTheme="majorBidi" w:hAnsiTheme="majorBidi" w:cstheme="majorBidi"/>
          <w:sz w:val="24"/>
          <w:szCs w:val="24"/>
        </w:rPr>
        <w:t>: </w:t>
      </w:r>
      <w:r w:rsidRPr="00957327">
        <w:rPr>
          <w:rFonts w:asciiTheme="majorBidi" w:hAnsiTheme="majorBidi" w:cstheme="majorBidi"/>
          <w:sz w:val="24"/>
          <w:szCs w:val="24"/>
        </w:rPr>
        <w:t xml:space="preserve">« chez le bouffon, tous les </w:t>
      </w:r>
      <w:r w:rsidR="00BC11B4" w:rsidRPr="00957327">
        <w:rPr>
          <w:rFonts w:asciiTheme="majorBidi" w:hAnsiTheme="majorBidi" w:cstheme="majorBidi"/>
          <w:sz w:val="24"/>
          <w:szCs w:val="24"/>
        </w:rPr>
        <w:t>attributs royaux sont renversés</w:t>
      </w:r>
      <w:r w:rsidRPr="00957327">
        <w:rPr>
          <w:rFonts w:asciiTheme="majorBidi" w:hAnsiTheme="majorBidi" w:cstheme="majorBidi"/>
          <w:sz w:val="24"/>
          <w:szCs w:val="24"/>
        </w:rPr>
        <w:t>, intervertis, le haut mis à la place du bas, le bouffon est le roi du monde à l'envers »</w:t>
      </w:r>
      <w:r w:rsidR="00957327">
        <w:rPr>
          <w:rStyle w:val="Appelnotedebasdep"/>
          <w:rFonts w:asciiTheme="majorBidi" w:hAnsiTheme="majorBidi" w:cstheme="majorBidi"/>
          <w:sz w:val="24"/>
          <w:szCs w:val="24"/>
        </w:rPr>
        <w:footnoteReference w:id="293"/>
      </w:r>
      <w:r w:rsidR="00A876CA">
        <w:rPr>
          <w:rFonts w:asciiTheme="majorBidi" w:hAnsiTheme="majorBidi" w:cstheme="majorBidi"/>
          <w:iCs/>
          <w:sz w:val="24"/>
          <w:szCs w:val="24"/>
        </w:rPr>
        <w:t>.</w:t>
      </w:r>
      <w:r w:rsidR="00BC11B4" w:rsidRPr="00A876CA">
        <w:rPr>
          <w:rFonts w:asciiTheme="majorBidi" w:hAnsiTheme="majorBidi" w:cstheme="majorBidi"/>
          <w:iCs/>
          <w:sz w:val="24"/>
          <w:szCs w:val="24"/>
        </w:rPr>
        <w:t xml:space="preserve">   </w:t>
      </w:r>
    </w:p>
    <w:p w:rsidR="006A4EED" w:rsidRPr="00BD3FA9" w:rsidRDefault="006A4EED" w:rsidP="00BD3FA9">
      <w:pPr>
        <w:pStyle w:val="Titre6"/>
        <w:spacing w:before="0" w:after="0" w:line="360" w:lineRule="auto"/>
        <w:ind w:firstLine="284"/>
        <w:jc w:val="both"/>
        <w:rPr>
          <w:b/>
          <w:bCs w:val="0"/>
          <w:i w:val="0"/>
          <w:iCs/>
          <w:sz w:val="24"/>
          <w:szCs w:val="24"/>
        </w:rPr>
      </w:pPr>
      <w:r w:rsidRPr="00BD3FA9">
        <w:rPr>
          <w:b/>
          <w:bCs w:val="0"/>
          <w:i w:val="0"/>
          <w:iCs/>
          <w:sz w:val="24"/>
          <w:szCs w:val="24"/>
        </w:rPr>
        <w:t>Hybridité  et mélange des langages « propre » et ordurier</w:t>
      </w:r>
    </w:p>
    <w:p w:rsidR="006A4EED" w:rsidRPr="003B00C8" w:rsidRDefault="006A4EED" w:rsidP="00BD3FA9">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dynamique structurelle de la pièce repose sur l'interaction des registres opposés: le populaire et le savant, le sérieux et le comique, le profane et le sacré. Cela donne une certaine  structure du carnavalesque grotesque et tragique</w:t>
      </w:r>
    </w:p>
    <w:p w:rsidR="006A4EED" w:rsidRPr="00BD3FA9" w:rsidRDefault="006A4EED" w:rsidP="00832730">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 xml:space="preserve">Le carnaval comme nous l'avons vu obéit à une logique paradoxale qui confond le tragique et le comique, le sublime et le grotesque. L'ambivalence de ces discours </w:t>
      </w:r>
      <w:r>
        <w:rPr>
          <w:rFonts w:ascii="Times New Roman" w:hAnsi="Times New Roman"/>
          <w:sz w:val="24"/>
          <w:szCs w:val="24"/>
        </w:rPr>
        <w:t xml:space="preserve">est </w:t>
      </w:r>
      <w:r w:rsidRPr="003B00C8">
        <w:rPr>
          <w:rFonts w:ascii="Times New Roman" w:hAnsi="Times New Roman"/>
          <w:sz w:val="24"/>
          <w:szCs w:val="24"/>
        </w:rPr>
        <w:t>selon Bakhtine</w:t>
      </w:r>
      <w:r w:rsidRPr="00BD3FA9">
        <w:rPr>
          <w:rFonts w:asciiTheme="majorBidi" w:hAnsiTheme="majorBidi" w:cstheme="majorBidi"/>
          <w:sz w:val="24"/>
          <w:szCs w:val="24"/>
        </w:rPr>
        <w:t xml:space="preserve">: </w:t>
      </w:r>
      <w:r w:rsidRPr="00832730">
        <w:rPr>
          <w:rFonts w:asciiTheme="majorBidi" w:hAnsiTheme="majorBidi" w:cstheme="majorBidi"/>
          <w:sz w:val="24"/>
          <w:szCs w:val="24"/>
        </w:rPr>
        <w:t>« Jurons, dialectes, vernaculaires, vocabulaire obscène jouxtent avec le haut latin de la classe officielle et érudite, créant une multitude de voix.»</w:t>
      </w:r>
      <w:r w:rsidR="00832730">
        <w:rPr>
          <w:rStyle w:val="Appelnotedebasdep"/>
          <w:rFonts w:asciiTheme="majorBidi" w:hAnsiTheme="majorBidi" w:cstheme="majorBidi"/>
          <w:sz w:val="24"/>
          <w:szCs w:val="24"/>
        </w:rPr>
        <w:footnoteReference w:id="294"/>
      </w:r>
      <w:r w:rsidR="00BD3FA9" w:rsidRPr="00832730">
        <w:rPr>
          <w:rFonts w:asciiTheme="majorBidi" w:hAnsiTheme="majorBidi" w:cstheme="majorBidi"/>
          <w:sz w:val="24"/>
          <w:szCs w:val="24"/>
        </w:rPr>
        <w:t>.</w:t>
      </w:r>
      <w:r w:rsidR="00BC11B4" w:rsidRPr="00BD3FA9">
        <w:rPr>
          <w:rFonts w:asciiTheme="majorBidi" w:hAnsiTheme="majorBidi" w:cstheme="majorBidi"/>
          <w:iCs/>
          <w:sz w:val="24"/>
          <w:szCs w:val="24"/>
        </w:rPr>
        <w:t xml:space="preserve">   </w:t>
      </w:r>
    </w:p>
    <w:p w:rsidR="006A4EED" w:rsidRPr="003B00C8" w:rsidRDefault="006A4EED" w:rsidP="00957327">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langage carnavalesque est donc un langage prolifique qui crée des sens, eux-mêmes créant d'autres sens. Ce langage ambivalent est un langage transgressif.</w:t>
      </w:r>
    </w:p>
    <w:p w:rsidR="006A4EED" w:rsidRPr="000B4940" w:rsidRDefault="006A4EED" w:rsidP="000B4940">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Les formes de langage du corpus sont l'illustration de styles hauts et bas, de tons sérieux et comiques. Selon Bakhtine:</w:t>
      </w:r>
      <w:r w:rsidR="009F2DBD">
        <w:rPr>
          <w:rFonts w:ascii="Times New Roman" w:hAnsi="Times New Roman"/>
          <w:sz w:val="24"/>
          <w:szCs w:val="24"/>
        </w:rPr>
        <w:t xml:space="preserve"> </w:t>
      </w:r>
      <w:r w:rsidR="000B4940" w:rsidRPr="000B4940">
        <w:rPr>
          <w:rFonts w:asciiTheme="majorBidi" w:hAnsiTheme="majorBidi" w:cstheme="majorBidi"/>
          <w:sz w:val="24"/>
          <w:szCs w:val="24"/>
        </w:rPr>
        <w:t>« </w:t>
      </w:r>
      <w:r w:rsidRPr="000B4940">
        <w:rPr>
          <w:rFonts w:asciiTheme="majorBidi" w:hAnsiTheme="majorBidi" w:cstheme="majorBidi"/>
          <w:sz w:val="24"/>
          <w:szCs w:val="24"/>
        </w:rPr>
        <w:t>Il existait dans le monde hiérarchique et féodal do Moyen Age et de la Renaissance: deux cultures, l'une officielle, religieuse et féodale au ton sérieux, l'autre populaire qui se manifestait dans les réjouissances publiques au ton comique</w:t>
      </w:r>
      <w:r w:rsidR="000B4940">
        <w:rPr>
          <w:rFonts w:asciiTheme="majorBidi" w:hAnsiTheme="majorBidi" w:cstheme="majorBidi"/>
          <w:sz w:val="24"/>
          <w:szCs w:val="24"/>
        </w:rPr>
        <w:t> »</w:t>
      </w:r>
      <w:r w:rsidR="00B03915" w:rsidRPr="000B4940">
        <w:rPr>
          <w:rStyle w:val="Appelnotedebasdep"/>
          <w:rFonts w:asciiTheme="majorBidi" w:hAnsiTheme="majorBidi" w:cstheme="majorBidi"/>
          <w:sz w:val="24"/>
          <w:szCs w:val="24"/>
        </w:rPr>
        <w:footnoteReference w:id="295"/>
      </w:r>
      <w:r w:rsidRPr="000B4940">
        <w:rPr>
          <w:rFonts w:asciiTheme="majorBidi" w:hAnsiTheme="majorBidi" w:cstheme="majorBidi"/>
          <w:sz w:val="24"/>
          <w:szCs w:val="24"/>
        </w:rPr>
        <w:t>.</w:t>
      </w:r>
      <w:r w:rsidR="00BC11B4" w:rsidRPr="000B4940">
        <w:rPr>
          <w:rFonts w:asciiTheme="majorBidi" w:hAnsiTheme="majorBidi" w:cstheme="majorBidi"/>
          <w:iCs/>
          <w:sz w:val="24"/>
          <w:szCs w:val="24"/>
        </w:rPr>
        <w:t xml:space="preserve">   </w:t>
      </w:r>
    </w:p>
    <w:p w:rsidR="006A4EED" w:rsidRPr="003B00C8" w:rsidRDefault="006A4EED" w:rsidP="00993F40">
      <w:pPr>
        <w:spacing w:after="0" w:line="360" w:lineRule="auto"/>
        <w:ind w:firstLine="284"/>
        <w:jc w:val="both"/>
        <w:rPr>
          <w:rFonts w:ascii="Times New Roman" w:hAnsi="Times New Roman"/>
          <w:sz w:val="24"/>
          <w:szCs w:val="24"/>
        </w:rPr>
      </w:pPr>
      <w:r w:rsidRPr="003B00C8">
        <w:rPr>
          <w:rFonts w:ascii="Times New Roman" w:hAnsi="Times New Roman"/>
          <w:sz w:val="24"/>
          <w:szCs w:val="24"/>
        </w:rPr>
        <w:t>En se basant sur cette distinction dichotomique on peut analyser les formes du discours découlant du corpus.</w:t>
      </w:r>
      <w:r w:rsidR="001627D4">
        <w:rPr>
          <w:rFonts w:ascii="Times New Roman" w:hAnsi="Times New Roman"/>
          <w:sz w:val="24"/>
          <w:szCs w:val="24"/>
        </w:rPr>
        <w:t xml:space="preserve"> </w:t>
      </w:r>
      <w:r w:rsidRPr="003B00C8">
        <w:rPr>
          <w:rFonts w:ascii="Times New Roman" w:hAnsi="Times New Roman"/>
          <w:sz w:val="24"/>
          <w:szCs w:val="24"/>
        </w:rPr>
        <w:t>L’une d’elle tient à la proximité gênante entre les jurons et les mots de bonne classe.</w:t>
      </w:r>
      <w:r w:rsidR="001627D4">
        <w:rPr>
          <w:rFonts w:ascii="Times New Roman" w:hAnsi="Times New Roman"/>
          <w:sz w:val="24"/>
          <w:szCs w:val="24"/>
        </w:rPr>
        <w:t xml:space="preserve"> </w:t>
      </w:r>
      <w:r w:rsidRPr="003B00C8">
        <w:rPr>
          <w:rFonts w:ascii="Times New Roman" w:hAnsi="Times New Roman"/>
          <w:sz w:val="24"/>
          <w:szCs w:val="24"/>
        </w:rPr>
        <w:t xml:space="preserve">Plusieurs passages réunissent des figures à </w:t>
      </w:r>
      <w:r w:rsidRPr="003B00C8">
        <w:rPr>
          <w:rFonts w:ascii="Times New Roman" w:hAnsi="Times New Roman"/>
          <w:sz w:val="24"/>
          <w:szCs w:val="24"/>
        </w:rPr>
        <w:lastRenderedPageBreak/>
        <w:t>double ton où louanges et injures s'entrelacent pour saisir cette image carnavalesque qui couronne et détrône à la fois.</w:t>
      </w:r>
      <w:r w:rsidR="00993F40">
        <w:rPr>
          <w:rFonts w:ascii="Times New Roman" w:hAnsi="Times New Roman"/>
          <w:sz w:val="24"/>
          <w:szCs w:val="24"/>
        </w:rPr>
        <w:t xml:space="preserve"> </w:t>
      </w:r>
      <w:r w:rsidRPr="003B00C8">
        <w:rPr>
          <w:rFonts w:ascii="Times New Roman" w:hAnsi="Times New Roman"/>
          <w:sz w:val="24"/>
          <w:szCs w:val="24"/>
        </w:rPr>
        <w:t>Le passage de la page 90 mérite d'être reproduit intégralement car il illustre vraiment l'image contradictoire de la louange - injure: Barabbas s'engage dans un soliloque après sa libération dont il ne comprend pas l'aboutissement :</w:t>
      </w:r>
    </w:p>
    <w:p w:rsidR="006A4EED" w:rsidRPr="00445298" w:rsidRDefault="006A4EED" w:rsidP="008A5718">
      <w:pPr>
        <w:pStyle w:val="Citationintense"/>
        <w:spacing w:before="0" w:after="0"/>
        <w:ind w:left="567" w:right="0"/>
        <w:rPr>
          <w:sz w:val="20"/>
          <w:szCs w:val="20"/>
        </w:rPr>
      </w:pPr>
      <w:r w:rsidRPr="009F2DBD">
        <w:t xml:space="preserve"> </w:t>
      </w:r>
      <w:r w:rsidRPr="00445298">
        <w:rPr>
          <w:sz w:val="20"/>
          <w:szCs w:val="20"/>
        </w:rPr>
        <w:t>Eternel...éternel... donne moi une lueur d'intelligence pour comprendre ce qu'ont fait ces prêtres. Eternel, donne-moi le don de haïr plus encore et de maudire mieux encore. Ils m'ont délivré et je ne puis savoir pourquoi. Ils ont paru rendre le bien, mais pour rendre le bien, ils rendaient le mal en même temps. Ils ont rendu le bien alors qu'ils ne devaient pas le rendre. Ils ont condamné un homme sans péchés pour en absoudre un autre qui était couvert de péchés comme un crocodile d'écaillés. Et j'ai été le jouet de ces hommes et peut être leur complice ! Sans doute croient ils que je suis leur dupe? Pas un Barabbas ! Ils m'ont enlevé mes chaînes mais non les crocs et ma bave. Non mon bras noueux, non mon cœur de bandit, non mon sang violent. Et ils se savent éternel, toi que j'insulterai chaque jour, donne moi de la force, du courage, de la méchanceté. Oh toi dont nous ne reconnaissons que la foudroyante colère et l'inassouvible soif de vindicte (il se relève). Je suis libre. On libère le crime. Il y'a une justice, oui ! Celle que les criminels rendent ! La justice, c'est Barabbas qui la rendra. Vive le meurtre</w:t>
      </w:r>
      <w:r w:rsidR="008A5718">
        <w:rPr>
          <w:sz w:val="20"/>
          <w:szCs w:val="20"/>
        </w:rPr>
        <w:t>.</w:t>
      </w:r>
      <w:r w:rsidRPr="00445298">
        <w:rPr>
          <w:sz w:val="20"/>
          <w:szCs w:val="20"/>
        </w:rPr>
        <w:t xml:space="preserve"> </w:t>
      </w:r>
      <w:r w:rsidR="00BC11B4" w:rsidRPr="008A5718">
        <w:rPr>
          <w:sz w:val="20"/>
          <w:szCs w:val="20"/>
        </w:rPr>
        <w:t>(</w:t>
      </w:r>
      <w:r w:rsidR="008A5718" w:rsidRPr="008A5718">
        <w:rPr>
          <w:sz w:val="20"/>
          <w:szCs w:val="20"/>
        </w:rPr>
        <w:t xml:space="preserve">M. De </w:t>
      </w:r>
      <w:r w:rsidR="008A5718" w:rsidRPr="008A5718">
        <w:rPr>
          <w:sz w:val="20"/>
          <w:szCs w:val="20"/>
          <w:lang w:eastAsia="fr-FR"/>
        </w:rPr>
        <w:t>Ghelderode, 1984</w:t>
      </w:r>
      <w:r w:rsidR="00BC11B4" w:rsidRPr="008A5718">
        <w:rPr>
          <w:sz w:val="20"/>
          <w:szCs w:val="20"/>
        </w:rPr>
        <w:t>)</w:t>
      </w:r>
      <w:r w:rsidR="008A5718" w:rsidRPr="008A5718">
        <w:rPr>
          <w:sz w:val="20"/>
          <w:szCs w:val="20"/>
        </w:rPr>
        <w:t>.</w:t>
      </w:r>
      <w:r w:rsidR="00BC11B4" w:rsidRPr="00445298">
        <w:rPr>
          <w:sz w:val="20"/>
          <w:szCs w:val="20"/>
        </w:rPr>
        <w:t xml:space="preserve">   </w:t>
      </w:r>
    </w:p>
    <w:p w:rsidR="006857A5" w:rsidRDefault="006857A5" w:rsidP="008326A3">
      <w:pPr>
        <w:spacing w:line="360" w:lineRule="auto"/>
        <w:jc w:val="both"/>
        <w:rPr>
          <w:rFonts w:ascii="Times New Roman" w:hAnsi="Times New Roman"/>
          <w:sz w:val="24"/>
          <w:szCs w:val="24"/>
        </w:rPr>
      </w:pPr>
    </w:p>
    <w:p w:rsidR="006A4EED" w:rsidRPr="003C635D" w:rsidRDefault="006A4EED" w:rsidP="003C635D">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Ce dialogisme créateur qui assure ses contradictions va se poursuivre entre Barabbas et les larrons dans la geôle dans une atmosphère liturgique</w:t>
      </w:r>
      <w:r w:rsidR="009F2DBD">
        <w:rPr>
          <w:rFonts w:ascii="Times New Roman" w:hAnsi="Times New Roman"/>
          <w:sz w:val="24"/>
          <w:szCs w:val="24"/>
        </w:rPr>
        <w:t xml:space="preserve"> : </w:t>
      </w:r>
      <w:r w:rsidR="003C635D" w:rsidRPr="003C635D">
        <w:rPr>
          <w:rFonts w:asciiTheme="majorBidi" w:hAnsiTheme="majorBidi" w:cstheme="majorBidi"/>
          <w:sz w:val="24"/>
          <w:szCs w:val="24"/>
        </w:rPr>
        <w:t>« </w:t>
      </w:r>
      <w:r w:rsidRPr="00B64E55">
        <w:rPr>
          <w:rFonts w:asciiTheme="majorBidi" w:hAnsiTheme="majorBidi" w:cstheme="majorBidi"/>
          <w:i/>
          <w:iCs/>
          <w:sz w:val="24"/>
          <w:szCs w:val="24"/>
        </w:rPr>
        <w:t>Vous parlez comme les prophètes dans les livres saints ! Déraisonnez-vous déjà [...] que s'éteigne au plus vite cette miséreuse lueur de conscience [...] soyez titubants et spasmodiques. Et que les blasphèmes bondissent de vos laides bouches</w:t>
      </w:r>
      <w:r w:rsidRPr="003C635D">
        <w:rPr>
          <w:rFonts w:asciiTheme="majorBidi" w:hAnsiTheme="majorBidi" w:cstheme="majorBidi"/>
          <w:sz w:val="24"/>
          <w:szCs w:val="24"/>
        </w:rPr>
        <w:t>»</w:t>
      </w:r>
      <w:r w:rsidR="00BC11B4" w:rsidRPr="003C635D">
        <w:rPr>
          <w:rFonts w:asciiTheme="majorBidi" w:hAnsiTheme="majorBidi" w:cstheme="majorBidi"/>
          <w:sz w:val="24"/>
          <w:szCs w:val="24"/>
        </w:rPr>
        <w:t xml:space="preserve"> (</w:t>
      </w:r>
      <w:r w:rsidR="003C635D" w:rsidRPr="003C635D">
        <w:rPr>
          <w:rFonts w:asciiTheme="majorBidi" w:hAnsiTheme="majorBidi" w:cstheme="majorBidi"/>
          <w:sz w:val="24"/>
          <w:szCs w:val="24"/>
        </w:rPr>
        <w:t xml:space="preserve">M. De </w:t>
      </w:r>
      <w:r w:rsidR="003C635D" w:rsidRPr="003C635D">
        <w:rPr>
          <w:rFonts w:asciiTheme="majorBidi" w:hAnsiTheme="majorBidi" w:cstheme="majorBidi"/>
          <w:sz w:val="24"/>
          <w:szCs w:val="24"/>
          <w:lang w:eastAsia="fr-FR"/>
        </w:rPr>
        <w:t>Ghelderode, 1984</w:t>
      </w:r>
      <w:r w:rsidR="003C635D">
        <w:rPr>
          <w:rFonts w:asciiTheme="majorBidi" w:hAnsiTheme="majorBidi" w:cstheme="majorBidi"/>
          <w:sz w:val="24"/>
          <w:szCs w:val="24"/>
          <w:lang w:eastAsia="fr-FR"/>
        </w:rPr>
        <w:t xml:space="preserve">, </w:t>
      </w:r>
      <w:r w:rsidR="00BC11B4" w:rsidRPr="003C635D">
        <w:rPr>
          <w:rFonts w:asciiTheme="majorBidi" w:hAnsiTheme="majorBidi" w:cstheme="majorBidi"/>
          <w:sz w:val="24"/>
          <w:szCs w:val="24"/>
        </w:rPr>
        <w:t>p.40)</w:t>
      </w:r>
      <w:r w:rsidR="003C635D">
        <w:rPr>
          <w:rFonts w:asciiTheme="majorBidi" w:hAnsiTheme="majorBidi" w:cstheme="majorBidi"/>
          <w:sz w:val="24"/>
          <w:szCs w:val="24"/>
        </w:rPr>
        <w:t>.</w:t>
      </w:r>
      <w:r w:rsidR="00BC11B4" w:rsidRPr="003C635D">
        <w:rPr>
          <w:rFonts w:asciiTheme="majorBidi" w:hAnsiTheme="majorBidi" w:cstheme="majorBidi"/>
          <w:sz w:val="24"/>
          <w:szCs w:val="24"/>
        </w:rPr>
        <w:t xml:space="preserve">   </w:t>
      </w:r>
    </w:p>
    <w:p w:rsidR="006A4EED" w:rsidRPr="00F7474D" w:rsidRDefault="006A4EED" w:rsidP="00F7474D">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Barabbas s'insurge et continue son discours blasphématoire sous forme de prière incantatoire</w:t>
      </w:r>
      <w:r w:rsidR="009F2DBD">
        <w:rPr>
          <w:rFonts w:ascii="Times New Roman" w:hAnsi="Times New Roman"/>
          <w:sz w:val="24"/>
          <w:szCs w:val="24"/>
        </w:rPr>
        <w:t xml:space="preserve"> : </w:t>
      </w:r>
      <w:r w:rsidR="00F7474D" w:rsidRPr="00F7474D">
        <w:rPr>
          <w:rFonts w:asciiTheme="majorBidi" w:hAnsiTheme="majorBidi" w:cstheme="majorBidi"/>
          <w:sz w:val="24"/>
          <w:szCs w:val="24"/>
        </w:rPr>
        <w:t>« </w:t>
      </w:r>
      <w:r w:rsidRPr="00B64E55">
        <w:rPr>
          <w:rFonts w:asciiTheme="majorBidi" w:hAnsiTheme="majorBidi" w:cstheme="majorBidi"/>
          <w:i/>
          <w:iCs/>
          <w:sz w:val="24"/>
          <w:szCs w:val="24"/>
        </w:rPr>
        <w:t>[...] et Quand l'éternel nous apparaît, c'est pour annoncer sa vengeance, c'est dans les fracas des orages c'est pour lancer ses fléaux sur nos meutes effrayées c'est pour enflammer les bûchers de la haine</w:t>
      </w:r>
      <w:r w:rsidRPr="00F7474D">
        <w:rPr>
          <w:rFonts w:asciiTheme="majorBidi" w:hAnsiTheme="majorBidi" w:cstheme="majorBidi"/>
          <w:sz w:val="24"/>
          <w:szCs w:val="24"/>
        </w:rPr>
        <w:t xml:space="preserve"> » </w:t>
      </w:r>
      <w:r w:rsidR="00BC11B4" w:rsidRPr="00F7474D">
        <w:rPr>
          <w:rFonts w:asciiTheme="majorBidi" w:hAnsiTheme="majorBidi" w:cstheme="majorBidi"/>
          <w:sz w:val="24"/>
          <w:szCs w:val="24"/>
        </w:rPr>
        <w:t>(</w:t>
      </w:r>
      <w:r w:rsidR="00F7474D">
        <w:rPr>
          <w:rFonts w:asciiTheme="majorBidi" w:hAnsiTheme="majorBidi" w:cstheme="majorBidi"/>
          <w:i/>
          <w:iCs/>
          <w:sz w:val="24"/>
          <w:szCs w:val="24"/>
        </w:rPr>
        <w:t xml:space="preserve">Ibid, </w:t>
      </w:r>
      <w:r w:rsidR="00BC11B4" w:rsidRPr="00F7474D">
        <w:rPr>
          <w:rFonts w:asciiTheme="majorBidi" w:hAnsiTheme="majorBidi" w:cstheme="majorBidi"/>
          <w:sz w:val="24"/>
          <w:szCs w:val="24"/>
        </w:rPr>
        <w:t>p.40)</w:t>
      </w:r>
      <w:r w:rsidR="00F7474D">
        <w:rPr>
          <w:rFonts w:asciiTheme="majorBidi" w:hAnsiTheme="majorBidi" w:cstheme="majorBidi"/>
          <w:sz w:val="24"/>
          <w:szCs w:val="24"/>
        </w:rPr>
        <w:t>.</w:t>
      </w:r>
      <w:r w:rsidR="00BC11B4" w:rsidRPr="00F7474D">
        <w:rPr>
          <w:rFonts w:asciiTheme="majorBidi" w:hAnsiTheme="majorBidi" w:cstheme="majorBidi"/>
          <w:sz w:val="24"/>
          <w:szCs w:val="24"/>
        </w:rPr>
        <w:t xml:space="preserve">   </w:t>
      </w:r>
    </w:p>
    <w:p w:rsidR="00B64E55" w:rsidRDefault="006A4EED" w:rsidP="00B64E55">
      <w:pPr>
        <w:spacing w:after="0" w:line="360" w:lineRule="auto"/>
        <w:ind w:firstLine="284"/>
        <w:jc w:val="both"/>
        <w:rPr>
          <w:rFonts w:ascii="Times New Roman" w:hAnsi="Times New Roman"/>
          <w:sz w:val="24"/>
          <w:szCs w:val="24"/>
        </w:rPr>
      </w:pPr>
      <w:r w:rsidRPr="003B00C8">
        <w:rPr>
          <w:rFonts w:ascii="Times New Roman" w:hAnsi="Times New Roman"/>
          <w:sz w:val="24"/>
          <w:szCs w:val="24"/>
        </w:rPr>
        <w:t>Dans Semiotike, J.Kristeva décrit le langage ambivalent comme transgressif</w:t>
      </w:r>
      <w:r w:rsidR="009F2DBD">
        <w:rPr>
          <w:rFonts w:ascii="Times New Roman" w:hAnsi="Times New Roman"/>
          <w:sz w:val="24"/>
          <w:szCs w:val="24"/>
        </w:rPr>
        <w:t xml:space="preserve"> : </w:t>
      </w:r>
    </w:p>
    <w:p w:rsidR="006A4EED" w:rsidRPr="00B64E55" w:rsidRDefault="006A4EED" w:rsidP="00B64E55">
      <w:pPr>
        <w:spacing w:after="0" w:line="240" w:lineRule="auto"/>
        <w:ind w:left="567"/>
        <w:jc w:val="both"/>
        <w:rPr>
          <w:rFonts w:asciiTheme="majorBidi" w:hAnsiTheme="majorBidi" w:cstheme="majorBidi"/>
          <w:sz w:val="20"/>
          <w:szCs w:val="20"/>
        </w:rPr>
      </w:pPr>
      <w:r w:rsidRPr="00B64E55">
        <w:rPr>
          <w:rFonts w:asciiTheme="majorBidi" w:hAnsiTheme="majorBidi" w:cstheme="majorBidi"/>
          <w:sz w:val="20"/>
          <w:szCs w:val="20"/>
        </w:rPr>
        <w:t xml:space="preserve">Le seul discours dans le quel la logique poétique se réalise intégralement serait celle du carnaval. Il transgresse les règles du code linguistique de même que celle de la morale sociale en adoptant une logique de rêve.  </w:t>
      </w:r>
      <w:r w:rsidR="00BC11B4" w:rsidRPr="00B64E55">
        <w:rPr>
          <w:rFonts w:asciiTheme="majorBidi" w:hAnsiTheme="majorBidi" w:cstheme="majorBidi"/>
          <w:sz w:val="20"/>
          <w:szCs w:val="20"/>
        </w:rPr>
        <w:t xml:space="preserve">(p.90)   </w:t>
      </w:r>
    </w:p>
    <w:p w:rsidR="00B64E55" w:rsidRDefault="00B64E55" w:rsidP="007E06F2">
      <w:pPr>
        <w:spacing w:line="360" w:lineRule="auto"/>
        <w:jc w:val="both"/>
        <w:rPr>
          <w:rFonts w:ascii="Times New Roman" w:hAnsi="Times New Roman"/>
          <w:sz w:val="24"/>
          <w:szCs w:val="24"/>
        </w:rPr>
      </w:pPr>
    </w:p>
    <w:p w:rsidR="007E06F2" w:rsidRDefault="006A4EED" w:rsidP="00B64E55">
      <w:pPr>
        <w:spacing w:after="0" w:line="360" w:lineRule="auto"/>
        <w:ind w:firstLine="284"/>
        <w:jc w:val="both"/>
        <w:rPr>
          <w:rFonts w:ascii="Times New Roman" w:hAnsi="Times New Roman"/>
          <w:sz w:val="24"/>
          <w:szCs w:val="24"/>
        </w:rPr>
      </w:pPr>
      <w:r w:rsidRPr="003B00C8">
        <w:rPr>
          <w:rFonts w:ascii="Times New Roman" w:hAnsi="Times New Roman"/>
          <w:sz w:val="24"/>
          <w:szCs w:val="24"/>
        </w:rPr>
        <w:t>Ce langage colporté par les dialogues des personnages passe du registre soutenu au langage injurieux, genre verbal qui est incontournable dans la culture carnavalesque</w:t>
      </w:r>
      <w:r w:rsidR="007E06F2">
        <w:rPr>
          <w:rFonts w:ascii="Times New Roman" w:hAnsi="Times New Roman"/>
          <w:sz w:val="24"/>
          <w:szCs w:val="24"/>
        </w:rPr>
        <w:t>.</w:t>
      </w:r>
      <w:r w:rsidRPr="003B00C8">
        <w:rPr>
          <w:rFonts w:ascii="Times New Roman" w:hAnsi="Times New Roman"/>
          <w:sz w:val="24"/>
          <w:szCs w:val="24"/>
        </w:rPr>
        <w:t xml:space="preserve"> Les insultes foisonnent dans les échanges et s'insèrent dans l'action dramatique des personnages qui deviennent amnésiques de leurs situations. </w:t>
      </w:r>
    </w:p>
    <w:p w:rsidR="006A4EED" w:rsidRPr="00B64E55" w:rsidRDefault="006A4EED" w:rsidP="00306052">
      <w:pPr>
        <w:spacing w:after="0" w:line="360" w:lineRule="auto"/>
        <w:ind w:firstLine="284"/>
        <w:jc w:val="both"/>
        <w:rPr>
          <w:rFonts w:ascii="Times New Roman" w:hAnsi="Times New Roman"/>
          <w:sz w:val="24"/>
          <w:szCs w:val="24"/>
        </w:rPr>
      </w:pPr>
      <w:r w:rsidRPr="00B64E55">
        <w:rPr>
          <w:rFonts w:ascii="Times New Roman" w:hAnsi="Times New Roman"/>
          <w:sz w:val="24"/>
          <w:szCs w:val="24"/>
        </w:rPr>
        <w:lastRenderedPageBreak/>
        <w:t>Barabbas traitant de chiens galeux ces geôliers à la page 37 Judas et Yochabeth échangent des jurons à chaque rencontre</w:t>
      </w:r>
      <w:r w:rsidR="00ED00B6" w:rsidRPr="00B64E55">
        <w:rPr>
          <w:rFonts w:ascii="Times New Roman" w:hAnsi="Times New Roman"/>
          <w:sz w:val="24"/>
          <w:szCs w:val="24"/>
        </w:rPr>
        <w:t> </w:t>
      </w:r>
      <w:r w:rsidR="007E06F2" w:rsidRPr="00B64E55">
        <w:rPr>
          <w:rFonts w:ascii="Times New Roman" w:hAnsi="Times New Roman"/>
          <w:sz w:val="24"/>
          <w:szCs w:val="24"/>
        </w:rPr>
        <w:t>: «</w:t>
      </w:r>
      <w:r w:rsidRPr="00B64E55">
        <w:rPr>
          <w:rFonts w:ascii="Times New Roman" w:hAnsi="Times New Roman"/>
          <w:i/>
          <w:iCs/>
          <w:sz w:val="24"/>
          <w:szCs w:val="24"/>
        </w:rPr>
        <w:t xml:space="preserve"> Petit juif mesquin»</w:t>
      </w:r>
      <w:r w:rsidRPr="00B64E55">
        <w:rPr>
          <w:rFonts w:ascii="Times New Roman" w:hAnsi="Times New Roman"/>
          <w:sz w:val="24"/>
          <w:szCs w:val="24"/>
        </w:rPr>
        <w:t xml:space="preserve"> </w:t>
      </w:r>
      <w:r w:rsidR="00BC11B4" w:rsidRPr="00B64E55">
        <w:rPr>
          <w:rFonts w:ascii="Times New Roman" w:hAnsi="Times New Roman"/>
          <w:iCs/>
          <w:sz w:val="24"/>
          <w:szCs w:val="24"/>
        </w:rPr>
        <w:t>(</w:t>
      </w:r>
      <w:r w:rsidR="00B64E55" w:rsidRPr="003C635D">
        <w:rPr>
          <w:rFonts w:asciiTheme="majorBidi" w:hAnsiTheme="majorBidi" w:cstheme="majorBidi"/>
          <w:sz w:val="24"/>
          <w:szCs w:val="24"/>
        </w:rPr>
        <w:t xml:space="preserve">M. De </w:t>
      </w:r>
      <w:r w:rsidR="00B64E55" w:rsidRPr="003C635D">
        <w:rPr>
          <w:rFonts w:asciiTheme="majorBidi" w:hAnsiTheme="majorBidi" w:cstheme="majorBidi"/>
          <w:sz w:val="24"/>
          <w:szCs w:val="24"/>
          <w:lang w:eastAsia="fr-FR"/>
        </w:rPr>
        <w:t>Ghelderode, 1984</w:t>
      </w:r>
      <w:r w:rsidR="00BC11B4" w:rsidRPr="00B64E55">
        <w:rPr>
          <w:rFonts w:ascii="Times New Roman" w:hAnsi="Times New Roman"/>
          <w:iCs/>
          <w:sz w:val="24"/>
          <w:szCs w:val="24"/>
        </w:rPr>
        <w:t>)</w:t>
      </w:r>
      <w:r w:rsidR="00306052">
        <w:rPr>
          <w:rFonts w:ascii="Times New Roman" w:hAnsi="Times New Roman"/>
          <w:iCs/>
          <w:sz w:val="24"/>
          <w:szCs w:val="24"/>
        </w:rPr>
        <w:t xml:space="preserve"> o</w:t>
      </w:r>
      <w:r w:rsidRPr="00B64E55">
        <w:rPr>
          <w:rFonts w:ascii="Times New Roman" w:hAnsi="Times New Roman"/>
          <w:sz w:val="24"/>
          <w:szCs w:val="24"/>
        </w:rPr>
        <w:t>u</w:t>
      </w:r>
      <w:r w:rsidR="00ED00B6" w:rsidRPr="00B64E55">
        <w:rPr>
          <w:rFonts w:ascii="Times New Roman" w:hAnsi="Times New Roman"/>
          <w:sz w:val="24"/>
          <w:szCs w:val="24"/>
        </w:rPr>
        <w:t xml:space="preserve"> </w:t>
      </w:r>
      <w:r w:rsidRPr="00B64E55">
        <w:rPr>
          <w:rFonts w:ascii="Times New Roman" w:hAnsi="Times New Roman"/>
          <w:sz w:val="24"/>
          <w:szCs w:val="24"/>
        </w:rPr>
        <w:t xml:space="preserve"> </w:t>
      </w:r>
      <w:r w:rsidRPr="00B64E55">
        <w:rPr>
          <w:rFonts w:ascii="Times New Roman" w:hAnsi="Times New Roman"/>
          <w:i/>
          <w:iCs/>
          <w:sz w:val="24"/>
          <w:szCs w:val="24"/>
        </w:rPr>
        <w:t>« Ordure, fils de truie»</w:t>
      </w:r>
      <w:r w:rsidR="00BC11B4" w:rsidRPr="00B64E55">
        <w:rPr>
          <w:rFonts w:ascii="Times New Roman" w:hAnsi="Times New Roman"/>
          <w:iCs/>
          <w:sz w:val="24"/>
          <w:szCs w:val="24"/>
        </w:rPr>
        <w:t xml:space="preserve"> (</w:t>
      </w:r>
      <w:r w:rsidR="00B64E55">
        <w:rPr>
          <w:rFonts w:ascii="Times New Roman" w:hAnsi="Times New Roman"/>
          <w:i/>
          <w:sz w:val="24"/>
          <w:szCs w:val="24"/>
        </w:rPr>
        <w:t xml:space="preserve">Ibid, </w:t>
      </w:r>
      <w:r w:rsidR="00BC11B4" w:rsidRPr="00B64E55">
        <w:rPr>
          <w:rFonts w:ascii="Times New Roman" w:hAnsi="Times New Roman"/>
          <w:iCs/>
          <w:sz w:val="24"/>
          <w:szCs w:val="24"/>
        </w:rPr>
        <w:t>p.63)</w:t>
      </w:r>
      <w:r w:rsidR="00B64E55">
        <w:rPr>
          <w:rFonts w:ascii="Times New Roman" w:hAnsi="Times New Roman"/>
          <w:iCs/>
          <w:sz w:val="24"/>
          <w:szCs w:val="24"/>
        </w:rPr>
        <w:t>.</w:t>
      </w:r>
      <w:r w:rsidR="00BC11B4" w:rsidRPr="00B64E55">
        <w:rPr>
          <w:rFonts w:ascii="Times New Roman" w:hAnsi="Times New Roman"/>
          <w:iCs/>
          <w:sz w:val="24"/>
          <w:szCs w:val="24"/>
        </w:rPr>
        <w:t xml:space="preserve">   </w:t>
      </w:r>
      <w:r w:rsidRPr="00B64E55">
        <w:rPr>
          <w:rFonts w:ascii="Times New Roman" w:hAnsi="Times New Roman"/>
          <w:sz w:val="24"/>
          <w:szCs w:val="24"/>
        </w:rPr>
        <w:t xml:space="preserve"> </w:t>
      </w:r>
    </w:p>
    <w:p w:rsidR="006A4EED" w:rsidRPr="00306052" w:rsidRDefault="006A4EED" w:rsidP="00306052">
      <w:pPr>
        <w:spacing w:after="0" w:line="360" w:lineRule="auto"/>
        <w:ind w:firstLine="284"/>
        <w:jc w:val="both"/>
        <w:rPr>
          <w:rFonts w:ascii="Times New Roman" w:hAnsi="Times New Roman"/>
          <w:sz w:val="24"/>
          <w:szCs w:val="24"/>
        </w:rPr>
      </w:pPr>
      <w:r w:rsidRPr="00306052">
        <w:rPr>
          <w:rFonts w:ascii="Times New Roman" w:hAnsi="Times New Roman"/>
          <w:sz w:val="24"/>
          <w:szCs w:val="24"/>
        </w:rPr>
        <w:t>Hérode traite le peuple des bas fonds de Jérusalem de racaille</w:t>
      </w:r>
      <w:r w:rsidR="00ED00B6" w:rsidRPr="00306052">
        <w:rPr>
          <w:rFonts w:ascii="Times New Roman" w:hAnsi="Times New Roman"/>
          <w:sz w:val="24"/>
          <w:szCs w:val="24"/>
        </w:rPr>
        <w:t xml:space="preserve"> : </w:t>
      </w:r>
      <w:r w:rsidRPr="00306052">
        <w:rPr>
          <w:rFonts w:ascii="Times New Roman" w:hAnsi="Times New Roman"/>
          <w:i/>
          <w:iCs/>
          <w:sz w:val="24"/>
          <w:szCs w:val="24"/>
        </w:rPr>
        <w:t>«</w:t>
      </w:r>
      <w:r w:rsidR="007613E5" w:rsidRPr="00306052">
        <w:rPr>
          <w:rFonts w:ascii="Times New Roman" w:hAnsi="Times New Roman"/>
          <w:i/>
          <w:iCs/>
          <w:sz w:val="24"/>
          <w:szCs w:val="24"/>
        </w:rPr>
        <w:t xml:space="preserve"> </w:t>
      </w:r>
      <w:r w:rsidRPr="00306052">
        <w:rPr>
          <w:rFonts w:ascii="Times New Roman" w:hAnsi="Times New Roman"/>
          <w:i/>
          <w:iCs/>
          <w:sz w:val="24"/>
          <w:szCs w:val="24"/>
        </w:rPr>
        <w:t xml:space="preserve">Je suis mêlé à la racaille </w:t>
      </w:r>
      <w:r w:rsidR="007613E5" w:rsidRPr="00306052">
        <w:rPr>
          <w:rFonts w:ascii="Times New Roman" w:hAnsi="Times New Roman"/>
          <w:i/>
          <w:iCs/>
          <w:sz w:val="24"/>
          <w:szCs w:val="24"/>
        </w:rPr>
        <w:t>»</w:t>
      </w:r>
      <w:r w:rsidR="007613E5" w:rsidRPr="00306052">
        <w:rPr>
          <w:rFonts w:ascii="Times New Roman" w:hAnsi="Times New Roman"/>
          <w:sz w:val="24"/>
          <w:szCs w:val="24"/>
          <w:vertAlign w:val="superscript"/>
        </w:rPr>
        <w:t xml:space="preserve"> </w:t>
      </w:r>
      <w:r w:rsidR="00BC11B4" w:rsidRPr="00306052">
        <w:rPr>
          <w:rFonts w:ascii="Times New Roman" w:hAnsi="Times New Roman"/>
          <w:iCs/>
          <w:sz w:val="24"/>
          <w:szCs w:val="24"/>
        </w:rPr>
        <w:t>(</w:t>
      </w:r>
      <w:r w:rsidR="00306052">
        <w:rPr>
          <w:rFonts w:ascii="Times New Roman" w:hAnsi="Times New Roman"/>
          <w:i/>
          <w:sz w:val="24"/>
          <w:szCs w:val="24"/>
        </w:rPr>
        <w:t xml:space="preserve">Ibid, </w:t>
      </w:r>
      <w:r w:rsidR="00BC11B4" w:rsidRPr="00306052">
        <w:rPr>
          <w:rFonts w:ascii="Times New Roman" w:hAnsi="Times New Roman"/>
          <w:iCs/>
          <w:sz w:val="24"/>
          <w:szCs w:val="24"/>
        </w:rPr>
        <w:t>p.72)</w:t>
      </w:r>
      <w:r w:rsidR="00306052">
        <w:rPr>
          <w:rFonts w:ascii="Times New Roman" w:hAnsi="Times New Roman"/>
          <w:iCs/>
          <w:sz w:val="24"/>
          <w:szCs w:val="24"/>
        </w:rPr>
        <w:t>.</w:t>
      </w:r>
      <w:r w:rsidR="00BC11B4" w:rsidRPr="00306052">
        <w:rPr>
          <w:rFonts w:ascii="Times New Roman" w:hAnsi="Times New Roman"/>
          <w:iCs/>
          <w:sz w:val="24"/>
          <w:szCs w:val="24"/>
        </w:rPr>
        <w:t xml:space="preserve">   </w:t>
      </w:r>
    </w:p>
    <w:p w:rsidR="006A4EED" w:rsidRPr="00306052" w:rsidRDefault="006A4EED" w:rsidP="00306052">
      <w:pPr>
        <w:spacing w:after="0" w:line="360" w:lineRule="auto"/>
        <w:ind w:firstLine="284"/>
        <w:jc w:val="both"/>
        <w:rPr>
          <w:rFonts w:ascii="Times New Roman" w:hAnsi="Times New Roman"/>
          <w:sz w:val="24"/>
          <w:szCs w:val="24"/>
        </w:rPr>
      </w:pPr>
      <w:r w:rsidRPr="00306052">
        <w:rPr>
          <w:rFonts w:ascii="Times New Roman" w:hAnsi="Times New Roman"/>
          <w:sz w:val="24"/>
          <w:szCs w:val="24"/>
        </w:rPr>
        <w:t>Caïphe ridiculise Hérode et le compare à une danseuse</w:t>
      </w:r>
      <w:r w:rsidR="00ED00B6" w:rsidRPr="00306052">
        <w:rPr>
          <w:rFonts w:ascii="Times New Roman" w:hAnsi="Times New Roman"/>
          <w:sz w:val="24"/>
          <w:szCs w:val="24"/>
        </w:rPr>
        <w:t xml:space="preserve"> : </w:t>
      </w:r>
      <w:r w:rsidRPr="00306052">
        <w:rPr>
          <w:rFonts w:ascii="Times New Roman" w:hAnsi="Times New Roman"/>
          <w:i/>
          <w:iCs/>
          <w:sz w:val="24"/>
          <w:szCs w:val="24"/>
        </w:rPr>
        <w:t>« Tu es une danseuse, un gourmet, un gros malade »</w:t>
      </w:r>
      <w:r w:rsidRPr="00306052">
        <w:rPr>
          <w:rFonts w:ascii="Times New Roman" w:hAnsi="Times New Roman"/>
          <w:sz w:val="24"/>
          <w:szCs w:val="24"/>
        </w:rPr>
        <w:t xml:space="preserve"> </w:t>
      </w:r>
      <w:r w:rsidR="00BC11B4" w:rsidRPr="00306052">
        <w:rPr>
          <w:rFonts w:ascii="Times New Roman" w:hAnsi="Times New Roman"/>
          <w:iCs/>
          <w:sz w:val="24"/>
          <w:szCs w:val="24"/>
        </w:rPr>
        <w:t>(</w:t>
      </w:r>
      <w:r w:rsidR="00306052">
        <w:rPr>
          <w:rFonts w:ascii="Times New Roman" w:hAnsi="Times New Roman"/>
          <w:i/>
          <w:sz w:val="24"/>
          <w:szCs w:val="24"/>
        </w:rPr>
        <w:t xml:space="preserve">Ibid, </w:t>
      </w:r>
      <w:r w:rsidR="00BC11B4" w:rsidRPr="00306052">
        <w:rPr>
          <w:rFonts w:ascii="Times New Roman" w:hAnsi="Times New Roman"/>
          <w:iCs/>
          <w:sz w:val="24"/>
          <w:szCs w:val="24"/>
        </w:rPr>
        <w:t>p.76)</w:t>
      </w:r>
      <w:r w:rsidR="00306052">
        <w:rPr>
          <w:rFonts w:ascii="Times New Roman" w:hAnsi="Times New Roman"/>
          <w:iCs/>
          <w:sz w:val="24"/>
          <w:szCs w:val="24"/>
        </w:rPr>
        <w:t>.</w:t>
      </w:r>
      <w:r w:rsidR="00BC11B4" w:rsidRPr="00306052">
        <w:rPr>
          <w:rFonts w:ascii="Times New Roman" w:hAnsi="Times New Roman"/>
          <w:iCs/>
          <w:sz w:val="24"/>
          <w:szCs w:val="24"/>
        </w:rPr>
        <w:t xml:space="preserve">   </w:t>
      </w:r>
    </w:p>
    <w:p w:rsidR="006A4EED" w:rsidRPr="00306052" w:rsidRDefault="006A4EED" w:rsidP="00306052">
      <w:pPr>
        <w:spacing w:after="0" w:line="360" w:lineRule="auto"/>
        <w:ind w:firstLine="284"/>
        <w:jc w:val="both"/>
        <w:rPr>
          <w:rFonts w:ascii="Times New Roman" w:hAnsi="Times New Roman"/>
          <w:sz w:val="24"/>
          <w:szCs w:val="24"/>
        </w:rPr>
      </w:pPr>
      <w:r w:rsidRPr="00306052">
        <w:rPr>
          <w:rFonts w:ascii="Times New Roman" w:hAnsi="Times New Roman"/>
          <w:sz w:val="24"/>
          <w:szCs w:val="24"/>
        </w:rPr>
        <w:t>Barabbas rétorque au prêtre qui l'amadoue</w:t>
      </w:r>
      <w:r w:rsidR="00ED00B6" w:rsidRPr="00306052">
        <w:rPr>
          <w:rFonts w:ascii="Times New Roman" w:hAnsi="Times New Roman"/>
          <w:sz w:val="24"/>
          <w:szCs w:val="24"/>
        </w:rPr>
        <w:t> :</w:t>
      </w:r>
      <w:r w:rsidRPr="00306052">
        <w:rPr>
          <w:rFonts w:ascii="Times New Roman" w:hAnsi="Times New Roman"/>
          <w:sz w:val="24"/>
          <w:szCs w:val="24"/>
        </w:rPr>
        <w:t xml:space="preserve"> </w:t>
      </w:r>
      <w:r w:rsidRPr="00306052">
        <w:rPr>
          <w:rFonts w:ascii="Times New Roman" w:hAnsi="Times New Roman"/>
          <w:i/>
          <w:iCs/>
          <w:sz w:val="24"/>
          <w:szCs w:val="24"/>
        </w:rPr>
        <w:t>« Tête de porc »</w:t>
      </w:r>
      <w:r w:rsidRPr="00306052">
        <w:rPr>
          <w:rFonts w:ascii="Times New Roman" w:hAnsi="Times New Roman"/>
          <w:sz w:val="24"/>
          <w:szCs w:val="24"/>
        </w:rPr>
        <w:t xml:space="preserve"> </w:t>
      </w:r>
      <w:r w:rsidR="00BC11B4" w:rsidRPr="00306052">
        <w:rPr>
          <w:rFonts w:ascii="Times New Roman" w:hAnsi="Times New Roman"/>
          <w:iCs/>
          <w:sz w:val="24"/>
          <w:szCs w:val="24"/>
        </w:rPr>
        <w:t>(</w:t>
      </w:r>
      <w:r w:rsidR="00306052">
        <w:rPr>
          <w:rFonts w:ascii="Times New Roman" w:hAnsi="Times New Roman"/>
          <w:i/>
          <w:sz w:val="24"/>
          <w:szCs w:val="24"/>
        </w:rPr>
        <w:t xml:space="preserve">Ibid, </w:t>
      </w:r>
      <w:r w:rsidR="00BC11B4" w:rsidRPr="00306052">
        <w:rPr>
          <w:rFonts w:ascii="Times New Roman" w:hAnsi="Times New Roman"/>
          <w:iCs/>
          <w:sz w:val="24"/>
          <w:szCs w:val="24"/>
        </w:rPr>
        <w:t>p.51)</w:t>
      </w:r>
      <w:r w:rsidR="00306052">
        <w:rPr>
          <w:rFonts w:ascii="Times New Roman" w:hAnsi="Times New Roman"/>
          <w:iCs/>
          <w:sz w:val="24"/>
          <w:szCs w:val="24"/>
        </w:rPr>
        <w:t>.</w:t>
      </w:r>
      <w:r w:rsidR="00BC11B4" w:rsidRPr="00306052">
        <w:rPr>
          <w:rFonts w:ascii="Times New Roman" w:hAnsi="Times New Roman"/>
          <w:iCs/>
          <w:sz w:val="24"/>
          <w:szCs w:val="24"/>
        </w:rPr>
        <w:t xml:space="preserve">   </w:t>
      </w:r>
    </w:p>
    <w:p w:rsidR="006A4EED" w:rsidRPr="00306052" w:rsidRDefault="006A4EED" w:rsidP="00306052">
      <w:pPr>
        <w:spacing w:after="0" w:line="360" w:lineRule="auto"/>
        <w:ind w:firstLine="284"/>
        <w:jc w:val="both"/>
        <w:rPr>
          <w:rFonts w:ascii="Times New Roman" w:hAnsi="Times New Roman"/>
          <w:sz w:val="24"/>
          <w:szCs w:val="24"/>
        </w:rPr>
      </w:pPr>
      <w:r w:rsidRPr="00306052">
        <w:rPr>
          <w:rFonts w:ascii="Times New Roman" w:hAnsi="Times New Roman"/>
          <w:sz w:val="24"/>
          <w:szCs w:val="24"/>
        </w:rPr>
        <w:t>Barabbas écœuré par la trahison de Judas</w:t>
      </w:r>
      <w:r w:rsidR="00ED00B6" w:rsidRPr="00306052">
        <w:rPr>
          <w:rFonts w:ascii="Times New Roman" w:hAnsi="Times New Roman"/>
          <w:sz w:val="24"/>
          <w:szCs w:val="24"/>
        </w:rPr>
        <w:t xml:space="preserve"> : </w:t>
      </w:r>
      <w:r w:rsidRPr="00306052">
        <w:rPr>
          <w:rFonts w:ascii="Times New Roman" w:hAnsi="Times New Roman"/>
          <w:i/>
          <w:iCs/>
          <w:sz w:val="24"/>
          <w:szCs w:val="24"/>
        </w:rPr>
        <w:t>« Arrière mouche à merde »</w:t>
      </w:r>
      <w:r w:rsidRPr="00306052">
        <w:rPr>
          <w:rFonts w:ascii="Times New Roman" w:hAnsi="Times New Roman"/>
          <w:sz w:val="24"/>
          <w:szCs w:val="24"/>
        </w:rPr>
        <w:t xml:space="preserve"> </w:t>
      </w:r>
      <w:r w:rsidR="00BC11B4" w:rsidRPr="00306052">
        <w:rPr>
          <w:rFonts w:ascii="Times New Roman" w:hAnsi="Times New Roman"/>
          <w:iCs/>
          <w:sz w:val="24"/>
          <w:szCs w:val="24"/>
        </w:rPr>
        <w:t>(</w:t>
      </w:r>
      <w:r w:rsidR="00306052">
        <w:rPr>
          <w:rFonts w:ascii="Times New Roman" w:hAnsi="Times New Roman"/>
          <w:i/>
          <w:sz w:val="24"/>
          <w:szCs w:val="24"/>
        </w:rPr>
        <w:t xml:space="preserve">Ibid, </w:t>
      </w:r>
      <w:r w:rsidR="00BC11B4" w:rsidRPr="00306052">
        <w:rPr>
          <w:rFonts w:ascii="Times New Roman" w:hAnsi="Times New Roman"/>
          <w:iCs/>
          <w:sz w:val="24"/>
          <w:szCs w:val="24"/>
        </w:rPr>
        <w:t>p.105)</w:t>
      </w:r>
      <w:r w:rsidR="00306052">
        <w:rPr>
          <w:rFonts w:ascii="Times New Roman" w:hAnsi="Times New Roman"/>
          <w:iCs/>
          <w:sz w:val="24"/>
          <w:szCs w:val="24"/>
        </w:rPr>
        <w:t>.</w:t>
      </w:r>
      <w:r w:rsidR="00BC11B4" w:rsidRPr="00306052">
        <w:rPr>
          <w:rFonts w:ascii="Times New Roman" w:hAnsi="Times New Roman"/>
          <w:iCs/>
          <w:sz w:val="24"/>
          <w:szCs w:val="24"/>
        </w:rPr>
        <w:t xml:space="preserve">  </w:t>
      </w:r>
    </w:p>
    <w:p w:rsidR="006A4EED" w:rsidRPr="003B00C8" w:rsidRDefault="006A4EED" w:rsidP="00306052">
      <w:pPr>
        <w:spacing w:after="0" w:line="360" w:lineRule="auto"/>
        <w:ind w:firstLine="284"/>
        <w:jc w:val="both"/>
        <w:rPr>
          <w:rFonts w:ascii="Times New Roman" w:hAnsi="Times New Roman"/>
          <w:sz w:val="24"/>
          <w:szCs w:val="24"/>
        </w:rPr>
      </w:pPr>
      <w:r w:rsidRPr="003B00C8">
        <w:rPr>
          <w:rFonts w:ascii="Times New Roman" w:hAnsi="Times New Roman"/>
          <w:sz w:val="24"/>
          <w:szCs w:val="24"/>
        </w:rPr>
        <w:t>Les Jurons</w:t>
      </w:r>
      <w:r w:rsidR="007613E5">
        <w:rPr>
          <w:rFonts w:ascii="Times New Roman" w:hAnsi="Times New Roman"/>
          <w:sz w:val="24"/>
          <w:szCs w:val="24"/>
        </w:rPr>
        <w:t>, quant à eux</w:t>
      </w:r>
      <w:r w:rsidRPr="003B00C8">
        <w:rPr>
          <w:rFonts w:ascii="Times New Roman" w:hAnsi="Times New Roman"/>
          <w:sz w:val="24"/>
          <w:szCs w:val="24"/>
        </w:rPr>
        <w:t xml:space="preserve"> sont nombreux</w:t>
      </w:r>
      <w:r w:rsidR="00ED00B6">
        <w:rPr>
          <w:rFonts w:ascii="Times New Roman" w:hAnsi="Times New Roman"/>
          <w:sz w:val="24"/>
          <w:szCs w:val="24"/>
        </w:rPr>
        <w:t> :</w:t>
      </w:r>
      <w:r w:rsidR="00306052">
        <w:rPr>
          <w:rFonts w:ascii="Times New Roman" w:hAnsi="Times New Roman"/>
          <w:sz w:val="24"/>
          <w:szCs w:val="24"/>
        </w:rPr>
        <w:t xml:space="preserve"> </w:t>
      </w:r>
      <w:r w:rsidRPr="003B00C8">
        <w:rPr>
          <w:rFonts w:ascii="Times New Roman" w:hAnsi="Times New Roman"/>
          <w:sz w:val="24"/>
          <w:szCs w:val="24"/>
        </w:rPr>
        <w:t xml:space="preserve">Dieu cruel - Dieu sanguinaire - femmes vipères - chacals vautours - oiseaux de nuit - volaille de diable crapules - sépulcres blanches - vermines </w:t>
      </w:r>
      <w:r w:rsidR="00306052">
        <w:rPr>
          <w:rFonts w:ascii="Times New Roman" w:hAnsi="Times New Roman"/>
          <w:sz w:val="24"/>
          <w:szCs w:val="24"/>
        </w:rPr>
        <w:t>–</w:t>
      </w:r>
      <w:r w:rsidRPr="003B00C8">
        <w:rPr>
          <w:rFonts w:ascii="Times New Roman" w:hAnsi="Times New Roman"/>
          <w:sz w:val="24"/>
          <w:szCs w:val="24"/>
        </w:rPr>
        <w:t xml:space="preserve"> chiourmes</w:t>
      </w:r>
      <w:r w:rsidR="00306052">
        <w:rPr>
          <w:rFonts w:ascii="Times New Roman" w:hAnsi="Times New Roman"/>
          <w:sz w:val="24"/>
          <w:szCs w:val="24"/>
        </w:rPr>
        <w:t>.</w:t>
      </w:r>
    </w:p>
    <w:p w:rsidR="006A4EED" w:rsidRPr="003B00C8" w:rsidRDefault="006A4EED" w:rsidP="00306052">
      <w:pPr>
        <w:spacing w:after="0" w:line="360" w:lineRule="auto"/>
        <w:ind w:firstLine="284"/>
        <w:jc w:val="both"/>
        <w:rPr>
          <w:rFonts w:ascii="Times New Roman" w:hAnsi="Times New Roman"/>
          <w:sz w:val="24"/>
          <w:szCs w:val="24"/>
        </w:rPr>
      </w:pPr>
      <w:r w:rsidRPr="003B00C8">
        <w:rPr>
          <w:rFonts w:ascii="Times New Roman" w:hAnsi="Times New Roman"/>
          <w:sz w:val="24"/>
          <w:szCs w:val="24"/>
        </w:rPr>
        <w:t>Ces bas registres qui sont nombreux montrent leur visée utopique et subversive par rapport à la langue «propre» littéraire.</w:t>
      </w:r>
    </w:p>
    <w:p w:rsidR="006A4EED" w:rsidRPr="00306052" w:rsidRDefault="006A4EED" w:rsidP="00306052">
      <w:pPr>
        <w:pStyle w:val="Citationintense"/>
        <w:spacing w:before="0" w:after="0"/>
        <w:ind w:left="567" w:right="0"/>
        <w:rPr>
          <w:sz w:val="20"/>
          <w:szCs w:val="20"/>
        </w:rPr>
      </w:pPr>
      <w:r w:rsidRPr="00306052">
        <w:rPr>
          <w:sz w:val="20"/>
          <w:szCs w:val="20"/>
        </w:rPr>
        <w:t>L'injure est le revers de l'éloge, le vocabulaire de la place publique en fête, injurie en louant et loue en injuriant. C'est un Janus à double visage, ces mots sont adressés à un objet bi corporel qui meurt et naît à la fois au passé qui met l'avenir au monde [...] L'une est toujours prête à se transformer en l'autre</w:t>
      </w:r>
      <w:r w:rsidRPr="00306052">
        <w:rPr>
          <w:sz w:val="20"/>
          <w:szCs w:val="20"/>
          <w:vertAlign w:val="superscript"/>
        </w:rPr>
        <w:footnoteReference w:id="296"/>
      </w:r>
      <w:r w:rsidR="003A536A">
        <w:rPr>
          <w:sz w:val="20"/>
          <w:szCs w:val="20"/>
        </w:rPr>
        <w:t>.</w:t>
      </w:r>
    </w:p>
    <w:p w:rsidR="006A4EED" w:rsidRPr="003B00C8" w:rsidRDefault="006A4EED" w:rsidP="006A4EED">
      <w:pPr>
        <w:rPr>
          <w:rFonts w:ascii="Times New Roman" w:hAnsi="Times New Roman"/>
          <w:lang w:eastAsia="fr-FR"/>
        </w:rPr>
      </w:pPr>
    </w:p>
    <w:p w:rsidR="006A4EED" w:rsidRPr="003A536A" w:rsidRDefault="003A536A" w:rsidP="003A536A">
      <w:pPr>
        <w:pStyle w:val="Titre5"/>
        <w:spacing w:before="0" w:after="0"/>
        <w:ind w:left="641" w:hanging="357"/>
        <w:jc w:val="both"/>
        <w:rPr>
          <w:rFonts w:ascii="Times New Roman" w:hAnsi="Times New Roman"/>
          <w:color w:val="auto"/>
          <w:lang w:eastAsia="fr-FR"/>
        </w:rPr>
      </w:pPr>
      <w:bookmarkStart w:id="175" w:name="_Toc471484542"/>
      <w:r w:rsidRPr="003A536A">
        <w:rPr>
          <w:rFonts w:ascii="Times New Roman" w:hAnsi="Times New Roman"/>
          <w:color w:val="auto"/>
          <w:lang w:eastAsia="fr-FR"/>
        </w:rPr>
        <w:t>3.2.3. Contrastes</w:t>
      </w:r>
      <w:r w:rsidR="006A4EED" w:rsidRPr="003A536A">
        <w:rPr>
          <w:rFonts w:ascii="Times New Roman" w:hAnsi="Times New Roman"/>
          <w:color w:val="auto"/>
          <w:lang w:eastAsia="fr-FR"/>
        </w:rPr>
        <w:t xml:space="preserve"> et doubles parodiques</w:t>
      </w:r>
      <w:bookmarkEnd w:id="175"/>
    </w:p>
    <w:p w:rsidR="006A4EED" w:rsidRPr="003B00C8" w:rsidRDefault="006A4EED" w:rsidP="003A536A">
      <w:pPr>
        <w:spacing w:after="0" w:line="360" w:lineRule="auto"/>
        <w:ind w:firstLine="284"/>
        <w:jc w:val="both"/>
        <w:rPr>
          <w:rFonts w:ascii="Times New Roman" w:hAnsi="Times New Roman"/>
          <w:sz w:val="24"/>
          <w:szCs w:val="24"/>
        </w:rPr>
      </w:pPr>
      <w:r w:rsidRPr="003B00C8">
        <w:rPr>
          <w:rFonts w:ascii="Times New Roman" w:hAnsi="Times New Roman"/>
          <w:sz w:val="24"/>
          <w:szCs w:val="24"/>
        </w:rPr>
        <w:t>Les procédés carnavalesques du grotesque et du tragique se retrouvent aussi dans le système des personnages de la fable, obéissant à des contrastes, que nous appelons des doubles parodiques.</w:t>
      </w:r>
      <w:r w:rsidR="003A536A">
        <w:rPr>
          <w:rFonts w:ascii="Times New Roman" w:hAnsi="Times New Roman"/>
          <w:sz w:val="24"/>
          <w:szCs w:val="24"/>
        </w:rPr>
        <w:t xml:space="preserve"> </w:t>
      </w:r>
      <w:r w:rsidRPr="003B00C8">
        <w:rPr>
          <w:rFonts w:ascii="Times New Roman" w:hAnsi="Times New Roman"/>
          <w:sz w:val="24"/>
          <w:szCs w:val="24"/>
        </w:rPr>
        <w:t>Cette présence de doubles illustre et renforce la dynamique des contradictions.</w:t>
      </w:r>
    </w:p>
    <w:p w:rsidR="006A4EED" w:rsidRPr="003A536A" w:rsidRDefault="006A4EED" w:rsidP="003A536A">
      <w:pPr>
        <w:spacing w:after="0" w:line="360" w:lineRule="auto"/>
        <w:ind w:firstLine="284"/>
        <w:jc w:val="both"/>
        <w:rPr>
          <w:rFonts w:asciiTheme="majorBidi" w:hAnsiTheme="majorBidi" w:cstheme="majorBidi"/>
          <w:sz w:val="24"/>
          <w:szCs w:val="24"/>
        </w:rPr>
      </w:pPr>
      <w:r w:rsidRPr="003B00C8">
        <w:rPr>
          <w:rFonts w:ascii="Times New Roman" w:hAnsi="Times New Roman"/>
          <w:b/>
          <w:sz w:val="24"/>
          <w:szCs w:val="24"/>
        </w:rPr>
        <w:t>La paire Barabbas - Jésus</w:t>
      </w:r>
      <w:r w:rsidRPr="003B00C8">
        <w:rPr>
          <w:rFonts w:ascii="Times New Roman" w:hAnsi="Times New Roman"/>
          <w:sz w:val="24"/>
          <w:szCs w:val="24"/>
        </w:rPr>
        <w:t>: Elle représente la figure la plus significative de ces doubles.</w:t>
      </w:r>
      <w:r w:rsidR="003A536A">
        <w:rPr>
          <w:rFonts w:ascii="Times New Roman" w:hAnsi="Times New Roman"/>
          <w:sz w:val="24"/>
          <w:szCs w:val="24"/>
        </w:rPr>
        <w:t xml:space="preserve"> </w:t>
      </w:r>
      <w:r w:rsidRPr="003B00C8">
        <w:rPr>
          <w:rFonts w:ascii="Times New Roman" w:hAnsi="Times New Roman"/>
          <w:sz w:val="24"/>
          <w:szCs w:val="24"/>
        </w:rPr>
        <w:t>Dans l'acte III</w:t>
      </w:r>
      <w:r w:rsidR="003A536A">
        <w:rPr>
          <w:rFonts w:ascii="Times New Roman" w:hAnsi="Times New Roman"/>
          <w:sz w:val="24"/>
          <w:szCs w:val="24"/>
        </w:rPr>
        <w:t xml:space="preserve">, </w:t>
      </w:r>
      <w:r w:rsidRPr="003B00C8">
        <w:rPr>
          <w:rFonts w:ascii="Times New Roman" w:hAnsi="Times New Roman"/>
          <w:sz w:val="24"/>
          <w:szCs w:val="24"/>
        </w:rPr>
        <w:t>la foule va décider entre deux personnages qui historiquement ont le même nom. Bar - Abba c'est-à-dire le fils du père, l'un par le nom Barabbas, l'autre en réalité c'est à dire Le fils du Père selon les Ecritures</w:t>
      </w:r>
      <w:r w:rsidR="007613E5">
        <w:rPr>
          <w:rFonts w:ascii="Times New Roman" w:hAnsi="Times New Roman"/>
          <w:sz w:val="24"/>
          <w:szCs w:val="24"/>
        </w:rPr>
        <w:t xml:space="preserve"> bibliques</w:t>
      </w:r>
      <w:r w:rsidRPr="003B00C8">
        <w:rPr>
          <w:rFonts w:ascii="Times New Roman" w:hAnsi="Times New Roman"/>
          <w:sz w:val="24"/>
          <w:szCs w:val="24"/>
        </w:rPr>
        <w:t>.</w:t>
      </w:r>
      <w:r w:rsidR="003A536A">
        <w:rPr>
          <w:rFonts w:ascii="Times New Roman" w:hAnsi="Times New Roman"/>
          <w:sz w:val="24"/>
          <w:szCs w:val="24"/>
        </w:rPr>
        <w:t xml:space="preserve"> </w:t>
      </w:r>
      <w:r w:rsidRPr="003B00C8">
        <w:rPr>
          <w:rFonts w:ascii="Times New Roman" w:hAnsi="Times New Roman"/>
          <w:sz w:val="24"/>
          <w:szCs w:val="24"/>
        </w:rPr>
        <w:t>Physiquement, Barabbas est selon la description du dramaturge comme une force lors de l'interrogation des larrons par Barabbas</w:t>
      </w:r>
      <w:r w:rsidR="00ED00B6">
        <w:rPr>
          <w:rFonts w:ascii="Times New Roman" w:hAnsi="Times New Roman"/>
          <w:sz w:val="24"/>
          <w:szCs w:val="24"/>
        </w:rPr>
        <w:t> </w:t>
      </w:r>
      <w:r w:rsidR="00ED00B6" w:rsidRPr="003A536A">
        <w:rPr>
          <w:rFonts w:asciiTheme="majorBidi" w:hAnsiTheme="majorBidi" w:cstheme="majorBidi"/>
          <w:sz w:val="24"/>
          <w:szCs w:val="24"/>
        </w:rPr>
        <w:t xml:space="preserve">: </w:t>
      </w:r>
      <w:r w:rsidRPr="003A536A">
        <w:rPr>
          <w:rFonts w:asciiTheme="majorBidi" w:hAnsiTheme="majorBidi" w:cstheme="majorBidi"/>
          <w:sz w:val="24"/>
          <w:szCs w:val="24"/>
        </w:rPr>
        <w:t>«</w:t>
      </w:r>
      <w:r w:rsidRPr="003A536A">
        <w:rPr>
          <w:rFonts w:asciiTheme="majorBidi" w:hAnsiTheme="majorBidi" w:cstheme="majorBidi"/>
          <w:i/>
          <w:iCs/>
          <w:sz w:val="24"/>
          <w:szCs w:val="24"/>
        </w:rPr>
        <w:t>Avez-vous songé un instant à vous évader ? A   tordre les barreaux de cette cage comme je le tente chaque jour</w:t>
      </w:r>
      <w:r w:rsidRPr="003A536A">
        <w:rPr>
          <w:rFonts w:asciiTheme="majorBidi" w:hAnsiTheme="majorBidi" w:cstheme="majorBidi"/>
          <w:sz w:val="24"/>
          <w:szCs w:val="24"/>
        </w:rPr>
        <w:t>.»</w:t>
      </w:r>
      <w:r w:rsidR="00BC11B4" w:rsidRPr="003A536A">
        <w:rPr>
          <w:rFonts w:asciiTheme="majorBidi" w:hAnsiTheme="majorBidi" w:cstheme="majorBidi"/>
          <w:sz w:val="24"/>
          <w:szCs w:val="24"/>
        </w:rPr>
        <w:t xml:space="preserve"> (</w:t>
      </w:r>
      <w:r w:rsidR="003A536A">
        <w:rPr>
          <w:rFonts w:asciiTheme="majorBidi" w:hAnsiTheme="majorBidi" w:cstheme="majorBidi"/>
          <w:i/>
          <w:iCs/>
          <w:sz w:val="24"/>
          <w:szCs w:val="24"/>
        </w:rPr>
        <w:t xml:space="preserve">Ibid, </w:t>
      </w:r>
      <w:r w:rsidR="00BC11B4" w:rsidRPr="003A536A">
        <w:rPr>
          <w:rFonts w:asciiTheme="majorBidi" w:hAnsiTheme="majorBidi" w:cstheme="majorBidi"/>
          <w:sz w:val="24"/>
          <w:szCs w:val="24"/>
        </w:rPr>
        <w:t>p.31)</w:t>
      </w:r>
      <w:r w:rsidR="003A536A">
        <w:rPr>
          <w:rFonts w:asciiTheme="majorBidi" w:hAnsiTheme="majorBidi" w:cstheme="majorBidi"/>
          <w:sz w:val="24"/>
          <w:szCs w:val="24"/>
        </w:rPr>
        <w:t>.</w:t>
      </w:r>
      <w:r w:rsidR="00BC11B4" w:rsidRPr="003A536A">
        <w:rPr>
          <w:rFonts w:asciiTheme="majorBidi" w:hAnsiTheme="majorBidi" w:cstheme="majorBidi"/>
          <w:sz w:val="24"/>
          <w:szCs w:val="24"/>
        </w:rPr>
        <w:t xml:space="preserve">   </w:t>
      </w:r>
    </w:p>
    <w:p w:rsidR="006A4EED" w:rsidRPr="00E50D38" w:rsidRDefault="006A4EED" w:rsidP="00E50D38">
      <w:pPr>
        <w:spacing w:after="0" w:line="360" w:lineRule="auto"/>
        <w:ind w:firstLine="284"/>
        <w:jc w:val="both"/>
        <w:rPr>
          <w:rFonts w:asciiTheme="majorBidi" w:hAnsiTheme="majorBidi" w:cstheme="majorBidi"/>
          <w:sz w:val="24"/>
          <w:szCs w:val="24"/>
        </w:rPr>
      </w:pPr>
      <w:r w:rsidRPr="00E50D38">
        <w:rPr>
          <w:rFonts w:ascii="Times New Roman" w:hAnsi="Times New Roman"/>
          <w:sz w:val="24"/>
          <w:szCs w:val="24"/>
        </w:rPr>
        <w:lastRenderedPageBreak/>
        <w:t>Dans une réplique ostentatoire qu'il adresse au soldat qui le surveille</w:t>
      </w:r>
      <w:r w:rsidR="00ED00B6" w:rsidRPr="00E50D38">
        <w:rPr>
          <w:rFonts w:ascii="Times New Roman" w:hAnsi="Times New Roman"/>
          <w:sz w:val="24"/>
          <w:szCs w:val="24"/>
        </w:rPr>
        <w:t> </w:t>
      </w:r>
      <w:r w:rsidR="00ED00B6" w:rsidRPr="00E50D38">
        <w:rPr>
          <w:rFonts w:asciiTheme="majorBidi" w:hAnsiTheme="majorBidi" w:cstheme="majorBidi"/>
          <w:i/>
          <w:iCs/>
          <w:sz w:val="24"/>
          <w:szCs w:val="24"/>
        </w:rPr>
        <w:t xml:space="preserve">: </w:t>
      </w:r>
      <w:r w:rsidRPr="00E50D38">
        <w:rPr>
          <w:rFonts w:asciiTheme="majorBidi" w:hAnsiTheme="majorBidi" w:cstheme="majorBidi"/>
          <w:sz w:val="24"/>
          <w:szCs w:val="24"/>
        </w:rPr>
        <w:t>«</w:t>
      </w:r>
      <w:r w:rsidRPr="00E50D38">
        <w:rPr>
          <w:rFonts w:asciiTheme="majorBidi" w:hAnsiTheme="majorBidi" w:cstheme="majorBidi"/>
          <w:i/>
          <w:iCs/>
          <w:sz w:val="24"/>
          <w:szCs w:val="24"/>
        </w:rPr>
        <w:t>Est-ce vrai que la cage a été forgée à mon intention ?</w:t>
      </w:r>
      <w:r w:rsidRPr="00E50D38">
        <w:rPr>
          <w:rFonts w:asciiTheme="majorBidi" w:hAnsiTheme="majorBidi" w:cstheme="majorBidi"/>
          <w:sz w:val="24"/>
          <w:szCs w:val="24"/>
        </w:rPr>
        <w:t xml:space="preserve">» </w:t>
      </w:r>
      <w:r w:rsidR="00BC11B4" w:rsidRPr="00E50D38">
        <w:rPr>
          <w:rFonts w:asciiTheme="majorBidi" w:hAnsiTheme="majorBidi" w:cstheme="majorBidi"/>
          <w:sz w:val="24"/>
          <w:szCs w:val="24"/>
        </w:rPr>
        <w:t>(</w:t>
      </w:r>
      <w:r w:rsidR="00E50D38">
        <w:rPr>
          <w:rFonts w:asciiTheme="majorBidi" w:hAnsiTheme="majorBidi" w:cstheme="majorBidi"/>
          <w:i/>
          <w:iCs/>
          <w:sz w:val="24"/>
          <w:szCs w:val="24"/>
        </w:rPr>
        <w:t xml:space="preserve">Ibid, </w:t>
      </w:r>
      <w:r w:rsidR="00BC11B4" w:rsidRPr="00E50D38">
        <w:rPr>
          <w:rFonts w:asciiTheme="majorBidi" w:hAnsiTheme="majorBidi" w:cstheme="majorBidi"/>
          <w:sz w:val="24"/>
          <w:szCs w:val="24"/>
        </w:rPr>
        <w:t>p.39)</w:t>
      </w:r>
      <w:r w:rsidR="00E50D38">
        <w:rPr>
          <w:rFonts w:asciiTheme="majorBidi" w:hAnsiTheme="majorBidi" w:cstheme="majorBidi"/>
          <w:sz w:val="24"/>
          <w:szCs w:val="24"/>
        </w:rPr>
        <w:t>.</w:t>
      </w:r>
      <w:r w:rsidR="00BC11B4" w:rsidRPr="00E50D38">
        <w:rPr>
          <w:rFonts w:asciiTheme="majorBidi" w:hAnsiTheme="majorBidi" w:cstheme="majorBidi"/>
          <w:sz w:val="24"/>
          <w:szCs w:val="24"/>
        </w:rPr>
        <w:t xml:space="preserve">   </w:t>
      </w:r>
    </w:p>
    <w:p w:rsidR="006A4EED" w:rsidRPr="00E50D38" w:rsidRDefault="009100F3" w:rsidP="00E50D38">
      <w:pPr>
        <w:spacing w:after="0" w:line="360" w:lineRule="auto"/>
        <w:ind w:firstLine="284"/>
        <w:jc w:val="both"/>
        <w:rPr>
          <w:rFonts w:asciiTheme="majorBidi" w:hAnsiTheme="majorBidi" w:cstheme="majorBidi"/>
          <w:sz w:val="24"/>
          <w:szCs w:val="24"/>
        </w:rPr>
      </w:pPr>
      <w:r w:rsidRPr="00E50D38">
        <w:rPr>
          <w:rFonts w:ascii="Times New Roman" w:hAnsi="Times New Roman"/>
          <w:sz w:val="24"/>
          <w:szCs w:val="24"/>
        </w:rPr>
        <w:t>Dans la d</w:t>
      </w:r>
      <w:r w:rsidR="006A4EED" w:rsidRPr="00E50D38">
        <w:rPr>
          <w:rFonts w:ascii="Times New Roman" w:hAnsi="Times New Roman"/>
          <w:sz w:val="24"/>
          <w:szCs w:val="24"/>
        </w:rPr>
        <w:t>idascalie de la page 113</w:t>
      </w:r>
      <w:r w:rsidR="00ED00B6" w:rsidRPr="00E50D38">
        <w:rPr>
          <w:rFonts w:ascii="Times New Roman" w:hAnsi="Times New Roman"/>
          <w:sz w:val="24"/>
          <w:szCs w:val="24"/>
        </w:rPr>
        <w:t> </w:t>
      </w:r>
      <w:r w:rsidR="00ED00B6" w:rsidRPr="00E50D38">
        <w:rPr>
          <w:rFonts w:asciiTheme="majorBidi" w:hAnsiTheme="majorBidi" w:cstheme="majorBidi"/>
          <w:sz w:val="24"/>
          <w:szCs w:val="24"/>
        </w:rPr>
        <w:t xml:space="preserve">: </w:t>
      </w:r>
      <w:r w:rsidR="006A4EED" w:rsidRPr="00E50D38">
        <w:rPr>
          <w:rFonts w:asciiTheme="majorBidi" w:hAnsiTheme="majorBidi" w:cstheme="majorBidi"/>
          <w:sz w:val="24"/>
          <w:szCs w:val="24"/>
        </w:rPr>
        <w:t xml:space="preserve">« </w:t>
      </w:r>
      <w:r w:rsidR="006A4EED" w:rsidRPr="00E50D38">
        <w:rPr>
          <w:rFonts w:asciiTheme="majorBidi" w:hAnsiTheme="majorBidi" w:cstheme="majorBidi"/>
          <w:i/>
          <w:iCs/>
          <w:sz w:val="24"/>
          <w:szCs w:val="24"/>
        </w:rPr>
        <w:t>[...] tel un taureau, il défonce à coup d'épaule les cloisons de la baraque.</w:t>
      </w:r>
      <w:r w:rsidR="006A4EED" w:rsidRPr="00E50D38">
        <w:rPr>
          <w:rFonts w:asciiTheme="majorBidi" w:hAnsiTheme="majorBidi" w:cstheme="majorBidi"/>
          <w:sz w:val="24"/>
          <w:szCs w:val="24"/>
        </w:rPr>
        <w:t xml:space="preserve">» </w:t>
      </w:r>
    </w:p>
    <w:p w:rsidR="006A4EED" w:rsidRPr="00E50D38" w:rsidRDefault="006A4EED" w:rsidP="00E50D38">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 xml:space="preserve">En opposition, </w:t>
      </w:r>
      <w:r w:rsidR="009100F3">
        <w:rPr>
          <w:rFonts w:ascii="Times New Roman" w:hAnsi="Times New Roman"/>
          <w:sz w:val="24"/>
          <w:szCs w:val="24"/>
        </w:rPr>
        <w:t xml:space="preserve">toujours dans la même page, </w:t>
      </w:r>
      <w:r w:rsidRPr="003B00C8">
        <w:rPr>
          <w:rFonts w:ascii="Times New Roman" w:hAnsi="Times New Roman"/>
          <w:sz w:val="24"/>
          <w:szCs w:val="24"/>
        </w:rPr>
        <w:t xml:space="preserve">le Christ est décrit comme un homme </w:t>
      </w:r>
      <w:r w:rsidR="009100F3">
        <w:rPr>
          <w:rFonts w:ascii="Times New Roman" w:hAnsi="Times New Roman"/>
          <w:sz w:val="24"/>
          <w:szCs w:val="24"/>
        </w:rPr>
        <w:t xml:space="preserve">tellement </w:t>
      </w:r>
      <w:r w:rsidRPr="003B00C8">
        <w:rPr>
          <w:rFonts w:ascii="Times New Roman" w:hAnsi="Times New Roman"/>
          <w:sz w:val="24"/>
          <w:szCs w:val="24"/>
        </w:rPr>
        <w:t>dépourvu de force</w:t>
      </w:r>
      <w:r w:rsidR="009100F3">
        <w:rPr>
          <w:rFonts w:ascii="Times New Roman" w:hAnsi="Times New Roman"/>
          <w:sz w:val="24"/>
          <w:szCs w:val="24"/>
        </w:rPr>
        <w:t xml:space="preserve"> que</w:t>
      </w:r>
      <w:r w:rsidRPr="003B00C8">
        <w:rPr>
          <w:rFonts w:ascii="Times New Roman" w:hAnsi="Times New Roman"/>
          <w:sz w:val="24"/>
          <w:szCs w:val="24"/>
        </w:rPr>
        <w:t xml:space="preserve"> </w:t>
      </w:r>
      <w:r w:rsidR="009100F3">
        <w:rPr>
          <w:rFonts w:ascii="Times New Roman" w:hAnsi="Times New Roman"/>
          <w:sz w:val="24"/>
          <w:szCs w:val="24"/>
        </w:rPr>
        <w:t>l</w:t>
      </w:r>
      <w:r w:rsidRPr="003B00C8">
        <w:rPr>
          <w:rFonts w:ascii="Times New Roman" w:hAnsi="Times New Roman"/>
          <w:sz w:val="24"/>
          <w:szCs w:val="24"/>
        </w:rPr>
        <w:t>e mauvais larron</w:t>
      </w:r>
      <w:r w:rsidR="009100F3">
        <w:rPr>
          <w:rFonts w:ascii="Times New Roman" w:hAnsi="Times New Roman"/>
          <w:sz w:val="24"/>
          <w:szCs w:val="24"/>
        </w:rPr>
        <w:t>,</w:t>
      </w:r>
      <w:r w:rsidR="009100F3" w:rsidRPr="009100F3">
        <w:rPr>
          <w:rFonts w:ascii="Times New Roman" w:hAnsi="Times New Roman"/>
          <w:sz w:val="24"/>
          <w:szCs w:val="24"/>
        </w:rPr>
        <w:t xml:space="preserve"> </w:t>
      </w:r>
      <w:r w:rsidR="009100F3" w:rsidRPr="003B00C8">
        <w:rPr>
          <w:rFonts w:ascii="Times New Roman" w:hAnsi="Times New Roman"/>
          <w:sz w:val="24"/>
          <w:szCs w:val="24"/>
        </w:rPr>
        <w:t xml:space="preserve">en </w:t>
      </w:r>
      <w:r w:rsidR="009100F3">
        <w:rPr>
          <w:rFonts w:ascii="Times New Roman" w:hAnsi="Times New Roman"/>
          <w:sz w:val="24"/>
          <w:szCs w:val="24"/>
        </w:rPr>
        <w:t xml:space="preserve">le </w:t>
      </w:r>
      <w:r w:rsidR="009100F3" w:rsidRPr="003B00C8">
        <w:rPr>
          <w:rFonts w:ascii="Times New Roman" w:hAnsi="Times New Roman"/>
          <w:sz w:val="24"/>
          <w:szCs w:val="24"/>
        </w:rPr>
        <w:t>voyant</w:t>
      </w:r>
      <w:r w:rsidR="009100F3">
        <w:rPr>
          <w:rFonts w:ascii="Times New Roman" w:hAnsi="Times New Roman"/>
          <w:sz w:val="24"/>
          <w:szCs w:val="24"/>
        </w:rPr>
        <w:t>,</w:t>
      </w:r>
      <w:r w:rsidRPr="003B00C8">
        <w:rPr>
          <w:rFonts w:ascii="Times New Roman" w:hAnsi="Times New Roman"/>
          <w:sz w:val="24"/>
          <w:szCs w:val="24"/>
        </w:rPr>
        <w:t xml:space="preserve"> s'exclame</w:t>
      </w:r>
      <w:r w:rsidR="009100F3">
        <w:rPr>
          <w:rFonts w:ascii="Times New Roman" w:hAnsi="Times New Roman"/>
          <w:sz w:val="24"/>
          <w:szCs w:val="24"/>
        </w:rPr>
        <w:t xml:space="preserve"> en le </w:t>
      </w:r>
      <w:r w:rsidR="009100F3" w:rsidRPr="00E50D38">
        <w:rPr>
          <w:rFonts w:asciiTheme="majorBidi" w:hAnsiTheme="majorBidi" w:cstheme="majorBidi"/>
          <w:sz w:val="24"/>
          <w:szCs w:val="24"/>
        </w:rPr>
        <w:t>qualifiant ainsi</w:t>
      </w:r>
      <w:r w:rsidR="00ED00B6" w:rsidRPr="00E50D38">
        <w:rPr>
          <w:rFonts w:asciiTheme="majorBidi" w:hAnsiTheme="majorBidi" w:cstheme="majorBidi"/>
          <w:sz w:val="24"/>
          <w:szCs w:val="24"/>
        </w:rPr>
        <w:t xml:space="preserve">: </w:t>
      </w:r>
      <w:r w:rsidRPr="00E50D38">
        <w:rPr>
          <w:rFonts w:asciiTheme="majorBidi" w:hAnsiTheme="majorBidi" w:cstheme="majorBidi"/>
          <w:sz w:val="24"/>
          <w:szCs w:val="24"/>
        </w:rPr>
        <w:t xml:space="preserve">« </w:t>
      </w:r>
      <w:r w:rsidRPr="00E50D38">
        <w:rPr>
          <w:rFonts w:asciiTheme="majorBidi" w:hAnsiTheme="majorBidi" w:cstheme="majorBidi"/>
          <w:i/>
          <w:iCs/>
          <w:sz w:val="24"/>
          <w:szCs w:val="24"/>
        </w:rPr>
        <w:t>Ce n'est pas un assassin ça, c'est un assassiné</w:t>
      </w:r>
      <w:r w:rsidRPr="00E50D38">
        <w:rPr>
          <w:rFonts w:asciiTheme="majorBidi" w:hAnsiTheme="majorBidi" w:cstheme="majorBidi"/>
          <w:sz w:val="24"/>
          <w:szCs w:val="24"/>
        </w:rPr>
        <w:t>»</w:t>
      </w:r>
      <w:r w:rsidR="00E50D38" w:rsidRPr="00E50D38">
        <w:rPr>
          <w:rFonts w:asciiTheme="majorBidi" w:hAnsiTheme="majorBidi" w:cstheme="majorBidi"/>
          <w:sz w:val="24"/>
          <w:szCs w:val="24"/>
        </w:rPr>
        <w:t>.</w:t>
      </w:r>
      <w:r w:rsidRPr="00E50D38">
        <w:rPr>
          <w:rFonts w:asciiTheme="majorBidi" w:hAnsiTheme="majorBidi" w:cstheme="majorBidi"/>
          <w:sz w:val="24"/>
          <w:szCs w:val="24"/>
        </w:rPr>
        <w:t xml:space="preserve"> </w:t>
      </w:r>
    </w:p>
    <w:p w:rsidR="006A4EED" w:rsidRPr="003B00C8" w:rsidRDefault="006A4EED" w:rsidP="00E50D38">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didascalie de la page 56 le caricature comme une statue de la douleur. Barabbas est bruyant et bavard contrairement au Christ qui est silencieux et absent.</w:t>
      </w:r>
    </w:p>
    <w:p w:rsidR="006A4EED" w:rsidRPr="003B00C8" w:rsidRDefault="006A4EED" w:rsidP="002D5D6A">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 </w:t>
      </w:r>
      <w:r w:rsidRPr="003B00C8">
        <w:rPr>
          <w:rFonts w:ascii="Times New Roman" w:hAnsi="Times New Roman"/>
          <w:b/>
          <w:sz w:val="24"/>
          <w:szCs w:val="24"/>
        </w:rPr>
        <w:t>La paire des deux larrons</w:t>
      </w:r>
      <w:r w:rsidRPr="003B00C8">
        <w:rPr>
          <w:rFonts w:ascii="Times New Roman" w:hAnsi="Times New Roman"/>
          <w:sz w:val="24"/>
          <w:szCs w:val="24"/>
        </w:rPr>
        <w:t xml:space="preserve"> : l'un est bon, l'autre est mauvais. </w:t>
      </w:r>
    </w:p>
    <w:p w:rsidR="006A4EED" w:rsidRPr="003B00C8" w:rsidRDefault="006A4EED" w:rsidP="002D5D6A">
      <w:pPr>
        <w:spacing w:after="0" w:line="360" w:lineRule="auto"/>
        <w:ind w:firstLine="284"/>
        <w:jc w:val="both"/>
        <w:rPr>
          <w:rFonts w:ascii="Times New Roman" w:hAnsi="Times New Roman"/>
          <w:sz w:val="24"/>
          <w:szCs w:val="24"/>
        </w:rPr>
      </w:pPr>
      <w:r w:rsidRPr="003B00C8">
        <w:rPr>
          <w:rFonts w:ascii="Times New Roman" w:hAnsi="Times New Roman"/>
          <w:b/>
          <w:sz w:val="24"/>
          <w:szCs w:val="24"/>
        </w:rPr>
        <w:t>La paire Prêtre – Caïphe</w:t>
      </w:r>
      <w:r w:rsidRPr="003B00C8">
        <w:rPr>
          <w:rFonts w:ascii="Times New Roman" w:hAnsi="Times New Roman"/>
          <w:sz w:val="24"/>
          <w:szCs w:val="24"/>
        </w:rPr>
        <w:t xml:space="preserve"> : Représentants de l'autorité religieuse.</w:t>
      </w:r>
    </w:p>
    <w:p w:rsidR="006A4EED" w:rsidRPr="003B00C8" w:rsidRDefault="006A4EED" w:rsidP="002D5D6A">
      <w:pPr>
        <w:spacing w:after="0" w:line="360" w:lineRule="auto"/>
        <w:ind w:firstLine="284"/>
        <w:jc w:val="both"/>
        <w:rPr>
          <w:rFonts w:ascii="Times New Roman" w:hAnsi="Times New Roman"/>
          <w:sz w:val="24"/>
          <w:szCs w:val="24"/>
        </w:rPr>
      </w:pPr>
      <w:r w:rsidRPr="003B00C8">
        <w:rPr>
          <w:rFonts w:ascii="Times New Roman" w:hAnsi="Times New Roman"/>
          <w:sz w:val="24"/>
          <w:szCs w:val="24"/>
        </w:rPr>
        <w:t>Les deux personnages se complètent et travaillent pour un seul objectif: condamner Jésus.</w:t>
      </w:r>
    </w:p>
    <w:p w:rsidR="006A4EED" w:rsidRPr="003B00C8" w:rsidRDefault="006A4EED" w:rsidP="002D5D6A">
      <w:pPr>
        <w:spacing w:after="0" w:line="360" w:lineRule="auto"/>
        <w:ind w:firstLine="284"/>
        <w:jc w:val="both"/>
        <w:rPr>
          <w:rFonts w:ascii="Times New Roman" w:hAnsi="Times New Roman"/>
          <w:sz w:val="24"/>
          <w:szCs w:val="24"/>
        </w:rPr>
      </w:pPr>
      <w:r w:rsidRPr="003B00C8">
        <w:rPr>
          <w:rFonts w:ascii="Times New Roman" w:hAnsi="Times New Roman"/>
          <w:b/>
          <w:sz w:val="24"/>
          <w:szCs w:val="24"/>
        </w:rPr>
        <w:t>La paire Hérode - Pilate</w:t>
      </w:r>
      <w:r w:rsidRPr="003B00C8">
        <w:rPr>
          <w:rFonts w:ascii="Times New Roman" w:hAnsi="Times New Roman"/>
          <w:sz w:val="24"/>
          <w:szCs w:val="24"/>
        </w:rPr>
        <w:t xml:space="preserve"> : Représentants de l'autorité politique</w:t>
      </w:r>
      <w:r w:rsidR="002D5D6A">
        <w:rPr>
          <w:rFonts w:ascii="Times New Roman" w:hAnsi="Times New Roman"/>
          <w:sz w:val="24"/>
          <w:szCs w:val="24"/>
        </w:rPr>
        <w:t>.</w:t>
      </w:r>
    </w:p>
    <w:p w:rsidR="006A4EED" w:rsidRPr="002C6958" w:rsidRDefault="006A4EED" w:rsidP="002C6958">
      <w:pPr>
        <w:spacing w:after="0" w:line="360" w:lineRule="auto"/>
        <w:ind w:firstLine="284"/>
        <w:jc w:val="both"/>
        <w:rPr>
          <w:sz w:val="24"/>
          <w:szCs w:val="24"/>
        </w:rPr>
      </w:pPr>
      <w:r w:rsidRPr="002C6958">
        <w:rPr>
          <w:rFonts w:ascii="Times New Roman" w:hAnsi="Times New Roman"/>
          <w:sz w:val="24"/>
          <w:szCs w:val="24"/>
        </w:rPr>
        <w:t>Pilate autoritaire et sérieux s'oppose à Hérode caractère distrait et festif comme le démontre ces répliques de Ponce -Pilate:</w:t>
      </w:r>
      <w:r w:rsidR="00ED00B6" w:rsidRPr="002C6958">
        <w:rPr>
          <w:rFonts w:ascii="Times New Roman" w:hAnsi="Times New Roman"/>
          <w:sz w:val="24"/>
          <w:szCs w:val="24"/>
        </w:rPr>
        <w:t xml:space="preserve"> </w:t>
      </w:r>
      <w:r w:rsidRPr="002C6958">
        <w:rPr>
          <w:sz w:val="24"/>
          <w:szCs w:val="24"/>
        </w:rPr>
        <w:t xml:space="preserve">« </w:t>
      </w:r>
      <w:r w:rsidRPr="002C6958">
        <w:rPr>
          <w:rFonts w:asciiTheme="majorBidi" w:hAnsiTheme="majorBidi" w:cstheme="majorBidi"/>
          <w:i/>
          <w:iCs/>
          <w:sz w:val="24"/>
          <w:szCs w:val="24"/>
        </w:rPr>
        <w:t>Pour toi, tout n'est que plaisanterie. Tu verrais massacrer ton peuple, que ce sourire fade ne quitterait pas tes lèvres</w:t>
      </w:r>
      <w:r w:rsidRPr="002C6958">
        <w:rPr>
          <w:rFonts w:asciiTheme="majorBidi" w:hAnsiTheme="majorBidi" w:cstheme="majorBidi"/>
          <w:sz w:val="24"/>
          <w:szCs w:val="24"/>
        </w:rPr>
        <w:t xml:space="preserve">» </w:t>
      </w:r>
      <w:r w:rsidR="00856A57" w:rsidRPr="002C6958">
        <w:rPr>
          <w:rFonts w:asciiTheme="majorBidi" w:hAnsiTheme="majorBidi" w:cstheme="majorBidi"/>
          <w:sz w:val="24"/>
          <w:szCs w:val="24"/>
        </w:rPr>
        <w:t>(</w:t>
      </w:r>
      <w:r w:rsidR="002C6958">
        <w:rPr>
          <w:rFonts w:asciiTheme="majorBidi" w:hAnsiTheme="majorBidi" w:cstheme="majorBidi"/>
          <w:i/>
          <w:iCs/>
          <w:sz w:val="24"/>
          <w:szCs w:val="24"/>
        </w:rPr>
        <w:t xml:space="preserve">Ibid, </w:t>
      </w:r>
      <w:r w:rsidR="00856A57" w:rsidRPr="002C6958">
        <w:rPr>
          <w:rFonts w:asciiTheme="majorBidi" w:hAnsiTheme="majorBidi" w:cstheme="majorBidi"/>
          <w:sz w:val="24"/>
          <w:szCs w:val="24"/>
        </w:rPr>
        <w:t>p.73)</w:t>
      </w:r>
      <w:r w:rsidR="002C6958">
        <w:rPr>
          <w:rFonts w:asciiTheme="majorBidi" w:hAnsiTheme="majorBidi" w:cstheme="majorBidi"/>
          <w:sz w:val="24"/>
          <w:szCs w:val="24"/>
        </w:rPr>
        <w:t>.</w:t>
      </w:r>
      <w:r w:rsidR="00856A57" w:rsidRPr="002C6958">
        <w:rPr>
          <w:sz w:val="24"/>
          <w:szCs w:val="24"/>
        </w:rPr>
        <w:t xml:space="preserve">   </w:t>
      </w:r>
    </w:p>
    <w:p w:rsidR="006A4EED" w:rsidRPr="00C70630" w:rsidRDefault="006A4EED" w:rsidP="00C70630">
      <w:pPr>
        <w:spacing w:after="0" w:line="360" w:lineRule="auto"/>
        <w:ind w:firstLine="284"/>
        <w:jc w:val="both"/>
        <w:rPr>
          <w:rFonts w:asciiTheme="majorBidi" w:hAnsiTheme="majorBidi" w:cstheme="majorBidi"/>
          <w:sz w:val="24"/>
          <w:szCs w:val="24"/>
        </w:rPr>
      </w:pPr>
      <w:r w:rsidRPr="00C70630">
        <w:rPr>
          <w:rFonts w:ascii="Times New Roman" w:hAnsi="Times New Roman"/>
          <w:sz w:val="24"/>
          <w:szCs w:val="24"/>
        </w:rPr>
        <w:t xml:space="preserve">Hérode répondant à </w:t>
      </w:r>
      <w:r w:rsidRPr="00C70630">
        <w:rPr>
          <w:rFonts w:asciiTheme="majorBidi" w:hAnsiTheme="majorBidi" w:cstheme="majorBidi"/>
          <w:sz w:val="24"/>
          <w:szCs w:val="24"/>
        </w:rPr>
        <w:t>Pilate</w:t>
      </w:r>
      <w:r w:rsidR="00ED00B6" w:rsidRPr="00C70630">
        <w:rPr>
          <w:rFonts w:asciiTheme="majorBidi" w:hAnsiTheme="majorBidi" w:cstheme="majorBidi"/>
          <w:sz w:val="24"/>
          <w:szCs w:val="24"/>
        </w:rPr>
        <w:t xml:space="preserve"> : </w:t>
      </w:r>
      <w:r w:rsidRPr="00C70630">
        <w:rPr>
          <w:rFonts w:asciiTheme="majorBidi" w:hAnsiTheme="majorBidi" w:cstheme="majorBidi"/>
          <w:sz w:val="24"/>
          <w:szCs w:val="24"/>
        </w:rPr>
        <w:t>«</w:t>
      </w:r>
      <w:r w:rsidRPr="00C70630">
        <w:rPr>
          <w:rFonts w:asciiTheme="majorBidi" w:hAnsiTheme="majorBidi" w:cstheme="majorBidi"/>
          <w:i/>
          <w:iCs/>
          <w:sz w:val="24"/>
          <w:szCs w:val="24"/>
        </w:rPr>
        <w:t>Pilate, homme sombre, tu es victime d'une éducation trop froide</w:t>
      </w:r>
      <w:r w:rsidRPr="00C70630">
        <w:rPr>
          <w:rFonts w:asciiTheme="majorBidi" w:hAnsiTheme="majorBidi" w:cstheme="majorBidi"/>
          <w:sz w:val="24"/>
          <w:szCs w:val="24"/>
        </w:rPr>
        <w:t xml:space="preserve">» </w:t>
      </w:r>
      <w:r w:rsidR="00856A57" w:rsidRPr="00C70630">
        <w:rPr>
          <w:rFonts w:asciiTheme="majorBidi" w:hAnsiTheme="majorBidi" w:cstheme="majorBidi"/>
          <w:sz w:val="24"/>
          <w:szCs w:val="24"/>
        </w:rPr>
        <w:t>(</w:t>
      </w:r>
      <w:r w:rsidR="00C70630">
        <w:rPr>
          <w:rFonts w:asciiTheme="majorBidi" w:hAnsiTheme="majorBidi" w:cstheme="majorBidi"/>
          <w:i/>
          <w:iCs/>
          <w:sz w:val="24"/>
          <w:szCs w:val="24"/>
        </w:rPr>
        <w:t>Ibid</w:t>
      </w:r>
      <w:r w:rsidR="00856A57" w:rsidRPr="00C70630">
        <w:rPr>
          <w:rFonts w:asciiTheme="majorBidi" w:hAnsiTheme="majorBidi" w:cstheme="majorBidi"/>
          <w:sz w:val="24"/>
          <w:szCs w:val="24"/>
        </w:rPr>
        <w:t>)</w:t>
      </w:r>
      <w:r w:rsidR="00C70630">
        <w:rPr>
          <w:rFonts w:asciiTheme="majorBidi" w:hAnsiTheme="majorBidi" w:cstheme="majorBidi"/>
          <w:sz w:val="24"/>
          <w:szCs w:val="24"/>
        </w:rPr>
        <w:t>.</w:t>
      </w:r>
      <w:r w:rsidR="00856A57" w:rsidRPr="00C70630">
        <w:rPr>
          <w:rFonts w:asciiTheme="majorBidi" w:hAnsiTheme="majorBidi" w:cstheme="majorBidi"/>
          <w:sz w:val="24"/>
          <w:szCs w:val="24"/>
        </w:rPr>
        <w:t xml:space="preserve">   </w:t>
      </w:r>
    </w:p>
    <w:p w:rsidR="006A4EED" w:rsidRPr="00070E69" w:rsidRDefault="006A4EED" w:rsidP="00070E69">
      <w:pPr>
        <w:spacing w:after="0" w:line="360" w:lineRule="auto"/>
        <w:ind w:firstLine="284"/>
        <w:jc w:val="both"/>
        <w:rPr>
          <w:rFonts w:ascii="Times New Roman" w:hAnsi="Times New Roman"/>
          <w:sz w:val="24"/>
          <w:szCs w:val="24"/>
        </w:rPr>
      </w:pPr>
      <w:r w:rsidRPr="00070E69">
        <w:rPr>
          <w:rFonts w:ascii="Times New Roman" w:hAnsi="Times New Roman"/>
          <w:b/>
          <w:sz w:val="24"/>
          <w:szCs w:val="24"/>
        </w:rPr>
        <w:t>La paire Barnum - Pitre</w:t>
      </w:r>
      <w:r w:rsidRPr="00070E69">
        <w:rPr>
          <w:rFonts w:ascii="Times New Roman" w:hAnsi="Times New Roman"/>
          <w:sz w:val="24"/>
          <w:szCs w:val="24"/>
        </w:rPr>
        <w:t xml:space="preserve"> : Animateurs de spectacle de foire: L'un bonimenteur, l'autre clown du spectacle de foire.</w:t>
      </w:r>
    </w:p>
    <w:p w:rsidR="006A4EED" w:rsidRPr="00070E69" w:rsidRDefault="006A4EED" w:rsidP="00070E69">
      <w:pPr>
        <w:spacing w:after="0" w:line="360" w:lineRule="auto"/>
        <w:ind w:firstLine="284"/>
        <w:jc w:val="both"/>
        <w:rPr>
          <w:rFonts w:ascii="Times New Roman" w:hAnsi="Times New Roman"/>
          <w:sz w:val="24"/>
          <w:szCs w:val="24"/>
        </w:rPr>
      </w:pPr>
      <w:r w:rsidRPr="00070E69">
        <w:rPr>
          <w:rFonts w:ascii="Times New Roman" w:hAnsi="Times New Roman"/>
          <w:b/>
          <w:sz w:val="24"/>
          <w:szCs w:val="24"/>
        </w:rPr>
        <w:t>Le couple Judas - Yochabeth</w:t>
      </w:r>
      <w:r w:rsidRPr="00070E69">
        <w:rPr>
          <w:rFonts w:ascii="Times New Roman" w:hAnsi="Times New Roman"/>
          <w:sz w:val="24"/>
          <w:szCs w:val="24"/>
        </w:rPr>
        <w:t xml:space="preserve"> : tous les deux, représentent la cupidité et la roublardise. Judas a trahi Jésus pour trente deniers, quant à Yochabeth : elle est possessive et matérialiste. </w:t>
      </w:r>
      <w:r w:rsidR="00070E69">
        <w:rPr>
          <w:rFonts w:ascii="Times New Roman" w:hAnsi="Times New Roman"/>
          <w:sz w:val="24"/>
          <w:szCs w:val="24"/>
        </w:rPr>
        <w:t xml:space="preserve"> </w:t>
      </w:r>
      <w:r w:rsidRPr="00070E69">
        <w:rPr>
          <w:rFonts w:ascii="Times New Roman" w:hAnsi="Times New Roman"/>
          <w:sz w:val="24"/>
          <w:szCs w:val="24"/>
        </w:rPr>
        <w:t>Le soldat lui demande ce qu'elle voulait</w:t>
      </w:r>
      <w:r w:rsidR="00ED00B6" w:rsidRPr="00070E69">
        <w:rPr>
          <w:rFonts w:ascii="Times New Roman" w:hAnsi="Times New Roman"/>
          <w:sz w:val="24"/>
          <w:szCs w:val="24"/>
        </w:rPr>
        <w:t xml:space="preserve"> : </w:t>
      </w:r>
      <w:r w:rsidRPr="00070E69">
        <w:rPr>
          <w:rFonts w:ascii="Times New Roman" w:hAnsi="Times New Roman"/>
          <w:i/>
          <w:iCs/>
          <w:sz w:val="24"/>
          <w:szCs w:val="24"/>
        </w:rPr>
        <w:t>« L'argent! Et mon époux! Judas qu’il s'appelle! Il est riche de trente deniers. Il possède l'argent. Et l'argent le possède. Il me les faut tous deux.»</w:t>
      </w:r>
      <w:r w:rsidR="00856A57" w:rsidRPr="00070E69">
        <w:rPr>
          <w:rFonts w:ascii="Times New Roman" w:hAnsi="Times New Roman"/>
          <w:iCs/>
          <w:sz w:val="24"/>
          <w:szCs w:val="24"/>
        </w:rPr>
        <w:t xml:space="preserve"> (</w:t>
      </w:r>
      <w:r w:rsidR="00070E69">
        <w:rPr>
          <w:rFonts w:ascii="Times New Roman" w:hAnsi="Times New Roman"/>
          <w:i/>
          <w:sz w:val="24"/>
          <w:szCs w:val="24"/>
        </w:rPr>
        <w:t xml:space="preserve">Ibid, </w:t>
      </w:r>
      <w:r w:rsidR="00856A57" w:rsidRPr="00070E69">
        <w:rPr>
          <w:rFonts w:ascii="Times New Roman" w:hAnsi="Times New Roman"/>
          <w:iCs/>
          <w:sz w:val="24"/>
          <w:szCs w:val="24"/>
        </w:rPr>
        <w:t>p.62)</w:t>
      </w:r>
      <w:r w:rsidR="00070E69">
        <w:rPr>
          <w:rFonts w:ascii="Times New Roman" w:hAnsi="Times New Roman"/>
          <w:iCs/>
          <w:sz w:val="24"/>
          <w:szCs w:val="24"/>
        </w:rPr>
        <w:t>.</w:t>
      </w:r>
      <w:r w:rsidR="00856A57" w:rsidRPr="00070E69">
        <w:rPr>
          <w:rFonts w:ascii="Times New Roman" w:hAnsi="Times New Roman"/>
          <w:iCs/>
          <w:sz w:val="24"/>
          <w:szCs w:val="24"/>
        </w:rPr>
        <w:t xml:space="preserve">   </w:t>
      </w:r>
    </w:p>
    <w:p w:rsidR="006A4EED" w:rsidRPr="00DE3551" w:rsidRDefault="006A4EED" w:rsidP="00DE3551">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Le double parodique nous amène à parler de la parodie selon M. Bakhtine</w:t>
      </w:r>
      <w:r w:rsidR="00ED00B6" w:rsidRPr="00ED00B6">
        <w:rPr>
          <w:rFonts w:ascii="Times New Roman" w:hAnsi="Times New Roman"/>
          <w:color w:val="00B0F0"/>
          <w:sz w:val="24"/>
          <w:szCs w:val="24"/>
        </w:rPr>
        <w:t xml:space="preserve"> </w:t>
      </w:r>
      <w:r w:rsidR="00ED00B6" w:rsidRPr="00ED00B6">
        <w:rPr>
          <w:rFonts w:ascii="Times New Roman" w:hAnsi="Times New Roman"/>
          <w:sz w:val="24"/>
          <w:szCs w:val="24"/>
        </w:rPr>
        <w:t xml:space="preserve">dans la mesure où </w:t>
      </w:r>
      <w:r w:rsidR="00ED00B6" w:rsidRPr="00DE3551">
        <w:rPr>
          <w:rFonts w:asciiTheme="majorBidi" w:hAnsiTheme="majorBidi" w:cstheme="majorBidi"/>
          <w:sz w:val="24"/>
          <w:szCs w:val="24"/>
        </w:rPr>
        <w:t>«dans l'antiquité, la parodie était inhérente à la perception carnavalesque du monde. Elle créait un double détronisant qui n'était rien d'autre que le «monde à l'envers». De là son ambivalence</w:t>
      </w:r>
      <w:r w:rsidRPr="00DE3551">
        <w:rPr>
          <w:rFonts w:asciiTheme="majorBidi" w:hAnsiTheme="majorBidi" w:cstheme="majorBidi"/>
          <w:sz w:val="24"/>
          <w:szCs w:val="24"/>
          <w:vertAlign w:val="superscript"/>
        </w:rPr>
        <w:footnoteReference w:id="297"/>
      </w:r>
      <w:r w:rsidR="00DE3551">
        <w:rPr>
          <w:rFonts w:asciiTheme="majorBidi" w:hAnsiTheme="majorBidi" w:cstheme="majorBidi"/>
          <w:sz w:val="24"/>
          <w:szCs w:val="24"/>
        </w:rPr>
        <w:t>.</w:t>
      </w:r>
    </w:p>
    <w:p w:rsidR="006A4EED" w:rsidRPr="00DE3551" w:rsidRDefault="006A4EED" w:rsidP="00DE3551">
      <w:pPr>
        <w:spacing w:after="0" w:line="360" w:lineRule="auto"/>
        <w:ind w:firstLine="284"/>
        <w:jc w:val="both"/>
        <w:rPr>
          <w:rFonts w:asciiTheme="majorBidi" w:hAnsiTheme="majorBidi" w:cstheme="majorBidi"/>
          <w:sz w:val="24"/>
          <w:szCs w:val="24"/>
        </w:rPr>
      </w:pPr>
      <w:r w:rsidRPr="00DE3551">
        <w:rPr>
          <w:rFonts w:ascii="Times New Roman" w:hAnsi="Times New Roman"/>
          <w:sz w:val="24"/>
          <w:szCs w:val="24"/>
        </w:rPr>
        <w:lastRenderedPageBreak/>
        <w:t>Ce double détronisant est représenté dans la pièce par le pitre. Ce dernier va enfiler une robe rouge dans la répétition du spectacle que compte monter le barnum avec Barabbas comme le montre la didascalie</w:t>
      </w:r>
      <w:r w:rsidR="00ED00B6" w:rsidRPr="00DE3551">
        <w:rPr>
          <w:rFonts w:ascii="Times New Roman" w:hAnsi="Times New Roman"/>
          <w:sz w:val="24"/>
          <w:szCs w:val="24"/>
        </w:rPr>
        <w:t> </w:t>
      </w:r>
      <w:r w:rsidR="009100F3" w:rsidRPr="00DE3551">
        <w:rPr>
          <w:rFonts w:ascii="Times New Roman" w:hAnsi="Times New Roman"/>
          <w:sz w:val="24"/>
          <w:szCs w:val="24"/>
        </w:rPr>
        <w:t>dans la page 39</w:t>
      </w:r>
      <w:r w:rsidR="00ED00B6" w:rsidRPr="00DE3551">
        <w:rPr>
          <w:rFonts w:asciiTheme="majorBidi" w:hAnsiTheme="majorBidi" w:cstheme="majorBidi"/>
          <w:sz w:val="24"/>
          <w:szCs w:val="24"/>
        </w:rPr>
        <w:t xml:space="preserve">: </w:t>
      </w:r>
      <w:r w:rsidRPr="00DE3551">
        <w:rPr>
          <w:rFonts w:asciiTheme="majorBidi" w:hAnsiTheme="majorBidi" w:cstheme="majorBidi"/>
          <w:sz w:val="24"/>
          <w:szCs w:val="24"/>
        </w:rPr>
        <w:t>«</w:t>
      </w:r>
      <w:r w:rsidRPr="00587201">
        <w:rPr>
          <w:rFonts w:asciiTheme="majorBidi" w:hAnsiTheme="majorBidi" w:cstheme="majorBidi"/>
          <w:sz w:val="24"/>
          <w:szCs w:val="24"/>
        </w:rPr>
        <w:t>Le pitre surgit, vêtu d'une robe rouge et parodiquement couronné de branches mortes</w:t>
      </w:r>
      <w:r w:rsidRPr="00DE3551">
        <w:rPr>
          <w:rFonts w:asciiTheme="majorBidi" w:hAnsiTheme="majorBidi" w:cstheme="majorBidi"/>
          <w:sz w:val="24"/>
          <w:szCs w:val="24"/>
        </w:rPr>
        <w:t xml:space="preserve">». </w:t>
      </w:r>
      <w:r w:rsidR="00DE3551">
        <w:rPr>
          <w:rFonts w:asciiTheme="majorBidi" w:hAnsiTheme="majorBidi" w:cstheme="majorBidi"/>
          <w:sz w:val="24"/>
          <w:szCs w:val="24"/>
        </w:rPr>
        <w:t>(</w:t>
      </w:r>
      <w:r w:rsidR="00DE3551" w:rsidRPr="003C635D">
        <w:rPr>
          <w:rFonts w:asciiTheme="majorBidi" w:hAnsiTheme="majorBidi" w:cstheme="majorBidi"/>
          <w:sz w:val="24"/>
          <w:szCs w:val="24"/>
        </w:rPr>
        <w:t xml:space="preserve">M. De </w:t>
      </w:r>
      <w:r w:rsidR="00DE3551" w:rsidRPr="003C635D">
        <w:rPr>
          <w:rFonts w:asciiTheme="majorBidi" w:hAnsiTheme="majorBidi" w:cstheme="majorBidi"/>
          <w:sz w:val="24"/>
          <w:szCs w:val="24"/>
          <w:lang w:eastAsia="fr-FR"/>
        </w:rPr>
        <w:t>Ghelderode, 1984</w:t>
      </w:r>
      <w:r w:rsidR="00DE3551">
        <w:rPr>
          <w:rFonts w:asciiTheme="majorBidi" w:hAnsiTheme="majorBidi" w:cstheme="majorBidi"/>
          <w:sz w:val="24"/>
          <w:szCs w:val="24"/>
          <w:lang w:eastAsia="fr-FR"/>
        </w:rPr>
        <w:t>).</w:t>
      </w:r>
    </w:p>
    <w:p w:rsidR="00DB06D1" w:rsidRPr="00DE3551" w:rsidRDefault="009100F3" w:rsidP="00DB06D1">
      <w:pPr>
        <w:spacing w:after="0" w:line="360" w:lineRule="auto"/>
        <w:ind w:firstLine="284"/>
        <w:jc w:val="both"/>
        <w:rPr>
          <w:rFonts w:asciiTheme="majorBidi" w:hAnsiTheme="majorBidi" w:cstheme="majorBidi"/>
          <w:sz w:val="24"/>
          <w:szCs w:val="24"/>
        </w:rPr>
      </w:pPr>
      <w:r w:rsidRPr="00DB06D1">
        <w:rPr>
          <w:rFonts w:ascii="Times New Roman" w:hAnsi="Times New Roman"/>
          <w:sz w:val="24"/>
          <w:szCs w:val="24"/>
        </w:rPr>
        <w:t>Ou quand l</w:t>
      </w:r>
      <w:r w:rsidR="006A4EED" w:rsidRPr="00DB06D1">
        <w:rPr>
          <w:rFonts w:ascii="Times New Roman" w:hAnsi="Times New Roman"/>
          <w:sz w:val="24"/>
          <w:szCs w:val="24"/>
        </w:rPr>
        <w:t xml:space="preserve">e </w:t>
      </w:r>
      <w:r w:rsidRPr="00DB06D1">
        <w:rPr>
          <w:rFonts w:ascii="Times New Roman" w:hAnsi="Times New Roman"/>
          <w:sz w:val="24"/>
          <w:szCs w:val="24"/>
        </w:rPr>
        <w:t xml:space="preserve">pitre, dans la page </w:t>
      </w:r>
      <w:r w:rsidRPr="00DB06D1">
        <w:rPr>
          <w:rFonts w:asciiTheme="majorBidi" w:hAnsiTheme="majorBidi" w:cstheme="majorBidi"/>
          <w:sz w:val="24"/>
          <w:szCs w:val="24"/>
        </w:rPr>
        <w:t>110</w:t>
      </w:r>
      <w:r w:rsidR="00ED00B6" w:rsidRPr="00DB06D1">
        <w:rPr>
          <w:rFonts w:asciiTheme="majorBidi" w:hAnsiTheme="majorBidi" w:cstheme="majorBidi"/>
          <w:sz w:val="24"/>
          <w:szCs w:val="24"/>
        </w:rPr>
        <w:t xml:space="preserve"> : </w:t>
      </w:r>
      <w:r w:rsidR="006A4EED" w:rsidRPr="00DB06D1">
        <w:rPr>
          <w:rFonts w:asciiTheme="majorBidi" w:hAnsiTheme="majorBidi" w:cstheme="majorBidi"/>
          <w:sz w:val="24"/>
          <w:szCs w:val="24"/>
        </w:rPr>
        <w:t>« Voici le roi des juifs. Suis-je bien? ».</w:t>
      </w:r>
      <w:r w:rsidR="006A4EED" w:rsidRPr="00DB06D1">
        <w:rPr>
          <w:sz w:val="24"/>
          <w:szCs w:val="24"/>
        </w:rPr>
        <w:t xml:space="preserve"> </w:t>
      </w:r>
      <w:r w:rsidR="00DB06D1">
        <w:rPr>
          <w:rFonts w:asciiTheme="majorBidi" w:hAnsiTheme="majorBidi" w:cstheme="majorBidi"/>
          <w:sz w:val="24"/>
          <w:szCs w:val="24"/>
        </w:rPr>
        <w:t>(</w:t>
      </w:r>
      <w:r w:rsidR="00DB06D1" w:rsidRPr="003C635D">
        <w:rPr>
          <w:rFonts w:asciiTheme="majorBidi" w:hAnsiTheme="majorBidi" w:cstheme="majorBidi"/>
          <w:sz w:val="24"/>
          <w:szCs w:val="24"/>
        </w:rPr>
        <w:t xml:space="preserve">M. De </w:t>
      </w:r>
      <w:r w:rsidR="00DB06D1" w:rsidRPr="003C635D">
        <w:rPr>
          <w:rFonts w:asciiTheme="majorBidi" w:hAnsiTheme="majorBidi" w:cstheme="majorBidi"/>
          <w:sz w:val="24"/>
          <w:szCs w:val="24"/>
          <w:lang w:eastAsia="fr-FR"/>
        </w:rPr>
        <w:t>Ghelderode, 1984</w:t>
      </w:r>
      <w:r w:rsidR="00DB06D1">
        <w:rPr>
          <w:rFonts w:asciiTheme="majorBidi" w:hAnsiTheme="majorBidi" w:cstheme="majorBidi"/>
          <w:sz w:val="24"/>
          <w:szCs w:val="24"/>
          <w:lang w:eastAsia="fr-FR"/>
        </w:rPr>
        <w:t>).</w:t>
      </w:r>
    </w:p>
    <w:p w:rsidR="00856A57" w:rsidRPr="00DB06D1" w:rsidRDefault="009100F3" w:rsidP="00DB06D1">
      <w:pPr>
        <w:spacing w:after="0" w:line="360" w:lineRule="auto"/>
        <w:ind w:firstLine="284"/>
        <w:jc w:val="both"/>
        <w:rPr>
          <w:rFonts w:ascii="Times New Roman" w:hAnsi="Times New Roman"/>
          <w:sz w:val="24"/>
          <w:szCs w:val="24"/>
        </w:rPr>
      </w:pPr>
      <w:r w:rsidRPr="00DB06D1">
        <w:rPr>
          <w:rFonts w:ascii="Times New Roman" w:hAnsi="Times New Roman"/>
          <w:sz w:val="24"/>
          <w:szCs w:val="24"/>
        </w:rPr>
        <w:t>Tout comme dans la même page où l</w:t>
      </w:r>
      <w:r w:rsidR="006A4EED" w:rsidRPr="00DB06D1">
        <w:rPr>
          <w:rFonts w:ascii="Times New Roman" w:hAnsi="Times New Roman"/>
          <w:sz w:val="24"/>
          <w:szCs w:val="24"/>
        </w:rPr>
        <w:t>e barnum s'esclaffe à la vue du pitre travesti</w:t>
      </w:r>
      <w:r w:rsidR="00ED00B6" w:rsidRPr="00DB06D1">
        <w:rPr>
          <w:rFonts w:ascii="Times New Roman" w:hAnsi="Times New Roman"/>
          <w:sz w:val="24"/>
          <w:szCs w:val="24"/>
        </w:rPr>
        <w:t xml:space="preserve"> : </w:t>
      </w:r>
    </w:p>
    <w:p w:rsidR="00DB06D1" w:rsidRPr="00DE3551" w:rsidRDefault="006A4EED" w:rsidP="00DB06D1">
      <w:pPr>
        <w:spacing w:after="0" w:line="360" w:lineRule="auto"/>
        <w:ind w:firstLine="284"/>
        <w:jc w:val="both"/>
        <w:rPr>
          <w:rFonts w:asciiTheme="majorBidi" w:hAnsiTheme="majorBidi" w:cstheme="majorBidi"/>
          <w:sz w:val="24"/>
          <w:szCs w:val="24"/>
        </w:rPr>
      </w:pPr>
      <w:r w:rsidRPr="00587201">
        <w:rPr>
          <w:rFonts w:asciiTheme="majorBidi" w:hAnsiTheme="majorBidi" w:cstheme="majorBidi"/>
          <w:sz w:val="24"/>
          <w:szCs w:val="24"/>
        </w:rPr>
        <w:t>« Criant de vérité [...] mon pitre est tout aussi décoratif et, dans quelques jours comme celui qui meurt en croix [...] je pourrai soutenir que mon pitre est le véritable roi des juifs.»</w:t>
      </w:r>
      <w:r w:rsidRPr="00DB06D1">
        <w:rPr>
          <w:sz w:val="24"/>
          <w:szCs w:val="24"/>
        </w:rPr>
        <w:t xml:space="preserve"> </w:t>
      </w:r>
      <w:r w:rsidR="00DB06D1">
        <w:rPr>
          <w:rFonts w:asciiTheme="majorBidi" w:hAnsiTheme="majorBidi" w:cstheme="majorBidi"/>
          <w:sz w:val="24"/>
          <w:szCs w:val="24"/>
        </w:rPr>
        <w:t>(</w:t>
      </w:r>
      <w:r w:rsidR="00DB06D1" w:rsidRPr="003C635D">
        <w:rPr>
          <w:rFonts w:asciiTheme="majorBidi" w:hAnsiTheme="majorBidi" w:cstheme="majorBidi"/>
          <w:sz w:val="24"/>
          <w:szCs w:val="24"/>
        </w:rPr>
        <w:t xml:space="preserve">M. De </w:t>
      </w:r>
      <w:r w:rsidR="00DB06D1" w:rsidRPr="003C635D">
        <w:rPr>
          <w:rFonts w:asciiTheme="majorBidi" w:hAnsiTheme="majorBidi" w:cstheme="majorBidi"/>
          <w:sz w:val="24"/>
          <w:szCs w:val="24"/>
          <w:lang w:eastAsia="fr-FR"/>
        </w:rPr>
        <w:t>Ghelderode, 1984</w:t>
      </w:r>
      <w:r w:rsidR="00DB06D1">
        <w:rPr>
          <w:rFonts w:asciiTheme="majorBidi" w:hAnsiTheme="majorBidi" w:cstheme="majorBidi"/>
          <w:sz w:val="24"/>
          <w:szCs w:val="24"/>
          <w:lang w:eastAsia="fr-FR"/>
        </w:rPr>
        <w:t>).</w:t>
      </w:r>
    </w:p>
    <w:p w:rsidR="006A4EED" w:rsidRPr="003B00C8" w:rsidRDefault="006A4EED" w:rsidP="00DB06D1">
      <w:pPr>
        <w:spacing w:after="0" w:line="360" w:lineRule="auto"/>
        <w:ind w:firstLine="284"/>
        <w:jc w:val="both"/>
        <w:rPr>
          <w:rFonts w:ascii="Times New Roman" w:hAnsi="Times New Roman"/>
          <w:sz w:val="24"/>
          <w:szCs w:val="24"/>
        </w:rPr>
      </w:pPr>
      <w:r w:rsidRPr="003B00C8">
        <w:rPr>
          <w:rFonts w:ascii="Times New Roman" w:hAnsi="Times New Roman"/>
          <w:sz w:val="24"/>
          <w:szCs w:val="24"/>
        </w:rPr>
        <w:t>Ce double parodique fonctionne comme destruction de l'ensemble ancien</w:t>
      </w:r>
      <w:r w:rsidR="00DB06D1">
        <w:rPr>
          <w:rFonts w:ascii="Times New Roman" w:hAnsi="Times New Roman"/>
          <w:sz w:val="24"/>
          <w:szCs w:val="24"/>
        </w:rPr>
        <w:t>.</w:t>
      </w:r>
    </w:p>
    <w:p w:rsidR="006A4EED" w:rsidRPr="003B00C8" w:rsidRDefault="006A4EED" w:rsidP="00DB06D1">
      <w:pPr>
        <w:spacing w:after="0" w:line="360" w:lineRule="auto"/>
        <w:ind w:firstLine="284"/>
        <w:jc w:val="both"/>
        <w:rPr>
          <w:rFonts w:ascii="Times New Roman" w:hAnsi="Times New Roman"/>
          <w:sz w:val="24"/>
          <w:szCs w:val="24"/>
        </w:rPr>
      </w:pPr>
      <w:r w:rsidRPr="003B00C8">
        <w:rPr>
          <w:rFonts w:ascii="Times New Roman" w:hAnsi="Times New Roman"/>
          <w:sz w:val="24"/>
          <w:szCs w:val="24"/>
        </w:rPr>
        <w:t>Dans le troisième acte, l'espace scénique est divisé en deux parties par un mur ruiné. La partie où évoluent les protagonistes. C'est la contrepartie ironico-cornique du Calvaire qui est constituée par la répétition du trio: Pitre - Barnum – Barabbas.</w:t>
      </w:r>
    </w:p>
    <w:p w:rsidR="006A4EED" w:rsidRPr="00DB06D1" w:rsidRDefault="006A4EED" w:rsidP="00DB06D1">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La partie tragique du Calvaire et ses événements est rapportée par le guetteur dans un Cérémonial pathétique. Spectacle d'une part tragique doublé par un autre plus comique. Selon Bakhtine :</w:t>
      </w:r>
      <w:r w:rsidR="00ED00B6">
        <w:rPr>
          <w:rFonts w:ascii="Times New Roman" w:hAnsi="Times New Roman"/>
          <w:sz w:val="24"/>
          <w:szCs w:val="24"/>
        </w:rPr>
        <w:t xml:space="preserve"> </w:t>
      </w:r>
      <w:r w:rsidRPr="00DB06D1">
        <w:rPr>
          <w:rFonts w:asciiTheme="majorBidi" w:hAnsiTheme="majorBidi" w:cstheme="majorBidi"/>
          <w:sz w:val="24"/>
          <w:szCs w:val="24"/>
        </w:rPr>
        <w:t>« Si la parodie est déjà en soi un geste transgressent- car elle s'attaque par l'humour, le jeu ou la satire à des textes consacrés. Cette transgression est  double lorsque ces textes sont de plus sacrés.»</w:t>
      </w:r>
      <w:r w:rsidR="006C7FA1" w:rsidRPr="00DB06D1">
        <w:rPr>
          <w:rStyle w:val="Appelnotedebasdep"/>
          <w:rFonts w:asciiTheme="majorBidi" w:hAnsiTheme="majorBidi" w:cstheme="majorBidi"/>
          <w:sz w:val="24"/>
          <w:szCs w:val="24"/>
        </w:rPr>
        <w:footnoteReference w:id="298"/>
      </w:r>
    </w:p>
    <w:p w:rsidR="006A4EED" w:rsidRPr="003B00C8" w:rsidRDefault="006A4EED" w:rsidP="00DB06D1">
      <w:pPr>
        <w:spacing w:after="0" w:line="360" w:lineRule="auto"/>
        <w:ind w:firstLine="284"/>
        <w:jc w:val="both"/>
        <w:rPr>
          <w:rFonts w:ascii="Times New Roman" w:hAnsi="Times New Roman"/>
          <w:sz w:val="24"/>
          <w:szCs w:val="24"/>
        </w:rPr>
      </w:pPr>
      <w:r w:rsidRPr="003B00C8">
        <w:rPr>
          <w:rFonts w:ascii="Times New Roman" w:hAnsi="Times New Roman"/>
          <w:sz w:val="24"/>
          <w:szCs w:val="24"/>
        </w:rPr>
        <w:t>L'ambivalence des discours qui imprègnent l'espace sacré, celui du calvaire et l'espace théâtral, celui de la parodie : désigne l'effet dialogique de deux mondes en collision : celui des images carnavalesques qui évoquent les dualités mort et vie, négation et affirmation, le tragique et le comique</w:t>
      </w:r>
      <w:r w:rsidR="007613E5">
        <w:rPr>
          <w:rFonts w:ascii="Times New Roman" w:hAnsi="Times New Roman"/>
          <w:sz w:val="24"/>
          <w:szCs w:val="24"/>
        </w:rPr>
        <w:t>, ainsi que le sublime et le grotesque :</w:t>
      </w:r>
    </w:p>
    <w:p w:rsidR="006A4EED" w:rsidRPr="00DB06D1" w:rsidRDefault="00DB06D1" w:rsidP="00DB06D1">
      <w:pPr>
        <w:pStyle w:val="Titre5"/>
        <w:spacing w:before="0" w:after="0"/>
        <w:ind w:left="641" w:hanging="357"/>
        <w:jc w:val="both"/>
        <w:rPr>
          <w:rFonts w:ascii="Times New Roman" w:hAnsi="Times New Roman"/>
          <w:color w:val="auto"/>
          <w:lang w:eastAsia="fr-FR"/>
        </w:rPr>
      </w:pPr>
      <w:bookmarkStart w:id="176" w:name="_Toc471484543"/>
      <w:r w:rsidRPr="00DB06D1">
        <w:rPr>
          <w:rFonts w:ascii="Times New Roman" w:hAnsi="Times New Roman"/>
          <w:color w:val="auto"/>
          <w:lang w:eastAsia="fr-FR"/>
        </w:rPr>
        <w:t>2.2.4. Le</w:t>
      </w:r>
      <w:r w:rsidR="006A4EED" w:rsidRPr="00DB06D1">
        <w:rPr>
          <w:rFonts w:ascii="Times New Roman" w:hAnsi="Times New Roman"/>
          <w:color w:val="auto"/>
          <w:lang w:eastAsia="fr-FR"/>
        </w:rPr>
        <w:t xml:space="preserve"> rire et l’amusement</w:t>
      </w:r>
      <w:bookmarkEnd w:id="176"/>
    </w:p>
    <w:p w:rsidR="006A4EED" w:rsidRPr="00DB06D1" w:rsidRDefault="006A4EED" w:rsidP="00DB06D1">
      <w:pPr>
        <w:spacing w:after="0" w:line="360" w:lineRule="auto"/>
        <w:ind w:firstLine="284"/>
        <w:jc w:val="both"/>
        <w:rPr>
          <w:rFonts w:ascii="Times New Roman" w:hAnsi="Times New Roman"/>
          <w:sz w:val="24"/>
          <w:szCs w:val="24"/>
        </w:rPr>
      </w:pPr>
      <w:r w:rsidRPr="00DB06D1">
        <w:rPr>
          <w:rFonts w:ascii="Times New Roman" w:hAnsi="Times New Roman"/>
          <w:sz w:val="24"/>
          <w:szCs w:val="24"/>
        </w:rPr>
        <w:t>Le rire et l’amusement sont une autre des traits par lesquels la sémiotique s’exprime le mieux chez Ghelderode.</w:t>
      </w:r>
    </w:p>
    <w:p w:rsidR="006A4EED" w:rsidRPr="00DB06D1" w:rsidRDefault="006A4EED" w:rsidP="00DB06D1">
      <w:pPr>
        <w:spacing w:after="0" w:line="360" w:lineRule="auto"/>
        <w:ind w:firstLine="284"/>
        <w:jc w:val="both"/>
        <w:rPr>
          <w:rFonts w:ascii="Times New Roman" w:hAnsi="Times New Roman"/>
          <w:sz w:val="24"/>
          <w:szCs w:val="24"/>
        </w:rPr>
      </w:pPr>
      <w:r w:rsidRPr="00DB06D1">
        <w:rPr>
          <w:rFonts w:ascii="Times New Roman" w:hAnsi="Times New Roman"/>
          <w:sz w:val="24"/>
          <w:szCs w:val="24"/>
        </w:rPr>
        <w:lastRenderedPageBreak/>
        <w:t xml:space="preserve">Ce rire apparait comme la résultante du grotesque et de ses expressions tel que nous l’avons longuement exploré dans l’univers du carnavalesque </w:t>
      </w:r>
    </w:p>
    <w:p w:rsidR="006A4EED" w:rsidRPr="00DB06D1" w:rsidRDefault="006A4EED" w:rsidP="00DB06D1">
      <w:pPr>
        <w:spacing w:after="0" w:line="360" w:lineRule="auto"/>
        <w:ind w:firstLine="284"/>
        <w:jc w:val="both"/>
        <w:rPr>
          <w:rFonts w:asciiTheme="majorBidi" w:hAnsiTheme="majorBidi" w:cstheme="majorBidi"/>
          <w:sz w:val="24"/>
          <w:szCs w:val="24"/>
        </w:rPr>
      </w:pPr>
      <w:r w:rsidRPr="00DB06D1">
        <w:rPr>
          <w:rFonts w:ascii="Times New Roman" w:hAnsi="Times New Roman"/>
          <w:sz w:val="24"/>
          <w:szCs w:val="24"/>
        </w:rPr>
        <w:t xml:space="preserve">Aristote dans « Poétique» précisait </w:t>
      </w:r>
      <w:r w:rsidRPr="00DB06D1">
        <w:rPr>
          <w:rFonts w:asciiTheme="majorBidi" w:hAnsiTheme="majorBidi" w:cstheme="majorBidi"/>
          <w:sz w:val="24"/>
          <w:szCs w:val="24"/>
        </w:rPr>
        <w:t>que :</w:t>
      </w:r>
      <w:r w:rsidR="00366557" w:rsidRPr="00DB06D1">
        <w:rPr>
          <w:rFonts w:asciiTheme="majorBidi" w:hAnsiTheme="majorBidi" w:cstheme="majorBidi"/>
          <w:sz w:val="24"/>
          <w:szCs w:val="24"/>
        </w:rPr>
        <w:t xml:space="preserve"> </w:t>
      </w:r>
      <w:r w:rsidRPr="00DB06D1">
        <w:rPr>
          <w:rFonts w:asciiTheme="majorBidi" w:hAnsiTheme="majorBidi" w:cstheme="majorBidi"/>
          <w:sz w:val="24"/>
          <w:szCs w:val="24"/>
        </w:rPr>
        <w:t>« Seul parmi les êtres vivants, l'homme sait rire»</w:t>
      </w:r>
      <w:r w:rsidRPr="00DB06D1">
        <w:rPr>
          <w:rFonts w:asciiTheme="majorBidi" w:hAnsiTheme="majorBidi" w:cstheme="majorBidi"/>
          <w:sz w:val="24"/>
          <w:szCs w:val="24"/>
          <w:vertAlign w:val="superscript"/>
        </w:rPr>
        <w:footnoteReference w:id="299"/>
      </w:r>
    </w:p>
    <w:p w:rsidR="007613E5" w:rsidRDefault="006A4EED" w:rsidP="00DB06D1">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pièce est truffée de farces, de simulacre, de pastiche, d'inversion de rôle et de parodies qui vont déclencher le rire, celui ci prend plusieurs aspects dans la pièce: Rire sarcastique, rire frôlant l'humour et rire grêle, rire dénigrant et railleur profondément enfoui sous le rire déchaîné.</w:t>
      </w:r>
      <w:r w:rsidR="0048747A">
        <w:rPr>
          <w:rFonts w:ascii="Times New Roman" w:hAnsi="Times New Roman"/>
          <w:sz w:val="24"/>
          <w:szCs w:val="24"/>
        </w:rPr>
        <w:t xml:space="preserve"> </w:t>
      </w:r>
    </w:p>
    <w:p w:rsidR="006A4EED" w:rsidRPr="00DB06D1" w:rsidRDefault="0048747A" w:rsidP="00DB06D1">
      <w:pPr>
        <w:spacing w:after="0" w:line="360" w:lineRule="auto"/>
        <w:ind w:firstLine="284"/>
        <w:jc w:val="both"/>
        <w:rPr>
          <w:rFonts w:asciiTheme="majorBidi" w:hAnsiTheme="majorBidi" w:cstheme="majorBidi"/>
          <w:sz w:val="24"/>
          <w:szCs w:val="24"/>
        </w:rPr>
      </w:pPr>
      <w:r>
        <w:rPr>
          <w:rFonts w:ascii="Times New Roman" w:hAnsi="Times New Roman"/>
          <w:sz w:val="24"/>
          <w:szCs w:val="24"/>
        </w:rPr>
        <w:t>Bakhtine note pour ce rire ce qui suit </w:t>
      </w:r>
      <w:r w:rsidRPr="00DB06D1">
        <w:rPr>
          <w:rFonts w:asciiTheme="majorBidi" w:hAnsiTheme="majorBidi" w:cstheme="majorBidi"/>
          <w:sz w:val="24"/>
          <w:szCs w:val="24"/>
        </w:rPr>
        <w:t xml:space="preserve">: </w:t>
      </w:r>
      <w:r w:rsidR="006A4EED" w:rsidRPr="00DB06D1">
        <w:rPr>
          <w:rFonts w:asciiTheme="majorBidi" w:hAnsiTheme="majorBidi" w:cstheme="majorBidi"/>
          <w:sz w:val="24"/>
          <w:szCs w:val="24"/>
        </w:rPr>
        <w:t>« Le rire carnavalesque est d'abord un rire en général, puis c'est un rire universel - il atteint toute chose et toutes gens [...] enfin ce rire est ambivalent ; il est joyeux, débordant d'allégresse mais en même temps, il nie et affirme, ensevelit et ressuscite à la fois»</w:t>
      </w:r>
      <w:r w:rsidR="006A4EED" w:rsidRPr="00DB06D1">
        <w:rPr>
          <w:rFonts w:asciiTheme="majorBidi" w:hAnsiTheme="majorBidi" w:cstheme="majorBidi"/>
          <w:sz w:val="24"/>
          <w:szCs w:val="24"/>
          <w:vertAlign w:val="superscript"/>
        </w:rPr>
        <w:footnoteReference w:id="300"/>
      </w:r>
      <w:r w:rsidR="00DB06D1">
        <w:rPr>
          <w:rFonts w:asciiTheme="majorBidi" w:hAnsiTheme="majorBidi" w:cstheme="majorBidi"/>
          <w:sz w:val="24"/>
          <w:szCs w:val="24"/>
        </w:rPr>
        <w:t>.</w:t>
      </w:r>
    </w:p>
    <w:p w:rsidR="006A4EED" w:rsidRPr="003B00C8" w:rsidRDefault="006A4EED" w:rsidP="00FB3A20">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 </w:t>
      </w:r>
      <w:r w:rsidR="00FB3A20">
        <w:rPr>
          <w:rFonts w:ascii="Times New Roman" w:hAnsi="Times New Roman"/>
          <w:sz w:val="24"/>
          <w:szCs w:val="24"/>
        </w:rPr>
        <w:t>À</w:t>
      </w:r>
      <w:r w:rsidRPr="003B00C8">
        <w:rPr>
          <w:rFonts w:ascii="Times New Roman" w:hAnsi="Times New Roman"/>
          <w:sz w:val="24"/>
          <w:szCs w:val="24"/>
        </w:rPr>
        <w:t xml:space="preserve"> la page 45 Barabbas élève l'amphore et verse du vin dans la bouche béante des larrons agenouillés, imitant par cette posture l'absolution dans le culte de l'église. Situation loufoque qui va se prolonger par des chants des prières liturgiques, travestis dans leur contenu, louant le vin.</w:t>
      </w:r>
    </w:p>
    <w:p w:rsidR="006A4EED" w:rsidRPr="00EF7730" w:rsidRDefault="006A4EED" w:rsidP="00EF7730">
      <w:pPr>
        <w:pStyle w:val="Citationintense"/>
        <w:spacing w:before="0" w:after="0"/>
        <w:ind w:left="567" w:right="0"/>
        <w:rPr>
          <w:sz w:val="20"/>
          <w:szCs w:val="20"/>
        </w:rPr>
      </w:pPr>
      <w:r w:rsidRPr="00856A57">
        <w:t xml:space="preserve"> </w:t>
      </w:r>
      <w:r w:rsidRPr="00EF7730">
        <w:rPr>
          <w:sz w:val="20"/>
          <w:szCs w:val="20"/>
        </w:rPr>
        <w:t>Meilleur que la source jaillie dans le désert !</w:t>
      </w:r>
    </w:p>
    <w:p w:rsidR="006A4EED" w:rsidRPr="00EF7730" w:rsidRDefault="006A4EED" w:rsidP="00EF7730">
      <w:pPr>
        <w:pStyle w:val="Citationintense"/>
        <w:spacing w:before="0" w:after="0"/>
        <w:ind w:left="567" w:right="0"/>
        <w:rPr>
          <w:sz w:val="20"/>
          <w:szCs w:val="20"/>
        </w:rPr>
      </w:pPr>
      <w:r w:rsidRPr="00EF7730">
        <w:rPr>
          <w:sz w:val="20"/>
          <w:szCs w:val="20"/>
        </w:rPr>
        <w:t xml:space="preserve"> Meilleur que la rose matinale !</w:t>
      </w:r>
    </w:p>
    <w:p w:rsidR="006A4EED" w:rsidRPr="00EF7730" w:rsidRDefault="006A4EED" w:rsidP="00EF7730">
      <w:pPr>
        <w:pStyle w:val="Citationintense"/>
        <w:spacing w:before="0" w:after="0"/>
        <w:ind w:left="567" w:right="0"/>
        <w:rPr>
          <w:sz w:val="20"/>
          <w:szCs w:val="20"/>
        </w:rPr>
      </w:pPr>
      <w:r w:rsidRPr="00EF7730">
        <w:rPr>
          <w:sz w:val="20"/>
          <w:szCs w:val="20"/>
        </w:rPr>
        <w:t xml:space="preserve"> Meilleur que la pluie sur la terre aride !</w:t>
      </w:r>
    </w:p>
    <w:p w:rsidR="006A4EED" w:rsidRPr="00EF7730" w:rsidRDefault="00856A57" w:rsidP="00EF7730">
      <w:pPr>
        <w:pStyle w:val="Citationintense"/>
        <w:spacing w:before="0" w:after="0"/>
        <w:ind w:left="567" w:right="0"/>
        <w:rPr>
          <w:sz w:val="20"/>
          <w:szCs w:val="20"/>
        </w:rPr>
      </w:pPr>
      <w:r w:rsidRPr="00EF7730">
        <w:rPr>
          <w:sz w:val="20"/>
          <w:szCs w:val="20"/>
        </w:rPr>
        <w:t xml:space="preserve"> </w:t>
      </w:r>
      <w:r w:rsidR="006A4EED" w:rsidRPr="00EF7730">
        <w:rPr>
          <w:sz w:val="20"/>
          <w:szCs w:val="20"/>
        </w:rPr>
        <w:t>Meilleur que la musique des symboles et des sistres !</w:t>
      </w:r>
    </w:p>
    <w:p w:rsidR="006A4EED" w:rsidRPr="00EF7730" w:rsidRDefault="00856A57" w:rsidP="00EF7730">
      <w:pPr>
        <w:pStyle w:val="Citationintense"/>
        <w:spacing w:before="0" w:after="0"/>
        <w:ind w:left="567" w:right="0"/>
        <w:rPr>
          <w:sz w:val="20"/>
          <w:szCs w:val="20"/>
        </w:rPr>
      </w:pPr>
      <w:r w:rsidRPr="00EF7730">
        <w:rPr>
          <w:sz w:val="20"/>
          <w:szCs w:val="20"/>
        </w:rPr>
        <w:t xml:space="preserve"> </w:t>
      </w:r>
      <w:r w:rsidR="006A4EED" w:rsidRPr="00EF7730">
        <w:rPr>
          <w:sz w:val="20"/>
          <w:szCs w:val="20"/>
        </w:rPr>
        <w:t>Meilleur que le printemps cousu d'abeille</w:t>
      </w:r>
      <w:r w:rsidR="006C7FA1" w:rsidRPr="00EF7730">
        <w:rPr>
          <w:sz w:val="20"/>
          <w:szCs w:val="20"/>
        </w:rPr>
        <w:t>s et que la danse des étoiles ! (</w:t>
      </w:r>
      <w:r w:rsidR="00EF7730" w:rsidRPr="00EF7730">
        <w:rPr>
          <w:rFonts w:asciiTheme="majorBidi" w:hAnsiTheme="majorBidi" w:cstheme="majorBidi"/>
          <w:sz w:val="20"/>
          <w:szCs w:val="20"/>
        </w:rPr>
        <w:t xml:space="preserve">M. De </w:t>
      </w:r>
      <w:r w:rsidR="00EF7730" w:rsidRPr="00EF7730">
        <w:rPr>
          <w:rFonts w:asciiTheme="majorBidi" w:hAnsiTheme="majorBidi" w:cstheme="majorBidi"/>
          <w:sz w:val="20"/>
          <w:szCs w:val="20"/>
          <w:lang w:eastAsia="fr-FR"/>
        </w:rPr>
        <w:t>Ghelderode, 1984</w:t>
      </w:r>
      <w:r w:rsidR="00EF7730">
        <w:rPr>
          <w:rFonts w:asciiTheme="majorBidi" w:hAnsiTheme="majorBidi" w:cstheme="majorBidi"/>
          <w:sz w:val="20"/>
          <w:szCs w:val="20"/>
          <w:lang w:eastAsia="fr-FR"/>
        </w:rPr>
        <w:t xml:space="preserve">, </w:t>
      </w:r>
      <w:r w:rsidR="006C7FA1" w:rsidRPr="00EF7730">
        <w:rPr>
          <w:sz w:val="20"/>
          <w:szCs w:val="20"/>
        </w:rPr>
        <w:t>p.45)</w:t>
      </w:r>
      <w:r w:rsidR="00EF7730">
        <w:rPr>
          <w:sz w:val="20"/>
          <w:szCs w:val="20"/>
        </w:rPr>
        <w:t>.</w:t>
      </w:r>
    </w:p>
    <w:p w:rsidR="006A4EED" w:rsidRPr="003B00C8" w:rsidRDefault="006A4EED" w:rsidP="00856A57">
      <w:pPr>
        <w:spacing w:after="0" w:line="360" w:lineRule="auto"/>
        <w:jc w:val="both"/>
        <w:rPr>
          <w:rFonts w:ascii="Times New Roman" w:hAnsi="Times New Roman"/>
          <w:sz w:val="24"/>
          <w:szCs w:val="24"/>
        </w:rPr>
      </w:pPr>
    </w:p>
    <w:p w:rsidR="006A4EED" w:rsidRPr="00EF7730" w:rsidRDefault="006A4EED" w:rsidP="00EF7730">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 xml:space="preserve"> </w:t>
      </w:r>
      <w:r w:rsidRPr="00EF7730">
        <w:rPr>
          <w:rFonts w:ascii="Times New Roman" w:hAnsi="Times New Roman"/>
          <w:sz w:val="24"/>
          <w:szCs w:val="24"/>
        </w:rPr>
        <w:t>Cette «liturgie des ivrognes» va se poursuivre, puis est interrompu par Barabbas qui ajoute un brin d'ironie à la situation burlesque qui s'en est suivi</w:t>
      </w:r>
      <w:r w:rsidR="0048747A" w:rsidRPr="00EF7730">
        <w:rPr>
          <w:rFonts w:ascii="Times New Roman" w:hAnsi="Times New Roman"/>
          <w:sz w:val="24"/>
          <w:szCs w:val="24"/>
        </w:rPr>
        <w:t xml:space="preserve"> : </w:t>
      </w:r>
      <w:r w:rsidR="00EF7730" w:rsidRPr="00EF7730">
        <w:rPr>
          <w:rFonts w:asciiTheme="majorBidi" w:hAnsiTheme="majorBidi" w:cstheme="majorBidi"/>
          <w:sz w:val="24"/>
          <w:szCs w:val="24"/>
        </w:rPr>
        <w:t>« </w:t>
      </w:r>
      <w:r w:rsidRPr="00587201">
        <w:rPr>
          <w:rFonts w:asciiTheme="majorBidi" w:hAnsiTheme="majorBidi" w:cstheme="majorBidi"/>
          <w:sz w:val="24"/>
          <w:szCs w:val="24"/>
        </w:rPr>
        <w:t>Suffit ! Vous parlez comme les prophètes dans les livres saints</w:t>
      </w:r>
      <w:r w:rsidRPr="00EF7730">
        <w:rPr>
          <w:rFonts w:asciiTheme="majorBidi" w:hAnsiTheme="majorBidi" w:cstheme="majorBidi"/>
          <w:sz w:val="24"/>
          <w:szCs w:val="24"/>
        </w:rPr>
        <w:t xml:space="preserve"> » </w:t>
      </w:r>
      <w:r w:rsidR="00912513" w:rsidRPr="00EF7730">
        <w:rPr>
          <w:rFonts w:asciiTheme="majorBidi" w:hAnsiTheme="majorBidi" w:cstheme="majorBidi"/>
          <w:sz w:val="24"/>
          <w:szCs w:val="24"/>
        </w:rPr>
        <w:t>(</w:t>
      </w:r>
      <w:r w:rsidR="00EF7730">
        <w:rPr>
          <w:rFonts w:asciiTheme="majorBidi" w:hAnsiTheme="majorBidi" w:cstheme="majorBidi"/>
          <w:i/>
          <w:iCs/>
          <w:sz w:val="24"/>
          <w:szCs w:val="24"/>
        </w:rPr>
        <w:t xml:space="preserve">Ibid, </w:t>
      </w:r>
      <w:r w:rsidR="00912513" w:rsidRPr="00EF7730">
        <w:rPr>
          <w:rFonts w:asciiTheme="majorBidi" w:hAnsiTheme="majorBidi" w:cstheme="majorBidi"/>
          <w:sz w:val="24"/>
          <w:szCs w:val="24"/>
        </w:rPr>
        <w:t>p.45)</w:t>
      </w:r>
      <w:r w:rsidR="00EF7730">
        <w:rPr>
          <w:rFonts w:asciiTheme="majorBidi" w:hAnsiTheme="majorBidi" w:cstheme="majorBidi"/>
          <w:sz w:val="24"/>
          <w:szCs w:val="24"/>
        </w:rPr>
        <w:t>.</w:t>
      </w:r>
      <w:r w:rsidR="00912513" w:rsidRPr="00EF7730">
        <w:rPr>
          <w:rFonts w:asciiTheme="majorBidi" w:hAnsiTheme="majorBidi" w:cstheme="majorBidi"/>
          <w:sz w:val="24"/>
          <w:szCs w:val="24"/>
        </w:rPr>
        <w:t xml:space="preserve">   </w:t>
      </w:r>
    </w:p>
    <w:p w:rsidR="006A4EED" w:rsidRPr="00A52FF4" w:rsidRDefault="006A4EED" w:rsidP="00A52FF4">
      <w:pPr>
        <w:spacing w:after="0" w:line="360" w:lineRule="auto"/>
        <w:ind w:firstLine="284"/>
        <w:jc w:val="both"/>
        <w:rPr>
          <w:sz w:val="24"/>
          <w:szCs w:val="24"/>
        </w:rPr>
      </w:pPr>
      <w:r w:rsidRPr="00A52FF4">
        <w:rPr>
          <w:rFonts w:ascii="Times New Roman" w:hAnsi="Times New Roman"/>
          <w:sz w:val="24"/>
          <w:szCs w:val="24"/>
        </w:rPr>
        <w:t>Ce rire est dirigé contre ce qui est supérieur, il célèbre sa liturgie en tournant en dérision le sacré. Il rapproche les protagonistes dans leur geôle face à la mort c'est le rire collectif du carnavalesque .Barabbas rit avec ampleur</w:t>
      </w:r>
      <w:r w:rsidR="0048747A" w:rsidRPr="00A52FF4">
        <w:rPr>
          <w:rFonts w:ascii="Times New Roman" w:hAnsi="Times New Roman"/>
          <w:sz w:val="24"/>
          <w:szCs w:val="24"/>
        </w:rPr>
        <w:t xml:space="preserve"> : </w:t>
      </w:r>
      <w:r w:rsidRPr="00A52FF4">
        <w:rPr>
          <w:rFonts w:asciiTheme="majorBidi" w:hAnsiTheme="majorBidi" w:cstheme="majorBidi"/>
          <w:sz w:val="24"/>
          <w:szCs w:val="24"/>
        </w:rPr>
        <w:t xml:space="preserve">« </w:t>
      </w:r>
      <w:r w:rsidRPr="00587201">
        <w:rPr>
          <w:rFonts w:asciiTheme="majorBidi" w:hAnsiTheme="majorBidi" w:cstheme="majorBidi"/>
          <w:sz w:val="24"/>
          <w:szCs w:val="24"/>
        </w:rPr>
        <w:t xml:space="preserve">Ah !... Ah vive Barabbas, je suis libre. Je fuis, je bondis, je cours [...] vous ne sentirez pas comme il est excellent de se sentir vivant Ah ! Ah ! Tant que vous n'aurez pas été condamné à mort </w:t>
      </w:r>
      <w:r w:rsidRPr="00A52FF4">
        <w:rPr>
          <w:rFonts w:asciiTheme="majorBidi" w:hAnsiTheme="majorBidi" w:cstheme="majorBidi"/>
          <w:sz w:val="24"/>
          <w:szCs w:val="24"/>
        </w:rPr>
        <w:t xml:space="preserve">» </w:t>
      </w:r>
      <w:r w:rsidR="00912513" w:rsidRPr="00A52FF4">
        <w:rPr>
          <w:rFonts w:asciiTheme="majorBidi" w:hAnsiTheme="majorBidi" w:cstheme="majorBidi"/>
          <w:sz w:val="24"/>
          <w:szCs w:val="24"/>
        </w:rPr>
        <w:t>(</w:t>
      </w:r>
      <w:r w:rsidR="00A52FF4">
        <w:rPr>
          <w:rFonts w:asciiTheme="majorBidi" w:hAnsiTheme="majorBidi" w:cstheme="majorBidi"/>
          <w:i/>
          <w:iCs/>
          <w:sz w:val="24"/>
          <w:szCs w:val="24"/>
        </w:rPr>
        <w:t xml:space="preserve">Ibid, </w:t>
      </w:r>
      <w:r w:rsidR="00912513" w:rsidRPr="00A52FF4">
        <w:rPr>
          <w:rFonts w:asciiTheme="majorBidi" w:hAnsiTheme="majorBidi" w:cstheme="majorBidi"/>
          <w:sz w:val="24"/>
          <w:szCs w:val="24"/>
        </w:rPr>
        <w:t>p.89)</w:t>
      </w:r>
      <w:r w:rsidR="00A52FF4">
        <w:rPr>
          <w:sz w:val="24"/>
          <w:szCs w:val="24"/>
        </w:rPr>
        <w:t>.</w:t>
      </w:r>
      <w:r w:rsidR="00912513" w:rsidRPr="00A52FF4">
        <w:rPr>
          <w:sz w:val="24"/>
          <w:szCs w:val="24"/>
        </w:rPr>
        <w:t xml:space="preserve">  </w:t>
      </w:r>
    </w:p>
    <w:p w:rsidR="006A4EED" w:rsidRPr="00A52FF4" w:rsidRDefault="006A4EED" w:rsidP="00A52FF4">
      <w:pPr>
        <w:spacing w:after="0" w:line="360" w:lineRule="auto"/>
        <w:ind w:firstLine="284"/>
        <w:jc w:val="both"/>
        <w:rPr>
          <w:rFonts w:asciiTheme="majorBidi" w:hAnsiTheme="majorBidi" w:cstheme="majorBidi"/>
          <w:sz w:val="24"/>
          <w:szCs w:val="24"/>
        </w:rPr>
      </w:pPr>
      <w:r w:rsidRPr="00A52FF4">
        <w:rPr>
          <w:rFonts w:ascii="Times New Roman" w:hAnsi="Times New Roman"/>
          <w:sz w:val="24"/>
          <w:szCs w:val="24"/>
        </w:rPr>
        <w:lastRenderedPageBreak/>
        <w:t>C'est le rire de la fête, le rire qui libère Dans la didascalie suivante</w:t>
      </w:r>
      <w:r w:rsidR="0048747A" w:rsidRPr="00A52FF4">
        <w:rPr>
          <w:rFonts w:ascii="Times New Roman" w:hAnsi="Times New Roman"/>
          <w:sz w:val="24"/>
          <w:szCs w:val="24"/>
        </w:rPr>
        <w:t xml:space="preserve"> : </w:t>
      </w:r>
      <w:r w:rsidRPr="00A52FF4">
        <w:rPr>
          <w:rFonts w:asciiTheme="majorBidi" w:hAnsiTheme="majorBidi" w:cstheme="majorBidi"/>
          <w:sz w:val="24"/>
          <w:szCs w:val="24"/>
        </w:rPr>
        <w:t>« Hérode et les prêtres ont ri de la comédie de Barabbas devant la foule »</w:t>
      </w:r>
      <w:r w:rsidR="0048747A" w:rsidRPr="00A52FF4">
        <w:rPr>
          <w:rFonts w:asciiTheme="majorBidi" w:hAnsiTheme="majorBidi" w:cstheme="majorBidi"/>
          <w:sz w:val="24"/>
          <w:szCs w:val="24"/>
          <w:vertAlign w:val="superscript"/>
        </w:rPr>
        <w:t xml:space="preserve"> </w:t>
      </w:r>
      <w:r w:rsidR="00912513" w:rsidRPr="00A52FF4">
        <w:rPr>
          <w:rFonts w:asciiTheme="majorBidi" w:hAnsiTheme="majorBidi" w:cstheme="majorBidi"/>
          <w:sz w:val="24"/>
          <w:szCs w:val="24"/>
        </w:rPr>
        <w:t>(</w:t>
      </w:r>
      <w:r w:rsidR="00A52FF4">
        <w:rPr>
          <w:rFonts w:asciiTheme="majorBidi" w:hAnsiTheme="majorBidi" w:cstheme="majorBidi"/>
          <w:i/>
          <w:iCs/>
          <w:sz w:val="24"/>
          <w:szCs w:val="24"/>
        </w:rPr>
        <w:t xml:space="preserve">Ibid, </w:t>
      </w:r>
      <w:r w:rsidR="00912513" w:rsidRPr="00A52FF4">
        <w:rPr>
          <w:rFonts w:asciiTheme="majorBidi" w:hAnsiTheme="majorBidi" w:cstheme="majorBidi"/>
          <w:sz w:val="24"/>
          <w:szCs w:val="24"/>
        </w:rPr>
        <w:t>p.90)</w:t>
      </w:r>
      <w:r w:rsidR="00A52FF4">
        <w:rPr>
          <w:rFonts w:asciiTheme="majorBidi" w:hAnsiTheme="majorBidi" w:cstheme="majorBidi"/>
          <w:sz w:val="24"/>
          <w:szCs w:val="24"/>
        </w:rPr>
        <w:t>.</w:t>
      </w:r>
      <w:r w:rsidR="00912513" w:rsidRPr="00A52FF4">
        <w:rPr>
          <w:rFonts w:asciiTheme="majorBidi" w:hAnsiTheme="majorBidi" w:cstheme="majorBidi"/>
          <w:sz w:val="24"/>
          <w:szCs w:val="24"/>
        </w:rPr>
        <w:t xml:space="preserve">   </w:t>
      </w:r>
    </w:p>
    <w:p w:rsidR="006A4EED" w:rsidRPr="00A52FF4" w:rsidRDefault="006A4EED" w:rsidP="00A52FF4">
      <w:pPr>
        <w:spacing w:after="0" w:line="360" w:lineRule="auto"/>
        <w:ind w:firstLine="284"/>
        <w:jc w:val="both"/>
        <w:rPr>
          <w:rFonts w:asciiTheme="majorBidi" w:hAnsiTheme="majorBidi" w:cstheme="majorBidi"/>
          <w:sz w:val="24"/>
          <w:szCs w:val="24"/>
        </w:rPr>
      </w:pPr>
      <w:r w:rsidRPr="00A52FF4">
        <w:rPr>
          <w:rFonts w:ascii="Times New Roman" w:hAnsi="Times New Roman"/>
          <w:sz w:val="24"/>
          <w:szCs w:val="24"/>
        </w:rPr>
        <w:t xml:space="preserve">Ce rire ambivalent qui </w:t>
      </w:r>
      <w:proofErr w:type="gramStart"/>
      <w:r w:rsidRPr="00A52FF4">
        <w:rPr>
          <w:rFonts w:ascii="Times New Roman" w:hAnsi="Times New Roman"/>
          <w:sz w:val="24"/>
          <w:szCs w:val="24"/>
        </w:rPr>
        <w:t>a</w:t>
      </w:r>
      <w:proofErr w:type="gramEnd"/>
      <w:r w:rsidRPr="00A52FF4">
        <w:rPr>
          <w:rFonts w:ascii="Times New Roman" w:hAnsi="Times New Roman"/>
          <w:sz w:val="24"/>
          <w:szCs w:val="24"/>
        </w:rPr>
        <w:t xml:space="preserve"> une profonde valeur de conception du monde et sur lequel s'exprime</w:t>
      </w:r>
      <w:r w:rsidR="0048747A" w:rsidRPr="00A52FF4">
        <w:rPr>
          <w:rFonts w:ascii="Times New Roman" w:hAnsi="Times New Roman"/>
          <w:sz w:val="24"/>
          <w:szCs w:val="24"/>
        </w:rPr>
        <w:t xml:space="preserve">. En effet, il est : </w:t>
      </w:r>
      <w:r w:rsidR="0048747A" w:rsidRPr="00A52FF4">
        <w:rPr>
          <w:rFonts w:asciiTheme="majorBidi" w:hAnsiTheme="majorBidi" w:cstheme="majorBidi"/>
          <w:sz w:val="24"/>
          <w:szCs w:val="24"/>
        </w:rPr>
        <w:t>«</w:t>
      </w:r>
      <w:r w:rsidRPr="00A52FF4">
        <w:rPr>
          <w:rFonts w:asciiTheme="majorBidi" w:hAnsiTheme="majorBidi" w:cstheme="majorBidi"/>
          <w:sz w:val="24"/>
          <w:szCs w:val="24"/>
        </w:rPr>
        <w:t xml:space="preserve"> La vérité sur le monde dans son ensemble </w:t>
      </w:r>
      <w:proofErr w:type="gramStart"/>
      <w:r w:rsidRPr="00A52FF4">
        <w:rPr>
          <w:rFonts w:asciiTheme="majorBidi" w:hAnsiTheme="majorBidi" w:cstheme="majorBidi"/>
          <w:sz w:val="24"/>
          <w:szCs w:val="24"/>
        </w:rPr>
        <w:t xml:space="preserve">» </w:t>
      </w:r>
      <w:proofErr w:type="gramEnd"/>
      <w:r w:rsidRPr="00A52FF4">
        <w:rPr>
          <w:rFonts w:asciiTheme="majorBidi" w:hAnsiTheme="majorBidi" w:cstheme="majorBidi"/>
          <w:sz w:val="24"/>
          <w:szCs w:val="24"/>
          <w:vertAlign w:val="superscript"/>
        </w:rPr>
        <w:footnoteReference w:id="301"/>
      </w:r>
      <w:r w:rsidR="00A52FF4">
        <w:rPr>
          <w:rFonts w:asciiTheme="majorBidi" w:hAnsiTheme="majorBidi" w:cstheme="majorBidi"/>
          <w:sz w:val="24"/>
          <w:szCs w:val="24"/>
        </w:rPr>
        <w:t>.</w:t>
      </w:r>
    </w:p>
    <w:p w:rsidR="006A4EED" w:rsidRPr="003B00C8" w:rsidRDefault="006A4EED" w:rsidP="00A52FF4">
      <w:pPr>
        <w:spacing w:after="0" w:line="360" w:lineRule="auto"/>
        <w:ind w:firstLine="284"/>
        <w:jc w:val="both"/>
        <w:rPr>
          <w:rFonts w:ascii="Times New Roman" w:hAnsi="Times New Roman"/>
          <w:sz w:val="24"/>
          <w:szCs w:val="24"/>
        </w:rPr>
      </w:pPr>
      <w:r w:rsidRPr="003B00C8">
        <w:rPr>
          <w:rFonts w:ascii="Times New Roman" w:hAnsi="Times New Roman"/>
          <w:sz w:val="24"/>
          <w:szCs w:val="24"/>
        </w:rPr>
        <w:t>C'est celui de l'autorité politique et religieuse, dans sa besogne d'hypocrisie, de fourberie, de coups fourrés et de complots ourdis sur le dos du  peuple crédule de Jérusalem.</w:t>
      </w:r>
      <w:r w:rsidR="007613E5">
        <w:rPr>
          <w:rFonts w:ascii="Times New Roman" w:hAnsi="Times New Roman"/>
          <w:sz w:val="24"/>
          <w:szCs w:val="24"/>
        </w:rPr>
        <w:t xml:space="preserve"> </w:t>
      </w:r>
      <w:r w:rsidRPr="003B00C8">
        <w:rPr>
          <w:rFonts w:ascii="Times New Roman" w:hAnsi="Times New Roman"/>
          <w:sz w:val="24"/>
          <w:szCs w:val="24"/>
        </w:rPr>
        <w:t xml:space="preserve">Le rire sarcastique du pitre, c'est le rire </w:t>
      </w:r>
      <w:proofErr w:type="gramStart"/>
      <w:r w:rsidRPr="003B00C8">
        <w:rPr>
          <w:rFonts w:ascii="Times New Roman" w:hAnsi="Times New Roman"/>
          <w:sz w:val="24"/>
          <w:szCs w:val="24"/>
        </w:rPr>
        <w:t>du</w:t>
      </w:r>
      <w:proofErr w:type="gramEnd"/>
      <w:r w:rsidRPr="003B00C8">
        <w:rPr>
          <w:rFonts w:ascii="Times New Roman" w:hAnsi="Times New Roman"/>
          <w:sz w:val="24"/>
          <w:szCs w:val="24"/>
        </w:rPr>
        <w:t xml:space="preserve"> porte parole de la vérité universelle, celui du peuple où chacun est égal à l'autre, anonyme dans la multiplicité.</w:t>
      </w:r>
    </w:p>
    <w:p w:rsidR="006A4EED" w:rsidRPr="00A52FF4" w:rsidRDefault="006A4EED" w:rsidP="00A52FF4">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Ce rire carnavalesque dont on saisit toute la démesure et l'audace, c'est un rire qui désacralise et démystifie la cérémonie du Calvaire dans l'acte III de la pièce. Le pitre, double parodique du Christ par son rire grêle, véhément fait basculer ce rituel religieux dans la farce grotesque.</w:t>
      </w:r>
      <w:r w:rsidR="0048747A">
        <w:rPr>
          <w:rFonts w:ascii="Times New Roman" w:hAnsi="Times New Roman"/>
          <w:sz w:val="24"/>
          <w:szCs w:val="24"/>
        </w:rPr>
        <w:t xml:space="preserve"> Car </w:t>
      </w:r>
      <w:r w:rsidRPr="00A52FF4">
        <w:rPr>
          <w:rFonts w:asciiTheme="majorBidi" w:hAnsiTheme="majorBidi" w:cstheme="majorBidi"/>
          <w:sz w:val="24"/>
          <w:szCs w:val="24"/>
        </w:rPr>
        <w:t>« Le rire causé par le grotesque a en soi que du profond, d'axiomatique et de primitif qui se rapproche beaucoup plus de la vie innocente et de la joie absolue.»</w:t>
      </w:r>
      <w:r w:rsidRPr="00A52FF4">
        <w:rPr>
          <w:rFonts w:asciiTheme="majorBidi" w:hAnsiTheme="majorBidi" w:cstheme="majorBidi"/>
          <w:sz w:val="24"/>
          <w:szCs w:val="24"/>
          <w:vertAlign w:val="superscript"/>
        </w:rPr>
        <w:footnoteReference w:id="302"/>
      </w:r>
    </w:p>
    <w:p w:rsidR="006A4EED" w:rsidRPr="00E9108A" w:rsidRDefault="006A4EED" w:rsidP="00AF6A87">
      <w:pPr>
        <w:spacing w:line="360" w:lineRule="auto"/>
        <w:jc w:val="both"/>
        <w:rPr>
          <w:sz w:val="24"/>
          <w:szCs w:val="24"/>
        </w:rPr>
      </w:pPr>
      <w:r w:rsidRPr="003B00C8">
        <w:rPr>
          <w:rFonts w:ascii="Times New Roman" w:hAnsi="Times New Roman"/>
          <w:sz w:val="24"/>
          <w:szCs w:val="24"/>
        </w:rPr>
        <w:t xml:space="preserve">      </w:t>
      </w:r>
      <w:r w:rsidRPr="00E9108A">
        <w:rPr>
          <w:rFonts w:ascii="Times New Roman" w:hAnsi="Times New Roman"/>
          <w:sz w:val="24"/>
          <w:szCs w:val="24"/>
        </w:rPr>
        <w:t xml:space="preserve">Notre corpus regorge de résurgence sur l'animalité des protagonistes. Elle apparaît dès l'entame de l'acte I, p.35. La première didascalie le souligne créant le mystère : </w:t>
      </w:r>
      <w:r w:rsidRPr="00E9108A">
        <w:rPr>
          <w:rFonts w:asciiTheme="majorBidi" w:hAnsiTheme="majorBidi" w:cstheme="majorBidi"/>
          <w:sz w:val="24"/>
          <w:szCs w:val="24"/>
        </w:rPr>
        <w:t>«</w:t>
      </w:r>
      <w:r w:rsidRPr="00587201">
        <w:rPr>
          <w:rFonts w:asciiTheme="majorBidi" w:hAnsiTheme="majorBidi" w:cstheme="majorBidi"/>
          <w:sz w:val="24"/>
          <w:szCs w:val="24"/>
        </w:rPr>
        <w:t>Dans la cage bouge une ombre. Un rugissement, un homme s'est dressé et s'étire »</w:t>
      </w:r>
      <w:r w:rsidR="00E9108A" w:rsidRPr="00587201">
        <w:rPr>
          <w:rFonts w:asciiTheme="majorBidi" w:hAnsiTheme="majorBidi" w:cstheme="majorBidi"/>
          <w:sz w:val="24"/>
          <w:szCs w:val="24"/>
        </w:rPr>
        <w:t>.</w:t>
      </w:r>
      <w:r w:rsidR="00E9108A">
        <w:rPr>
          <w:rFonts w:asciiTheme="majorBidi" w:hAnsiTheme="majorBidi" w:cstheme="majorBidi"/>
          <w:sz w:val="24"/>
          <w:szCs w:val="24"/>
        </w:rPr>
        <w:t xml:space="preserve"> </w:t>
      </w:r>
      <w:r w:rsidR="00E9108A" w:rsidRPr="00E9108A">
        <w:rPr>
          <w:rFonts w:asciiTheme="majorBidi" w:hAnsiTheme="majorBidi" w:cstheme="majorBidi"/>
          <w:sz w:val="24"/>
          <w:szCs w:val="24"/>
        </w:rPr>
        <w:t xml:space="preserve">(M. De </w:t>
      </w:r>
      <w:r w:rsidR="00E9108A" w:rsidRPr="00E9108A">
        <w:rPr>
          <w:rFonts w:asciiTheme="majorBidi" w:hAnsiTheme="majorBidi" w:cstheme="majorBidi"/>
          <w:sz w:val="24"/>
          <w:szCs w:val="24"/>
          <w:lang w:eastAsia="fr-FR"/>
        </w:rPr>
        <w:t>Ghelderode, 1984).</w:t>
      </w:r>
    </w:p>
    <w:p w:rsidR="006A4EED" w:rsidRPr="0021525E" w:rsidRDefault="006A4EED" w:rsidP="0021525E">
      <w:pPr>
        <w:spacing w:after="0" w:line="360" w:lineRule="auto"/>
        <w:ind w:firstLine="284"/>
        <w:jc w:val="both"/>
        <w:rPr>
          <w:sz w:val="24"/>
          <w:szCs w:val="24"/>
        </w:rPr>
      </w:pPr>
      <w:r w:rsidRPr="0021525E">
        <w:rPr>
          <w:rFonts w:ascii="Times New Roman" w:hAnsi="Times New Roman"/>
          <w:sz w:val="24"/>
          <w:szCs w:val="24"/>
        </w:rPr>
        <w:t>Une deuxième, précise qu'il marche lourdement.</w:t>
      </w:r>
      <w:r w:rsidR="00230DED" w:rsidRPr="0021525E">
        <w:rPr>
          <w:rFonts w:ascii="Times New Roman" w:hAnsi="Times New Roman"/>
          <w:sz w:val="24"/>
          <w:szCs w:val="24"/>
        </w:rPr>
        <w:t xml:space="preserve"> </w:t>
      </w:r>
      <w:r w:rsidRPr="0021525E">
        <w:rPr>
          <w:rFonts w:ascii="Times New Roman" w:hAnsi="Times New Roman"/>
          <w:sz w:val="24"/>
          <w:szCs w:val="24"/>
        </w:rPr>
        <w:t>Barabbas s'exclame seul dans sa cage</w:t>
      </w:r>
      <w:r w:rsidR="0048747A" w:rsidRPr="0021525E">
        <w:rPr>
          <w:rFonts w:ascii="Times New Roman" w:hAnsi="Times New Roman"/>
          <w:sz w:val="24"/>
          <w:szCs w:val="24"/>
        </w:rPr>
        <w:t> </w:t>
      </w:r>
      <w:r w:rsidR="0048747A" w:rsidRPr="0021525E">
        <w:rPr>
          <w:rFonts w:asciiTheme="majorBidi" w:hAnsiTheme="majorBidi" w:cstheme="majorBidi"/>
          <w:sz w:val="24"/>
          <w:szCs w:val="24"/>
        </w:rPr>
        <w:t xml:space="preserve">: </w:t>
      </w:r>
      <w:r w:rsidRPr="0021525E">
        <w:rPr>
          <w:rFonts w:asciiTheme="majorBidi" w:hAnsiTheme="majorBidi" w:cstheme="majorBidi"/>
          <w:sz w:val="24"/>
          <w:szCs w:val="24"/>
        </w:rPr>
        <w:t xml:space="preserve">« Laissez-moi dormir comme les bêtes» </w:t>
      </w:r>
      <w:r w:rsidR="00912513" w:rsidRPr="0021525E">
        <w:rPr>
          <w:rFonts w:asciiTheme="majorBidi" w:hAnsiTheme="majorBidi" w:cstheme="majorBidi"/>
          <w:sz w:val="24"/>
          <w:szCs w:val="24"/>
        </w:rPr>
        <w:t>(</w:t>
      </w:r>
      <w:r w:rsidR="0021525E">
        <w:rPr>
          <w:rFonts w:asciiTheme="majorBidi" w:hAnsiTheme="majorBidi" w:cstheme="majorBidi"/>
          <w:i/>
          <w:iCs/>
          <w:sz w:val="24"/>
          <w:szCs w:val="24"/>
        </w:rPr>
        <w:t xml:space="preserve">Ibid, </w:t>
      </w:r>
      <w:r w:rsidR="00912513" w:rsidRPr="0021525E">
        <w:rPr>
          <w:rFonts w:asciiTheme="majorBidi" w:hAnsiTheme="majorBidi" w:cstheme="majorBidi"/>
          <w:sz w:val="24"/>
          <w:szCs w:val="24"/>
        </w:rPr>
        <w:t>p.43)</w:t>
      </w:r>
      <w:r w:rsidR="0021525E">
        <w:rPr>
          <w:rFonts w:asciiTheme="majorBidi" w:hAnsiTheme="majorBidi" w:cstheme="majorBidi"/>
          <w:sz w:val="24"/>
          <w:szCs w:val="24"/>
        </w:rPr>
        <w:t>.</w:t>
      </w:r>
      <w:r w:rsidR="00912513" w:rsidRPr="0021525E">
        <w:rPr>
          <w:sz w:val="24"/>
          <w:szCs w:val="24"/>
        </w:rPr>
        <w:t xml:space="preserve">   </w:t>
      </w:r>
    </w:p>
    <w:p w:rsidR="006A4EED" w:rsidRPr="0021525E" w:rsidRDefault="006A4EED" w:rsidP="0021525E">
      <w:pPr>
        <w:spacing w:after="0" w:line="360" w:lineRule="auto"/>
        <w:ind w:firstLine="284"/>
        <w:jc w:val="both"/>
        <w:rPr>
          <w:rFonts w:ascii="Times New Roman" w:hAnsi="Times New Roman"/>
          <w:sz w:val="24"/>
          <w:szCs w:val="24"/>
        </w:rPr>
      </w:pPr>
      <w:r w:rsidRPr="0021525E">
        <w:rPr>
          <w:rFonts w:ascii="Times New Roman" w:hAnsi="Times New Roman"/>
          <w:sz w:val="24"/>
          <w:szCs w:val="24"/>
        </w:rPr>
        <w:t xml:space="preserve">Il incarne carrément le lion </w:t>
      </w:r>
      <w:r w:rsidR="0048747A" w:rsidRPr="0021525E">
        <w:rPr>
          <w:rFonts w:ascii="Times New Roman" w:hAnsi="Times New Roman"/>
          <w:sz w:val="24"/>
          <w:szCs w:val="24"/>
        </w:rPr>
        <w:t xml:space="preserve">: </w:t>
      </w:r>
      <w:r w:rsidR="0048747A" w:rsidRPr="0021525E">
        <w:rPr>
          <w:rFonts w:ascii="Times New Roman" w:hAnsi="Times New Roman"/>
          <w:i/>
          <w:iCs/>
          <w:sz w:val="24"/>
          <w:szCs w:val="24"/>
        </w:rPr>
        <w:t>«</w:t>
      </w:r>
      <w:r w:rsidRPr="0021525E">
        <w:rPr>
          <w:rFonts w:ascii="Times New Roman" w:hAnsi="Times New Roman"/>
          <w:i/>
          <w:iCs/>
          <w:sz w:val="24"/>
          <w:szCs w:val="24"/>
        </w:rPr>
        <w:t xml:space="preserve"> </w:t>
      </w:r>
      <w:r w:rsidRPr="00587201">
        <w:rPr>
          <w:rFonts w:ascii="Times New Roman" w:hAnsi="Times New Roman"/>
          <w:sz w:val="24"/>
          <w:szCs w:val="24"/>
        </w:rPr>
        <w:t xml:space="preserve">Laissez boire le lion </w:t>
      </w:r>
      <w:r w:rsidRPr="0021525E">
        <w:rPr>
          <w:rFonts w:ascii="Times New Roman" w:hAnsi="Times New Roman"/>
          <w:i/>
          <w:iCs/>
          <w:sz w:val="24"/>
          <w:szCs w:val="24"/>
        </w:rPr>
        <w:t>»</w:t>
      </w:r>
      <w:r w:rsidR="00495E41" w:rsidRPr="0021525E">
        <w:rPr>
          <w:rFonts w:ascii="Times New Roman" w:hAnsi="Times New Roman"/>
          <w:iCs/>
          <w:sz w:val="24"/>
          <w:szCs w:val="24"/>
        </w:rPr>
        <w:t xml:space="preserve"> (</w:t>
      </w:r>
      <w:r w:rsidR="0021525E">
        <w:rPr>
          <w:rFonts w:ascii="Times New Roman" w:hAnsi="Times New Roman"/>
          <w:i/>
          <w:sz w:val="24"/>
          <w:szCs w:val="24"/>
        </w:rPr>
        <w:t xml:space="preserve">Ibid, </w:t>
      </w:r>
      <w:r w:rsidR="00495E41" w:rsidRPr="0021525E">
        <w:rPr>
          <w:rFonts w:ascii="Times New Roman" w:hAnsi="Times New Roman"/>
          <w:iCs/>
          <w:sz w:val="24"/>
          <w:szCs w:val="24"/>
        </w:rPr>
        <w:t>p.44)</w:t>
      </w:r>
      <w:r w:rsidR="0021525E">
        <w:rPr>
          <w:rFonts w:ascii="Times New Roman" w:hAnsi="Times New Roman"/>
          <w:iCs/>
          <w:sz w:val="24"/>
          <w:szCs w:val="24"/>
        </w:rPr>
        <w:t>.</w:t>
      </w:r>
      <w:r w:rsidR="00495E41" w:rsidRPr="0021525E">
        <w:rPr>
          <w:rFonts w:ascii="Times New Roman" w:hAnsi="Times New Roman"/>
          <w:iCs/>
          <w:sz w:val="24"/>
          <w:szCs w:val="24"/>
        </w:rPr>
        <w:t xml:space="preserve">   </w:t>
      </w:r>
    </w:p>
    <w:p w:rsidR="006A4EED" w:rsidRPr="0021525E" w:rsidRDefault="006A4EED" w:rsidP="0021525E">
      <w:pPr>
        <w:spacing w:after="0" w:line="360" w:lineRule="auto"/>
        <w:ind w:firstLine="284"/>
        <w:jc w:val="both"/>
        <w:rPr>
          <w:rFonts w:asciiTheme="majorBidi" w:hAnsiTheme="majorBidi" w:cstheme="majorBidi"/>
          <w:sz w:val="24"/>
          <w:szCs w:val="24"/>
        </w:rPr>
      </w:pPr>
      <w:r w:rsidRPr="0021525E">
        <w:rPr>
          <w:rFonts w:asciiTheme="majorBidi" w:hAnsiTheme="majorBidi" w:cstheme="majorBidi"/>
          <w:sz w:val="24"/>
          <w:szCs w:val="24"/>
        </w:rPr>
        <w:t>Le lion symbolise par sa force l'appétit, dévorant qu'il soit celui de la justice vindicative ou celui du sanguinaire</w:t>
      </w:r>
      <w:r w:rsidR="0021525E" w:rsidRPr="0021525E">
        <w:rPr>
          <w:rFonts w:asciiTheme="majorBidi" w:hAnsiTheme="majorBidi" w:cstheme="majorBidi"/>
          <w:sz w:val="24"/>
          <w:szCs w:val="24"/>
        </w:rPr>
        <w:t xml:space="preserve">. </w:t>
      </w:r>
      <w:r w:rsidRPr="0021525E">
        <w:rPr>
          <w:rFonts w:asciiTheme="majorBidi" w:hAnsiTheme="majorBidi" w:cstheme="majorBidi"/>
          <w:sz w:val="24"/>
          <w:szCs w:val="24"/>
        </w:rPr>
        <w:t>Se rapprochant des bêtes, Barabbas taquine le soldat qui le surveille</w:t>
      </w:r>
      <w:r w:rsidR="0048747A" w:rsidRPr="0021525E">
        <w:rPr>
          <w:rFonts w:asciiTheme="majorBidi" w:hAnsiTheme="majorBidi" w:cstheme="majorBidi"/>
          <w:sz w:val="24"/>
          <w:szCs w:val="24"/>
        </w:rPr>
        <w:t xml:space="preserve"> : </w:t>
      </w:r>
      <w:r w:rsidRPr="0021525E">
        <w:rPr>
          <w:rFonts w:asciiTheme="majorBidi" w:hAnsiTheme="majorBidi" w:cstheme="majorBidi"/>
          <w:sz w:val="24"/>
          <w:szCs w:val="24"/>
        </w:rPr>
        <w:t xml:space="preserve">« </w:t>
      </w:r>
      <w:r w:rsidRPr="00587201">
        <w:rPr>
          <w:rFonts w:asciiTheme="majorBidi" w:hAnsiTheme="majorBidi" w:cstheme="majorBidi"/>
          <w:sz w:val="24"/>
          <w:szCs w:val="24"/>
        </w:rPr>
        <w:t>[...]  je t'aime comme tout ce qui grouille dans la geôle, les rats, les cloportes, les aragnes</w:t>
      </w:r>
      <w:r w:rsidRPr="0021525E">
        <w:rPr>
          <w:rFonts w:asciiTheme="majorBidi" w:hAnsiTheme="majorBidi" w:cstheme="majorBidi"/>
          <w:sz w:val="24"/>
          <w:szCs w:val="24"/>
        </w:rPr>
        <w:t xml:space="preserve">» </w:t>
      </w:r>
      <w:r w:rsidR="00495E41" w:rsidRPr="0021525E">
        <w:rPr>
          <w:rFonts w:asciiTheme="majorBidi" w:hAnsiTheme="majorBidi" w:cstheme="majorBidi"/>
          <w:sz w:val="24"/>
          <w:szCs w:val="24"/>
        </w:rPr>
        <w:t>(</w:t>
      </w:r>
      <w:r w:rsidR="00856DE6">
        <w:rPr>
          <w:rFonts w:asciiTheme="majorBidi" w:hAnsiTheme="majorBidi" w:cstheme="majorBidi"/>
          <w:i/>
          <w:iCs/>
          <w:sz w:val="24"/>
          <w:szCs w:val="24"/>
        </w:rPr>
        <w:t xml:space="preserve">Ibid, </w:t>
      </w:r>
      <w:r w:rsidR="00495E41" w:rsidRPr="0021525E">
        <w:rPr>
          <w:rFonts w:asciiTheme="majorBidi" w:hAnsiTheme="majorBidi" w:cstheme="majorBidi"/>
          <w:sz w:val="24"/>
          <w:szCs w:val="24"/>
        </w:rPr>
        <w:t>p.40)</w:t>
      </w:r>
      <w:r w:rsidR="00856DE6">
        <w:rPr>
          <w:rFonts w:asciiTheme="majorBidi" w:hAnsiTheme="majorBidi" w:cstheme="majorBidi"/>
          <w:sz w:val="24"/>
          <w:szCs w:val="24"/>
        </w:rPr>
        <w:t>.</w:t>
      </w:r>
      <w:r w:rsidR="00495E41" w:rsidRPr="0021525E">
        <w:rPr>
          <w:rFonts w:asciiTheme="majorBidi" w:hAnsiTheme="majorBidi" w:cstheme="majorBidi"/>
          <w:sz w:val="24"/>
          <w:szCs w:val="24"/>
        </w:rPr>
        <w:t xml:space="preserve">   </w:t>
      </w:r>
    </w:p>
    <w:p w:rsidR="00D84A5B" w:rsidRDefault="006A4EED" w:rsidP="008C60EB">
      <w:pPr>
        <w:spacing w:after="0" w:line="360" w:lineRule="auto"/>
        <w:ind w:firstLine="284"/>
        <w:jc w:val="both"/>
        <w:rPr>
          <w:rFonts w:asciiTheme="majorBidi" w:hAnsiTheme="majorBidi" w:cstheme="majorBidi"/>
          <w:sz w:val="24"/>
          <w:szCs w:val="24"/>
        </w:rPr>
      </w:pPr>
      <w:r w:rsidRPr="008C60EB">
        <w:rPr>
          <w:rFonts w:ascii="Times New Roman" w:hAnsi="Times New Roman"/>
          <w:sz w:val="24"/>
          <w:szCs w:val="24"/>
        </w:rPr>
        <w:t>Entrant dans un soliloque violent et déshumanisant à la suite d'une altercation avec le chef de prison</w:t>
      </w:r>
      <w:r w:rsidR="0048747A" w:rsidRPr="008C60EB">
        <w:rPr>
          <w:rFonts w:ascii="Times New Roman" w:hAnsi="Times New Roman"/>
          <w:sz w:val="24"/>
          <w:szCs w:val="24"/>
        </w:rPr>
        <w:t> </w:t>
      </w:r>
      <w:r w:rsidR="0048747A" w:rsidRPr="008C60EB">
        <w:rPr>
          <w:rFonts w:asciiTheme="majorBidi" w:hAnsiTheme="majorBidi" w:cstheme="majorBidi"/>
          <w:sz w:val="24"/>
          <w:szCs w:val="24"/>
        </w:rPr>
        <w:t>:</w:t>
      </w:r>
      <w:r w:rsidR="008C60EB" w:rsidRPr="008C60EB">
        <w:rPr>
          <w:rFonts w:asciiTheme="majorBidi" w:hAnsiTheme="majorBidi" w:cstheme="majorBidi"/>
          <w:sz w:val="24"/>
          <w:szCs w:val="24"/>
        </w:rPr>
        <w:t> « </w:t>
      </w:r>
      <w:r w:rsidRPr="00587201">
        <w:rPr>
          <w:rFonts w:asciiTheme="majorBidi" w:hAnsiTheme="majorBidi" w:cstheme="majorBidi"/>
          <w:sz w:val="24"/>
          <w:szCs w:val="24"/>
        </w:rPr>
        <w:t>[...] Je flaire votre odeur de fauve [...] Le fauve vous attend.</w:t>
      </w:r>
      <w:r w:rsidRPr="008C60EB">
        <w:rPr>
          <w:rFonts w:asciiTheme="majorBidi" w:hAnsiTheme="majorBidi" w:cstheme="majorBidi"/>
          <w:sz w:val="24"/>
          <w:szCs w:val="24"/>
        </w:rPr>
        <w:t xml:space="preserve">» </w:t>
      </w:r>
      <w:r w:rsidR="00495E41" w:rsidRPr="008C60EB">
        <w:rPr>
          <w:rFonts w:asciiTheme="majorBidi" w:hAnsiTheme="majorBidi" w:cstheme="majorBidi"/>
          <w:sz w:val="24"/>
          <w:szCs w:val="24"/>
        </w:rPr>
        <w:t>(</w:t>
      </w:r>
      <w:r w:rsidR="008C60EB">
        <w:rPr>
          <w:rFonts w:asciiTheme="majorBidi" w:hAnsiTheme="majorBidi" w:cstheme="majorBidi"/>
          <w:i/>
          <w:iCs/>
          <w:sz w:val="24"/>
          <w:szCs w:val="24"/>
        </w:rPr>
        <w:t xml:space="preserve">Ibid, </w:t>
      </w:r>
      <w:r w:rsidR="00495E41" w:rsidRPr="008C60EB">
        <w:rPr>
          <w:rFonts w:asciiTheme="majorBidi" w:hAnsiTheme="majorBidi" w:cstheme="majorBidi"/>
          <w:sz w:val="24"/>
          <w:szCs w:val="24"/>
        </w:rPr>
        <w:t>p.40)</w:t>
      </w:r>
      <w:r w:rsidR="008C60EB">
        <w:rPr>
          <w:rFonts w:asciiTheme="majorBidi" w:hAnsiTheme="majorBidi" w:cstheme="majorBidi"/>
          <w:sz w:val="24"/>
          <w:szCs w:val="24"/>
        </w:rPr>
        <w:t>.</w:t>
      </w:r>
    </w:p>
    <w:p w:rsidR="006A4EED" w:rsidRPr="008C60EB" w:rsidRDefault="006A4EED" w:rsidP="00D84A5B">
      <w:pPr>
        <w:spacing w:after="0" w:line="360" w:lineRule="auto"/>
        <w:ind w:firstLine="284"/>
        <w:jc w:val="both"/>
        <w:rPr>
          <w:rFonts w:ascii="Times New Roman" w:hAnsi="Times New Roman"/>
          <w:sz w:val="24"/>
          <w:szCs w:val="24"/>
        </w:rPr>
      </w:pPr>
      <w:r w:rsidRPr="008C60EB">
        <w:rPr>
          <w:rFonts w:ascii="Times New Roman" w:hAnsi="Times New Roman"/>
          <w:sz w:val="24"/>
          <w:szCs w:val="24"/>
        </w:rPr>
        <w:t>La didascalie de la page 61 décrit Yocabeth comme chienne flaireuse</w:t>
      </w:r>
      <w:r w:rsidR="00AF57E9">
        <w:rPr>
          <w:rFonts w:ascii="Times New Roman" w:hAnsi="Times New Roman"/>
          <w:sz w:val="24"/>
          <w:szCs w:val="24"/>
        </w:rPr>
        <w:t>.</w:t>
      </w:r>
    </w:p>
    <w:p w:rsidR="006A4EED" w:rsidRPr="003B00C8" w:rsidRDefault="006A4EED" w:rsidP="00D84A5B">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Plusieurs comparaisons sont redondantes et montrent cette animalité ou tour à tour les larrons sont des serpents, les gardes sont considérés comme des hiboux, les prêtres sont des porcs et des crocodiles Judas est vu par Barabbas comme un scorpion.</w:t>
      </w:r>
    </w:p>
    <w:p w:rsidR="006A4EED" w:rsidRPr="003B00C8" w:rsidRDefault="0080141D" w:rsidP="001A573F">
      <w:pPr>
        <w:spacing w:after="0" w:line="360" w:lineRule="auto"/>
        <w:ind w:firstLine="284"/>
        <w:jc w:val="both"/>
        <w:rPr>
          <w:rFonts w:ascii="Times New Roman" w:hAnsi="Times New Roman"/>
          <w:sz w:val="24"/>
          <w:szCs w:val="24"/>
        </w:rPr>
      </w:pPr>
      <w:r>
        <w:rPr>
          <w:rFonts w:ascii="Times New Roman" w:hAnsi="Times New Roman"/>
          <w:sz w:val="24"/>
          <w:szCs w:val="24"/>
        </w:rPr>
        <w:t xml:space="preserve">  </w:t>
      </w:r>
      <w:r w:rsidR="006A4EED" w:rsidRPr="003B00C8">
        <w:rPr>
          <w:rFonts w:ascii="Times New Roman" w:hAnsi="Times New Roman"/>
          <w:sz w:val="24"/>
          <w:szCs w:val="24"/>
        </w:rPr>
        <w:t>L'émergence de cette animalité dans l'humain, ne représente pas toujours un signe de dégénérescence ou d'un mépris, c'est une façon probable de remettre l'homme à sa juste place ; en particulier quant à ses instincts et sa corporalité qui réfléchissent l'inadéquation à son désir.</w:t>
      </w:r>
    </w:p>
    <w:p w:rsidR="006A4EED" w:rsidRPr="001A573F" w:rsidRDefault="00623A56" w:rsidP="001A573F">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C'est ce qui symbolise chez Bakhtine l'amplification de cette figure carnavalesque du grotesque</w:t>
      </w:r>
      <w:r>
        <w:rPr>
          <w:rFonts w:ascii="Times New Roman" w:hAnsi="Times New Roman"/>
          <w:sz w:val="24"/>
          <w:szCs w:val="24"/>
        </w:rPr>
        <w:t xml:space="preserve"> </w:t>
      </w:r>
      <w:r w:rsidRPr="001A573F">
        <w:rPr>
          <w:rFonts w:asciiTheme="majorBidi" w:hAnsiTheme="majorBidi" w:cstheme="majorBidi"/>
          <w:sz w:val="24"/>
          <w:szCs w:val="24"/>
        </w:rPr>
        <w:t xml:space="preserve">car </w:t>
      </w:r>
      <w:r w:rsidR="001A573F" w:rsidRPr="001A573F">
        <w:rPr>
          <w:rFonts w:asciiTheme="majorBidi" w:hAnsiTheme="majorBidi" w:cstheme="majorBidi"/>
          <w:sz w:val="24"/>
          <w:szCs w:val="24"/>
        </w:rPr>
        <w:t>« </w:t>
      </w:r>
      <w:r w:rsidRPr="001A573F">
        <w:rPr>
          <w:rFonts w:asciiTheme="majorBidi" w:hAnsiTheme="majorBidi" w:cstheme="majorBidi"/>
          <w:sz w:val="24"/>
          <w:szCs w:val="24"/>
        </w:rPr>
        <w:t>dans le grotesque il y'a fréquemment transformation de l'homme en animal et réciproquement. La bestialité de la nature humaine provoque une remise en question des idéaux traditionnelles de l'homme.»</w:t>
      </w:r>
      <w:r w:rsidR="006A4EED" w:rsidRPr="001A573F">
        <w:rPr>
          <w:rFonts w:asciiTheme="majorBidi" w:hAnsiTheme="majorBidi" w:cstheme="majorBidi"/>
          <w:sz w:val="24"/>
          <w:szCs w:val="24"/>
          <w:vertAlign w:val="superscript"/>
        </w:rPr>
        <w:footnoteReference w:id="303"/>
      </w:r>
    </w:p>
    <w:p w:rsidR="00495E41" w:rsidRPr="001A573F" w:rsidRDefault="006A4EED" w:rsidP="001A573F">
      <w:pPr>
        <w:spacing w:after="0" w:line="360" w:lineRule="auto"/>
        <w:ind w:firstLine="284"/>
        <w:jc w:val="both"/>
        <w:rPr>
          <w:sz w:val="24"/>
          <w:szCs w:val="24"/>
        </w:rPr>
      </w:pPr>
      <w:r w:rsidRPr="001A573F">
        <w:rPr>
          <w:rFonts w:ascii="Times New Roman" w:hAnsi="Times New Roman"/>
          <w:sz w:val="24"/>
          <w:szCs w:val="24"/>
        </w:rPr>
        <w:t>Barabbas conseille aux larrons</w:t>
      </w:r>
      <w:r w:rsidR="00623A56" w:rsidRPr="001A573F">
        <w:rPr>
          <w:rFonts w:ascii="Times New Roman" w:hAnsi="Times New Roman"/>
          <w:sz w:val="24"/>
          <w:szCs w:val="24"/>
        </w:rPr>
        <w:t> </w:t>
      </w:r>
      <w:r w:rsidR="00623A56" w:rsidRPr="001A573F">
        <w:rPr>
          <w:rFonts w:asciiTheme="majorBidi" w:hAnsiTheme="majorBidi" w:cstheme="majorBidi"/>
          <w:i/>
          <w:iCs/>
          <w:sz w:val="24"/>
          <w:szCs w:val="24"/>
        </w:rPr>
        <w:t xml:space="preserve">: </w:t>
      </w:r>
      <w:r w:rsidRPr="001A573F">
        <w:rPr>
          <w:rFonts w:asciiTheme="majorBidi" w:hAnsiTheme="majorBidi" w:cstheme="majorBidi"/>
          <w:sz w:val="24"/>
          <w:szCs w:val="24"/>
        </w:rPr>
        <w:t xml:space="preserve">« </w:t>
      </w:r>
      <w:r w:rsidRPr="00587201">
        <w:rPr>
          <w:rFonts w:asciiTheme="majorBidi" w:hAnsiTheme="majorBidi" w:cstheme="majorBidi"/>
          <w:sz w:val="24"/>
          <w:szCs w:val="24"/>
        </w:rPr>
        <w:t>[...] Rapprochez-vous des animaux mes frères des bêtes aux instincts absolus [...]</w:t>
      </w:r>
      <w:r w:rsidRPr="001A573F">
        <w:rPr>
          <w:rFonts w:asciiTheme="majorBidi" w:hAnsiTheme="majorBidi" w:cstheme="majorBidi"/>
          <w:i/>
          <w:iCs/>
          <w:sz w:val="24"/>
          <w:szCs w:val="24"/>
        </w:rPr>
        <w:t xml:space="preserve"> </w:t>
      </w:r>
      <w:r w:rsidRPr="001A573F">
        <w:rPr>
          <w:rFonts w:asciiTheme="majorBidi" w:hAnsiTheme="majorBidi" w:cstheme="majorBidi"/>
          <w:sz w:val="24"/>
          <w:szCs w:val="24"/>
        </w:rPr>
        <w:t xml:space="preserve">» </w:t>
      </w:r>
      <w:r w:rsidR="00495E41" w:rsidRPr="001A573F">
        <w:rPr>
          <w:rFonts w:asciiTheme="majorBidi" w:hAnsiTheme="majorBidi" w:cstheme="majorBidi"/>
          <w:sz w:val="24"/>
          <w:szCs w:val="24"/>
        </w:rPr>
        <w:t>(</w:t>
      </w:r>
      <w:r w:rsidR="001A573F">
        <w:rPr>
          <w:rFonts w:asciiTheme="majorBidi" w:hAnsiTheme="majorBidi" w:cstheme="majorBidi"/>
          <w:i/>
          <w:iCs/>
          <w:sz w:val="24"/>
          <w:szCs w:val="24"/>
        </w:rPr>
        <w:t xml:space="preserve">Ibid, </w:t>
      </w:r>
      <w:r w:rsidR="00495E41" w:rsidRPr="001A573F">
        <w:rPr>
          <w:rFonts w:asciiTheme="majorBidi" w:hAnsiTheme="majorBidi" w:cstheme="majorBidi"/>
          <w:sz w:val="24"/>
          <w:szCs w:val="24"/>
        </w:rPr>
        <w:t>p.45)</w:t>
      </w:r>
      <w:r w:rsidR="001A573F">
        <w:rPr>
          <w:rFonts w:asciiTheme="majorBidi" w:hAnsiTheme="majorBidi" w:cstheme="majorBidi"/>
          <w:sz w:val="24"/>
          <w:szCs w:val="24"/>
        </w:rPr>
        <w:t>.</w:t>
      </w:r>
      <w:r w:rsidR="00495E41" w:rsidRPr="001A573F">
        <w:rPr>
          <w:sz w:val="24"/>
          <w:szCs w:val="24"/>
        </w:rPr>
        <w:t xml:space="preserve">   </w:t>
      </w:r>
    </w:p>
    <w:p w:rsidR="006A4EED" w:rsidRPr="001A573F" w:rsidRDefault="006A4EED" w:rsidP="001A573F">
      <w:pPr>
        <w:spacing w:after="0" w:line="360" w:lineRule="auto"/>
        <w:ind w:firstLine="284"/>
        <w:jc w:val="both"/>
        <w:rPr>
          <w:rFonts w:asciiTheme="majorBidi" w:hAnsiTheme="majorBidi" w:cstheme="majorBidi"/>
          <w:sz w:val="24"/>
          <w:szCs w:val="24"/>
        </w:rPr>
      </w:pPr>
      <w:r w:rsidRPr="001A573F">
        <w:rPr>
          <w:rFonts w:ascii="Times New Roman" w:hAnsi="Times New Roman"/>
          <w:sz w:val="24"/>
          <w:szCs w:val="24"/>
        </w:rPr>
        <w:t>Puis seul</w:t>
      </w:r>
      <w:r w:rsidR="00623A56" w:rsidRPr="001A573F">
        <w:rPr>
          <w:rFonts w:ascii="Times New Roman" w:hAnsi="Times New Roman"/>
          <w:sz w:val="24"/>
          <w:szCs w:val="24"/>
        </w:rPr>
        <w:t xml:space="preserve"> : </w:t>
      </w:r>
      <w:r w:rsidRPr="001A573F">
        <w:rPr>
          <w:rFonts w:asciiTheme="majorBidi" w:hAnsiTheme="majorBidi" w:cstheme="majorBidi"/>
          <w:sz w:val="24"/>
          <w:szCs w:val="24"/>
        </w:rPr>
        <w:t xml:space="preserve">« </w:t>
      </w:r>
      <w:r w:rsidRPr="00587201">
        <w:rPr>
          <w:rFonts w:asciiTheme="majorBidi" w:hAnsiTheme="majorBidi" w:cstheme="majorBidi"/>
          <w:sz w:val="24"/>
          <w:szCs w:val="24"/>
        </w:rPr>
        <w:t>[...] Ils m'ont enlevé mes chaînes, mais pas mes crocs et ma bave [...]</w:t>
      </w:r>
      <w:r w:rsidRPr="001A573F">
        <w:rPr>
          <w:rFonts w:asciiTheme="majorBidi" w:hAnsiTheme="majorBidi" w:cstheme="majorBidi"/>
          <w:sz w:val="24"/>
          <w:szCs w:val="24"/>
        </w:rPr>
        <w:t xml:space="preserve"> » </w:t>
      </w:r>
      <w:r w:rsidR="00495E41" w:rsidRPr="001A573F">
        <w:rPr>
          <w:rFonts w:asciiTheme="majorBidi" w:hAnsiTheme="majorBidi" w:cstheme="majorBidi"/>
          <w:sz w:val="24"/>
          <w:szCs w:val="24"/>
        </w:rPr>
        <w:t>(</w:t>
      </w:r>
      <w:r w:rsidR="001A573F">
        <w:rPr>
          <w:rFonts w:asciiTheme="majorBidi" w:hAnsiTheme="majorBidi" w:cstheme="majorBidi"/>
          <w:i/>
          <w:iCs/>
          <w:sz w:val="24"/>
          <w:szCs w:val="24"/>
        </w:rPr>
        <w:t xml:space="preserve">Ibid, </w:t>
      </w:r>
      <w:r w:rsidR="00495E41" w:rsidRPr="001A573F">
        <w:rPr>
          <w:rFonts w:asciiTheme="majorBidi" w:hAnsiTheme="majorBidi" w:cstheme="majorBidi"/>
          <w:sz w:val="24"/>
          <w:szCs w:val="24"/>
        </w:rPr>
        <w:t>p.57)</w:t>
      </w:r>
      <w:r w:rsidR="001A573F">
        <w:rPr>
          <w:rFonts w:asciiTheme="majorBidi" w:hAnsiTheme="majorBidi" w:cstheme="majorBidi"/>
          <w:sz w:val="24"/>
          <w:szCs w:val="24"/>
        </w:rPr>
        <w:t>.</w:t>
      </w:r>
      <w:r w:rsidR="00495E41" w:rsidRPr="001A573F">
        <w:rPr>
          <w:rFonts w:asciiTheme="majorBidi" w:hAnsiTheme="majorBidi" w:cstheme="majorBidi"/>
          <w:sz w:val="24"/>
          <w:szCs w:val="24"/>
        </w:rPr>
        <w:t xml:space="preserve">   </w:t>
      </w:r>
    </w:p>
    <w:p w:rsidR="006A4EED" w:rsidRPr="003B00C8" w:rsidRDefault="006A4EED" w:rsidP="00CA58EF">
      <w:pPr>
        <w:spacing w:after="0" w:line="360" w:lineRule="auto"/>
        <w:ind w:firstLine="284"/>
        <w:jc w:val="both"/>
        <w:rPr>
          <w:rFonts w:ascii="Times New Roman" w:hAnsi="Times New Roman"/>
          <w:sz w:val="24"/>
          <w:szCs w:val="24"/>
        </w:rPr>
      </w:pPr>
      <w:r w:rsidRPr="003B00C8">
        <w:rPr>
          <w:rFonts w:ascii="Times New Roman" w:hAnsi="Times New Roman"/>
          <w:sz w:val="24"/>
          <w:szCs w:val="24"/>
        </w:rPr>
        <w:t>L'association sémantique des termes se rapportant à l'animalité des protagonistes pervertit les dialogues et leur donnent une teneur résolument grotesque.</w:t>
      </w:r>
    </w:p>
    <w:p w:rsidR="006A4EED" w:rsidRPr="00CA58EF" w:rsidRDefault="006A4EED" w:rsidP="00CA58EF">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L'image du corps grotesque s'appuie aussi sur la peur cosmique. Cette peur de tout ce qui est incommensurablement grand et soulignée dans le corps des dialogues, en particulier celui du guetteur, tout au long du troisième acte et portant trait à la cérémonie du Calvaire</w:t>
      </w:r>
      <w:r w:rsidR="00623A56">
        <w:rPr>
          <w:rFonts w:ascii="Times New Roman" w:hAnsi="Times New Roman"/>
          <w:sz w:val="24"/>
          <w:szCs w:val="24"/>
        </w:rPr>
        <w:t xml:space="preserve"> : </w:t>
      </w:r>
      <w:r w:rsidRPr="00CA58EF">
        <w:rPr>
          <w:rFonts w:asciiTheme="majorBidi" w:hAnsiTheme="majorBidi" w:cstheme="majorBidi"/>
          <w:sz w:val="24"/>
          <w:szCs w:val="24"/>
        </w:rPr>
        <w:t xml:space="preserve">« </w:t>
      </w:r>
      <w:r w:rsidRPr="00587201">
        <w:rPr>
          <w:rFonts w:asciiTheme="majorBidi" w:hAnsiTheme="majorBidi" w:cstheme="majorBidi"/>
          <w:sz w:val="24"/>
          <w:szCs w:val="24"/>
        </w:rPr>
        <w:t>Quelles rames de ténèbres accourent des horizons [...] la ville git prostrée au fond d'un gouffre [...] la montagne en plaie [...] L'humanité qui râle et qu'on exécute</w:t>
      </w:r>
      <w:r w:rsidRPr="00CA58EF">
        <w:rPr>
          <w:rFonts w:asciiTheme="majorBidi" w:hAnsiTheme="majorBidi" w:cstheme="majorBidi"/>
          <w:i/>
          <w:iCs/>
          <w:sz w:val="24"/>
          <w:szCs w:val="24"/>
        </w:rPr>
        <w:t xml:space="preserve">. </w:t>
      </w:r>
      <w:r w:rsidRPr="00CA58EF">
        <w:rPr>
          <w:rFonts w:asciiTheme="majorBidi" w:hAnsiTheme="majorBidi" w:cstheme="majorBidi"/>
          <w:sz w:val="24"/>
          <w:szCs w:val="24"/>
        </w:rPr>
        <w:t xml:space="preserve">» </w:t>
      </w:r>
      <w:r w:rsidR="00495E41" w:rsidRPr="00CA58EF">
        <w:rPr>
          <w:rFonts w:asciiTheme="majorBidi" w:hAnsiTheme="majorBidi" w:cstheme="majorBidi"/>
          <w:sz w:val="24"/>
          <w:szCs w:val="24"/>
        </w:rPr>
        <w:t>(</w:t>
      </w:r>
      <w:r w:rsidR="00CA58EF">
        <w:rPr>
          <w:rFonts w:asciiTheme="majorBidi" w:hAnsiTheme="majorBidi" w:cstheme="majorBidi"/>
          <w:i/>
          <w:iCs/>
          <w:sz w:val="24"/>
          <w:szCs w:val="24"/>
        </w:rPr>
        <w:t xml:space="preserve">Ibid, </w:t>
      </w:r>
      <w:r w:rsidR="00495E41" w:rsidRPr="00CA58EF">
        <w:rPr>
          <w:rFonts w:asciiTheme="majorBidi" w:hAnsiTheme="majorBidi" w:cstheme="majorBidi"/>
          <w:sz w:val="24"/>
          <w:szCs w:val="24"/>
        </w:rPr>
        <w:t>p.94)</w:t>
      </w:r>
      <w:r w:rsidR="00CA58EF">
        <w:rPr>
          <w:rFonts w:asciiTheme="majorBidi" w:hAnsiTheme="majorBidi" w:cstheme="majorBidi"/>
          <w:sz w:val="24"/>
          <w:szCs w:val="24"/>
        </w:rPr>
        <w:t>.</w:t>
      </w:r>
      <w:r w:rsidR="00495E41" w:rsidRPr="00CA58EF">
        <w:rPr>
          <w:rFonts w:asciiTheme="majorBidi" w:hAnsiTheme="majorBidi" w:cstheme="majorBidi"/>
          <w:sz w:val="24"/>
          <w:szCs w:val="24"/>
        </w:rPr>
        <w:t xml:space="preserve">   </w:t>
      </w:r>
    </w:p>
    <w:p w:rsidR="006A4EED" w:rsidRPr="00024061" w:rsidRDefault="006A4EED" w:rsidP="00024061">
      <w:pPr>
        <w:spacing w:after="0" w:line="360" w:lineRule="auto"/>
        <w:ind w:firstLine="284"/>
        <w:jc w:val="both"/>
        <w:rPr>
          <w:rFonts w:asciiTheme="majorBidi" w:hAnsiTheme="majorBidi" w:cstheme="majorBidi"/>
          <w:sz w:val="24"/>
          <w:szCs w:val="24"/>
        </w:rPr>
      </w:pPr>
      <w:r w:rsidRPr="00024061">
        <w:rPr>
          <w:rFonts w:ascii="Times New Roman" w:hAnsi="Times New Roman"/>
          <w:sz w:val="24"/>
          <w:szCs w:val="24"/>
        </w:rPr>
        <w:t>Ce gigantisme va se poursuivre avec un chapelet d'espaces grandioses qui se fondent dans un tourbillon d'images angoissantes</w:t>
      </w:r>
      <w:r w:rsidR="00623A56" w:rsidRPr="00024061">
        <w:rPr>
          <w:rFonts w:ascii="Times New Roman" w:hAnsi="Times New Roman"/>
          <w:sz w:val="24"/>
          <w:szCs w:val="24"/>
        </w:rPr>
        <w:t> </w:t>
      </w:r>
      <w:r w:rsidR="00623A56" w:rsidRPr="00024061">
        <w:rPr>
          <w:rFonts w:asciiTheme="majorBidi" w:hAnsiTheme="majorBidi" w:cstheme="majorBidi"/>
          <w:sz w:val="24"/>
          <w:szCs w:val="24"/>
        </w:rPr>
        <w:t>:</w:t>
      </w:r>
      <w:r w:rsidRPr="00024061">
        <w:rPr>
          <w:rFonts w:asciiTheme="majorBidi" w:hAnsiTheme="majorBidi" w:cstheme="majorBidi"/>
          <w:sz w:val="24"/>
          <w:szCs w:val="24"/>
        </w:rPr>
        <w:t xml:space="preserve"> « </w:t>
      </w:r>
      <w:r w:rsidRPr="00587201">
        <w:rPr>
          <w:rFonts w:asciiTheme="majorBidi" w:hAnsiTheme="majorBidi" w:cstheme="majorBidi"/>
          <w:sz w:val="24"/>
          <w:szCs w:val="24"/>
        </w:rPr>
        <w:t>Le ciel s'obscurcit, le soleil défaille</w:t>
      </w:r>
      <w:r w:rsidRPr="00024061">
        <w:rPr>
          <w:rFonts w:asciiTheme="majorBidi" w:hAnsiTheme="majorBidi" w:cstheme="majorBidi"/>
          <w:sz w:val="24"/>
          <w:szCs w:val="24"/>
        </w:rPr>
        <w:t>»</w:t>
      </w:r>
      <w:r w:rsidR="00024061">
        <w:rPr>
          <w:rFonts w:asciiTheme="majorBidi" w:hAnsiTheme="majorBidi" w:cstheme="majorBidi"/>
          <w:sz w:val="24"/>
          <w:szCs w:val="24"/>
        </w:rPr>
        <w:t xml:space="preserve">. </w:t>
      </w:r>
      <w:r w:rsidR="00495E41" w:rsidRPr="00024061">
        <w:rPr>
          <w:rFonts w:asciiTheme="majorBidi" w:hAnsiTheme="majorBidi" w:cstheme="majorBidi"/>
          <w:sz w:val="24"/>
          <w:szCs w:val="24"/>
        </w:rPr>
        <w:t>(</w:t>
      </w:r>
      <w:r w:rsidR="00024061">
        <w:rPr>
          <w:rFonts w:asciiTheme="majorBidi" w:hAnsiTheme="majorBidi" w:cstheme="majorBidi"/>
          <w:i/>
          <w:iCs/>
          <w:sz w:val="24"/>
          <w:szCs w:val="24"/>
        </w:rPr>
        <w:t xml:space="preserve">Ibid, </w:t>
      </w:r>
      <w:r w:rsidR="00495E41" w:rsidRPr="00024061">
        <w:rPr>
          <w:rFonts w:asciiTheme="majorBidi" w:hAnsiTheme="majorBidi" w:cstheme="majorBidi"/>
          <w:sz w:val="24"/>
          <w:szCs w:val="24"/>
        </w:rPr>
        <w:t>p.95)</w:t>
      </w:r>
      <w:r w:rsidR="00024061">
        <w:rPr>
          <w:rFonts w:asciiTheme="majorBidi" w:hAnsiTheme="majorBidi" w:cstheme="majorBidi"/>
          <w:sz w:val="24"/>
          <w:szCs w:val="24"/>
        </w:rPr>
        <w:t>.</w:t>
      </w:r>
      <w:r w:rsidR="00495E41" w:rsidRPr="00024061">
        <w:rPr>
          <w:rFonts w:asciiTheme="majorBidi" w:hAnsiTheme="majorBidi" w:cstheme="majorBidi"/>
          <w:sz w:val="24"/>
          <w:szCs w:val="24"/>
        </w:rPr>
        <w:t xml:space="preserve">   </w:t>
      </w:r>
    </w:p>
    <w:p w:rsidR="006A4EED" w:rsidRPr="00024061" w:rsidRDefault="006A4EED" w:rsidP="00024061">
      <w:pPr>
        <w:spacing w:after="0" w:line="360" w:lineRule="auto"/>
        <w:ind w:firstLine="284"/>
        <w:jc w:val="both"/>
        <w:rPr>
          <w:rFonts w:asciiTheme="majorBidi" w:hAnsiTheme="majorBidi" w:cstheme="majorBidi"/>
          <w:sz w:val="24"/>
          <w:szCs w:val="24"/>
        </w:rPr>
      </w:pPr>
      <w:r w:rsidRPr="00024061">
        <w:rPr>
          <w:rFonts w:ascii="Times New Roman" w:hAnsi="Times New Roman"/>
          <w:sz w:val="24"/>
          <w:szCs w:val="24"/>
        </w:rPr>
        <w:t>C'est le chaos d'un monde qui vacille dans le néant</w:t>
      </w:r>
      <w:r w:rsidR="00623A56" w:rsidRPr="00024061">
        <w:rPr>
          <w:rFonts w:ascii="Times New Roman" w:hAnsi="Times New Roman"/>
          <w:sz w:val="24"/>
          <w:szCs w:val="24"/>
        </w:rPr>
        <w:t xml:space="preserve"> : </w:t>
      </w:r>
      <w:r w:rsidRPr="00024061">
        <w:rPr>
          <w:rFonts w:asciiTheme="majorBidi" w:hAnsiTheme="majorBidi" w:cstheme="majorBidi"/>
          <w:sz w:val="24"/>
          <w:szCs w:val="24"/>
        </w:rPr>
        <w:t xml:space="preserve">« </w:t>
      </w:r>
      <w:r w:rsidRPr="00587201">
        <w:rPr>
          <w:rFonts w:asciiTheme="majorBidi" w:hAnsiTheme="majorBidi" w:cstheme="majorBidi"/>
          <w:sz w:val="24"/>
          <w:szCs w:val="24"/>
        </w:rPr>
        <w:t>La terre voguera facilement dans l'infini [...] l'orage gonfle [...] le soleil gronde. La lune se lève</w:t>
      </w:r>
      <w:r w:rsidRPr="00024061">
        <w:rPr>
          <w:rFonts w:asciiTheme="majorBidi" w:hAnsiTheme="majorBidi" w:cstheme="majorBidi"/>
          <w:i/>
          <w:iCs/>
          <w:sz w:val="24"/>
          <w:szCs w:val="24"/>
        </w:rPr>
        <w:t xml:space="preserve"> </w:t>
      </w:r>
      <w:r w:rsidRPr="00587201">
        <w:rPr>
          <w:rFonts w:asciiTheme="majorBidi" w:hAnsiTheme="majorBidi" w:cstheme="majorBidi"/>
          <w:sz w:val="24"/>
          <w:szCs w:val="24"/>
        </w:rPr>
        <w:lastRenderedPageBreak/>
        <w:t>blafarde [...] la montagne s'empourpre [...] une mer démontée [...] c'est la montagne qui hurle</w:t>
      </w:r>
      <w:r w:rsidRPr="00024061">
        <w:rPr>
          <w:rFonts w:asciiTheme="majorBidi" w:hAnsiTheme="majorBidi" w:cstheme="majorBidi"/>
          <w:sz w:val="24"/>
          <w:szCs w:val="24"/>
        </w:rPr>
        <w:t>»</w:t>
      </w:r>
      <w:r w:rsidR="00024061">
        <w:rPr>
          <w:rFonts w:asciiTheme="majorBidi" w:hAnsiTheme="majorBidi" w:cstheme="majorBidi"/>
          <w:sz w:val="24"/>
          <w:szCs w:val="24"/>
        </w:rPr>
        <w:t xml:space="preserve">. </w:t>
      </w:r>
      <w:r w:rsidR="00495E41" w:rsidRPr="00024061">
        <w:rPr>
          <w:rFonts w:asciiTheme="majorBidi" w:hAnsiTheme="majorBidi" w:cstheme="majorBidi"/>
          <w:sz w:val="24"/>
          <w:szCs w:val="24"/>
        </w:rPr>
        <w:t>(</w:t>
      </w:r>
      <w:r w:rsidR="00024061">
        <w:rPr>
          <w:rFonts w:asciiTheme="majorBidi" w:hAnsiTheme="majorBidi" w:cstheme="majorBidi"/>
          <w:i/>
          <w:iCs/>
          <w:sz w:val="24"/>
          <w:szCs w:val="24"/>
        </w:rPr>
        <w:t>Ibid</w:t>
      </w:r>
      <w:r w:rsidR="00495E41" w:rsidRPr="00024061">
        <w:rPr>
          <w:rFonts w:asciiTheme="majorBidi" w:hAnsiTheme="majorBidi" w:cstheme="majorBidi"/>
          <w:sz w:val="24"/>
          <w:szCs w:val="24"/>
        </w:rPr>
        <w:t xml:space="preserve">)   </w:t>
      </w:r>
    </w:p>
    <w:p w:rsidR="00623A56" w:rsidRDefault="006A4EED" w:rsidP="00024061">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Paradoxalement à cette description de fin du monde. Le Pitre, le Barnum et Barabbas s'apprêtent à répéter une parodie de l'épisode du Christ et Barabbas dans l'acte II. </w:t>
      </w:r>
    </w:p>
    <w:p w:rsidR="006A4EED" w:rsidRPr="00FE6906" w:rsidRDefault="006A4EED" w:rsidP="00FE6906">
      <w:pPr>
        <w:spacing w:after="0" w:line="360" w:lineRule="auto"/>
        <w:ind w:firstLine="284"/>
        <w:jc w:val="both"/>
        <w:rPr>
          <w:rFonts w:asciiTheme="majorBidi" w:hAnsiTheme="majorBidi" w:cstheme="majorBidi"/>
          <w:sz w:val="24"/>
          <w:szCs w:val="24"/>
        </w:rPr>
      </w:pPr>
      <w:r w:rsidRPr="00FE6906">
        <w:rPr>
          <w:rFonts w:asciiTheme="majorBidi" w:hAnsiTheme="majorBidi" w:cstheme="majorBidi"/>
          <w:sz w:val="24"/>
          <w:szCs w:val="24"/>
        </w:rPr>
        <w:t>Pour Bakhtine</w:t>
      </w:r>
      <w:r w:rsidR="00623A56" w:rsidRPr="00FE6906">
        <w:rPr>
          <w:rFonts w:asciiTheme="majorBidi" w:hAnsiTheme="majorBidi" w:cstheme="majorBidi"/>
          <w:sz w:val="24"/>
          <w:szCs w:val="24"/>
        </w:rPr>
        <w:t> : «</w:t>
      </w:r>
      <w:r w:rsidRPr="00FE6906">
        <w:rPr>
          <w:rFonts w:asciiTheme="majorBidi" w:hAnsiTheme="majorBidi" w:cstheme="majorBidi"/>
          <w:sz w:val="24"/>
          <w:szCs w:val="24"/>
        </w:rPr>
        <w:t xml:space="preserve"> Cette peur cosmique et son exagération est anéantie par le rire »</w:t>
      </w:r>
      <w:r w:rsidRPr="00FE6906">
        <w:rPr>
          <w:rFonts w:asciiTheme="majorBidi" w:hAnsiTheme="majorBidi" w:cstheme="majorBidi"/>
          <w:sz w:val="24"/>
          <w:szCs w:val="24"/>
          <w:vertAlign w:val="superscript"/>
        </w:rPr>
        <w:footnoteReference w:id="304"/>
      </w:r>
      <w:r w:rsidR="00FE6906">
        <w:rPr>
          <w:rFonts w:asciiTheme="majorBidi" w:hAnsiTheme="majorBidi" w:cstheme="majorBidi"/>
          <w:sz w:val="24"/>
          <w:szCs w:val="24"/>
        </w:rPr>
        <w:t xml:space="preserve">. </w:t>
      </w:r>
      <w:r w:rsidRPr="003B00C8">
        <w:rPr>
          <w:rFonts w:ascii="Times New Roman" w:hAnsi="Times New Roman"/>
          <w:sz w:val="24"/>
          <w:szCs w:val="24"/>
        </w:rPr>
        <w:t>Entraînant ainsi un comique « Grinçant » qui paralyse ce mouvement perpétuel du renversement des perspectives dans le  troisième acte provoquant une contradiction entre ce</w:t>
      </w:r>
      <w:r w:rsidR="0080141D">
        <w:rPr>
          <w:rFonts w:ascii="Times New Roman" w:hAnsi="Times New Roman"/>
          <w:sz w:val="24"/>
          <w:szCs w:val="24"/>
        </w:rPr>
        <w:t xml:space="preserve"> </w:t>
      </w:r>
      <w:r w:rsidRPr="003B00C8">
        <w:rPr>
          <w:rFonts w:ascii="Times New Roman" w:hAnsi="Times New Roman"/>
          <w:sz w:val="24"/>
          <w:szCs w:val="24"/>
        </w:rPr>
        <w:t>qu'on perçoit et ce qu'on imagine.</w:t>
      </w:r>
      <w:r w:rsidR="00623A56">
        <w:rPr>
          <w:rFonts w:ascii="Times New Roman" w:hAnsi="Times New Roman"/>
          <w:sz w:val="24"/>
          <w:szCs w:val="24"/>
        </w:rPr>
        <w:t xml:space="preserve"> Tant il est vrai que </w:t>
      </w:r>
      <w:r w:rsidR="00623A56" w:rsidRPr="00FE6906">
        <w:rPr>
          <w:rFonts w:asciiTheme="majorBidi" w:hAnsiTheme="majorBidi" w:cstheme="majorBidi"/>
          <w:sz w:val="24"/>
          <w:szCs w:val="24"/>
        </w:rPr>
        <w:t xml:space="preserve">: </w:t>
      </w:r>
      <w:r w:rsidRPr="00FE6906">
        <w:rPr>
          <w:rFonts w:asciiTheme="majorBidi" w:hAnsiTheme="majorBidi" w:cstheme="majorBidi"/>
          <w:sz w:val="24"/>
          <w:szCs w:val="24"/>
        </w:rPr>
        <w:t>« La vision carnavalesque englobe la concrétisation et l'abstraction intellectuelle »</w:t>
      </w:r>
      <w:r w:rsidRPr="00FE6906">
        <w:rPr>
          <w:rFonts w:asciiTheme="majorBidi" w:hAnsiTheme="majorBidi" w:cstheme="majorBidi"/>
          <w:sz w:val="24"/>
          <w:szCs w:val="24"/>
          <w:vertAlign w:val="superscript"/>
        </w:rPr>
        <w:footnoteReference w:id="305"/>
      </w:r>
      <w:r w:rsidR="00FE6906">
        <w:rPr>
          <w:rFonts w:asciiTheme="majorBidi" w:hAnsiTheme="majorBidi" w:cstheme="majorBidi"/>
          <w:sz w:val="24"/>
          <w:szCs w:val="24"/>
        </w:rPr>
        <w:t>.</w:t>
      </w:r>
      <w:r w:rsidRPr="00FE6906">
        <w:rPr>
          <w:rFonts w:asciiTheme="majorBidi" w:hAnsiTheme="majorBidi" w:cstheme="majorBidi"/>
          <w:sz w:val="24"/>
          <w:szCs w:val="24"/>
          <w:vertAlign w:val="superscript"/>
        </w:rPr>
        <w:t xml:space="preserve"> </w:t>
      </w:r>
      <w:r w:rsidRPr="00FE6906">
        <w:rPr>
          <w:rFonts w:asciiTheme="majorBidi" w:hAnsiTheme="majorBidi" w:cstheme="majorBidi"/>
          <w:sz w:val="24"/>
          <w:szCs w:val="24"/>
        </w:rPr>
        <w:t xml:space="preserve">   </w:t>
      </w:r>
    </w:p>
    <w:p w:rsidR="006A4EED" w:rsidRPr="003B00C8" w:rsidRDefault="006A4EED" w:rsidP="00FE6906">
      <w:pPr>
        <w:spacing w:after="0" w:line="360" w:lineRule="auto"/>
        <w:ind w:firstLine="284"/>
        <w:jc w:val="both"/>
        <w:rPr>
          <w:rFonts w:ascii="Times New Roman" w:hAnsi="Times New Roman"/>
          <w:sz w:val="24"/>
          <w:szCs w:val="24"/>
        </w:rPr>
      </w:pPr>
      <w:r w:rsidRPr="003B00C8">
        <w:rPr>
          <w:rFonts w:ascii="Times New Roman" w:hAnsi="Times New Roman"/>
          <w:sz w:val="24"/>
          <w:szCs w:val="24"/>
        </w:rPr>
        <w:t>Ce rapprochement de l'image des personnages aux animaux renvoie au «réalisme sans illusion» de la perception carnavalesque du monde. Le grotesque va permettre l'engagement du corps dans les réalités non pas psychologiques mais pulsionnelles, revendicatives, exigeantes et cruelles. Il touche donc aux limites corporelles et mentales, privilégie l'irrespect des conventions et accroît la possibilité de liberté et de jeu. La difformité bestiale suppose la référence à une forme qui est pervertie et qui remet en question l'ordre hiérarchique. C'est l'aspect transgressif qui permet cette liberté des pulsions abordant tous les interdits.</w:t>
      </w:r>
    </w:p>
    <w:p w:rsidR="006A4EED" w:rsidRPr="003B00C8" w:rsidRDefault="006A4EED" w:rsidP="006A4EED">
      <w:pPr>
        <w:rPr>
          <w:rFonts w:ascii="Times New Roman" w:hAnsi="Times New Roman"/>
          <w:lang w:eastAsia="fr-FR"/>
        </w:rPr>
      </w:pPr>
    </w:p>
    <w:p w:rsidR="006A4EED" w:rsidRPr="00C27DAA" w:rsidRDefault="00C27DAA" w:rsidP="00C27DAA">
      <w:pPr>
        <w:pStyle w:val="Titre5"/>
        <w:spacing w:before="0" w:after="0"/>
        <w:ind w:left="641" w:hanging="357"/>
        <w:jc w:val="both"/>
        <w:rPr>
          <w:rFonts w:ascii="Times New Roman" w:hAnsi="Times New Roman"/>
          <w:color w:val="auto"/>
          <w:lang w:eastAsia="fr-FR"/>
        </w:rPr>
      </w:pPr>
      <w:bookmarkStart w:id="177" w:name="_Toc471484544"/>
      <w:r w:rsidRPr="00C27DAA">
        <w:rPr>
          <w:rFonts w:ascii="Times New Roman" w:hAnsi="Times New Roman"/>
          <w:color w:val="auto"/>
          <w:lang w:eastAsia="fr-FR"/>
        </w:rPr>
        <w:t>3.2.5. Le</w:t>
      </w:r>
      <w:r w:rsidR="006A4EED" w:rsidRPr="00C27DAA">
        <w:rPr>
          <w:rFonts w:ascii="Times New Roman" w:hAnsi="Times New Roman"/>
          <w:color w:val="auto"/>
          <w:lang w:eastAsia="fr-FR"/>
        </w:rPr>
        <w:t xml:space="preserve"> rite sacrificiel et la mort féconde</w:t>
      </w:r>
      <w:bookmarkEnd w:id="177"/>
    </w:p>
    <w:p w:rsidR="0080141D" w:rsidRDefault="006A4EED" w:rsidP="00C27DAA">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sémiotique chez Ghelderode atteint son point culminant avec les références au sacrifice et à la mort.</w:t>
      </w:r>
    </w:p>
    <w:p w:rsidR="006A4EED" w:rsidRPr="003B00C8" w:rsidRDefault="006A4EED" w:rsidP="00C27DAA">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rite sacrificiel est ultimement source de salut. La mort, quant à elle, devient source de vie. Ainsi s’exprime Ghelderode, dans les signes et dans les allusions.</w:t>
      </w:r>
    </w:p>
    <w:p w:rsidR="0080141D" w:rsidRDefault="006A4EED" w:rsidP="00C27DAA">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Commençons par le rite sacrificiel. Dans le verdict concomitant prononcé par la foule qui finit, par la condamnation de Jésus de Nazareth au supplice, déguisé en robe écarlate, accablé de tous les outrages, couronné d'épines - et la libération de Barabbas ; signifie peut-être la transposition mythique du rite purement juif. Celui pratiqué le jour de l'Expiation où deux boucs choisis par la communauté devraient être semblables. L'un des deux était désigné par la foule comme celui qui était chargé de tous les péchés du peuple et devait en conséquence être sacrifié. Forme </w:t>
      </w:r>
      <w:r w:rsidRPr="003B00C8">
        <w:rPr>
          <w:rFonts w:ascii="Times New Roman" w:hAnsi="Times New Roman"/>
          <w:sz w:val="24"/>
          <w:szCs w:val="24"/>
        </w:rPr>
        <w:lastRenderedPageBreak/>
        <w:t xml:space="preserve">de punition rituelle qui s'applique aussi dans les occasions carnavalesques à un personnage familier: l'idiot, l'innocent, le fou ou le simplet pris comme bouc émissaire qui rappelle ainsi la conjuration de sort. </w:t>
      </w:r>
    </w:p>
    <w:p w:rsidR="00EE418E" w:rsidRPr="00C27DAA" w:rsidRDefault="006A4EED" w:rsidP="00C27DAA">
      <w:pPr>
        <w:spacing w:after="0" w:line="360" w:lineRule="auto"/>
        <w:ind w:firstLine="284"/>
        <w:jc w:val="both"/>
        <w:rPr>
          <w:rFonts w:asciiTheme="majorBidi" w:hAnsiTheme="majorBidi" w:cstheme="majorBidi"/>
          <w:sz w:val="24"/>
          <w:szCs w:val="24"/>
        </w:rPr>
      </w:pPr>
      <w:r w:rsidRPr="00C27DAA">
        <w:rPr>
          <w:rFonts w:ascii="Times New Roman" w:hAnsi="Times New Roman"/>
          <w:sz w:val="24"/>
          <w:szCs w:val="24"/>
        </w:rPr>
        <w:t>Pour François Caradec:</w:t>
      </w:r>
      <w:r w:rsidR="00623A56" w:rsidRPr="00C27DAA">
        <w:rPr>
          <w:rFonts w:ascii="Times New Roman" w:hAnsi="Times New Roman"/>
          <w:sz w:val="24"/>
          <w:szCs w:val="24"/>
        </w:rPr>
        <w:t xml:space="preserve"> </w:t>
      </w:r>
      <w:r w:rsidRPr="00C27DAA">
        <w:rPr>
          <w:rFonts w:asciiTheme="majorBidi" w:hAnsiTheme="majorBidi" w:cstheme="majorBidi"/>
          <w:sz w:val="24"/>
          <w:szCs w:val="24"/>
        </w:rPr>
        <w:t>« C'est au moment où la victime du sacrifice est désignée qu'elle devient sacrée</w:t>
      </w:r>
      <w:r w:rsidR="00623A56" w:rsidRPr="00C27DAA">
        <w:rPr>
          <w:rFonts w:asciiTheme="majorBidi" w:hAnsiTheme="majorBidi" w:cstheme="majorBidi"/>
          <w:sz w:val="24"/>
          <w:szCs w:val="24"/>
        </w:rPr>
        <w:t>»</w:t>
      </w:r>
      <w:r w:rsidR="0080141D" w:rsidRPr="00C27DAA">
        <w:rPr>
          <w:rStyle w:val="Appelnotedebasdep"/>
          <w:rFonts w:asciiTheme="majorBidi" w:hAnsiTheme="majorBidi" w:cstheme="majorBidi"/>
          <w:iCs/>
          <w:sz w:val="24"/>
          <w:szCs w:val="24"/>
        </w:rPr>
        <w:footnoteReference w:id="306"/>
      </w:r>
      <w:r w:rsidR="00C27DAA">
        <w:rPr>
          <w:rFonts w:asciiTheme="majorBidi" w:hAnsiTheme="majorBidi" w:cstheme="majorBidi"/>
          <w:sz w:val="24"/>
          <w:szCs w:val="24"/>
        </w:rPr>
        <w:t>.</w:t>
      </w:r>
      <w:r w:rsidR="00623A56" w:rsidRPr="00C27DAA">
        <w:rPr>
          <w:rFonts w:asciiTheme="majorBidi" w:hAnsiTheme="majorBidi" w:cstheme="majorBidi"/>
          <w:sz w:val="24"/>
          <w:szCs w:val="24"/>
          <w:vertAlign w:val="superscript"/>
        </w:rPr>
        <w:t xml:space="preserve"> </w:t>
      </w:r>
    </w:p>
    <w:p w:rsidR="00EE418E" w:rsidRPr="00D020F1" w:rsidRDefault="006A4EED" w:rsidP="00D020F1">
      <w:pPr>
        <w:spacing w:after="0" w:line="360" w:lineRule="auto"/>
        <w:ind w:firstLine="284"/>
        <w:jc w:val="both"/>
        <w:rPr>
          <w:rFonts w:asciiTheme="majorBidi" w:hAnsiTheme="majorBidi" w:cstheme="majorBidi"/>
          <w:sz w:val="24"/>
          <w:szCs w:val="24"/>
        </w:rPr>
      </w:pPr>
      <w:r w:rsidRPr="00C27DAA">
        <w:rPr>
          <w:rFonts w:ascii="Times New Roman" w:hAnsi="Times New Roman"/>
          <w:sz w:val="24"/>
          <w:szCs w:val="24"/>
        </w:rPr>
        <w:t>L'obsession de la mort du Christ qui s'empare de tous les personnages dans l'acte III et, est intensifié par le guetteur dans ses commentaires qu'ils rapportent du spectacle du Calvaire. Le destin des protagonistes du troisième acte reste lié à l'agonie du supplicié ; le temps est comme suspendu à son expiration</w:t>
      </w:r>
      <w:r w:rsidR="00623A56" w:rsidRPr="00C27DAA">
        <w:rPr>
          <w:rFonts w:ascii="Times New Roman" w:hAnsi="Times New Roman"/>
          <w:sz w:val="24"/>
          <w:szCs w:val="24"/>
        </w:rPr>
        <w:t xml:space="preserve"> : </w:t>
      </w:r>
      <w:r w:rsidRPr="00C27DAA">
        <w:rPr>
          <w:rFonts w:asciiTheme="majorBidi" w:hAnsiTheme="majorBidi" w:cstheme="majorBidi"/>
          <w:sz w:val="24"/>
          <w:szCs w:val="24"/>
        </w:rPr>
        <w:t>«</w:t>
      </w:r>
      <w:r w:rsidR="00623A56" w:rsidRPr="00C27DAA">
        <w:rPr>
          <w:rFonts w:asciiTheme="majorBidi" w:hAnsiTheme="majorBidi" w:cstheme="majorBidi"/>
          <w:sz w:val="24"/>
          <w:szCs w:val="24"/>
        </w:rPr>
        <w:t xml:space="preserve"> </w:t>
      </w:r>
      <w:r w:rsidRPr="00587201">
        <w:rPr>
          <w:rFonts w:asciiTheme="majorBidi" w:hAnsiTheme="majorBidi" w:cstheme="majorBidi"/>
          <w:sz w:val="24"/>
          <w:szCs w:val="24"/>
        </w:rPr>
        <w:t>Oh! Qu'elle est lente, éternelle cette agonie Mourras-tu ? Quand mourras-tu crucifié?</w:t>
      </w:r>
      <w:r w:rsidRPr="00C27DAA">
        <w:rPr>
          <w:rFonts w:asciiTheme="majorBidi" w:hAnsiTheme="majorBidi" w:cstheme="majorBidi"/>
          <w:sz w:val="24"/>
          <w:szCs w:val="24"/>
        </w:rPr>
        <w:t xml:space="preserve"> »</w:t>
      </w:r>
      <w:r w:rsidR="00D020F1">
        <w:rPr>
          <w:rFonts w:asciiTheme="majorBidi" w:hAnsiTheme="majorBidi" w:cstheme="majorBidi"/>
          <w:sz w:val="24"/>
          <w:szCs w:val="24"/>
        </w:rPr>
        <w:t xml:space="preserve"> (</w:t>
      </w:r>
      <w:r w:rsidR="00D020F1">
        <w:rPr>
          <w:rFonts w:asciiTheme="majorBidi" w:hAnsiTheme="majorBidi" w:cstheme="majorBidi"/>
          <w:i/>
          <w:iCs/>
          <w:sz w:val="24"/>
          <w:szCs w:val="24"/>
        </w:rPr>
        <w:t xml:space="preserve">Ibid, </w:t>
      </w:r>
      <w:r w:rsidR="00D020F1" w:rsidRPr="00D020F1">
        <w:rPr>
          <w:rFonts w:asciiTheme="majorBidi" w:hAnsiTheme="majorBidi" w:cstheme="majorBidi"/>
          <w:sz w:val="24"/>
          <w:szCs w:val="24"/>
        </w:rPr>
        <w:t>p.104)</w:t>
      </w:r>
      <w:r w:rsidR="00D020F1">
        <w:rPr>
          <w:rFonts w:asciiTheme="majorBidi" w:hAnsiTheme="majorBidi" w:cstheme="majorBidi"/>
          <w:sz w:val="24"/>
          <w:szCs w:val="24"/>
        </w:rPr>
        <w:t>.</w:t>
      </w:r>
    </w:p>
    <w:p w:rsidR="006A4EED" w:rsidRPr="00C27DAA" w:rsidRDefault="006A4EED" w:rsidP="00C27DAA">
      <w:pPr>
        <w:spacing w:after="0" w:line="360" w:lineRule="auto"/>
        <w:ind w:firstLine="284"/>
        <w:jc w:val="both"/>
        <w:rPr>
          <w:rFonts w:asciiTheme="majorBidi" w:hAnsiTheme="majorBidi" w:cstheme="majorBidi"/>
          <w:sz w:val="24"/>
          <w:szCs w:val="24"/>
        </w:rPr>
      </w:pPr>
      <w:r w:rsidRPr="00C27DAA">
        <w:rPr>
          <w:rFonts w:ascii="Times New Roman" w:hAnsi="Times New Roman"/>
          <w:sz w:val="24"/>
          <w:szCs w:val="24"/>
        </w:rPr>
        <w:t>Judas qui, jusque là était le seul partisan de l'innocence du supplicié après qu'il l'eut trahi, crie à Pierre l'apôtre:</w:t>
      </w:r>
      <w:r w:rsidR="00623A56" w:rsidRPr="00C27DAA">
        <w:rPr>
          <w:rFonts w:ascii="Times New Roman" w:hAnsi="Times New Roman"/>
          <w:sz w:val="24"/>
          <w:szCs w:val="24"/>
        </w:rPr>
        <w:t xml:space="preserve"> </w:t>
      </w:r>
      <w:r w:rsidRPr="00C27DAA">
        <w:rPr>
          <w:rFonts w:asciiTheme="majorBidi" w:hAnsiTheme="majorBidi" w:cstheme="majorBidi"/>
          <w:sz w:val="24"/>
          <w:szCs w:val="24"/>
        </w:rPr>
        <w:t xml:space="preserve">« Qu'il se dépêche oui ! Ou alors qu'on l'achève ! Le coup de grâce !» </w:t>
      </w:r>
      <w:r w:rsidR="00495E41" w:rsidRPr="00C27DAA">
        <w:rPr>
          <w:rFonts w:asciiTheme="majorBidi" w:hAnsiTheme="majorBidi" w:cstheme="majorBidi"/>
          <w:sz w:val="24"/>
          <w:szCs w:val="24"/>
        </w:rPr>
        <w:t>(</w:t>
      </w:r>
      <w:r w:rsidR="00C27DAA">
        <w:rPr>
          <w:rFonts w:asciiTheme="majorBidi" w:hAnsiTheme="majorBidi" w:cstheme="majorBidi"/>
          <w:i/>
          <w:iCs/>
          <w:sz w:val="24"/>
          <w:szCs w:val="24"/>
        </w:rPr>
        <w:t xml:space="preserve">Ibid, </w:t>
      </w:r>
      <w:r w:rsidR="00495E41" w:rsidRPr="00C27DAA">
        <w:rPr>
          <w:rFonts w:asciiTheme="majorBidi" w:hAnsiTheme="majorBidi" w:cstheme="majorBidi"/>
          <w:sz w:val="24"/>
          <w:szCs w:val="24"/>
        </w:rPr>
        <w:t>p.104)</w:t>
      </w:r>
      <w:r w:rsidR="00C27DAA">
        <w:rPr>
          <w:rFonts w:asciiTheme="majorBidi" w:hAnsiTheme="majorBidi" w:cstheme="majorBidi"/>
          <w:sz w:val="24"/>
          <w:szCs w:val="24"/>
        </w:rPr>
        <w:t>.</w:t>
      </w:r>
      <w:r w:rsidR="00495E41" w:rsidRPr="00C27DAA">
        <w:rPr>
          <w:rFonts w:asciiTheme="majorBidi" w:hAnsiTheme="majorBidi" w:cstheme="majorBidi"/>
          <w:sz w:val="24"/>
          <w:szCs w:val="24"/>
        </w:rPr>
        <w:t xml:space="preserve">   </w:t>
      </w:r>
    </w:p>
    <w:p w:rsidR="006A4EED" w:rsidRPr="00C27DAA" w:rsidRDefault="006A4EED" w:rsidP="00C27DAA">
      <w:pPr>
        <w:spacing w:after="0" w:line="360" w:lineRule="auto"/>
        <w:ind w:firstLine="284"/>
        <w:jc w:val="both"/>
        <w:rPr>
          <w:rFonts w:asciiTheme="majorBidi" w:hAnsiTheme="majorBidi" w:cstheme="majorBidi"/>
          <w:sz w:val="24"/>
          <w:szCs w:val="24"/>
        </w:rPr>
      </w:pPr>
      <w:r w:rsidRPr="00C27DAA">
        <w:rPr>
          <w:rFonts w:ascii="Times New Roman" w:hAnsi="Times New Roman"/>
          <w:sz w:val="24"/>
          <w:szCs w:val="24"/>
        </w:rPr>
        <w:t xml:space="preserve">Barabbas répond à un apôtre </w:t>
      </w:r>
      <w:r w:rsidR="00623A56" w:rsidRPr="00C27DAA">
        <w:rPr>
          <w:rFonts w:asciiTheme="majorBidi" w:hAnsiTheme="majorBidi" w:cstheme="majorBidi"/>
          <w:sz w:val="24"/>
          <w:szCs w:val="24"/>
        </w:rPr>
        <w:t>: «</w:t>
      </w:r>
      <w:r w:rsidRPr="00C27DAA">
        <w:rPr>
          <w:rFonts w:asciiTheme="majorBidi" w:hAnsiTheme="majorBidi" w:cstheme="majorBidi"/>
          <w:sz w:val="24"/>
          <w:szCs w:val="24"/>
        </w:rPr>
        <w:t xml:space="preserve"> Qu'il expire ! Que cette nuit effroyable et fausse se dissipe !»</w:t>
      </w:r>
      <w:r w:rsidR="00495E41" w:rsidRPr="00C27DAA">
        <w:rPr>
          <w:rFonts w:asciiTheme="majorBidi" w:hAnsiTheme="majorBidi" w:cstheme="majorBidi"/>
          <w:sz w:val="24"/>
          <w:szCs w:val="24"/>
        </w:rPr>
        <w:t xml:space="preserve"> (</w:t>
      </w:r>
      <w:r w:rsidR="00C27DAA">
        <w:rPr>
          <w:rFonts w:asciiTheme="majorBidi" w:hAnsiTheme="majorBidi" w:cstheme="majorBidi"/>
          <w:i/>
          <w:iCs/>
          <w:sz w:val="24"/>
          <w:szCs w:val="24"/>
        </w:rPr>
        <w:t xml:space="preserve">Ibid, </w:t>
      </w:r>
      <w:r w:rsidR="00495E41" w:rsidRPr="00C27DAA">
        <w:rPr>
          <w:rFonts w:asciiTheme="majorBidi" w:hAnsiTheme="majorBidi" w:cstheme="majorBidi"/>
          <w:sz w:val="24"/>
          <w:szCs w:val="24"/>
        </w:rPr>
        <w:t>p.119)</w:t>
      </w:r>
      <w:r w:rsidR="00C27DAA">
        <w:rPr>
          <w:rFonts w:asciiTheme="majorBidi" w:hAnsiTheme="majorBidi" w:cstheme="majorBidi"/>
          <w:sz w:val="24"/>
          <w:szCs w:val="24"/>
        </w:rPr>
        <w:t>.</w:t>
      </w:r>
      <w:r w:rsidR="00495E41" w:rsidRPr="00C27DAA">
        <w:rPr>
          <w:rFonts w:asciiTheme="majorBidi" w:hAnsiTheme="majorBidi" w:cstheme="majorBidi"/>
          <w:sz w:val="24"/>
          <w:szCs w:val="24"/>
        </w:rPr>
        <w:t xml:space="preserve">   </w:t>
      </w:r>
    </w:p>
    <w:p w:rsidR="006A4EED" w:rsidRPr="00C27DAA" w:rsidRDefault="006A4EED" w:rsidP="00C27DAA">
      <w:pPr>
        <w:spacing w:after="0" w:line="360" w:lineRule="auto"/>
        <w:ind w:firstLine="284"/>
        <w:jc w:val="both"/>
        <w:rPr>
          <w:rFonts w:asciiTheme="majorBidi" w:hAnsiTheme="majorBidi" w:cstheme="majorBidi"/>
          <w:sz w:val="24"/>
          <w:szCs w:val="24"/>
        </w:rPr>
      </w:pPr>
      <w:r w:rsidRPr="00C27DAA">
        <w:rPr>
          <w:rFonts w:ascii="Times New Roman" w:hAnsi="Times New Roman"/>
          <w:sz w:val="24"/>
          <w:szCs w:val="24"/>
        </w:rPr>
        <w:t>Madeleine ne supporte plus cette attente cruelle</w:t>
      </w:r>
      <w:r w:rsidR="00623A56" w:rsidRPr="00C27DAA">
        <w:rPr>
          <w:rFonts w:asciiTheme="majorBidi" w:hAnsiTheme="majorBidi" w:cstheme="majorBidi"/>
          <w:sz w:val="24"/>
          <w:szCs w:val="24"/>
        </w:rPr>
        <w:t>: «</w:t>
      </w:r>
      <w:r w:rsidRPr="00C27DAA">
        <w:rPr>
          <w:rFonts w:asciiTheme="majorBidi" w:hAnsiTheme="majorBidi" w:cstheme="majorBidi"/>
          <w:sz w:val="24"/>
          <w:szCs w:val="24"/>
        </w:rPr>
        <w:t xml:space="preserve"> Oh qu'il meurt le supplicié» </w:t>
      </w:r>
      <w:r w:rsidR="00495E41" w:rsidRPr="00C27DAA">
        <w:rPr>
          <w:rFonts w:asciiTheme="majorBidi" w:hAnsiTheme="majorBidi" w:cstheme="majorBidi"/>
          <w:sz w:val="24"/>
          <w:szCs w:val="24"/>
        </w:rPr>
        <w:t>(</w:t>
      </w:r>
      <w:r w:rsidR="00C27DAA">
        <w:rPr>
          <w:rFonts w:asciiTheme="majorBidi" w:hAnsiTheme="majorBidi" w:cstheme="majorBidi"/>
          <w:i/>
          <w:iCs/>
          <w:sz w:val="24"/>
          <w:szCs w:val="24"/>
        </w:rPr>
        <w:t xml:space="preserve">Ibid, </w:t>
      </w:r>
      <w:r w:rsidR="00495E41" w:rsidRPr="00C27DAA">
        <w:rPr>
          <w:rFonts w:asciiTheme="majorBidi" w:hAnsiTheme="majorBidi" w:cstheme="majorBidi"/>
          <w:sz w:val="24"/>
          <w:szCs w:val="24"/>
        </w:rPr>
        <w:t>p.104)</w:t>
      </w:r>
      <w:r w:rsidR="00C27DAA">
        <w:rPr>
          <w:rFonts w:asciiTheme="majorBidi" w:hAnsiTheme="majorBidi" w:cstheme="majorBidi"/>
          <w:sz w:val="24"/>
          <w:szCs w:val="24"/>
        </w:rPr>
        <w:t>.</w:t>
      </w:r>
      <w:r w:rsidR="00495E41" w:rsidRPr="00C27DAA">
        <w:rPr>
          <w:rFonts w:asciiTheme="majorBidi" w:hAnsiTheme="majorBidi" w:cstheme="majorBidi"/>
          <w:sz w:val="24"/>
          <w:szCs w:val="24"/>
        </w:rPr>
        <w:t xml:space="preserve">   </w:t>
      </w:r>
    </w:p>
    <w:p w:rsidR="006A4EED" w:rsidRPr="00D020F1" w:rsidRDefault="006A4EED" w:rsidP="00D020F1">
      <w:pPr>
        <w:spacing w:after="0" w:line="360" w:lineRule="auto"/>
        <w:ind w:firstLine="284"/>
        <w:jc w:val="both"/>
        <w:rPr>
          <w:sz w:val="24"/>
          <w:szCs w:val="24"/>
        </w:rPr>
      </w:pPr>
      <w:r w:rsidRPr="00D020F1">
        <w:rPr>
          <w:rFonts w:ascii="Times New Roman" w:hAnsi="Times New Roman"/>
          <w:sz w:val="24"/>
          <w:szCs w:val="24"/>
        </w:rPr>
        <w:t xml:space="preserve">Judas insiste et confie à Pierre l'apôtre </w:t>
      </w:r>
      <w:r w:rsidRPr="00D020F1">
        <w:rPr>
          <w:rFonts w:asciiTheme="majorBidi" w:hAnsiTheme="majorBidi" w:cstheme="majorBidi"/>
          <w:sz w:val="24"/>
          <w:szCs w:val="24"/>
        </w:rPr>
        <w:t>:</w:t>
      </w:r>
      <w:r w:rsidR="00623A56" w:rsidRPr="00D020F1">
        <w:rPr>
          <w:rFonts w:asciiTheme="majorBidi" w:hAnsiTheme="majorBidi" w:cstheme="majorBidi"/>
          <w:sz w:val="24"/>
          <w:szCs w:val="24"/>
        </w:rPr>
        <w:t xml:space="preserve"> </w:t>
      </w:r>
      <w:r w:rsidRPr="00D020F1">
        <w:rPr>
          <w:rFonts w:asciiTheme="majorBidi" w:hAnsiTheme="majorBidi" w:cstheme="majorBidi"/>
          <w:sz w:val="24"/>
          <w:szCs w:val="24"/>
        </w:rPr>
        <w:t xml:space="preserve">« Je n'attends qu'une chose. C'est que Jésus soit mort. Alors tout sera bien fini. Je me sentirais plus à l'aise» </w:t>
      </w:r>
      <w:r w:rsidR="00495E41" w:rsidRPr="00D020F1">
        <w:rPr>
          <w:rFonts w:asciiTheme="majorBidi" w:hAnsiTheme="majorBidi" w:cstheme="majorBidi"/>
          <w:sz w:val="24"/>
          <w:szCs w:val="24"/>
        </w:rPr>
        <w:t>(</w:t>
      </w:r>
      <w:r w:rsidR="00D020F1" w:rsidRPr="00D020F1">
        <w:rPr>
          <w:rFonts w:asciiTheme="majorBidi" w:hAnsiTheme="majorBidi" w:cstheme="majorBidi"/>
          <w:i/>
          <w:iCs/>
          <w:sz w:val="24"/>
          <w:szCs w:val="24"/>
        </w:rPr>
        <w:t xml:space="preserve">Ibid, </w:t>
      </w:r>
      <w:r w:rsidR="00495E41" w:rsidRPr="00D020F1">
        <w:rPr>
          <w:rFonts w:asciiTheme="majorBidi" w:hAnsiTheme="majorBidi" w:cstheme="majorBidi"/>
          <w:sz w:val="24"/>
          <w:szCs w:val="24"/>
        </w:rPr>
        <w:t>p.105)</w:t>
      </w:r>
      <w:r w:rsidR="00D020F1" w:rsidRPr="00D020F1">
        <w:rPr>
          <w:rFonts w:asciiTheme="majorBidi" w:hAnsiTheme="majorBidi" w:cstheme="majorBidi"/>
          <w:sz w:val="24"/>
          <w:szCs w:val="24"/>
        </w:rPr>
        <w:t>.</w:t>
      </w:r>
      <w:r w:rsidR="00495E41" w:rsidRPr="00D020F1">
        <w:rPr>
          <w:sz w:val="24"/>
          <w:szCs w:val="24"/>
        </w:rPr>
        <w:t xml:space="preserve">   </w:t>
      </w:r>
    </w:p>
    <w:p w:rsidR="006A4EED" w:rsidRPr="00D020F1" w:rsidRDefault="006A4EED" w:rsidP="00D020F1">
      <w:pPr>
        <w:spacing w:after="0" w:line="360" w:lineRule="auto"/>
        <w:ind w:firstLine="284"/>
        <w:jc w:val="both"/>
        <w:rPr>
          <w:rFonts w:asciiTheme="majorBidi" w:hAnsiTheme="majorBidi" w:cstheme="majorBidi"/>
          <w:sz w:val="24"/>
          <w:szCs w:val="24"/>
        </w:rPr>
      </w:pPr>
      <w:r w:rsidRPr="00D020F1">
        <w:rPr>
          <w:rFonts w:ascii="Times New Roman" w:hAnsi="Times New Roman"/>
          <w:sz w:val="24"/>
          <w:szCs w:val="24"/>
        </w:rPr>
        <w:t>Cette tendance à la mort du Christ est confirmée par le rapporteur des événements</w:t>
      </w:r>
      <w:r w:rsidR="00623A56" w:rsidRPr="00D020F1">
        <w:rPr>
          <w:rFonts w:ascii="Times New Roman" w:hAnsi="Times New Roman"/>
          <w:sz w:val="24"/>
          <w:szCs w:val="24"/>
        </w:rPr>
        <w:t> </w:t>
      </w:r>
      <w:r w:rsidR="001F2820" w:rsidRPr="00D020F1">
        <w:rPr>
          <w:rFonts w:asciiTheme="majorBidi" w:hAnsiTheme="majorBidi" w:cstheme="majorBidi"/>
          <w:sz w:val="24"/>
          <w:szCs w:val="24"/>
        </w:rPr>
        <w:t xml:space="preserve">: </w:t>
      </w:r>
      <w:proofErr w:type="gramStart"/>
      <w:r w:rsidR="001F2820" w:rsidRPr="00D020F1">
        <w:rPr>
          <w:rFonts w:asciiTheme="majorBidi" w:hAnsiTheme="majorBidi" w:cstheme="majorBidi"/>
          <w:sz w:val="24"/>
          <w:szCs w:val="24"/>
        </w:rPr>
        <w:t>«[</w:t>
      </w:r>
      <w:proofErr w:type="gramEnd"/>
      <w:r w:rsidRPr="00D020F1">
        <w:rPr>
          <w:rFonts w:asciiTheme="majorBidi" w:hAnsiTheme="majorBidi" w:cstheme="majorBidi"/>
          <w:sz w:val="24"/>
          <w:szCs w:val="24"/>
        </w:rPr>
        <w:t xml:space="preserve">.. .] Expire ! Car ceux qui te contemplent subissent ton agonie et restent suppliciés indiciblement...» </w:t>
      </w:r>
      <w:r w:rsidR="00495E41" w:rsidRPr="00D020F1">
        <w:rPr>
          <w:rFonts w:asciiTheme="majorBidi" w:hAnsiTheme="majorBidi" w:cstheme="majorBidi"/>
          <w:sz w:val="24"/>
          <w:szCs w:val="24"/>
        </w:rPr>
        <w:t>(</w:t>
      </w:r>
      <w:r w:rsidR="00D020F1">
        <w:rPr>
          <w:rFonts w:asciiTheme="majorBidi" w:hAnsiTheme="majorBidi" w:cstheme="majorBidi"/>
          <w:i/>
          <w:iCs/>
          <w:sz w:val="24"/>
          <w:szCs w:val="24"/>
        </w:rPr>
        <w:t xml:space="preserve">Ibid, </w:t>
      </w:r>
      <w:r w:rsidR="00495E41" w:rsidRPr="00D020F1">
        <w:rPr>
          <w:rFonts w:asciiTheme="majorBidi" w:hAnsiTheme="majorBidi" w:cstheme="majorBidi"/>
          <w:sz w:val="24"/>
          <w:szCs w:val="24"/>
        </w:rPr>
        <w:t>p.119)</w:t>
      </w:r>
      <w:r w:rsidR="00D020F1">
        <w:rPr>
          <w:rFonts w:asciiTheme="majorBidi" w:hAnsiTheme="majorBidi" w:cstheme="majorBidi"/>
          <w:sz w:val="24"/>
          <w:szCs w:val="24"/>
        </w:rPr>
        <w:t>.</w:t>
      </w:r>
      <w:r w:rsidR="00495E41" w:rsidRPr="00D020F1">
        <w:rPr>
          <w:rFonts w:asciiTheme="majorBidi" w:hAnsiTheme="majorBidi" w:cstheme="majorBidi"/>
          <w:sz w:val="24"/>
          <w:szCs w:val="24"/>
        </w:rPr>
        <w:t xml:space="preserve">   </w:t>
      </w:r>
    </w:p>
    <w:p w:rsidR="006A4EED" w:rsidRPr="00D020F1" w:rsidRDefault="006A4EED" w:rsidP="00D020F1">
      <w:pPr>
        <w:spacing w:after="0" w:line="360" w:lineRule="auto"/>
        <w:ind w:firstLine="284"/>
        <w:jc w:val="both"/>
        <w:rPr>
          <w:rFonts w:asciiTheme="majorBidi" w:hAnsiTheme="majorBidi" w:cstheme="majorBidi"/>
          <w:sz w:val="24"/>
          <w:szCs w:val="24"/>
        </w:rPr>
      </w:pPr>
      <w:r w:rsidRPr="00D020F1">
        <w:rPr>
          <w:rFonts w:ascii="Times New Roman" w:hAnsi="Times New Roman"/>
          <w:sz w:val="24"/>
          <w:szCs w:val="24"/>
        </w:rPr>
        <w:t>La purgation ne va devenir effective qu'avec la mort du crucifié. Barabbas ordonne alors aux gueux</w:t>
      </w:r>
      <w:r w:rsidR="00623A56" w:rsidRPr="00D020F1">
        <w:rPr>
          <w:rFonts w:ascii="Times New Roman" w:hAnsi="Times New Roman"/>
          <w:sz w:val="24"/>
          <w:szCs w:val="24"/>
        </w:rPr>
        <w:t> </w:t>
      </w:r>
      <w:r w:rsidR="00623A56" w:rsidRPr="00D020F1">
        <w:rPr>
          <w:rFonts w:asciiTheme="majorBidi" w:hAnsiTheme="majorBidi" w:cstheme="majorBidi"/>
          <w:sz w:val="24"/>
          <w:szCs w:val="24"/>
        </w:rPr>
        <w:t xml:space="preserve">: </w:t>
      </w:r>
      <w:r w:rsidRPr="00D020F1">
        <w:rPr>
          <w:rFonts w:asciiTheme="majorBidi" w:hAnsiTheme="majorBidi" w:cstheme="majorBidi"/>
          <w:sz w:val="24"/>
          <w:szCs w:val="24"/>
        </w:rPr>
        <w:t xml:space="preserve">« </w:t>
      </w:r>
      <w:r w:rsidR="00D020F1" w:rsidRPr="00587201">
        <w:rPr>
          <w:rFonts w:asciiTheme="majorBidi" w:hAnsiTheme="majorBidi" w:cstheme="majorBidi"/>
          <w:sz w:val="24"/>
          <w:szCs w:val="24"/>
        </w:rPr>
        <w:t>À</w:t>
      </w:r>
      <w:r w:rsidRPr="00587201">
        <w:rPr>
          <w:rFonts w:asciiTheme="majorBidi" w:hAnsiTheme="majorBidi" w:cstheme="majorBidi"/>
          <w:sz w:val="24"/>
          <w:szCs w:val="24"/>
        </w:rPr>
        <w:t xml:space="preserve"> l'assaut du calvaire ! Il faut promener le cadavre dans les rues</w:t>
      </w:r>
      <w:r w:rsidRPr="00D020F1">
        <w:rPr>
          <w:rFonts w:asciiTheme="majorBidi" w:hAnsiTheme="majorBidi" w:cstheme="majorBidi"/>
          <w:sz w:val="24"/>
          <w:szCs w:val="24"/>
        </w:rPr>
        <w:t xml:space="preserve">» </w:t>
      </w:r>
      <w:r w:rsidR="00495E41" w:rsidRPr="00D020F1">
        <w:rPr>
          <w:rFonts w:asciiTheme="majorBidi" w:hAnsiTheme="majorBidi" w:cstheme="majorBidi"/>
          <w:sz w:val="24"/>
          <w:szCs w:val="24"/>
        </w:rPr>
        <w:t>(</w:t>
      </w:r>
      <w:r w:rsidR="00D020F1">
        <w:rPr>
          <w:rFonts w:asciiTheme="majorBidi" w:hAnsiTheme="majorBidi" w:cstheme="majorBidi"/>
          <w:i/>
          <w:iCs/>
          <w:sz w:val="24"/>
          <w:szCs w:val="24"/>
        </w:rPr>
        <w:t xml:space="preserve">Ibid, </w:t>
      </w:r>
      <w:r w:rsidR="00495E41" w:rsidRPr="00D020F1">
        <w:rPr>
          <w:rFonts w:asciiTheme="majorBidi" w:hAnsiTheme="majorBidi" w:cstheme="majorBidi"/>
          <w:sz w:val="24"/>
          <w:szCs w:val="24"/>
        </w:rPr>
        <w:t>p.125)</w:t>
      </w:r>
      <w:r w:rsidR="00D020F1">
        <w:rPr>
          <w:rFonts w:asciiTheme="majorBidi" w:hAnsiTheme="majorBidi" w:cstheme="majorBidi"/>
          <w:sz w:val="24"/>
          <w:szCs w:val="24"/>
        </w:rPr>
        <w:t>.</w:t>
      </w:r>
      <w:r w:rsidR="00495E41" w:rsidRPr="00D020F1">
        <w:rPr>
          <w:rFonts w:asciiTheme="majorBidi" w:hAnsiTheme="majorBidi" w:cstheme="majorBidi"/>
          <w:sz w:val="24"/>
          <w:szCs w:val="24"/>
        </w:rPr>
        <w:t xml:space="preserve">   </w:t>
      </w:r>
    </w:p>
    <w:p w:rsidR="006A4EED" w:rsidRPr="00D020F1" w:rsidRDefault="006A4EED" w:rsidP="00D020F1">
      <w:pPr>
        <w:spacing w:after="0" w:line="360" w:lineRule="auto"/>
        <w:ind w:firstLine="284"/>
        <w:jc w:val="both"/>
        <w:rPr>
          <w:rFonts w:asciiTheme="majorBidi" w:hAnsiTheme="majorBidi" w:cstheme="majorBidi"/>
          <w:sz w:val="24"/>
          <w:szCs w:val="24"/>
        </w:rPr>
      </w:pPr>
      <w:r w:rsidRPr="00D020F1">
        <w:rPr>
          <w:rFonts w:ascii="Times New Roman" w:hAnsi="Times New Roman"/>
          <w:sz w:val="24"/>
          <w:szCs w:val="24"/>
        </w:rPr>
        <w:t xml:space="preserve">Image du rite sacrificiel où le bouc de l'Expiation est traîné dans la ville pour conjurer le sort de la nature pécheresse. La crise sacrificielle débouche ainsi sur un équilibre retrouvé. Pour Roger Gaillois </w:t>
      </w:r>
      <w:r w:rsidRPr="00D020F1">
        <w:rPr>
          <w:rFonts w:asciiTheme="majorBidi" w:hAnsiTheme="majorBidi" w:cstheme="majorBidi"/>
          <w:sz w:val="24"/>
          <w:szCs w:val="24"/>
        </w:rPr>
        <w:t>:</w:t>
      </w:r>
      <w:r w:rsidR="00EE418E" w:rsidRPr="00D020F1">
        <w:rPr>
          <w:rFonts w:asciiTheme="majorBidi" w:hAnsiTheme="majorBidi" w:cstheme="majorBidi"/>
          <w:sz w:val="24"/>
          <w:szCs w:val="24"/>
        </w:rPr>
        <w:t xml:space="preserve"> </w:t>
      </w:r>
      <w:r w:rsidRPr="00D020F1">
        <w:rPr>
          <w:rFonts w:asciiTheme="majorBidi" w:hAnsiTheme="majorBidi" w:cstheme="majorBidi"/>
          <w:sz w:val="24"/>
          <w:szCs w:val="24"/>
        </w:rPr>
        <w:t xml:space="preserve">«Le rite sacrificiel tend à une valeur </w:t>
      </w:r>
      <w:r w:rsidRPr="00D020F1">
        <w:rPr>
          <w:rFonts w:asciiTheme="majorBidi" w:hAnsiTheme="majorBidi" w:cstheme="majorBidi"/>
          <w:sz w:val="24"/>
          <w:szCs w:val="24"/>
        </w:rPr>
        <w:lastRenderedPageBreak/>
        <w:t>expiratoire et fécondante qui vise un Double aspect, celui des liquidations de Souillures passées et celui de la création d'un monde neuf »</w:t>
      </w:r>
      <w:r w:rsidR="00EE418E" w:rsidRPr="00D020F1">
        <w:rPr>
          <w:rFonts w:asciiTheme="majorBidi" w:hAnsiTheme="majorBidi" w:cstheme="majorBidi"/>
          <w:sz w:val="24"/>
          <w:szCs w:val="24"/>
          <w:vertAlign w:val="superscript"/>
        </w:rPr>
        <w:footnoteReference w:id="307"/>
      </w:r>
      <w:r w:rsidR="00D020F1">
        <w:rPr>
          <w:rFonts w:asciiTheme="majorBidi" w:hAnsiTheme="majorBidi" w:cstheme="majorBidi"/>
          <w:sz w:val="24"/>
          <w:szCs w:val="24"/>
        </w:rPr>
        <w:t>.</w:t>
      </w:r>
    </w:p>
    <w:p w:rsidR="006A4EED" w:rsidRPr="003B00C8" w:rsidRDefault="00D020F1" w:rsidP="00D020F1">
      <w:pPr>
        <w:spacing w:after="0" w:line="360" w:lineRule="auto"/>
        <w:ind w:firstLine="284"/>
        <w:jc w:val="both"/>
        <w:rPr>
          <w:rFonts w:ascii="Times New Roman" w:hAnsi="Times New Roman"/>
          <w:sz w:val="24"/>
          <w:szCs w:val="24"/>
        </w:rPr>
      </w:pPr>
      <w:r>
        <w:rPr>
          <w:rFonts w:ascii="Times New Roman" w:hAnsi="Times New Roman"/>
          <w:sz w:val="24"/>
          <w:szCs w:val="24"/>
        </w:rPr>
        <w:t>É</w:t>
      </w:r>
      <w:r w:rsidR="006A4EED" w:rsidRPr="003B00C8">
        <w:rPr>
          <w:rFonts w:ascii="Times New Roman" w:hAnsi="Times New Roman"/>
          <w:sz w:val="24"/>
          <w:szCs w:val="24"/>
        </w:rPr>
        <w:t>voquons pour finir la mort. Cette mort féconde, cette mort source de vie.  Comme nous l'avons souligné dans la partie consacrée au rite sacrificiel où la mort libère les protagonistes et déclenche l'emballement de la scène.</w:t>
      </w:r>
    </w:p>
    <w:p w:rsidR="006A4EED" w:rsidRPr="00D020F1" w:rsidRDefault="006A4EED" w:rsidP="00D020F1">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Cette dernière va se revigorer en intensité dramatique, après le silence opaque et léthargique qui l'enveloppait à l'agonie du Christ. Comme le montre la didascalie</w:t>
      </w:r>
      <w:r w:rsidR="00EE418E">
        <w:rPr>
          <w:rFonts w:ascii="Times New Roman" w:hAnsi="Times New Roman"/>
          <w:sz w:val="24"/>
          <w:szCs w:val="24"/>
        </w:rPr>
        <w:t> </w:t>
      </w:r>
      <w:r w:rsidR="0080141D" w:rsidRPr="00D020F1">
        <w:rPr>
          <w:rFonts w:asciiTheme="majorBidi" w:hAnsiTheme="majorBidi" w:cstheme="majorBidi"/>
          <w:sz w:val="24"/>
          <w:szCs w:val="24"/>
        </w:rPr>
        <w:t>:</w:t>
      </w:r>
      <w:r w:rsidR="00D020F1">
        <w:rPr>
          <w:rFonts w:asciiTheme="majorBidi" w:hAnsiTheme="majorBidi" w:cstheme="majorBidi"/>
          <w:sz w:val="24"/>
          <w:szCs w:val="24"/>
        </w:rPr>
        <w:t xml:space="preserve"> </w:t>
      </w:r>
      <w:r w:rsidR="0080141D" w:rsidRPr="00D020F1">
        <w:rPr>
          <w:rFonts w:asciiTheme="majorBidi" w:hAnsiTheme="majorBidi" w:cstheme="majorBidi"/>
          <w:sz w:val="24"/>
          <w:szCs w:val="24"/>
        </w:rPr>
        <w:t xml:space="preserve">« </w:t>
      </w:r>
      <w:r w:rsidR="0080141D" w:rsidRPr="00587201">
        <w:rPr>
          <w:rFonts w:asciiTheme="majorBidi" w:hAnsiTheme="majorBidi" w:cstheme="majorBidi"/>
          <w:sz w:val="24"/>
          <w:szCs w:val="24"/>
        </w:rPr>
        <w:t>[...] Et</w:t>
      </w:r>
      <w:r w:rsidRPr="00587201">
        <w:rPr>
          <w:rFonts w:asciiTheme="majorBidi" w:hAnsiTheme="majorBidi" w:cstheme="majorBidi"/>
          <w:sz w:val="24"/>
          <w:szCs w:val="24"/>
        </w:rPr>
        <w:t xml:space="preserve"> tout recommence, le tocsin se précipite, la foule hurle, les trompettes sonnent  l'alarme  dans  l'espace les  orages  se  heurtent.</w:t>
      </w:r>
      <w:r w:rsidRPr="00D020F1">
        <w:rPr>
          <w:rFonts w:asciiTheme="majorBidi" w:hAnsiTheme="majorBidi" w:cstheme="majorBidi"/>
          <w:sz w:val="24"/>
          <w:szCs w:val="24"/>
        </w:rPr>
        <w:t xml:space="preserve">» </w:t>
      </w:r>
      <w:r w:rsidR="00495E41" w:rsidRPr="00D020F1">
        <w:rPr>
          <w:rFonts w:asciiTheme="majorBidi" w:hAnsiTheme="majorBidi" w:cstheme="majorBidi"/>
          <w:sz w:val="24"/>
          <w:szCs w:val="24"/>
        </w:rPr>
        <w:t>(</w:t>
      </w:r>
      <w:r w:rsidR="00D020F1">
        <w:rPr>
          <w:rFonts w:asciiTheme="majorBidi" w:hAnsiTheme="majorBidi" w:cstheme="majorBidi"/>
          <w:i/>
          <w:iCs/>
          <w:sz w:val="24"/>
          <w:szCs w:val="24"/>
        </w:rPr>
        <w:t xml:space="preserve">Ibid, </w:t>
      </w:r>
      <w:r w:rsidR="00495E41" w:rsidRPr="00D020F1">
        <w:rPr>
          <w:rFonts w:asciiTheme="majorBidi" w:hAnsiTheme="majorBidi" w:cstheme="majorBidi"/>
          <w:sz w:val="24"/>
          <w:szCs w:val="24"/>
        </w:rPr>
        <w:t>p.124)</w:t>
      </w:r>
      <w:r w:rsidR="00D020F1">
        <w:rPr>
          <w:rFonts w:asciiTheme="majorBidi" w:hAnsiTheme="majorBidi" w:cstheme="majorBidi"/>
          <w:sz w:val="24"/>
          <w:szCs w:val="24"/>
        </w:rPr>
        <w:t>.</w:t>
      </w:r>
      <w:r w:rsidR="00495E41" w:rsidRPr="00D020F1">
        <w:rPr>
          <w:rFonts w:asciiTheme="majorBidi" w:hAnsiTheme="majorBidi" w:cstheme="majorBidi"/>
          <w:sz w:val="24"/>
          <w:szCs w:val="24"/>
        </w:rPr>
        <w:t xml:space="preserve">   </w:t>
      </w:r>
    </w:p>
    <w:p w:rsidR="006A4EED" w:rsidRPr="00D020F1" w:rsidRDefault="006A4EED" w:rsidP="00D020F1">
      <w:pPr>
        <w:spacing w:after="0" w:line="360" w:lineRule="auto"/>
        <w:ind w:firstLine="284"/>
        <w:jc w:val="both"/>
        <w:rPr>
          <w:rFonts w:asciiTheme="majorBidi" w:hAnsiTheme="majorBidi" w:cstheme="majorBidi"/>
          <w:sz w:val="24"/>
          <w:szCs w:val="24"/>
        </w:rPr>
      </w:pPr>
      <w:r w:rsidRPr="00D020F1">
        <w:rPr>
          <w:rFonts w:ascii="Times New Roman" w:hAnsi="Times New Roman"/>
          <w:sz w:val="24"/>
          <w:szCs w:val="24"/>
        </w:rPr>
        <w:t>Dynamisée en cela par les propos du guetteur qui entretenait jusqu'au bout, de par ces commentaires, cette mort qui planait au dessus des têtes des protagonistes, i</w:t>
      </w:r>
      <w:r w:rsidR="00EE418E" w:rsidRPr="00D020F1">
        <w:rPr>
          <w:rFonts w:ascii="Times New Roman" w:hAnsi="Times New Roman"/>
          <w:sz w:val="24"/>
          <w:szCs w:val="24"/>
        </w:rPr>
        <w:t>l</w:t>
      </w:r>
      <w:r w:rsidRPr="00D020F1">
        <w:rPr>
          <w:rFonts w:ascii="Times New Roman" w:hAnsi="Times New Roman"/>
          <w:sz w:val="24"/>
          <w:szCs w:val="24"/>
        </w:rPr>
        <w:t xml:space="preserve"> se retire</w:t>
      </w:r>
      <w:r w:rsidR="00EE418E" w:rsidRPr="00D020F1">
        <w:rPr>
          <w:rFonts w:ascii="Times New Roman" w:hAnsi="Times New Roman"/>
          <w:sz w:val="24"/>
          <w:szCs w:val="24"/>
        </w:rPr>
        <w:t> :</w:t>
      </w:r>
      <w:r w:rsidR="00D020F1">
        <w:rPr>
          <w:rFonts w:ascii="Times New Roman" w:hAnsi="Times New Roman"/>
          <w:sz w:val="24"/>
          <w:szCs w:val="24"/>
        </w:rPr>
        <w:t xml:space="preserve"> </w:t>
      </w:r>
      <w:r w:rsidR="00EE418E" w:rsidRPr="00D020F1">
        <w:rPr>
          <w:rFonts w:asciiTheme="majorBidi" w:hAnsiTheme="majorBidi" w:cstheme="majorBidi"/>
          <w:sz w:val="24"/>
          <w:szCs w:val="24"/>
        </w:rPr>
        <w:t>«</w:t>
      </w:r>
      <w:r w:rsidRPr="00D020F1">
        <w:rPr>
          <w:rFonts w:asciiTheme="majorBidi" w:hAnsiTheme="majorBidi" w:cstheme="majorBidi"/>
          <w:sz w:val="24"/>
          <w:szCs w:val="24"/>
        </w:rPr>
        <w:t xml:space="preserve"> </w:t>
      </w:r>
      <w:r w:rsidRPr="00587201">
        <w:rPr>
          <w:rFonts w:asciiTheme="majorBidi" w:hAnsiTheme="majorBidi" w:cstheme="majorBidi"/>
          <w:sz w:val="24"/>
          <w:szCs w:val="24"/>
        </w:rPr>
        <w:t>Le monde ne périt pas mais, il est méconnaissable Le monde cesse et recommence d'être</w:t>
      </w:r>
      <w:r w:rsidRPr="00D020F1">
        <w:rPr>
          <w:rFonts w:asciiTheme="majorBidi" w:hAnsiTheme="majorBidi" w:cstheme="majorBidi"/>
          <w:sz w:val="24"/>
          <w:szCs w:val="24"/>
        </w:rPr>
        <w:t>»</w:t>
      </w:r>
      <w:r w:rsidR="00495E41" w:rsidRPr="00D020F1">
        <w:rPr>
          <w:rFonts w:asciiTheme="majorBidi" w:hAnsiTheme="majorBidi" w:cstheme="majorBidi"/>
          <w:sz w:val="24"/>
          <w:szCs w:val="24"/>
        </w:rPr>
        <w:t xml:space="preserve"> (</w:t>
      </w:r>
      <w:r w:rsidR="00D020F1">
        <w:rPr>
          <w:rFonts w:asciiTheme="majorBidi" w:hAnsiTheme="majorBidi" w:cstheme="majorBidi"/>
          <w:i/>
          <w:iCs/>
          <w:sz w:val="24"/>
          <w:szCs w:val="24"/>
        </w:rPr>
        <w:t xml:space="preserve">Ibid, </w:t>
      </w:r>
      <w:r w:rsidR="00495E41" w:rsidRPr="00D020F1">
        <w:rPr>
          <w:rFonts w:asciiTheme="majorBidi" w:hAnsiTheme="majorBidi" w:cstheme="majorBidi"/>
          <w:sz w:val="24"/>
          <w:szCs w:val="24"/>
        </w:rPr>
        <w:t>p.125)</w:t>
      </w:r>
      <w:r w:rsidR="00D020F1">
        <w:rPr>
          <w:rFonts w:asciiTheme="majorBidi" w:hAnsiTheme="majorBidi" w:cstheme="majorBidi"/>
          <w:sz w:val="24"/>
          <w:szCs w:val="24"/>
        </w:rPr>
        <w:t>.</w:t>
      </w:r>
      <w:r w:rsidR="00495E41" w:rsidRPr="00D020F1">
        <w:rPr>
          <w:rFonts w:asciiTheme="majorBidi" w:hAnsiTheme="majorBidi" w:cstheme="majorBidi"/>
          <w:sz w:val="24"/>
          <w:szCs w:val="24"/>
        </w:rPr>
        <w:t xml:space="preserve">   </w:t>
      </w:r>
    </w:p>
    <w:p w:rsidR="006A4EED" w:rsidRPr="00D020F1" w:rsidRDefault="006A4EED" w:rsidP="00D020F1">
      <w:pPr>
        <w:spacing w:after="0" w:line="360" w:lineRule="auto"/>
        <w:ind w:firstLine="284"/>
        <w:jc w:val="both"/>
        <w:rPr>
          <w:sz w:val="24"/>
          <w:szCs w:val="24"/>
        </w:rPr>
      </w:pPr>
      <w:r w:rsidRPr="00D020F1">
        <w:rPr>
          <w:rFonts w:ascii="Times New Roman" w:hAnsi="Times New Roman"/>
          <w:sz w:val="24"/>
          <w:szCs w:val="24"/>
        </w:rPr>
        <w:t>C'est le chaos, la rébellion des gueux a commencé, conduite par Barabbas. Elle est présentée sous un angle carnavalesque</w:t>
      </w:r>
      <w:r w:rsidR="00EE418E" w:rsidRPr="00D020F1">
        <w:rPr>
          <w:rFonts w:ascii="Times New Roman" w:hAnsi="Times New Roman"/>
          <w:sz w:val="24"/>
          <w:szCs w:val="24"/>
        </w:rPr>
        <w:t xml:space="preserve"> : </w:t>
      </w:r>
      <w:r w:rsidRPr="00D020F1">
        <w:rPr>
          <w:rFonts w:asciiTheme="majorBidi" w:hAnsiTheme="majorBidi" w:cstheme="majorBidi"/>
          <w:sz w:val="24"/>
          <w:szCs w:val="24"/>
        </w:rPr>
        <w:t xml:space="preserve">« </w:t>
      </w:r>
      <w:r w:rsidRPr="00587201">
        <w:rPr>
          <w:rFonts w:asciiTheme="majorBidi" w:hAnsiTheme="majorBidi" w:cstheme="majorBidi"/>
          <w:sz w:val="24"/>
          <w:szCs w:val="24"/>
        </w:rPr>
        <w:t>[...] je suis votre chef [...] l'émeute a commencé. La ville nous appartient [...] il faut du sang, du Jeu. Ils paieront</w:t>
      </w:r>
      <w:r w:rsidRPr="00D020F1">
        <w:rPr>
          <w:rFonts w:asciiTheme="majorBidi" w:hAnsiTheme="majorBidi" w:cstheme="majorBidi"/>
          <w:sz w:val="24"/>
          <w:szCs w:val="24"/>
        </w:rPr>
        <w:t>»</w:t>
      </w:r>
      <w:r w:rsidR="00501C60" w:rsidRPr="00D020F1">
        <w:rPr>
          <w:sz w:val="24"/>
          <w:szCs w:val="24"/>
        </w:rPr>
        <w:t xml:space="preserve"> </w:t>
      </w:r>
      <w:r w:rsidR="00501C60" w:rsidRPr="00D020F1">
        <w:rPr>
          <w:rFonts w:asciiTheme="majorBidi" w:hAnsiTheme="majorBidi" w:cstheme="majorBidi"/>
          <w:sz w:val="24"/>
          <w:szCs w:val="24"/>
        </w:rPr>
        <w:t>(</w:t>
      </w:r>
      <w:r w:rsidR="00D020F1">
        <w:rPr>
          <w:rFonts w:asciiTheme="majorBidi" w:hAnsiTheme="majorBidi" w:cstheme="majorBidi"/>
          <w:i/>
          <w:iCs/>
          <w:sz w:val="24"/>
          <w:szCs w:val="24"/>
        </w:rPr>
        <w:t xml:space="preserve">Ibid, </w:t>
      </w:r>
      <w:r w:rsidR="00501C60" w:rsidRPr="00D020F1">
        <w:rPr>
          <w:rFonts w:asciiTheme="majorBidi" w:hAnsiTheme="majorBidi" w:cstheme="majorBidi"/>
          <w:sz w:val="24"/>
          <w:szCs w:val="24"/>
        </w:rPr>
        <w:t>p.115)</w:t>
      </w:r>
      <w:r w:rsidR="00D020F1">
        <w:rPr>
          <w:sz w:val="24"/>
          <w:szCs w:val="24"/>
        </w:rPr>
        <w:t>.</w:t>
      </w:r>
      <w:r w:rsidR="00501C60" w:rsidRPr="00D020F1">
        <w:rPr>
          <w:sz w:val="24"/>
          <w:szCs w:val="24"/>
        </w:rPr>
        <w:t xml:space="preserve">  </w:t>
      </w:r>
    </w:p>
    <w:p w:rsidR="00501C60" w:rsidRPr="00D020F1" w:rsidRDefault="006A4EED" w:rsidP="00D020F1">
      <w:pPr>
        <w:spacing w:after="0" w:line="360" w:lineRule="auto"/>
        <w:ind w:firstLine="284"/>
        <w:jc w:val="both"/>
        <w:rPr>
          <w:rFonts w:ascii="Times New Roman" w:hAnsi="Times New Roman"/>
          <w:sz w:val="24"/>
          <w:szCs w:val="24"/>
        </w:rPr>
      </w:pPr>
      <w:r w:rsidRPr="00D020F1">
        <w:rPr>
          <w:rFonts w:ascii="Times New Roman" w:hAnsi="Times New Roman"/>
          <w:sz w:val="24"/>
          <w:szCs w:val="24"/>
        </w:rPr>
        <w:t>Barabbas va inciter ses camarades au meurtre et au désordre</w:t>
      </w:r>
      <w:r w:rsidR="00EE418E" w:rsidRPr="00D020F1">
        <w:rPr>
          <w:rFonts w:ascii="Times New Roman" w:hAnsi="Times New Roman"/>
          <w:sz w:val="24"/>
          <w:szCs w:val="24"/>
        </w:rPr>
        <w:t xml:space="preserve"> : </w:t>
      </w:r>
    </w:p>
    <w:p w:rsidR="006A4EED" w:rsidRPr="00D020F1" w:rsidRDefault="006A4EED" w:rsidP="00D020F1">
      <w:pPr>
        <w:pStyle w:val="Citationintense"/>
        <w:spacing w:before="0" w:after="0" w:line="360" w:lineRule="auto"/>
        <w:ind w:left="0" w:right="0" w:firstLine="284"/>
        <w:rPr>
          <w:sz w:val="24"/>
          <w:szCs w:val="24"/>
        </w:rPr>
      </w:pPr>
      <w:r w:rsidRPr="00D020F1">
        <w:rPr>
          <w:sz w:val="24"/>
          <w:szCs w:val="24"/>
        </w:rPr>
        <w:t xml:space="preserve">« </w:t>
      </w:r>
      <w:r w:rsidR="00D020F1">
        <w:rPr>
          <w:sz w:val="24"/>
          <w:szCs w:val="24"/>
        </w:rPr>
        <w:t>À</w:t>
      </w:r>
      <w:r w:rsidRPr="00D020F1">
        <w:rPr>
          <w:sz w:val="24"/>
          <w:szCs w:val="24"/>
        </w:rPr>
        <w:t xml:space="preserve"> bas les prêtres, les juges, les riches [...] les temps sont révolus. Nous sommes hommes nouveaux [...] Ouvrez les portes de prisons ! </w:t>
      </w:r>
      <w:proofErr w:type="gramStart"/>
      <w:r w:rsidRPr="00D020F1">
        <w:rPr>
          <w:sz w:val="24"/>
          <w:szCs w:val="24"/>
        </w:rPr>
        <w:t>il</w:t>
      </w:r>
      <w:proofErr w:type="gramEnd"/>
      <w:r w:rsidRPr="00D020F1">
        <w:rPr>
          <w:sz w:val="24"/>
          <w:szCs w:val="24"/>
        </w:rPr>
        <w:t xml:space="preserve"> n'y aura plus de pauvres»</w:t>
      </w:r>
      <w:r w:rsidR="00D020F1">
        <w:rPr>
          <w:sz w:val="24"/>
          <w:szCs w:val="24"/>
        </w:rPr>
        <w:t xml:space="preserve">. </w:t>
      </w:r>
      <w:r w:rsidR="00501C60" w:rsidRPr="00D020F1">
        <w:rPr>
          <w:sz w:val="24"/>
          <w:szCs w:val="24"/>
        </w:rPr>
        <w:t>(</w:t>
      </w:r>
      <w:r w:rsidR="00D020F1">
        <w:rPr>
          <w:i/>
          <w:iCs w:val="0"/>
          <w:sz w:val="24"/>
          <w:szCs w:val="24"/>
        </w:rPr>
        <w:t xml:space="preserve">Ibid, </w:t>
      </w:r>
      <w:r w:rsidR="00501C60" w:rsidRPr="00D020F1">
        <w:rPr>
          <w:sz w:val="24"/>
          <w:szCs w:val="24"/>
        </w:rPr>
        <w:t>p.126)</w:t>
      </w:r>
      <w:r w:rsidR="009756C1">
        <w:rPr>
          <w:sz w:val="24"/>
          <w:szCs w:val="24"/>
        </w:rPr>
        <w:t>.</w:t>
      </w:r>
      <w:r w:rsidR="00501C60" w:rsidRPr="00D020F1">
        <w:rPr>
          <w:sz w:val="24"/>
          <w:szCs w:val="24"/>
        </w:rPr>
        <w:t xml:space="preserve">   </w:t>
      </w:r>
    </w:p>
    <w:p w:rsidR="0080141D" w:rsidRPr="00BB1C06" w:rsidRDefault="006A4EED" w:rsidP="00AF6A87">
      <w:pPr>
        <w:spacing w:line="360" w:lineRule="auto"/>
        <w:jc w:val="both"/>
        <w:rPr>
          <w:rFonts w:ascii="Times New Roman" w:hAnsi="Times New Roman"/>
          <w:sz w:val="24"/>
          <w:szCs w:val="24"/>
        </w:rPr>
      </w:pPr>
      <w:r w:rsidRPr="003B00C8">
        <w:rPr>
          <w:rFonts w:ascii="Times New Roman" w:hAnsi="Times New Roman"/>
          <w:sz w:val="24"/>
          <w:szCs w:val="24"/>
        </w:rPr>
        <w:t xml:space="preserve">   </w:t>
      </w:r>
      <w:r w:rsidRPr="00BB1C06">
        <w:rPr>
          <w:rFonts w:ascii="Times New Roman" w:hAnsi="Times New Roman"/>
          <w:sz w:val="24"/>
          <w:szCs w:val="24"/>
        </w:rPr>
        <w:t>Madeleine comme exorcisée ; à la mort du Christ, éprouve une agonie par procuration qui revêt une intensité exceptionnelle, s'identifie pleinement au mourant et garde juste ce qu'il faut de conscience et de distance pour détailler et magnifier l'atroce victoire de la mort. Ces images montrent l'image de la mort créatrice.</w:t>
      </w:r>
      <w:r w:rsidR="00EE418E" w:rsidRPr="00BB1C06">
        <w:rPr>
          <w:rFonts w:ascii="Times New Roman" w:hAnsi="Times New Roman"/>
          <w:sz w:val="24"/>
          <w:szCs w:val="24"/>
        </w:rPr>
        <w:t xml:space="preserve"> </w:t>
      </w:r>
    </w:p>
    <w:p w:rsidR="006A4EED" w:rsidRPr="00BB1C06" w:rsidRDefault="00EE418E" w:rsidP="00BB1C06">
      <w:pPr>
        <w:spacing w:after="0" w:line="360" w:lineRule="auto"/>
        <w:ind w:firstLine="284"/>
        <w:jc w:val="both"/>
        <w:rPr>
          <w:rFonts w:asciiTheme="majorBidi" w:hAnsiTheme="majorBidi" w:cstheme="majorBidi"/>
          <w:sz w:val="24"/>
          <w:szCs w:val="24"/>
        </w:rPr>
      </w:pPr>
      <w:r w:rsidRPr="00BB1C06">
        <w:rPr>
          <w:rFonts w:ascii="Times New Roman" w:hAnsi="Times New Roman"/>
          <w:sz w:val="24"/>
          <w:szCs w:val="24"/>
        </w:rPr>
        <w:t>Bakhtine explique cet univers comme suit </w:t>
      </w:r>
      <w:r w:rsidRPr="00BB1C06">
        <w:rPr>
          <w:rFonts w:asciiTheme="majorBidi" w:hAnsiTheme="majorBidi" w:cstheme="majorBidi"/>
          <w:sz w:val="24"/>
          <w:szCs w:val="24"/>
        </w:rPr>
        <w:t xml:space="preserve">: </w:t>
      </w:r>
      <w:r w:rsidR="006A4EED" w:rsidRPr="00BB1C06">
        <w:rPr>
          <w:rFonts w:asciiTheme="majorBidi" w:hAnsiTheme="majorBidi" w:cstheme="majorBidi"/>
          <w:sz w:val="24"/>
          <w:szCs w:val="24"/>
        </w:rPr>
        <w:t>« Univers voué au mal et toutefois promis à la rédemption, un univers où la vie le dispute à la mort. Un monde qui se régénère ou la mort va permettre à nouveau la naissance »</w:t>
      </w:r>
      <w:r w:rsidR="006A4EED" w:rsidRPr="00BB1C06">
        <w:rPr>
          <w:rFonts w:asciiTheme="majorBidi" w:hAnsiTheme="majorBidi" w:cstheme="majorBidi"/>
          <w:sz w:val="24"/>
          <w:szCs w:val="24"/>
          <w:vertAlign w:val="superscript"/>
        </w:rPr>
        <w:footnoteReference w:id="308"/>
      </w:r>
      <w:r w:rsidR="00BB1C06">
        <w:rPr>
          <w:rFonts w:asciiTheme="majorBidi" w:hAnsiTheme="majorBidi" w:cstheme="majorBidi"/>
          <w:sz w:val="24"/>
          <w:szCs w:val="24"/>
        </w:rPr>
        <w:t>.</w:t>
      </w:r>
    </w:p>
    <w:p w:rsidR="006A4EED" w:rsidRPr="00BB1C06" w:rsidRDefault="006A4EED" w:rsidP="00BB1C06">
      <w:pPr>
        <w:spacing w:after="0" w:line="360" w:lineRule="auto"/>
        <w:ind w:firstLine="284"/>
        <w:jc w:val="both"/>
        <w:rPr>
          <w:rFonts w:asciiTheme="majorBidi" w:hAnsiTheme="majorBidi" w:cstheme="majorBidi"/>
          <w:sz w:val="24"/>
          <w:szCs w:val="24"/>
        </w:rPr>
      </w:pPr>
      <w:r w:rsidRPr="00BB1C06">
        <w:rPr>
          <w:rFonts w:ascii="Times New Roman" w:hAnsi="Times New Roman"/>
          <w:sz w:val="24"/>
          <w:szCs w:val="24"/>
        </w:rPr>
        <w:lastRenderedPageBreak/>
        <w:t xml:space="preserve">La carnavalisation de la mort va se poursuivre par la fusion de l'acte charnel et spirituel celui de l'amour dans la mort féconde. Madeleine répond à </w:t>
      </w:r>
      <w:r w:rsidRPr="00BB1C06">
        <w:rPr>
          <w:rFonts w:asciiTheme="majorBidi" w:hAnsiTheme="majorBidi" w:cstheme="majorBidi"/>
          <w:sz w:val="24"/>
          <w:szCs w:val="24"/>
        </w:rPr>
        <w:t>Pierre en haletant:</w:t>
      </w:r>
      <w:r w:rsidR="00BB1C06" w:rsidRPr="00BB1C06">
        <w:rPr>
          <w:rFonts w:asciiTheme="majorBidi" w:hAnsiTheme="majorBidi" w:cstheme="majorBidi"/>
          <w:sz w:val="24"/>
          <w:szCs w:val="24"/>
        </w:rPr>
        <w:t xml:space="preserve"> </w:t>
      </w:r>
      <w:r w:rsidRPr="00BB1C06">
        <w:rPr>
          <w:rFonts w:asciiTheme="majorBidi" w:hAnsiTheme="majorBidi" w:cstheme="majorBidi"/>
          <w:sz w:val="24"/>
          <w:szCs w:val="24"/>
        </w:rPr>
        <w:t>«</w:t>
      </w:r>
      <w:r w:rsidRPr="00587201">
        <w:rPr>
          <w:rFonts w:asciiTheme="majorBidi" w:hAnsiTheme="majorBidi" w:cstheme="majorBidi"/>
          <w:sz w:val="24"/>
          <w:szCs w:val="24"/>
        </w:rPr>
        <w:t xml:space="preserve">Vivant dans l'amour ! </w:t>
      </w:r>
      <w:r w:rsidR="00CC5C45" w:rsidRPr="00587201">
        <w:rPr>
          <w:rFonts w:asciiTheme="majorBidi" w:hAnsiTheme="majorBidi" w:cstheme="majorBidi"/>
          <w:sz w:val="24"/>
          <w:szCs w:val="24"/>
        </w:rPr>
        <w:t>Mort suave ! Cadavre enchanté.</w:t>
      </w:r>
      <w:r w:rsidR="00CC5C45" w:rsidRPr="00BB1C06">
        <w:rPr>
          <w:rFonts w:asciiTheme="majorBidi" w:hAnsiTheme="majorBidi" w:cstheme="majorBidi"/>
          <w:sz w:val="24"/>
          <w:szCs w:val="24"/>
        </w:rPr>
        <w:t> » (</w:t>
      </w:r>
      <w:r w:rsidR="00BB1C06">
        <w:rPr>
          <w:rFonts w:asciiTheme="majorBidi" w:hAnsiTheme="majorBidi" w:cstheme="majorBidi"/>
          <w:i/>
          <w:iCs/>
          <w:sz w:val="24"/>
          <w:szCs w:val="24"/>
        </w:rPr>
        <w:t xml:space="preserve">Ibid, </w:t>
      </w:r>
      <w:r w:rsidR="00CC5C45" w:rsidRPr="00BB1C06">
        <w:rPr>
          <w:rFonts w:asciiTheme="majorBidi" w:hAnsiTheme="majorBidi" w:cstheme="majorBidi"/>
          <w:sz w:val="24"/>
          <w:szCs w:val="24"/>
        </w:rPr>
        <w:t>p.125).</w:t>
      </w:r>
    </w:p>
    <w:p w:rsidR="006A4EED" w:rsidRPr="00501C60" w:rsidRDefault="006A4EED" w:rsidP="00C36F7A">
      <w:pPr>
        <w:spacing w:after="0" w:line="360" w:lineRule="auto"/>
        <w:ind w:firstLine="284"/>
        <w:jc w:val="both"/>
      </w:pPr>
      <w:r w:rsidRPr="00BB1C06">
        <w:rPr>
          <w:rFonts w:ascii="Times New Roman" w:hAnsi="Times New Roman"/>
          <w:sz w:val="24"/>
          <w:szCs w:val="24"/>
        </w:rPr>
        <w:t>Ou s'exprimant sensuellement à l'agonie du Christ</w:t>
      </w:r>
      <w:r w:rsidR="00EE418E" w:rsidRPr="00BB1C06">
        <w:rPr>
          <w:rFonts w:ascii="Times New Roman" w:hAnsi="Times New Roman"/>
          <w:sz w:val="24"/>
          <w:szCs w:val="24"/>
        </w:rPr>
        <w:t> </w:t>
      </w:r>
      <w:r w:rsidR="00EE418E" w:rsidRPr="00C36F7A">
        <w:rPr>
          <w:rFonts w:asciiTheme="majorBidi" w:hAnsiTheme="majorBidi" w:cstheme="majorBidi"/>
          <w:sz w:val="24"/>
          <w:szCs w:val="24"/>
        </w:rPr>
        <w:t xml:space="preserve">: </w:t>
      </w:r>
      <w:r w:rsidRPr="00C36F7A">
        <w:rPr>
          <w:rFonts w:asciiTheme="majorBidi" w:hAnsiTheme="majorBidi" w:cstheme="majorBidi"/>
          <w:sz w:val="24"/>
          <w:szCs w:val="24"/>
        </w:rPr>
        <w:t xml:space="preserve">« </w:t>
      </w:r>
      <w:r w:rsidRPr="00587201">
        <w:rPr>
          <w:rFonts w:asciiTheme="majorBidi" w:hAnsiTheme="majorBidi" w:cstheme="majorBidi"/>
          <w:sz w:val="24"/>
          <w:szCs w:val="24"/>
        </w:rPr>
        <w:t>[...] Il ne respire plus, je suis près de lui, contre lui [...] Ses yeux vitrés sont remplis d'une atroce extase</w:t>
      </w:r>
      <w:r w:rsidRPr="00C36F7A">
        <w:rPr>
          <w:rFonts w:asciiTheme="majorBidi" w:hAnsiTheme="majorBidi" w:cstheme="majorBidi"/>
          <w:sz w:val="24"/>
          <w:szCs w:val="24"/>
        </w:rPr>
        <w:t xml:space="preserve"> » </w:t>
      </w:r>
      <w:r w:rsidR="00501C60" w:rsidRPr="00C36F7A">
        <w:rPr>
          <w:rFonts w:asciiTheme="majorBidi" w:hAnsiTheme="majorBidi" w:cstheme="majorBidi"/>
          <w:sz w:val="24"/>
          <w:szCs w:val="24"/>
        </w:rPr>
        <w:t>(</w:t>
      </w:r>
      <w:r w:rsidR="00C36F7A">
        <w:rPr>
          <w:rFonts w:asciiTheme="majorBidi" w:hAnsiTheme="majorBidi" w:cstheme="majorBidi"/>
          <w:i/>
          <w:iCs/>
          <w:sz w:val="24"/>
          <w:szCs w:val="24"/>
        </w:rPr>
        <w:t xml:space="preserve">Ibid, </w:t>
      </w:r>
      <w:r w:rsidR="00501C60" w:rsidRPr="00C36F7A">
        <w:rPr>
          <w:rFonts w:asciiTheme="majorBidi" w:hAnsiTheme="majorBidi" w:cstheme="majorBidi"/>
          <w:sz w:val="24"/>
          <w:szCs w:val="24"/>
        </w:rPr>
        <w:t>p.124)</w:t>
      </w:r>
      <w:r w:rsidR="00C36F7A">
        <w:t>.</w:t>
      </w:r>
      <w:r w:rsidR="00501C60" w:rsidRPr="00495E41">
        <w:t xml:space="preserve">  </w:t>
      </w:r>
    </w:p>
    <w:p w:rsidR="006A4EED" w:rsidRPr="00C36F7A" w:rsidRDefault="006A4EED" w:rsidP="00C36F7A">
      <w:pPr>
        <w:spacing w:after="0" w:line="360" w:lineRule="auto"/>
        <w:ind w:firstLine="284"/>
        <w:jc w:val="both"/>
        <w:rPr>
          <w:sz w:val="24"/>
          <w:szCs w:val="24"/>
        </w:rPr>
      </w:pPr>
      <w:r w:rsidRPr="00C36F7A">
        <w:rPr>
          <w:rFonts w:ascii="Times New Roman" w:hAnsi="Times New Roman"/>
          <w:sz w:val="24"/>
          <w:szCs w:val="24"/>
        </w:rPr>
        <w:t>Madeleine seule</w:t>
      </w:r>
      <w:r w:rsidR="0080141D" w:rsidRPr="00C36F7A">
        <w:rPr>
          <w:rFonts w:ascii="Times New Roman" w:hAnsi="Times New Roman"/>
          <w:sz w:val="24"/>
          <w:szCs w:val="24"/>
        </w:rPr>
        <w:t>,</w:t>
      </w:r>
      <w:r w:rsidRPr="00C36F7A">
        <w:rPr>
          <w:rFonts w:ascii="Times New Roman" w:hAnsi="Times New Roman"/>
          <w:sz w:val="24"/>
          <w:szCs w:val="24"/>
        </w:rPr>
        <w:t xml:space="preserve"> </w:t>
      </w:r>
      <w:r w:rsidR="0080141D" w:rsidRPr="00C36F7A">
        <w:rPr>
          <w:rFonts w:ascii="Times New Roman" w:hAnsi="Times New Roman"/>
          <w:sz w:val="24"/>
          <w:szCs w:val="24"/>
        </w:rPr>
        <w:t>en femme « habitée » par la douleur de Jésus</w:t>
      </w:r>
      <w:r w:rsidRPr="00C36F7A">
        <w:rPr>
          <w:rFonts w:asciiTheme="majorBidi" w:hAnsiTheme="majorBidi" w:cstheme="majorBidi"/>
          <w:sz w:val="24"/>
          <w:szCs w:val="24"/>
        </w:rPr>
        <w:t>:</w:t>
      </w:r>
      <w:r w:rsidR="00EE418E" w:rsidRPr="00C36F7A">
        <w:rPr>
          <w:rFonts w:asciiTheme="majorBidi" w:hAnsiTheme="majorBidi" w:cstheme="majorBidi"/>
          <w:sz w:val="24"/>
          <w:szCs w:val="24"/>
        </w:rPr>
        <w:t xml:space="preserve"> </w:t>
      </w:r>
      <w:r w:rsidRPr="00C36F7A">
        <w:rPr>
          <w:rFonts w:asciiTheme="majorBidi" w:hAnsiTheme="majorBidi" w:cstheme="majorBidi"/>
          <w:sz w:val="24"/>
          <w:szCs w:val="24"/>
        </w:rPr>
        <w:t xml:space="preserve">« </w:t>
      </w:r>
      <w:r w:rsidRPr="00587201">
        <w:rPr>
          <w:rFonts w:asciiTheme="majorBidi" w:hAnsiTheme="majorBidi" w:cstheme="majorBidi"/>
          <w:sz w:val="24"/>
          <w:szCs w:val="24"/>
        </w:rPr>
        <w:t>Mes chairs sont transpercées [...] son supplice est le mien [...] sa douleur est ma joie</w:t>
      </w:r>
      <w:r w:rsidRPr="00C36F7A">
        <w:rPr>
          <w:rFonts w:asciiTheme="majorBidi" w:hAnsiTheme="majorBidi" w:cstheme="majorBidi"/>
          <w:sz w:val="24"/>
          <w:szCs w:val="24"/>
        </w:rPr>
        <w:t xml:space="preserve"> » </w:t>
      </w:r>
      <w:r w:rsidR="00501C60" w:rsidRPr="00C36F7A">
        <w:rPr>
          <w:rFonts w:asciiTheme="majorBidi" w:hAnsiTheme="majorBidi" w:cstheme="majorBidi"/>
          <w:sz w:val="24"/>
          <w:szCs w:val="24"/>
        </w:rPr>
        <w:t>(</w:t>
      </w:r>
      <w:r w:rsidR="00C36F7A">
        <w:rPr>
          <w:rFonts w:asciiTheme="majorBidi" w:hAnsiTheme="majorBidi" w:cstheme="majorBidi"/>
          <w:i/>
          <w:iCs/>
          <w:sz w:val="24"/>
          <w:szCs w:val="24"/>
        </w:rPr>
        <w:t xml:space="preserve">Ibid, </w:t>
      </w:r>
      <w:r w:rsidR="00501C60" w:rsidRPr="00C36F7A">
        <w:rPr>
          <w:rFonts w:asciiTheme="majorBidi" w:hAnsiTheme="majorBidi" w:cstheme="majorBidi"/>
          <w:sz w:val="24"/>
          <w:szCs w:val="24"/>
        </w:rPr>
        <w:t>p.125)</w:t>
      </w:r>
      <w:r w:rsidR="00C36F7A">
        <w:rPr>
          <w:rFonts w:asciiTheme="majorBidi" w:hAnsiTheme="majorBidi" w:cstheme="majorBidi"/>
          <w:sz w:val="24"/>
          <w:szCs w:val="24"/>
        </w:rPr>
        <w:t>.</w:t>
      </w:r>
      <w:r w:rsidR="00501C60" w:rsidRPr="00C36F7A">
        <w:rPr>
          <w:sz w:val="24"/>
          <w:szCs w:val="24"/>
        </w:rPr>
        <w:t xml:space="preserve">   </w:t>
      </w:r>
    </w:p>
    <w:p w:rsidR="006A4EED" w:rsidRPr="00BE1E32" w:rsidRDefault="006A4EED" w:rsidP="00CF2D96">
      <w:pPr>
        <w:spacing w:after="0" w:line="360" w:lineRule="auto"/>
        <w:ind w:firstLine="284"/>
        <w:jc w:val="both"/>
      </w:pPr>
      <w:r w:rsidRPr="00CF2D96">
        <w:rPr>
          <w:rFonts w:ascii="Times New Roman" w:hAnsi="Times New Roman"/>
          <w:sz w:val="24"/>
          <w:szCs w:val="24"/>
        </w:rPr>
        <w:t xml:space="preserve">Bakhtine écrit </w:t>
      </w:r>
      <w:r w:rsidRPr="00CF2D96">
        <w:rPr>
          <w:rFonts w:asciiTheme="majorBidi" w:hAnsiTheme="majorBidi" w:cstheme="majorBidi"/>
          <w:sz w:val="24"/>
          <w:szCs w:val="24"/>
        </w:rPr>
        <w:t>:</w:t>
      </w:r>
      <w:r w:rsidR="00EE418E" w:rsidRPr="00CF2D96">
        <w:rPr>
          <w:rFonts w:asciiTheme="majorBidi" w:hAnsiTheme="majorBidi" w:cstheme="majorBidi"/>
          <w:sz w:val="24"/>
          <w:szCs w:val="24"/>
        </w:rPr>
        <w:t xml:space="preserve"> </w:t>
      </w:r>
      <w:r w:rsidRPr="00CF2D96">
        <w:rPr>
          <w:rFonts w:asciiTheme="majorBidi" w:hAnsiTheme="majorBidi" w:cstheme="majorBidi"/>
          <w:sz w:val="24"/>
          <w:szCs w:val="24"/>
        </w:rPr>
        <w:t>« La femme est la tombe corporelle de l'homme [...] c'est un inépuisable vaisseau de la fécondation qui voue à la mort tout ce qui est vieux et achevé. Elle rapproche de la Terre, corporalise donne la mort mais elle est avant tout le principe de la vie, le ventre.»</w:t>
      </w:r>
      <w:r w:rsidRPr="00CF2D96">
        <w:rPr>
          <w:rFonts w:asciiTheme="majorBidi" w:hAnsiTheme="majorBidi" w:cstheme="majorBidi"/>
          <w:sz w:val="24"/>
          <w:szCs w:val="24"/>
          <w:vertAlign w:val="superscript"/>
        </w:rPr>
        <w:footnoteReference w:id="309"/>
      </w:r>
      <w:r w:rsidRPr="00CF2D96">
        <w:rPr>
          <w:rFonts w:asciiTheme="majorBidi" w:hAnsiTheme="majorBidi" w:cstheme="majorBidi"/>
          <w:sz w:val="24"/>
          <w:szCs w:val="24"/>
        </w:rPr>
        <w:t xml:space="preserve">                </w:t>
      </w:r>
      <w:r w:rsidRPr="00CF2D96">
        <w:rPr>
          <w:rFonts w:asciiTheme="majorBidi" w:hAnsiTheme="majorBidi" w:cstheme="majorBidi"/>
        </w:rPr>
        <w:t xml:space="preserve">                                                                                                                                                                                                                                                 </w:t>
      </w:r>
    </w:p>
    <w:p w:rsidR="006A4EED" w:rsidRPr="003B00C8" w:rsidRDefault="006A4EED" w:rsidP="00CF2D96">
      <w:pPr>
        <w:spacing w:after="0" w:line="360" w:lineRule="auto"/>
        <w:ind w:firstLine="284"/>
        <w:jc w:val="both"/>
        <w:rPr>
          <w:rFonts w:ascii="Times New Roman" w:hAnsi="Times New Roman"/>
          <w:sz w:val="24"/>
          <w:szCs w:val="24"/>
        </w:rPr>
      </w:pPr>
      <w:r w:rsidRPr="003B00C8">
        <w:rPr>
          <w:rFonts w:ascii="Times New Roman" w:hAnsi="Times New Roman"/>
          <w:sz w:val="24"/>
          <w:szCs w:val="24"/>
        </w:rPr>
        <w:t>Barabbas est assassiné par le Pitre à la fin de la pièce. Ce pitre personnage de chair que de fiction perpétuerait cette fois-ci la victoire de la vie sur la mort. . Cette mort féconde est révélation et introduction, c'est l'aspect périssable et destructible de l'existence, mais elle est aussi accès à une vie nouvelle celle des régénérescences.</w:t>
      </w:r>
    </w:p>
    <w:p w:rsidR="006A4EED" w:rsidRPr="003B00C8" w:rsidRDefault="006A4EED" w:rsidP="00C756C1">
      <w:pPr>
        <w:spacing w:after="0" w:line="360" w:lineRule="auto"/>
        <w:ind w:firstLine="284"/>
        <w:jc w:val="both"/>
        <w:rPr>
          <w:rFonts w:ascii="Times New Roman" w:hAnsi="Times New Roman"/>
          <w:sz w:val="24"/>
          <w:szCs w:val="24"/>
        </w:rPr>
      </w:pPr>
      <w:r w:rsidRPr="003B00C8">
        <w:rPr>
          <w:rFonts w:ascii="Times New Roman" w:hAnsi="Times New Roman"/>
          <w:sz w:val="24"/>
          <w:szCs w:val="24"/>
        </w:rPr>
        <w:t>Perception carnavalesque du monde ou justement la mort est une phase nécessaire de la vie, une condition de sa rénovation et de rajeunissement permanent.</w:t>
      </w:r>
    </w:p>
    <w:p w:rsidR="00954B84" w:rsidRPr="003B00C8" w:rsidRDefault="00954B84" w:rsidP="006A4EED">
      <w:pPr>
        <w:ind w:firstLine="708"/>
        <w:rPr>
          <w:rFonts w:ascii="Times New Roman" w:hAnsi="Times New Roman"/>
          <w:sz w:val="24"/>
          <w:szCs w:val="24"/>
        </w:rPr>
      </w:pPr>
    </w:p>
    <w:p w:rsidR="002A3719" w:rsidRPr="004F5262" w:rsidRDefault="001D3CA0" w:rsidP="00BC7421">
      <w:pPr>
        <w:pStyle w:val="Titre4"/>
        <w:spacing w:before="0" w:after="0" w:line="360" w:lineRule="auto"/>
        <w:ind w:left="641" w:hanging="357"/>
        <w:jc w:val="both"/>
        <w:rPr>
          <w:rFonts w:ascii="Times New Roman" w:hAnsi="Times New Roman"/>
          <w:i w:val="0"/>
          <w:iCs/>
          <w:lang w:eastAsia="fr-FR"/>
        </w:rPr>
      </w:pPr>
      <w:bookmarkStart w:id="178" w:name="_Toc471484545"/>
      <w:r>
        <w:rPr>
          <w:rFonts w:ascii="Times New Roman" w:hAnsi="Times New Roman"/>
          <w:i w:val="0"/>
          <w:iCs/>
          <w:lang w:eastAsia="fr-FR"/>
        </w:rPr>
        <w:t>4.</w:t>
      </w:r>
      <w:r w:rsidRPr="004F5262">
        <w:rPr>
          <w:rFonts w:ascii="Times New Roman" w:hAnsi="Times New Roman"/>
          <w:i w:val="0"/>
          <w:iCs/>
          <w:lang w:eastAsia="fr-FR"/>
        </w:rPr>
        <w:t xml:space="preserve"> </w:t>
      </w:r>
      <w:r w:rsidR="00BC7421">
        <w:rPr>
          <w:rFonts w:ascii="Times New Roman" w:hAnsi="Times New Roman"/>
          <w:i w:val="0"/>
          <w:iCs/>
          <w:lang w:eastAsia="fr-FR"/>
        </w:rPr>
        <w:t>Conclusion partielle</w:t>
      </w:r>
      <w:r w:rsidR="002A3719" w:rsidRPr="004F5262">
        <w:rPr>
          <w:rFonts w:ascii="Times New Roman" w:hAnsi="Times New Roman"/>
          <w:i w:val="0"/>
          <w:iCs/>
          <w:lang w:eastAsia="fr-FR"/>
        </w:rPr>
        <w:t xml:space="preserve"> de l’analyse sémio</w:t>
      </w:r>
      <w:r w:rsidR="00BE1E32" w:rsidRPr="004F5262">
        <w:rPr>
          <w:rFonts w:ascii="Times New Roman" w:hAnsi="Times New Roman"/>
          <w:i w:val="0"/>
          <w:iCs/>
          <w:lang w:eastAsia="fr-FR"/>
        </w:rPr>
        <w:t>tique</w:t>
      </w:r>
      <w:r w:rsidR="002A3719" w:rsidRPr="004F5262">
        <w:rPr>
          <w:rFonts w:ascii="Times New Roman" w:hAnsi="Times New Roman"/>
          <w:i w:val="0"/>
          <w:iCs/>
          <w:lang w:eastAsia="fr-FR"/>
        </w:rPr>
        <w:t xml:space="preserve"> du discours dans les deux pièces</w:t>
      </w:r>
      <w:bookmarkEnd w:id="178"/>
    </w:p>
    <w:p w:rsidR="00BC7421" w:rsidRDefault="002A3719" w:rsidP="001D3CA0">
      <w:pPr>
        <w:pStyle w:val="Default"/>
        <w:spacing w:line="360" w:lineRule="auto"/>
        <w:ind w:firstLine="284"/>
        <w:jc w:val="both"/>
      </w:pPr>
      <w:r w:rsidRPr="004F5262">
        <w:t>En définitive, que</w:t>
      </w:r>
      <w:r w:rsidR="002F27B2" w:rsidRPr="004F5262">
        <w:t xml:space="preserve">ls rapprochements </w:t>
      </w:r>
      <w:r w:rsidRPr="004F5262">
        <w:t>sémio</w:t>
      </w:r>
      <w:r w:rsidR="00AB0240" w:rsidRPr="004F5262">
        <w:t>tiques</w:t>
      </w:r>
      <w:r w:rsidRPr="004F5262">
        <w:t xml:space="preserve"> peut-on faire</w:t>
      </w:r>
      <w:r w:rsidR="00BC7421">
        <w:t>, comme synthèse,</w:t>
      </w:r>
      <w:r w:rsidRPr="004F5262">
        <w:t xml:space="preserve"> entre les pièces examinées et comment ces procédés étudiés révèlent et valorisent-ils la théâtralité ? </w:t>
      </w:r>
    </w:p>
    <w:p w:rsidR="002A3719" w:rsidRPr="004F5262" w:rsidRDefault="002A3719" w:rsidP="001D3CA0">
      <w:pPr>
        <w:pStyle w:val="Default"/>
        <w:spacing w:line="360" w:lineRule="auto"/>
        <w:ind w:firstLine="284"/>
        <w:jc w:val="both"/>
      </w:pPr>
      <w:r w:rsidRPr="004F5262">
        <w:t>Nous tirons ici une synthèse des corpus sous forme d’enseignements ultimes.</w:t>
      </w:r>
    </w:p>
    <w:p w:rsidR="00BC7421" w:rsidRPr="00BC7421" w:rsidRDefault="00BC7421" w:rsidP="001D3CA0">
      <w:pPr>
        <w:spacing w:after="0" w:line="360" w:lineRule="auto"/>
        <w:ind w:firstLine="284"/>
        <w:jc w:val="both"/>
        <w:rPr>
          <w:rFonts w:ascii="Times New Roman" w:hAnsi="Times New Roman"/>
          <w:sz w:val="4"/>
          <w:szCs w:val="4"/>
        </w:rPr>
      </w:pPr>
      <w:proofErr w:type="gramStart"/>
      <w:r>
        <w:rPr>
          <w:rFonts w:ascii="Times New Roman" w:hAnsi="Times New Roman"/>
          <w:sz w:val="4"/>
          <w:szCs w:val="4"/>
        </w:rPr>
        <w:t>s</w:t>
      </w:r>
      <w:proofErr w:type="gramEnd"/>
    </w:p>
    <w:p w:rsidR="000F3D5C" w:rsidRPr="004F5262" w:rsidRDefault="002A3719" w:rsidP="001D3CA0">
      <w:pPr>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En clôturant cette thèse, on relèvera </w:t>
      </w:r>
      <w:r w:rsidR="000F3D5C" w:rsidRPr="004F5262">
        <w:rPr>
          <w:rFonts w:ascii="Times New Roman" w:hAnsi="Times New Roman"/>
          <w:sz w:val="24"/>
          <w:szCs w:val="24"/>
        </w:rPr>
        <w:t xml:space="preserve">bien sur que Kaki et Ghelderode opèrent dans des environnements distincts non seulement d’un point de vue spatio-temporel évidemment, mais  aussi social, culturel et théâtral. Les nuances des </w:t>
      </w:r>
      <w:r w:rsidR="000F3D5C" w:rsidRPr="004F5262">
        <w:rPr>
          <w:rFonts w:ascii="Times New Roman" w:hAnsi="Times New Roman"/>
          <w:sz w:val="24"/>
          <w:szCs w:val="24"/>
        </w:rPr>
        <w:lastRenderedPageBreak/>
        <w:t>approches sémio</w:t>
      </w:r>
      <w:r w:rsidR="00AB0240" w:rsidRPr="004F5262">
        <w:rPr>
          <w:rFonts w:ascii="Times New Roman" w:hAnsi="Times New Roman"/>
          <w:sz w:val="24"/>
          <w:szCs w:val="24"/>
        </w:rPr>
        <w:t>tiques</w:t>
      </w:r>
      <w:r w:rsidR="000F3D5C" w:rsidRPr="004F5262">
        <w:rPr>
          <w:rFonts w:ascii="Times New Roman" w:hAnsi="Times New Roman"/>
          <w:sz w:val="24"/>
          <w:szCs w:val="24"/>
        </w:rPr>
        <w:t xml:space="preserve"> du discours entre les deux auteurs sont davantage liées à cette distance, ce qui est naturel. Aussi ne nous attarderons-nous pas trop dessus.</w:t>
      </w:r>
    </w:p>
    <w:p w:rsidR="00954B84" w:rsidRPr="004F5262" w:rsidRDefault="000F3D5C" w:rsidP="00465DA3">
      <w:pPr>
        <w:spacing w:after="0" w:line="360" w:lineRule="auto"/>
        <w:ind w:firstLine="284"/>
        <w:jc w:val="both"/>
        <w:rPr>
          <w:rFonts w:ascii="Times New Roman" w:hAnsi="Times New Roman"/>
          <w:sz w:val="24"/>
          <w:szCs w:val="24"/>
        </w:rPr>
      </w:pPr>
      <w:r w:rsidRPr="004F5262">
        <w:rPr>
          <w:rFonts w:ascii="Times New Roman" w:hAnsi="Times New Roman"/>
          <w:sz w:val="24"/>
          <w:szCs w:val="24"/>
        </w:rPr>
        <w:t xml:space="preserve">En revanche, l’on notera </w:t>
      </w:r>
      <w:r w:rsidR="002A3719" w:rsidRPr="004F5262">
        <w:rPr>
          <w:rFonts w:ascii="Times New Roman" w:hAnsi="Times New Roman"/>
          <w:sz w:val="24"/>
          <w:szCs w:val="24"/>
        </w:rPr>
        <w:t>chez Kaki comme chez Ghelderode des</w:t>
      </w:r>
      <w:r w:rsidRPr="004F5262">
        <w:rPr>
          <w:rFonts w:ascii="Times New Roman" w:hAnsi="Times New Roman"/>
          <w:sz w:val="24"/>
          <w:szCs w:val="24"/>
        </w:rPr>
        <w:t xml:space="preserve"> points de rapprochement sémiotiques qui pourraient constituer autant </w:t>
      </w:r>
      <w:r w:rsidR="002A3719" w:rsidRPr="004F5262">
        <w:rPr>
          <w:rFonts w:ascii="Times New Roman" w:hAnsi="Times New Roman"/>
          <w:sz w:val="24"/>
          <w:szCs w:val="24"/>
        </w:rPr>
        <w:t xml:space="preserve"> </w:t>
      </w:r>
      <w:r w:rsidRPr="004F5262">
        <w:rPr>
          <w:rFonts w:ascii="Times New Roman" w:hAnsi="Times New Roman"/>
          <w:sz w:val="24"/>
          <w:szCs w:val="24"/>
        </w:rPr>
        <w:t>d’éléments de synthèse :</w:t>
      </w:r>
    </w:p>
    <w:p w:rsidR="00076BCD" w:rsidRPr="00465DA3" w:rsidRDefault="00076BCD" w:rsidP="00465DA3">
      <w:pPr>
        <w:pStyle w:val="Paragraphedeliste"/>
        <w:numPr>
          <w:ilvl w:val="0"/>
          <w:numId w:val="80"/>
        </w:numPr>
        <w:spacing w:after="0" w:line="360" w:lineRule="auto"/>
        <w:jc w:val="both"/>
        <w:rPr>
          <w:rFonts w:ascii="Times New Roman" w:hAnsi="Times New Roman"/>
          <w:sz w:val="24"/>
          <w:szCs w:val="24"/>
        </w:rPr>
      </w:pPr>
      <w:r w:rsidRPr="00465DA3">
        <w:rPr>
          <w:rFonts w:ascii="Times New Roman" w:hAnsi="Times New Roman"/>
          <w:b/>
          <w:sz w:val="24"/>
          <w:szCs w:val="24"/>
        </w:rPr>
        <w:t>Le milieu ambiant comme creuset</w:t>
      </w:r>
      <w:r w:rsidRPr="00465DA3">
        <w:rPr>
          <w:rFonts w:ascii="Times New Roman" w:hAnsi="Times New Roman"/>
          <w:sz w:val="24"/>
          <w:szCs w:val="24"/>
        </w:rPr>
        <w:t xml:space="preserve"> : La sémiotique chez Kaki comme chez Ghelderode est indissociable du milieu ambiant. </w:t>
      </w:r>
      <w:r w:rsidR="000F3D5C" w:rsidRPr="00465DA3">
        <w:rPr>
          <w:rFonts w:ascii="Times New Roman" w:hAnsi="Times New Roman"/>
          <w:sz w:val="24"/>
          <w:szCs w:val="24"/>
        </w:rPr>
        <w:t>L’on a pu voir au départ de cette Thèse que l</w:t>
      </w:r>
      <w:r w:rsidRPr="00465DA3">
        <w:rPr>
          <w:rFonts w:ascii="Times New Roman" w:hAnsi="Times New Roman"/>
          <w:sz w:val="24"/>
          <w:szCs w:val="24"/>
        </w:rPr>
        <w:t xml:space="preserve">es deux auteurs ont été profondément marqués par leur environnement. </w:t>
      </w:r>
      <w:r w:rsidR="000F3D5C" w:rsidRPr="00465DA3">
        <w:rPr>
          <w:rFonts w:ascii="Times New Roman" w:hAnsi="Times New Roman"/>
          <w:sz w:val="24"/>
          <w:szCs w:val="24"/>
        </w:rPr>
        <w:t>Un milieu f</w:t>
      </w:r>
      <w:r w:rsidRPr="00465DA3">
        <w:rPr>
          <w:rFonts w:ascii="Times New Roman" w:hAnsi="Times New Roman"/>
          <w:sz w:val="24"/>
          <w:szCs w:val="24"/>
        </w:rPr>
        <w:t>estif et populaire</w:t>
      </w:r>
      <w:r w:rsidR="000F3D5C" w:rsidRPr="00465DA3">
        <w:rPr>
          <w:rFonts w:ascii="Times New Roman" w:hAnsi="Times New Roman"/>
          <w:sz w:val="24"/>
          <w:szCs w:val="24"/>
        </w:rPr>
        <w:t>, voire pauvre</w:t>
      </w:r>
      <w:r w:rsidRPr="00465DA3">
        <w:rPr>
          <w:rFonts w:ascii="Times New Roman" w:hAnsi="Times New Roman"/>
          <w:sz w:val="24"/>
          <w:szCs w:val="24"/>
        </w:rPr>
        <w:t xml:space="preserve"> pour Kaki. </w:t>
      </w:r>
      <w:r w:rsidR="000F3D5C" w:rsidRPr="00465DA3">
        <w:rPr>
          <w:rFonts w:ascii="Times New Roman" w:hAnsi="Times New Roman"/>
          <w:sz w:val="24"/>
          <w:szCs w:val="24"/>
        </w:rPr>
        <w:t>Un climat r</w:t>
      </w:r>
      <w:r w:rsidRPr="00465DA3">
        <w:rPr>
          <w:rFonts w:ascii="Times New Roman" w:hAnsi="Times New Roman"/>
          <w:sz w:val="24"/>
          <w:szCs w:val="24"/>
        </w:rPr>
        <w:t xml:space="preserve">eligieux </w:t>
      </w:r>
      <w:r w:rsidR="000F3D5C" w:rsidRPr="00465DA3">
        <w:rPr>
          <w:rFonts w:ascii="Times New Roman" w:hAnsi="Times New Roman"/>
          <w:sz w:val="24"/>
          <w:szCs w:val="24"/>
        </w:rPr>
        <w:t xml:space="preserve">mais aussi </w:t>
      </w:r>
      <w:r w:rsidRPr="00465DA3">
        <w:rPr>
          <w:rFonts w:ascii="Times New Roman" w:hAnsi="Times New Roman"/>
          <w:sz w:val="24"/>
          <w:szCs w:val="24"/>
        </w:rPr>
        <w:t xml:space="preserve">révolté pour Ghelderode. La </w:t>
      </w:r>
      <w:r w:rsidR="00AB0240" w:rsidRPr="00465DA3">
        <w:rPr>
          <w:rFonts w:ascii="Times New Roman" w:hAnsi="Times New Roman"/>
          <w:sz w:val="24"/>
          <w:szCs w:val="24"/>
        </w:rPr>
        <w:t>sémiotique</w:t>
      </w:r>
      <w:r w:rsidRPr="00465DA3">
        <w:rPr>
          <w:rFonts w:ascii="Times New Roman" w:hAnsi="Times New Roman"/>
          <w:sz w:val="24"/>
          <w:szCs w:val="24"/>
        </w:rPr>
        <w:t xml:space="preserve"> du discours chez l’un comme chez l’autre est intrinsèquement colorée par c</w:t>
      </w:r>
      <w:r w:rsidR="000F3D5C" w:rsidRPr="00465DA3">
        <w:rPr>
          <w:rFonts w:ascii="Times New Roman" w:hAnsi="Times New Roman"/>
          <w:sz w:val="24"/>
          <w:szCs w:val="24"/>
        </w:rPr>
        <w:t>hacun de ces</w:t>
      </w:r>
      <w:r w:rsidRPr="00465DA3">
        <w:rPr>
          <w:rFonts w:ascii="Times New Roman" w:hAnsi="Times New Roman"/>
          <w:sz w:val="24"/>
          <w:szCs w:val="24"/>
        </w:rPr>
        <w:t xml:space="preserve"> </w:t>
      </w:r>
      <w:r w:rsidR="000F3D5C" w:rsidRPr="00465DA3">
        <w:rPr>
          <w:rFonts w:ascii="Times New Roman" w:hAnsi="Times New Roman"/>
          <w:sz w:val="24"/>
          <w:szCs w:val="24"/>
        </w:rPr>
        <w:t>environnements</w:t>
      </w:r>
      <w:r w:rsidRPr="00465DA3">
        <w:rPr>
          <w:rFonts w:ascii="Times New Roman" w:hAnsi="Times New Roman"/>
          <w:sz w:val="24"/>
          <w:szCs w:val="24"/>
        </w:rPr>
        <w:t xml:space="preserve">. </w:t>
      </w:r>
      <w:r w:rsidR="000F3D5C" w:rsidRPr="00465DA3">
        <w:rPr>
          <w:rFonts w:ascii="Times New Roman" w:hAnsi="Times New Roman"/>
          <w:sz w:val="24"/>
          <w:szCs w:val="24"/>
        </w:rPr>
        <w:t>Kaki et Ghelderode</w:t>
      </w:r>
      <w:r w:rsidRPr="00465DA3">
        <w:rPr>
          <w:rFonts w:ascii="Times New Roman" w:hAnsi="Times New Roman"/>
          <w:sz w:val="24"/>
          <w:szCs w:val="24"/>
        </w:rPr>
        <w:t xml:space="preserve"> y puisent la gestuelle, la tonalité, la musique et même le silence </w:t>
      </w:r>
      <w:r w:rsidR="000F3D5C" w:rsidRPr="00465DA3">
        <w:rPr>
          <w:rFonts w:ascii="Times New Roman" w:hAnsi="Times New Roman"/>
          <w:sz w:val="24"/>
          <w:szCs w:val="24"/>
        </w:rPr>
        <w:t xml:space="preserve">qui </w:t>
      </w:r>
      <w:r w:rsidR="00AC0005" w:rsidRPr="00465DA3">
        <w:rPr>
          <w:rFonts w:ascii="Times New Roman" w:hAnsi="Times New Roman"/>
          <w:sz w:val="24"/>
          <w:szCs w:val="24"/>
        </w:rPr>
        <w:t xml:space="preserve">forge leurs pièces et </w:t>
      </w:r>
      <w:r w:rsidR="000F3D5C" w:rsidRPr="00465DA3">
        <w:rPr>
          <w:rFonts w:ascii="Times New Roman" w:hAnsi="Times New Roman"/>
          <w:sz w:val="24"/>
          <w:szCs w:val="24"/>
        </w:rPr>
        <w:t>transparait dans</w:t>
      </w:r>
      <w:r w:rsidRPr="00465DA3">
        <w:rPr>
          <w:rFonts w:ascii="Times New Roman" w:hAnsi="Times New Roman"/>
          <w:sz w:val="24"/>
          <w:szCs w:val="24"/>
        </w:rPr>
        <w:t xml:space="preserve"> leur discours. </w:t>
      </w:r>
      <w:r w:rsidR="00AC0005" w:rsidRPr="00465DA3">
        <w:rPr>
          <w:rFonts w:ascii="Times New Roman" w:hAnsi="Times New Roman"/>
          <w:sz w:val="24"/>
          <w:szCs w:val="24"/>
        </w:rPr>
        <w:t xml:space="preserve">C’est ce qui soutient chez </w:t>
      </w:r>
      <w:r w:rsidRPr="00465DA3">
        <w:rPr>
          <w:rFonts w:ascii="Times New Roman" w:hAnsi="Times New Roman"/>
          <w:sz w:val="24"/>
          <w:szCs w:val="24"/>
        </w:rPr>
        <w:t>Kaki ce timbre populeux et modeste</w:t>
      </w:r>
      <w:r w:rsidR="00AC0005" w:rsidRPr="00465DA3">
        <w:rPr>
          <w:rFonts w:ascii="Times New Roman" w:hAnsi="Times New Roman"/>
          <w:sz w:val="24"/>
          <w:szCs w:val="24"/>
        </w:rPr>
        <w:t xml:space="preserve"> dans le discours</w:t>
      </w:r>
      <w:r w:rsidRPr="00465DA3">
        <w:rPr>
          <w:rFonts w:ascii="Times New Roman" w:hAnsi="Times New Roman"/>
          <w:sz w:val="24"/>
          <w:szCs w:val="24"/>
        </w:rPr>
        <w:t xml:space="preserve">. </w:t>
      </w:r>
      <w:r w:rsidR="00AC0005" w:rsidRPr="00465DA3">
        <w:rPr>
          <w:rFonts w:ascii="Times New Roman" w:hAnsi="Times New Roman"/>
          <w:sz w:val="24"/>
          <w:szCs w:val="24"/>
        </w:rPr>
        <w:t xml:space="preserve">C’est aussi le milieu qui explique chez Ghelderode </w:t>
      </w:r>
      <w:r w:rsidRPr="00465DA3">
        <w:rPr>
          <w:rFonts w:ascii="Times New Roman" w:hAnsi="Times New Roman"/>
          <w:sz w:val="24"/>
          <w:szCs w:val="24"/>
        </w:rPr>
        <w:t>cette insaisissable mais omniprésente</w:t>
      </w:r>
      <w:r w:rsidR="00AC0005" w:rsidRPr="00465DA3">
        <w:rPr>
          <w:rFonts w:ascii="Times New Roman" w:hAnsi="Times New Roman"/>
          <w:sz w:val="24"/>
          <w:szCs w:val="24"/>
        </w:rPr>
        <w:t xml:space="preserve"> chape</w:t>
      </w:r>
      <w:r w:rsidRPr="00465DA3">
        <w:rPr>
          <w:rFonts w:ascii="Times New Roman" w:hAnsi="Times New Roman"/>
          <w:sz w:val="24"/>
          <w:szCs w:val="24"/>
        </w:rPr>
        <w:t xml:space="preserve"> sombre, </w:t>
      </w:r>
      <w:r w:rsidR="000F3D5C" w:rsidRPr="00465DA3">
        <w:rPr>
          <w:rFonts w:ascii="Times New Roman" w:hAnsi="Times New Roman"/>
          <w:sz w:val="24"/>
          <w:szCs w:val="24"/>
        </w:rPr>
        <w:t xml:space="preserve">tantôt inquiétante, tantôt provocante. </w:t>
      </w:r>
      <w:r w:rsidR="00AC0005" w:rsidRPr="00465DA3">
        <w:rPr>
          <w:rFonts w:ascii="Times New Roman" w:hAnsi="Times New Roman"/>
          <w:sz w:val="24"/>
          <w:szCs w:val="24"/>
        </w:rPr>
        <w:t>Finalement le discours</w:t>
      </w:r>
      <w:r w:rsidRPr="00465DA3">
        <w:rPr>
          <w:rFonts w:ascii="Times New Roman" w:hAnsi="Times New Roman"/>
          <w:sz w:val="24"/>
          <w:szCs w:val="24"/>
        </w:rPr>
        <w:t xml:space="preserve"> </w:t>
      </w:r>
      <w:r w:rsidR="000F3D5C" w:rsidRPr="00465DA3">
        <w:rPr>
          <w:rFonts w:ascii="Times New Roman" w:hAnsi="Times New Roman"/>
          <w:sz w:val="24"/>
          <w:szCs w:val="24"/>
        </w:rPr>
        <w:t xml:space="preserve">chez Kaki comme chez Ghelderode </w:t>
      </w:r>
      <w:r w:rsidRPr="00465DA3">
        <w:rPr>
          <w:rFonts w:ascii="Times New Roman" w:hAnsi="Times New Roman"/>
          <w:sz w:val="24"/>
          <w:szCs w:val="24"/>
        </w:rPr>
        <w:t xml:space="preserve">vient du milieu ambiant. Celui d’hier et celui d’aujourd’hui. </w:t>
      </w:r>
    </w:p>
    <w:p w:rsidR="00076BCD" w:rsidRPr="004F5262" w:rsidRDefault="00076BCD" w:rsidP="00465DA3">
      <w:pPr>
        <w:pStyle w:val="Paragraphedeliste"/>
        <w:spacing w:after="0" w:line="360" w:lineRule="auto"/>
        <w:ind w:left="0" w:firstLine="284"/>
        <w:contextualSpacing w:val="0"/>
        <w:jc w:val="both"/>
        <w:rPr>
          <w:rFonts w:ascii="Times New Roman" w:hAnsi="Times New Roman"/>
          <w:sz w:val="24"/>
          <w:szCs w:val="24"/>
        </w:rPr>
      </w:pPr>
    </w:p>
    <w:p w:rsidR="008A499B" w:rsidRPr="00465DA3" w:rsidRDefault="00076BCD" w:rsidP="00465DA3">
      <w:pPr>
        <w:pStyle w:val="Paragraphedeliste"/>
        <w:numPr>
          <w:ilvl w:val="0"/>
          <w:numId w:val="80"/>
        </w:numPr>
        <w:spacing w:after="0" w:line="360" w:lineRule="auto"/>
        <w:jc w:val="both"/>
        <w:rPr>
          <w:rFonts w:ascii="Times New Roman" w:hAnsi="Times New Roman"/>
          <w:sz w:val="24"/>
          <w:szCs w:val="24"/>
        </w:rPr>
      </w:pPr>
      <w:r w:rsidRPr="00465DA3">
        <w:rPr>
          <w:rFonts w:ascii="Times New Roman" w:hAnsi="Times New Roman"/>
          <w:b/>
          <w:sz w:val="24"/>
          <w:szCs w:val="24"/>
        </w:rPr>
        <w:t xml:space="preserve">Le spectacle comme </w:t>
      </w:r>
      <w:r w:rsidR="00184B8A" w:rsidRPr="00465DA3">
        <w:rPr>
          <w:rFonts w:ascii="Times New Roman" w:hAnsi="Times New Roman"/>
          <w:b/>
          <w:sz w:val="24"/>
          <w:szCs w:val="24"/>
        </w:rPr>
        <w:t>clé de voute</w:t>
      </w:r>
      <w:r w:rsidRPr="00465DA3">
        <w:rPr>
          <w:rFonts w:ascii="Times New Roman" w:hAnsi="Times New Roman"/>
          <w:sz w:val="24"/>
          <w:szCs w:val="24"/>
        </w:rPr>
        <w:t> : l</w:t>
      </w:r>
      <w:r w:rsidR="002A3719" w:rsidRPr="00465DA3">
        <w:rPr>
          <w:rFonts w:ascii="Times New Roman" w:hAnsi="Times New Roman"/>
          <w:sz w:val="24"/>
          <w:szCs w:val="24"/>
        </w:rPr>
        <w:t>a sémio</w:t>
      </w:r>
      <w:r w:rsidR="00AB0240" w:rsidRPr="00465DA3">
        <w:rPr>
          <w:rFonts w:ascii="Times New Roman" w:hAnsi="Times New Roman"/>
          <w:sz w:val="24"/>
          <w:szCs w:val="24"/>
        </w:rPr>
        <w:t xml:space="preserve">tique </w:t>
      </w:r>
      <w:r w:rsidR="002A3719" w:rsidRPr="00465DA3">
        <w:rPr>
          <w:rFonts w:ascii="Times New Roman" w:hAnsi="Times New Roman"/>
          <w:sz w:val="24"/>
          <w:szCs w:val="24"/>
        </w:rPr>
        <w:t xml:space="preserve">du spectacle chez </w:t>
      </w:r>
      <w:r w:rsidR="00184B8A" w:rsidRPr="00465DA3">
        <w:rPr>
          <w:rFonts w:ascii="Times New Roman" w:hAnsi="Times New Roman"/>
          <w:sz w:val="24"/>
          <w:szCs w:val="24"/>
        </w:rPr>
        <w:t>Kaki</w:t>
      </w:r>
      <w:r w:rsidR="002A3719" w:rsidRPr="00465DA3">
        <w:rPr>
          <w:rFonts w:ascii="Times New Roman" w:hAnsi="Times New Roman"/>
          <w:sz w:val="24"/>
          <w:szCs w:val="24"/>
        </w:rPr>
        <w:t xml:space="preserve"> comme chez </w:t>
      </w:r>
      <w:r w:rsidR="00184B8A" w:rsidRPr="00465DA3">
        <w:rPr>
          <w:rFonts w:ascii="Times New Roman" w:hAnsi="Times New Roman"/>
          <w:sz w:val="24"/>
          <w:szCs w:val="24"/>
        </w:rPr>
        <w:t>Ghelderode</w:t>
      </w:r>
      <w:r w:rsidR="002A3719" w:rsidRPr="00465DA3">
        <w:rPr>
          <w:rFonts w:ascii="Times New Roman" w:hAnsi="Times New Roman"/>
          <w:sz w:val="24"/>
          <w:szCs w:val="24"/>
        </w:rPr>
        <w:t xml:space="preserve"> permet d’appréhender la sémio</w:t>
      </w:r>
      <w:r w:rsidR="00BE1E32" w:rsidRPr="00465DA3">
        <w:rPr>
          <w:rFonts w:ascii="Times New Roman" w:hAnsi="Times New Roman"/>
          <w:sz w:val="24"/>
          <w:szCs w:val="24"/>
        </w:rPr>
        <w:t>tique</w:t>
      </w:r>
      <w:r w:rsidR="002A3719" w:rsidRPr="00465DA3">
        <w:rPr>
          <w:rFonts w:ascii="Times New Roman" w:hAnsi="Times New Roman"/>
          <w:sz w:val="24"/>
          <w:szCs w:val="24"/>
        </w:rPr>
        <w:t xml:space="preserve"> du discours. En cela, leur approche de la dramaturgie consacre le « théâtre total », tel que développé dans cette thèse, à savoir une acception de la théâtralité dans toute sa plénitude. Ecriture et récit certes, mais aussi spectacle,  jeu et décors! </w:t>
      </w:r>
      <w:r w:rsidR="002A3719" w:rsidRPr="00465DA3">
        <w:rPr>
          <w:rFonts w:ascii="Times New Roman" w:eastAsia="Times New Roman" w:hAnsi="Times New Roman"/>
          <w:color w:val="000000"/>
          <w:sz w:val="24"/>
          <w:szCs w:val="24"/>
          <w:lang w:eastAsia="fr-FR"/>
        </w:rPr>
        <w:t xml:space="preserve">Un spectacle total où les joyeuses contributions s’entremêlent aussi : hommes, sons, images, couleurs, mouvements etc. Le théâtre pour Kaki comme pour Ghelderode a quelque chose de fondamentalement festif de joyeux. Mais le merveilleux côtoie souvent une réalité cruelle, brutale, moribonde. Le génie chez les deux dramaturges apparait lorsque ce merveilleux  se mêle à la réalité de façon « naturelle », y faisant </w:t>
      </w:r>
      <w:r w:rsidR="002A3719" w:rsidRPr="00465DA3">
        <w:rPr>
          <w:rFonts w:ascii="Times New Roman" w:eastAsia="Times New Roman" w:hAnsi="Times New Roman"/>
          <w:color w:val="000000"/>
          <w:sz w:val="24"/>
          <w:szCs w:val="24"/>
          <w:lang w:eastAsia="fr-FR"/>
        </w:rPr>
        <w:lastRenderedPageBreak/>
        <w:t xml:space="preserve">parfois une irruption fracassante, déstabilisant brutalement le spectateur et conférant au propos une dimension inattendue. Du point de vue </w:t>
      </w:r>
      <w:r w:rsidR="00AB0240" w:rsidRPr="00465DA3">
        <w:rPr>
          <w:rFonts w:ascii="Times New Roman" w:hAnsi="Times New Roman"/>
          <w:sz w:val="24"/>
          <w:szCs w:val="24"/>
        </w:rPr>
        <w:t>sémiotique</w:t>
      </w:r>
      <w:r w:rsidR="002A3719" w:rsidRPr="00465DA3">
        <w:rPr>
          <w:rFonts w:ascii="Times New Roman" w:eastAsia="Times New Roman" w:hAnsi="Times New Roman"/>
          <w:color w:val="000000"/>
          <w:sz w:val="24"/>
          <w:szCs w:val="24"/>
          <w:lang w:eastAsia="fr-FR"/>
        </w:rPr>
        <w:t xml:space="preserve"> donc, Ghelderode et Kaki jouent merveilleusement de cette imbrication, cette fusion entre spectacle scénique riches et codes langagiers. Ils sont des preuves vivantes de la richesse de la </w:t>
      </w:r>
      <w:r w:rsidR="00AB0240" w:rsidRPr="00465DA3">
        <w:rPr>
          <w:rFonts w:ascii="Times New Roman" w:hAnsi="Times New Roman"/>
          <w:sz w:val="24"/>
          <w:szCs w:val="24"/>
        </w:rPr>
        <w:t>sémiotique</w:t>
      </w:r>
      <w:r w:rsidR="002A3719" w:rsidRPr="00465DA3">
        <w:rPr>
          <w:rFonts w:ascii="Times New Roman" w:eastAsia="Times New Roman" w:hAnsi="Times New Roman"/>
          <w:color w:val="000000"/>
          <w:sz w:val="24"/>
          <w:szCs w:val="24"/>
          <w:lang w:eastAsia="fr-FR"/>
        </w:rPr>
        <w:t xml:space="preserve"> du théâtre. </w:t>
      </w:r>
    </w:p>
    <w:p w:rsidR="00954B84" w:rsidRPr="004F5262" w:rsidRDefault="00954B84" w:rsidP="00465DA3">
      <w:pPr>
        <w:pStyle w:val="Paragraphedeliste"/>
        <w:spacing w:after="0" w:line="360" w:lineRule="auto"/>
        <w:ind w:left="0" w:firstLine="284"/>
        <w:contextualSpacing w:val="0"/>
        <w:jc w:val="both"/>
        <w:rPr>
          <w:rFonts w:ascii="Times New Roman" w:hAnsi="Times New Roman"/>
          <w:sz w:val="24"/>
          <w:szCs w:val="24"/>
        </w:rPr>
      </w:pPr>
    </w:p>
    <w:p w:rsidR="002A3719" w:rsidRPr="004F5262" w:rsidRDefault="008A499B" w:rsidP="00465DA3">
      <w:pPr>
        <w:pStyle w:val="Paragraphedeliste"/>
        <w:spacing w:after="0" w:line="360" w:lineRule="auto"/>
        <w:ind w:left="0" w:firstLine="284"/>
        <w:contextualSpacing w:val="0"/>
        <w:jc w:val="both"/>
        <w:rPr>
          <w:rFonts w:ascii="Times New Roman" w:hAnsi="Times New Roman"/>
          <w:sz w:val="24"/>
          <w:szCs w:val="24"/>
        </w:rPr>
      </w:pPr>
      <w:r w:rsidRPr="004F5262">
        <w:rPr>
          <w:rFonts w:ascii="Times New Roman" w:eastAsia="Times New Roman" w:hAnsi="Times New Roman"/>
          <w:color w:val="000000"/>
          <w:sz w:val="24"/>
          <w:szCs w:val="24"/>
          <w:lang w:eastAsia="fr-FR"/>
        </w:rPr>
        <w:t>Finalement, Ghelderode comme Kaki font assez bien du Brecht. Et quoi de plus normal ! S’inscrivant dans cette perspective sémiotique et non plus seulement sémantique de la représentation ils ont, comme dirait Chestier Aurore, découpé « la matière théâtrale », en « unités minimales »</w:t>
      </w:r>
      <w:r w:rsidRPr="004F5262">
        <w:rPr>
          <w:rStyle w:val="Appelnotedebasdep"/>
          <w:rFonts w:ascii="Times New Roman" w:eastAsia="Times New Roman" w:hAnsi="Times New Roman"/>
          <w:color w:val="000000"/>
          <w:sz w:val="24"/>
          <w:szCs w:val="24"/>
          <w:lang w:eastAsia="fr-FR"/>
        </w:rPr>
        <w:footnoteReference w:id="310"/>
      </w:r>
      <w:r w:rsidRPr="004F5262">
        <w:rPr>
          <w:rFonts w:ascii="Times New Roman" w:eastAsia="Times New Roman" w:hAnsi="Times New Roman"/>
          <w:color w:val="000000"/>
          <w:sz w:val="24"/>
          <w:szCs w:val="24"/>
          <w:lang w:eastAsia="fr-FR"/>
        </w:rPr>
        <w:t xml:space="preserve">. Le </w:t>
      </w:r>
      <w:r w:rsidR="00AB0240" w:rsidRPr="004F5262">
        <w:rPr>
          <w:rFonts w:ascii="Times New Roman" w:eastAsia="Times New Roman" w:hAnsi="Times New Roman"/>
          <w:color w:val="000000"/>
          <w:sz w:val="24"/>
          <w:szCs w:val="24"/>
          <w:lang w:eastAsia="fr-FR"/>
        </w:rPr>
        <w:t>théâtre</w:t>
      </w:r>
      <w:r w:rsidRPr="004F5262">
        <w:rPr>
          <w:rFonts w:ascii="Times New Roman" w:eastAsia="Times New Roman" w:hAnsi="Times New Roman"/>
          <w:color w:val="000000"/>
          <w:sz w:val="24"/>
          <w:szCs w:val="24"/>
          <w:lang w:eastAsia="fr-FR"/>
        </w:rPr>
        <w:t xml:space="preserve"> de Kaki comme celui de Ghelderode est appréhendé sous la forme d’un magma d’action et de contre actions. L’accent est porté  sur la matérialité des signes</w:t>
      </w:r>
      <w:r w:rsidR="00184B8A" w:rsidRPr="004F5262">
        <w:rPr>
          <w:rFonts w:ascii="Times New Roman" w:eastAsia="Times New Roman" w:hAnsi="Times New Roman"/>
          <w:color w:val="000000"/>
          <w:sz w:val="24"/>
          <w:szCs w:val="24"/>
          <w:lang w:eastAsia="fr-FR"/>
        </w:rPr>
        <w:t>. Le lecteur et plus encore  le spectateur</w:t>
      </w:r>
      <w:r w:rsidRPr="004F5262">
        <w:rPr>
          <w:rFonts w:ascii="Times New Roman" w:eastAsia="Times New Roman" w:hAnsi="Times New Roman"/>
          <w:color w:val="000000"/>
          <w:sz w:val="24"/>
          <w:szCs w:val="24"/>
          <w:lang w:eastAsia="fr-FR"/>
        </w:rPr>
        <w:t xml:space="preserve"> </w:t>
      </w:r>
      <w:r w:rsidR="00184B8A" w:rsidRPr="004F5262">
        <w:rPr>
          <w:rFonts w:ascii="Times New Roman" w:eastAsia="Times New Roman" w:hAnsi="Times New Roman"/>
          <w:color w:val="000000"/>
          <w:sz w:val="24"/>
          <w:szCs w:val="24"/>
          <w:lang w:eastAsia="fr-FR"/>
        </w:rPr>
        <w:t>est</w:t>
      </w:r>
      <w:r w:rsidRPr="004F5262">
        <w:rPr>
          <w:rFonts w:ascii="Times New Roman" w:eastAsia="Times New Roman" w:hAnsi="Times New Roman"/>
          <w:color w:val="000000"/>
          <w:sz w:val="24"/>
          <w:szCs w:val="24"/>
          <w:lang w:eastAsia="fr-FR"/>
        </w:rPr>
        <w:t xml:space="preserve"> pulvérisé, </w:t>
      </w:r>
      <w:r w:rsidR="00184B8A" w:rsidRPr="004F5262">
        <w:rPr>
          <w:rFonts w:ascii="Times New Roman" w:eastAsia="Times New Roman" w:hAnsi="Times New Roman"/>
          <w:color w:val="000000"/>
          <w:sz w:val="24"/>
          <w:szCs w:val="24"/>
          <w:lang w:eastAsia="fr-FR"/>
        </w:rPr>
        <w:t>balancé dans des</w:t>
      </w:r>
      <w:r w:rsidRPr="004F5262">
        <w:rPr>
          <w:rFonts w:ascii="Times New Roman" w:eastAsia="Times New Roman" w:hAnsi="Times New Roman"/>
          <w:color w:val="000000"/>
          <w:sz w:val="24"/>
          <w:szCs w:val="24"/>
          <w:lang w:eastAsia="fr-FR"/>
        </w:rPr>
        <w:t xml:space="preserve"> directions contraires. </w:t>
      </w:r>
      <w:r w:rsidR="00184B8A" w:rsidRPr="004F5262">
        <w:rPr>
          <w:rFonts w:ascii="Times New Roman" w:eastAsia="Times New Roman" w:hAnsi="Times New Roman"/>
          <w:color w:val="000000"/>
          <w:sz w:val="24"/>
          <w:szCs w:val="24"/>
          <w:lang w:eastAsia="fr-FR"/>
        </w:rPr>
        <w:t>Kaki et Ghelderode auront parfaitement amorcé l</w:t>
      </w:r>
      <w:r w:rsidRPr="004F5262">
        <w:rPr>
          <w:rFonts w:ascii="Times New Roman" w:eastAsia="Times New Roman" w:hAnsi="Times New Roman"/>
          <w:color w:val="000000"/>
          <w:sz w:val="24"/>
          <w:szCs w:val="24"/>
          <w:lang w:eastAsia="fr-FR"/>
        </w:rPr>
        <w:t>es techniques contemporaines de montage et de démontage, issue</w:t>
      </w:r>
      <w:r w:rsidR="00184B8A" w:rsidRPr="004F5262">
        <w:rPr>
          <w:rFonts w:ascii="Times New Roman" w:eastAsia="Times New Roman" w:hAnsi="Times New Roman"/>
          <w:color w:val="000000"/>
          <w:sz w:val="24"/>
          <w:szCs w:val="24"/>
          <w:lang w:eastAsia="fr-FR"/>
        </w:rPr>
        <w:t>s de la dramaturgie brechtienne. Ils sont les acteurs modernes de</w:t>
      </w:r>
      <w:r w:rsidRPr="004F5262">
        <w:rPr>
          <w:rFonts w:ascii="Times New Roman" w:eastAsia="Times New Roman" w:hAnsi="Times New Roman"/>
          <w:color w:val="000000"/>
          <w:sz w:val="24"/>
          <w:szCs w:val="24"/>
          <w:lang w:eastAsia="fr-FR"/>
        </w:rPr>
        <w:t xml:space="preserve"> l’héritage cubiste du collage qui entrechoque des </w:t>
      </w:r>
      <w:r w:rsidR="00184B8A" w:rsidRPr="004F5262">
        <w:rPr>
          <w:rFonts w:ascii="Times New Roman" w:eastAsia="Times New Roman" w:hAnsi="Times New Roman"/>
          <w:color w:val="000000"/>
          <w:sz w:val="24"/>
          <w:szCs w:val="24"/>
          <w:lang w:eastAsia="fr-FR"/>
        </w:rPr>
        <w:t>éléments hétéroclites, reflète</w:t>
      </w:r>
      <w:r w:rsidRPr="004F5262">
        <w:rPr>
          <w:rFonts w:ascii="Times New Roman" w:eastAsia="Times New Roman" w:hAnsi="Times New Roman"/>
          <w:color w:val="000000"/>
          <w:sz w:val="24"/>
          <w:szCs w:val="24"/>
          <w:lang w:eastAsia="fr-FR"/>
        </w:rPr>
        <w:t xml:space="preserve"> cette esthétique de la rupture, du fragment et du discontinu.</w:t>
      </w:r>
      <w:r w:rsidR="00184B8A" w:rsidRPr="004F5262">
        <w:rPr>
          <w:rFonts w:ascii="Times New Roman" w:eastAsia="Times New Roman" w:hAnsi="Times New Roman"/>
          <w:color w:val="000000"/>
          <w:sz w:val="24"/>
          <w:szCs w:val="24"/>
          <w:lang w:eastAsia="fr-FR"/>
        </w:rPr>
        <w:t xml:space="preserve"> En cela, Kaki comme Ghelderode sont des maitres de la sémiotique par le spectacle.</w:t>
      </w:r>
    </w:p>
    <w:p w:rsidR="00076BCD" w:rsidRPr="004F5262" w:rsidRDefault="00076BCD" w:rsidP="000F3D5C">
      <w:pPr>
        <w:pStyle w:val="Paragraphedeliste"/>
        <w:ind w:left="0"/>
        <w:rPr>
          <w:rFonts w:ascii="Times New Roman" w:hAnsi="Times New Roman"/>
          <w:sz w:val="24"/>
          <w:szCs w:val="24"/>
        </w:rPr>
      </w:pPr>
    </w:p>
    <w:p w:rsidR="002A3719" w:rsidRPr="00465DA3" w:rsidRDefault="000F3D5C" w:rsidP="00465DA3">
      <w:pPr>
        <w:pStyle w:val="Paragraphedeliste"/>
        <w:numPr>
          <w:ilvl w:val="0"/>
          <w:numId w:val="81"/>
        </w:numPr>
        <w:spacing w:line="360" w:lineRule="auto"/>
        <w:jc w:val="both"/>
        <w:rPr>
          <w:rFonts w:ascii="Times New Roman" w:hAnsi="Times New Roman"/>
          <w:sz w:val="24"/>
          <w:szCs w:val="24"/>
        </w:rPr>
      </w:pPr>
      <w:r w:rsidRPr="00465DA3">
        <w:rPr>
          <w:rFonts w:ascii="Times New Roman" w:hAnsi="Times New Roman"/>
          <w:b/>
          <w:sz w:val="24"/>
          <w:szCs w:val="24"/>
        </w:rPr>
        <w:t>Au-delà du théâtre</w:t>
      </w:r>
      <w:r w:rsidRPr="00465DA3">
        <w:rPr>
          <w:rFonts w:ascii="Times New Roman" w:hAnsi="Times New Roman"/>
          <w:sz w:val="24"/>
          <w:szCs w:val="24"/>
        </w:rPr>
        <w:t xml:space="preserve"> : </w:t>
      </w:r>
      <w:r w:rsidR="00AC0005" w:rsidRPr="00465DA3">
        <w:rPr>
          <w:rFonts w:ascii="Times New Roman" w:hAnsi="Times New Roman"/>
          <w:sz w:val="24"/>
          <w:szCs w:val="24"/>
        </w:rPr>
        <w:t>cette approche de la</w:t>
      </w:r>
      <w:r w:rsidR="00DC4FD8" w:rsidRPr="00465DA3">
        <w:rPr>
          <w:rFonts w:ascii="Times New Roman" w:hAnsi="Times New Roman"/>
          <w:sz w:val="24"/>
          <w:szCs w:val="24"/>
        </w:rPr>
        <w:t xml:space="preserve"> sémiotique théâtrale </w:t>
      </w:r>
      <w:r w:rsidR="00AC0005" w:rsidRPr="00465DA3">
        <w:rPr>
          <w:rFonts w:ascii="Times New Roman" w:hAnsi="Times New Roman"/>
          <w:sz w:val="24"/>
          <w:szCs w:val="24"/>
        </w:rPr>
        <w:t>décrite</w:t>
      </w:r>
      <w:r w:rsidR="00DC4FD8" w:rsidRPr="00465DA3">
        <w:rPr>
          <w:rFonts w:ascii="Times New Roman" w:hAnsi="Times New Roman"/>
          <w:sz w:val="24"/>
          <w:szCs w:val="24"/>
        </w:rPr>
        <w:t xml:space="preserve"> chez Kaki comme chez Ghelderode </w:t>
      </w:r>
      <w:r w:rsidR="00184B8A" w:rsidRPr="00465DA3">
        <w:rPr>
          <w:rFonts w:ascii="Times New Roman" w:hAnsi="Times New Roman"/>
          <w:sz w:val="24"/>
          <w:szCs w:val="24"/>
        </w:rPr>
        <w:t xml:space="preserve">parvient à conduire cependant les auteurs, en définitive, vers </w:t>
      </w:r>
      <w:r w:rsidR="00AC0005" w:rsidRPr="00465DA3">
        <w:rPr>
          <w:rFonts w:ascii="Times New Roman" w:hAnsi="Times New Roman"/>
          <w:sz w:val="24"/>
          <w:szCs w:val="24"/>
        </w:rPr>
        <w:t>une expérience</w:t>
      </w:r>
      <w:r w:rsidR="002A3719" w:rsidRPr="00465DA3">
        <w:rPr>
          <w:rFonts w:ascii="Times New Roman" w:hAnsi="Times New Roman"/>
          <w:sz w:val="24"/>
          <w:szCs w:val="24"/>
        </w:rPr>
        <w:t xml:space="preserve"> du méta</w:t>
      </w:r>
      <w:r w:rsidR="00DC4FD8" w:rsidRPr="00465DA3">
        <w:rPr>
          <w:rFonts w:ascii="Times New Roman" w:hAnsi="Times New Roman"/>
          <w:sz w:val="24"/>
          <w:szCs w:val="24"/>
        </w:rPr>
        <w:t xml:space="preserve">théâtral. </w:t>
      </w:r>
      <w:r w:rsidR="00184B8A" w:rsidRPr="00465DA3">
        <w:rPr>
          <w:rFonts w:ascii="Times New Roman" w:hAnsi="Times New Roman"/>
          <w:sz w:val="24"/>
          <w:szCs w:val="24"/>
        </w:rPr>
        <w:t>Ce métathéâtre</w:t>
      </w:r>
      <w:r w:rsidR="00AC0005" w:rsidRPr="00465DA3">
        <w:rPr>
          <w:rFonts w:ascii="Times New Roman" w:hAnsi="Times New Roman"/>
          <w:sz w:val="24"/>
          <w:szCs w:val="24"/>
        </w:rPr>
        <w:t xml:space="preserve"> est vécu </w:t>
      </w:r>
      <w:r w:rsidR="002A3719" w:rsidRPr="00465DA3">
        <w:rPr>
          <w:rFonts w:ascii="Times New Roman" w:hAnsi="Times New Roman"/>
          <w:sz w:val="24"/>
          <w:szCs w:val="24"/>
        </w:rPr>
        <w:t>dans le sens d’un « </w:t>
      </w:r>
      <w:r w:rsidR="002A3719" w:rsidRPr="00465DA3">
        <w:rPr>
          <w:rFonts w:ascii="Times New Roman" w:hAnsi="Times New Roman"/>
          <w:i/>
          <w:sz w:val="24"/>
          <w:szCs w:val="24"/>
        </w:rPr>
        <w:t>théâtre de confrontation</w:t>
      </w:r>
      <w:r w:rsidR="002A3719" w:rsidRPr="00465DA3">
        <w:rPr>
          <w:rFonts w:ascii="Times New Roman" w:hAnsi="Times New Roman"/>
          <w:sz w:val="24"/>
          <w:szCs w:val="24"/>
        </w:rPr>
        <w:t> »</w:t>
      </w:r>
      <w:r w:rsidR="002A3719" w:rsidRPr="004F5262">
        <w:rPr>
          <w:rStyle w:val="Appelnotedebasdep"/>
          <w:rFonts w:ascii="Times New Roman" w:hAnsi="Times New Roman"/>
          <w:szCs w:val="24"/>
        </w:rPr>
        <w:footnoteReference w:id="311"/>
      </w:r>
      <w:r w:rsidR="002A3719" w:rsidRPr="00465DA3">
        <w:rPr>
          <w:rFonts w:ascii="Times New Roman" w:hAnsi="Times New Roman"/>
          <w:vertAlign w:val="superscript"/>
        </w:rPr>
        <w:t xml:space="preserve"> . </w:t>
      </w:r>
      <w:r w:rsidR="00AC0005" w:rsidRPr="00465DA3">
        <w:rPr>
          <w:rFonts w:ascii="Times New Roman" w:hAnsi="Times New Roman"/>
          <w:sz w:val="24"/>
          <w:szCs w:val="24"/>
        </w:rPr>
        <w:t>Une c</w:t>
      </w:r>
      <w:r w:rsidR="00DC4FD8" w:rsidRPr="00465DA3">
        <w:rPr>
          <w:rFonts w:ascii="Times New Roman" w:hAnsi="Times New Roman"/>
          <w:sz w:val="24"/>
          <w:szCs w:val="24"/>
        </w:rPr>
        <w:t>onfrontation présente chez les deux dramaturges à plusieurs niveaux et</w:t>
      </w:r>
      <w:r w:rsidR="00AC0005" w:rsidRPr="00465DA3">
        <w:rPr>
          <w:rFonts w:ascii="Times New Roman" w:hAnsi="Times New Roman"/>
          <w:sz w:val="24"/>
          <w:szCs w:val="24"/>
        </w:rPr>
        <w:t xml:space="preserve"> qui</w:t>
      </w:r>
      <w:r w:rsidR="00DC4FD8" w:rsidRPr="00465DA3">
        <w:rPr>
          <w:rFonts w:ascii="Times New Roman" w:hAnsi="Times New Roman"/>
          <w:sz w:val="24"/>
          <w:szCs w:val="24"/>
        </w:rPr>
        <w:t xml:space="preserve"> consacre précisément leurs talents pour dépeindre des situations ambivalentes et duales. Le discours théâtral chez les deux auteurs est toujours porteur d’un double sens, d’une opposition entre le bien et le mal, le festif et le tragique, le drôle et le pathétique. </w:t>
      </w:r>
      <w:r w:rsidR="002A3719" w:rsidRPr="00465DA3">
        <w:rPr>
          <w:rFonts w:ascii="Times New Roman" w:hAnsi="Times New Roman"/>
          <w:sz w:val="24"/>
          <w:szCs w:val="24"/>
        </w:rPr>
        <w:t xml:space="preserve">Ainsi chez Ghelderode, le carnavalesque et sa dichotomie matérialisent ce cadre métathéâtral, </w:t>
      </w:r>
      <w:r w:rsidR="002A3719" w:rsidRPr="00465DA3">
        <w:rPr>
          <w:rFonts w:ascii="Times New Roman" w:hAnsi="Times New Roman"/>
          <w:sz w:val="24"/>
          <w:szCs w:val="24"/>
        </w:rPr>
        <w:lastRenderedPageBreak/>
        <w:t xml:space="preserve">le carnaval (festif comme tragique) fonctionnant comme un métalangage à l'intérieur de l'œuvre, actant pour ainsi dire la destruction d’un texte et d’un contexte pour en substituer une autre réalité toujours opposée. Et chez Kaki, ce jeu de sentiments et d’émotions, qui apprend au spectateur qu’en l’Homme sommeille le meilleur comme le pire, même si le dramaturge algérien propose, pour sa part, de croire au meilleur. </w:t>
      </w:r>
    </w:p>
    <w:p w:rsidR="002A3719" w:rsidRPr="002A3719" w:rsidRDefault="002A3719" w:rsidP="002A3719">
      <w:pPr>
        <w:pStyle w:val="Default"/>
        <w:spacing w:line="360" w:lineRule="auto"/>
        <w:jc w:val="both"/>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587201" w:rsidRDefault="00587201" w:rsidP="0067208B">
      <w:pPr>
        <w:spacing w:after="0" w:line="240" w:lineRule="auto"/>
        <w:rPr>
          <w:rFonts w:ascii="Times New Roman" w:hAnsi="Times New Roman"/>
          <w:b/>
          <w:bCs/>
          <w:sz w:val="24"/>
          <w:szCs w:val="24"/>
          <w:lang w:eastAsia="fr-FR"/>
        </w:rPr>
      </w:pPr>
    </w:p>
    <w:p w:rsidR="006A4EED" w:rsidRDefault="006A4EED" w:rsidP="0067208B">
      <w:pPr>
        <w:spacing w:after="0" w:line="240" w:lineRule="auto"/>
        <w:rPr>
          <w:rFonts w:ascii="Times New Roman" w:hAnsi="Times New Roman"/>
          <w:b/>
          <w:bCs/>
          <w:sz w:val="24"/>
          <w:szCs w:val="24"/>
          <w:lang w:eastAsia="fr-FR"/>
        </w:rPr>
      </w:pPr>
      <w:r w:rsidRPr="009F21F5">
        <w:rPr>
          <w:rFonts w:ascii="Times New Roman" w:hAnsi="Times New Roman"/>
          <w:b/>
          <w:bCs/>
          <w:sz w:val="24"/>
          <w:szCs w:val="24"/>
          <w:lang w:eastAsia="fr-FR"/>
        </w:rPr>
        <w:lastRenderedPageBreak/>
        <w:t xml:space="preserve">CONCLUSION </w:t>
      </w:r>
      <w:r w:rsidR="00EE418E" w:rsidRPr="009F21F5">
        <w:rPr>
          <w:rFonts w:ascii="Times New Roman" w:hAnsi="Times New Roman"/>
          <w:b/>
          <w:bCs/>
          <w:sz w:val="24"/>
          <w:szCs w:val="24"/>
          <w:lang w:eastAsia="fr-FR"/>
        </w:rPr>
        <w:t>GÉNÉRALE</w:t>
      </w:r>
    </w:p>
    <w:p w:rsidR="00587201" w:rsidRPr="009F21F5" w:rsidRDefault="00587201" w:rsidP="00587201">
      <w:pPr>
        <w:spacing w:after="0" w:line="240" w:lineRule="auto"/>
        <w:rPr>
          <w:rFonts w:ascii="Times New Roman" w:hAnsi="Times New Roman"/>
          <w:b/>
          <w:bCs/>
          <w:sz w:val="24"/>
          <w:szCs w:val="24"/>
          <w:lang w:eastAsia="fr-FR"/>
        </w:rPr>
      </w:pPr>
      <w:r>
        <w:rPr>
          <w:rFonts w:ascii="Times New Roman" w:hAnsi="Times New Roman"/>
          <w:b/>
          <w:bCs/>
          <w:sz w:val="24"/>
          <w:szCs w:val="24"/>
          <w:lang w:eastAsia="fr-FR"/>
        </w:rPr>
        <w:t>__________________________________________________________________</w:t>
      </w:r>
    </w:p>
    <w:p w:rsidR="00587201" w:rsidRDefault="00587201" w:rsidP="009F21F5">
      <w:pPr>
        <w:spacing w:after="0" w:line="360" w:lineRule="auto"/>
        <w:ind w:firstLine="284"/>
        <w:jc w:val="both"/>
        <w:rPr>
          <w:rFonts w:ascii="Times New Roman" w:hAnsi="Times New Roman"/>
          <w:sz w:val="24"/>
          <w:szCs w:val="24"/>
        </w:rPr>
      </w:pPr>
    </w:p>
    <w:p w:rsidR="006A4EED" w:rsidRPr="003B00C8" w:rsidRDefault="006A4EED" w:rsidP="009F21F5">
      <w:pPr>
        <w:spacing w:after="0" w:line="360" w:lineRule="auto"/>
        <w:ind w:firstLine="284"/>
        <w:jc w:val="both"/>
        <w:rPr>
          <w:rFonts w:ascii="Times New Roman" w:hAnsi="Times New Roman"/>
          <w:sz w:val="24"/>
          <w:szCs w:val="24"/>
        </w:rPr>
      </w:pPr>
      <w:r w:rsidRPr="003B00C8">
        <w:rPr>
          <w:rFonts w:ascii="Times New Roman" w:hAnsi="Times New Roman"/>
          <w:sz w:val="24"/>
          <w:szCs w:val="24"/>
        </w:rPr>
        <w:t>En définitive, la présente thèse avait pour objet l’étude des procédés de narratologie et de sémiotique dans le théâtre moderne afin d’en tirer une interprétation et des leçons sur les apports de ces procédés pour la théâtralité et pour la littérature en général.</w:t>
      </w:r>
    </w:p>
    <w:p w:rsidR="006A4EED" w:rsidRPr="003B00C8" w:rsidRDefault="006A4EED" w:rsidP="009F21F5">
      <w:pPr>
        <w:spacing w:after="0" w:line="360" w:lineRule="auto"/>
        <w:ind w:firstLine="284"/>
        <w:jc w:val="both"/>
        <w:rPr>
          <w:rFonts w:ascii="Times New Roman" w:hAnsi="Times New Roman"/>
          <w:bCs/>
          <w:sz w:val="24"/>
          <w:szCs w:val="24"/>
        </w:rPr>
      </w:pPr>
      <w:r w:rsidRPr="003B00C8">
        <w:rPr>
          <w:rFonts w:ascii="Times New Roman" w:hAnsi="Times New Roman"/>
          <w:sz w:val="24"/>
          <w:szCs w:val="24"/>
        </w:rPr>
        <w:t xml:space="preserve">Pour ce faire, nous avons porté notre dévolu sur </w:t>
      </w:r>
      <w:r w:rsidRPr="003B00C8">
        <w:rPr>
          <w:rFonts w:ascii="Times New Roman" w:hAnsi="Times New Roman"/>
          <w:bCs/>
          <w:sz w:val="24"/>
          <w:szCs w:val="24"/>
        </w:rPr>
        <w:t xml:space="preserve">deux auteurs clairement distants dans leurs univers </w:t>
      </w:r>
      <w:r w:rsidR="0093486E" w:rsidRPr="003B00C8">
        <w:rPr>
          <w:rFonts w:ascii="Times New Roman" w:hAnsi="Times New Roman"/>
          <w:bCs/>
          <w:sz w:val="24"/>
          <w:szCs w:val="24"/>
        </w:rPr>
        <w:t>spatio-temporel</w:t>
      </w:r>
      <w:r w:rsidRPr="003B00C8">
        <w:rPr>
          <w:rFonts w:ascii="Times New Roman" w:hAnsi="Times New Roman"/>
          <w:bCs/>
          <w:sz w:val="24"/>
          <w:szCs w:val="24"/>
        </w:rPr>
        <w:t>, mais possiblement proches dans les pratiques dramatiques qui émanent de leurs pièces respectives. Il s’agit de Michel de Ghelderode et Abderrahmane Ould Kaki, dont les pièces (</w:t>
      </w:r>
      <w:r w:rsidRPr="003B00C8">
        <w:rPr>
          <w:rFonts w:ascii="Times New Roman" w:hAnsi="Times New Roman"/>
          <w:bCs/>
          <w:i/>
          <w:sz w:val="24"/>
          <w:szCs w:val="24"/>
        </w:rPr>
        <w:t>Bara</w:t>
      </w:r>
      <w:r w:rsidR="0093486E">
        <w:rPr>
          <w:rFonts w:ascii="Times New Roman" w:hAnsi="Times New Roman"/>
          <w:bCs/>
          <w:i/>
          <w:sz w:val="24"/>
          <w:szCs w:val="24"/>
        </w:rPr>
        <w:t>b</w:t>
      </w:r>
      <w:r w:rsidRPr="003B00C8">
        <w:rPr>
          <w:rFonts w:ascii="Times New Roman" w:hAnsi="Times New Roman"/>
          <w:bCs/>
          <w:i/>
          <w:sz w:val="24"/>
          <w:szCs w:val="24"/>
        </w:rPr>
        <w:t>bas</w:t>
      </w:r>
      <w:r w:rsidRPr="003B00C8">
        <w:rPr>
          <w:rFonts w:ascii="Times New Roman" w:hAnsi="Times New Roman"/>
          <w:bCs/>
          <w:sz w:val="24"/>
          <w:szCs w:val="24"/>
        </w:rPr>
        <w:t xml:space="preserve"> pour Ghelderode et </w:t>
      </w:r>
      <w:r w:rsidRPr="003B00C8">
        <w:rPr>
          <w:rFonts w:ascii="Times New Roman" w:hAnsi="Times New Roman"/>
          <w:bCs/>
          <w:i/>
          <w:sz w:val="24"/>
          <w:szCs w:val="24"/>
        </w:rPr>
        <w:t>Le porteur d’eau et les marabouts</w:t>
      </w:r>
      <w:r w:rsidRPr="003B00C8">
        <w:rPr>
          <w:rFonts w:ascii="Times New Roman" w:hAnsi="Times New Roman"/>
          <w:bCs/>
          <w:sz w:val="24"/>
          <w:szCs w:val="24"/>
        </w:rPr>
        <w:t xml:space="preserve"> pour Kaki) constituent le corpus de cette thèse. </w:t>
      </w:r>
    </w:p>
    <w:p w:rsidR="006A4EED" w:rsidRPr="009F21F5" w:rsidRDefault="006A4EED" w:rsidP="009F21F5">
      <w:pPr>
        <w:spacing w:after="0" w:line="360" w:lineRule="auto"/>
        <w:ind w:firstLine="284"/>
        <w:jc w:val="both"/>
        <w:rPr>
          <w:rFonts w:ascii="Times New Roman" w:eastAsia="Times New Roman" w:hAnsi="Times New Roman"/>
          <w:bCs/>
          <w:sz w:val="24"/>
          <w:szCs w:val="24"/>
          <w:lang w:eastAsia="fr-FR"/>
        </w:rPr>
      </w:pPr>
      <w:r w:rsidRPr="004F5262">
        <w:rPr>
          <w:rFonts w:ascii="Times New Roman" w:hAnsi="Times New Roman"/>
          <w:bCs/>
          <w:sz w:val="24"/>
          <w:szCs w:val="24"/>
        </w:rPr>
        <w:t>Une problématique précisément s’</w:t>
      </w:r>
      <w:r w:rsidR="00784290" w:rsidRPr="004F5262">
        <w:rPr>
          <w:rFonts w:ascii="Times New Roman" w:hAnsi="Times New Roman"/>
          <w:bCs/>
          <w:sz w:val="24"/>
          <w:szCs w:val="24"/>
        </w:rPr>
        <w:t>était</w:t>
      </w:r>
      <w:r w:rsidRPr="004F5262">
        <w:rPr>
          <w:rFonts w:ascii="Times New Roman" w:hAnsi="Times New Roman"/>
          <w:bCs/>
          <w:sz w:val="24"/>
          <w:szCs w:val="24"/>
        </w:rPr>
        <w:t xml:space="preserve"> posée à nous :</w:t>
      </w:r>
      <w:r w:rsidR="009F21F5">
        <w:rPr>
          <w:rFonts w:ascii="Times New Roman" w:hAnsi="Times New Roman"/>
          <w:bCs/>
          <w:sz w:val="24"/>
          <w:szCs w:val="24"/>
        </w:rPr>
        <w:t xml:space="preserve"> </w:t>
      </w:r>
      <w:r w:rsidRPr="009F21F5">
        <w:rPr>
          <w:rFonts w:ascii="Times New Roman" w:eastAsia="Times New Roman" w:hAnsi="Times New Roman"/>
          <w:bCs/>
          <w:sz w:val="24"/>
          <w:szCs w:val="24"/>
          <w:lang w:eastAsia="fr-FR"/>
        </w:rPr>
        <w:t>Dans quelles mesures les formes et les procédés relevant de la narratologie et de la sémio</w:t>
      </w:r>
      <w:r w:rsidR="00AB0240" w:rsidRPr="009F21F5">
        <w:rPr>
          <w:rFonts w:ascii="Times New Roman" w:eastAsia="Times New Roman" w:hAnsi="Times New Roman"/>
          <w:bCs/>
          <w:sz w:val="24"/>
          <w:szCs w:val="24"/>
          <w:lang w:eastAsia="fr-FR"/>
        </w:rPr>
        <w:t>tique</w:t>
      </w:r>
      <w:r w:rsidRPr="009F21F5">
        <w:rPr>
          <w:rFonts w:ascii="Times New Roman" w:eastAsia="Times New Roman" w:hAnsi="Times New Roman"/>
          <w:bCs/>
          <w:sz w:val="24"/>
          <w:szCs w:val="24"/>
          <w:lang w:eastAsia="fr-FR"/>
        </w:rPr>
        <w:t xml:space="preserve"> </w:t>
      </w:r>
      <w:r w:rsidR="002A3719" w:rsidRPr="009F21F5">
        <w:rPr>
          <w:rFonts w:ascii="Times New Roman" w:eastAsia="Times New Roman" w:hAnsi="Times New Roman"/>
          <w:bCs/>
          <w:sz w:val="24"/>
          <w:szCs w:val="24"/>
          <w:lang w:eastAsia="fr-FR"/>
        </w:rPr>
        <w:t>disc</w:t>
      </w:r>
      <w:r w:rsidR="00AB0240" w:rsidRPr="009F21F5">
        <w:rPr>
          <w:rFonts w:ascii="Times New Roman" w:eastAsia="Times New Roman" w:hAnsi="Times New Roman"/>
          <w:bCs/>
          <w:sz w:val="24"/>
          <w:szCs w:val="24"/>
          <w:lang w:eastAsia="fr-FR"/>
        </w:rPr>
        <w:t>ursive du théâtre</w:t>
      </w:r>
      <w:r w:rsidR="002A3719" w:rsidRPr="009F21F5">
        <w:rPr>
          <w:rFonts w:ascii="Times New Roman" w:eastAsia="Times New Roman" w:hAnsi="Times New Roman"/>
          <w:bCs/>
          <w:sz w:val="24"/>
          <w:szCs w:val="24"/>
          <w:lang w:eastAsia="fr-FR"/>
        </w:rPr>
        <w:t xml:space="preserve"> dans les œuvres </w:t>
      </w:r>
      <w:r w:rsidRPr="009F21F5">
        <w:rPr>
          <w:rFonts w:ascii="Times New Roman" w:eastAsia="Times New Roman" w:hAnsi="Times New Roman"/>
          <w:bCs/>
          <w:i/>
          <w:sz w:val="24"/>
          <w:szCs w:val="24"/>
          <w:lang w:eastAsia="fr-FR"/>
        </w:rPr>
        <w:t>Bara</w:t>
      </w:r>
      <w:r w:rsidR="0093486E" w:rsidRPr="009F21F5">
        <w:rPr>
          <w:rFonts w:ascii="Times New Roman" w:eastAsia="Times New Roman" w:hAnsi="Times New Roman"/>
          <w:bCs/>
          <w:i/>
          <w:sz w:val="24"/>
          <w:szCs w:val="24"/>
          <w:lang w:eastAsia="fr-FR"/>
        </w:rPr>
        <w:t>b</w:t>
      </w:r>
      <w:r w:rsidRPr="009F21F5">
        <w:rPr>
          <w:rFonts w:ascii="Times New Roman" w:eastAsia="Times New Roman" w:hAnsi="Times New Roman"/>
          <w:bCs/>
          <w:i/>
          <w:sz w:val="24"/>
          <w:szCs w:val="24"/>
          <w:lang w:eastAsia="fr-FR"/>
        </w:rPr>
        <w:t xml:space="preserve">bas </w:t>
      </w:r>
      <w:r w:rsidR="002A3719" w:rsidRPr="009F21F5">
        <w:rPr>
          <w:rFonts w:ascii="Times New Roman" w:eastAsia="Times New Roman" w:hAnsi="Times New Roman"/>
          <w:bCs/>
          <w:sz w:val="24"/>
          <w:szCs w:val="24"/>
          <w:lang w:eastAsia="fr-FR"/>
        </w:rPr>
        <w:t>de Ghelderode et</w:t>
      </w:r>
      <w:r w:rsidR="0093486E" w:rsidRPr="009F21F5">
        <w:rPr>
          <w:rFonts w:ascii="Times New Roman" w:eastAsia="Times New Roman" w:hAnsi="Times New Roman"/>
          <w:bCs/>
          <w:sz w:val="24"/>
          <w:szCs w:val="24"/>
          <w:lang w:eastAsia="fr-FR"/>
        </w:rPr>
        <w:t xml:space="preserve"> </w:t>
      </w:r>
      <w:r w:rsidR="0093486E" w:rsidRPr="009F21F5">
        <w:rPr>
          <w:rFonts w:ascii="Times New Roman" w:hAnsi="Times New Roman"/>
          <w:bCs/>
          <w:i/>
          <w:iCs/>
          <w:sz w:val="24"/>
          <w:szCs w:val="24"/>
        </w:rPr>
        <w:t>Le porteur d’eau et les marabouts</w:t>
      </w:r>
      <w:r w:rsidR="0093486E" w:rsidRPr="009F21F5">
        <w:rPr>
          <w:rFonts w:ascii="Times New Roman" w:eastAsia="Times New Roman" w:hAnsi="Times New Roman"/>
          <w:bCs/>
          <w:iCs/>
          <w:sz w:val="24"/>
          <w:szCs w:val="24"/>
          <w:lang w:eastAsia="fr-FR"/>
        </w:rPr>
        <w:t xml:space="preserve"> </w:t>
      </w:r>
      <w:r w:rsidRPr="009F21F5">
        <w:rPr>
          <w:rFonts w:ascii="Times New Roman" w:eastAsia="Times New Roman" w:hAnsi="Times New Roman"/>
          <w:bCs/>
          <w:sz w:val="24"/>
          <w:szCs w:val="24"/>
          <w:lang w:eastAsia="fr-FR"/>
        </w:rPr>
        <w:t xml:space="preserve"> de Kaki  révèlent et valorisent-ils l’écriture dramatique?</w:t>
      </w:r>
    </w:p>
    <w:p w:rsidR="006A4EED" w:rsidRPr="003B00C8" w:rsidRDefault="006A4EED" w:rsidP="009F21F5">
      <w:pPr>
        <w:spacing w:after="0" w:line="360" w:lineRule="auto"/>
        <w:ind w:firstLine="284"/>
        <w:jc w:val="both"/>
        <w:rPr>
          <w:rFonts w:ascii="Times New Roman" w:hAnsi="Times New Roman"/>
          <w:bCs/>
          <w:sz w:val="24"/>
          <w:szCs w:val="24"/>
        </w:rPr>
      </w:pPr>
      <w:r w:rsidRPr="003B00C8">
        <w:rPr>
          <w:rFonts w:ascii="Times New Roman" w:hAnsi="Times New Roman"/>
          <w:bCs/>
          <w:sz w:val="24"/>
          <w:szCs w:val="24"/>
        </w:rPr>
        <w:t>Avec cette question fondamentale, l’ambition de l’exercice était, en explorant en profondeur les auteurs et les pièces, de proposer un jeu de confrontation voire de comparatif lorsque cela était possible, afin de dégager d’éventuelles corrélations en termes de procédés narratologiques et sémiologiques, pour une compréhension de la nature et de la richesse de la théâtralité qui se dégagent chez Ghelderode comme chez Kaki.</w:t>
      </w:r>
    </w:p>
    <w:p w:rsidR="006A4EED" w:rsidRPr="003B00C8" w:rsidRDefault="006A4EED" w:rsidP="009F21F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Notre objectif ultime étant de parvenir  à dégager, analyser et  évaluer la nature des rapports entre narratologie, </w:t>
      </w:r>
      <w:r w:rsidR="00BE1E32">
        <w:rPr>
          <w:rFonts w:ascii="Times New Roman" w:eastAsia="Times New Roman" w:hAnsi="Times New Roman"/>
          <w:sz w:val="24"/>
          <w:szCs w:val="24"/>
          <w:lang w:eastAsia="fr-FR"/>
        </w:rPr>
        <w:t>sémiotique</w:t>
      </w:r>
      <w:r w:rsidRPr="003B00C8">
        <w:rPr>
          <w:rFonts w:ascii="Times New Roman" w:eastAsia="Times New Roman" w:hAnsi="Times New Roman"/>
          <w:sz w:val="24"/>
          <w:szCs w:val="24"/>
          <w:lang w:eastAsia="fr-FR"/>
        </w:rPr>
        <w:t xml:space="preserve"> et théâtralité. </w:t>
      </w:r>
    </w:p>
    <w:p w:rsidR="006A4EED" w:rsidRDefault="006A4EED" w:rsidP="009F21F5">
      <w:pPr>
        <w:spacing w:after="0" w:line="360" w:lineRule="auto"/>
        <w:ind w:firstLine="284"/>
        <w:jc w:val="both"/>
        <w:rPr>
          <w:rFonts w:ascii="Times New Roman" w:eastAsia="Times New Roman" w:hAnsi="Times New Roman"/>
          <w:sz w:val="24"/>
          <w:szCs w:val="24"/>
          <w:lang w:eastAsia="fr-FR"/>
        </w:rPr>
      </w:pPr>
      <w:r w:rsidRPr="003B00C8">
        <w:rPr>
          <w:rFonts w:ascii="Times New Roman" w:eastAsia="Times New Roman" w:hAnsi="Times New Roman"/>
          <w:sz w:val="24"/>
          <w:szCs w:val="24"/>
          <w:lang w:eastAsia="fr-FR"/>
        </w:rPr>
        <w:t xml:space="preserve">Il s’est ainsi avéré tout à fait intéressant de s’interroger sur la capacité des deux auteurs étudiés à puiser dans la technique et le jeu de ces deux procédés (métadiégèse et </w:t>
      </w:r>
      <w:r w:rsidR="00BE1E32">
        <w:rPr>
          <w:rFonts w:ascii="Times New Roman" w:eastAsia="Times New Roman" w:hAnsi="Times New Roman"/>
          <w:sz w:val="24"/>
          <w:szCs w:val="24"/>
          <w:lang w:eastAsia="fr-FR"/>
        </w:rPr>
        <w:t>sémiotique</w:t>
      </w:r>
      <w:r w:rsidRPr="003B00C8">
        <w:rPr>
          <w:rFonts w:ascii="Times New Roman" w:eastAsia="Times New Roman" w:hAnsi="Times New Roman"/>
          <w:sz w:val="24"/>
          <w:szCs w:val="24"/>
          <w:lang w:eastAsia="fr-FR"/>
        </w:rPr>
        <w:t>) pour enrichir et célébrer le théâtre, lui permettant s’atteindre ses objectifs autant littéraires que sociaux.  C’est pourquoi, d’un point de vue opérationnel nous avons choisi de répondre à ces quelques questions, constitutifs des dimensions et axes d’analyse de cette Thèse :</w:t>
      </w:r>
    </w:p>
    <w:p w:rsidR="006A4EED" w:rsidRPr="009F21F5" w:rsidRDefault="006A4EED" w:rsidP="009F21F5">
      <w:pPr>
        <w:pStyle w:val="Default"/>
        <w:numPr>
          <w:ilvl w:val="0"/>
          <w:numId w:val="82"/>
        </w:numPr>
        <w:spacing w:line="360" w:lineRule="auto"/>
        <w:jc w:val="both"/>
        <w:rPr>
          <w:bCs/>
        </w:rPr>
      </w:pPr>
      <w:r w:rsidRPr="003B00C8">
        <w:lastRenderedPageBreak/>
        <w:t xml:space="preserve">Quelles sont les formes et procédés relevant de la narratologie et précisément de la métadiégèse dans les deux œuvres ? </w:t>
      </w:r>
      <w:r w:rsidRPr="003B00C8">
        <w:rPr>
          <w:b/>
        </w:rPr>
        <w:t>(</w:t>
      </w:r>
      <w:r w:rsidRPr="009F21F5">
        <w:rPr>
          <w:bCs/>
        </w:rPr>
        <w:t>dimension de la narratologie) </w:t>
      </w:r>
    </w:p>
    <w:p w:rsidR="006A4EED" w:rsidRPr="009F21F5" w:rsidRDefault="006A4EED" w:rsidP="009F21F5">
      <w:pPr>
        <w:pStyle w:val="Default"/>
        <w:numPr>
          <w:ilvl w:val="0"/>
          <w:numId w:val="82"/>
        </w:numPr>
        <w:spacing w:line="360" w:lineRule="auto"/>
        <w:jc w:val="both"/>
        <w:rPr>
          <w:bCs/>
        </w:rPr>
      </w:pPr>
      <w:r w:rsidRPr="003B00C8">
        <w:t xml:space="preserve">Quelles sont les formes et procédés dégageant et </w:t>
      </w:r>
      <w:r w:rsidRPr="004F5262">
        <w:t>traduisant la sémio</w:t>
      </w:r>
      <w:r w:rsidR="00BE1E32" w:rsidRPr="004F5262">
        <w:t>tique</w:t>
      </w:r>
      <w:r w:rsidRPr="004F5262">
        <w:t xml:space="preserve"> </w:t>
      </w:r>
      <w:r w:rsidR="002A3719" w:rsidRPr="004F5262">
        <w:t>du discours théâtral</w:t>
      </w:r>
      <w:r w:rsidRPr="004F5262">
        <w:t xml:space="preserve"> dans les deux œuvres ?</w:t>
      </w:r>
      <w:r w:rsidRPr="004F5262">
        <w:rPr>
          <w:b/>
        </w:rPr>
        <w:t xml:space="preserve"> </w:t>
      </w:r>
      <w:r w:rsidRPr="009F21F5">
        <w:rPr>
          <w:bCs/>
        </w:rPr>
        <w:t>(dimension de la sémiotique)</w:t>
      </w:r>
    </w:p>
    <w:p w:rsidR="006A4EED" w:rsidRPr="003B00C8" w:rsidRDefault="006A4EED" w:rsidP="009F21F5">
      <w:pPr>
        <w:pStyle w:val="Default"/>
        <w:numPr>
          <w:ilvl w:val="0"/>
          <w:numId w:val="82"/>
        </w:numPr>
        <w:spacing w:line="360" w:lineRule="auto"/>
        <w:jc w:val="both"/>
      </w:pPr>
      <w:r w:rsidRPr="004F5262">
        <w:t>Que</w:t>
      </w:r>
      <w:r w:rsidR="002A3719" w:rsidRPr="004F5262">
        <w:t>ls rapprochement narratologique</w:t>
      </w:r>
      <w:r w:rsidRPr="004F5262">
        <w:t xml:space="preserve"> et sémiologi</w:t>
      </w:r>
      <w:r w:rsidR="002A3719" w:rsidRPr="004F5262">
        <w:t>que</w:t>
      </w:r>
      <w:r w:rsidRPr="004F5262">
        <w:t xml:space="preserve"> peut-on faire</w:t>
      </w:r>
      <w:r w:rsidRPr="003B00C8">
        <w:t xml:space="preserve"> entre les pièces examinées (Kaki et Ghelderode)  (</w:t>
      </w:r>
      <w:r w:rsidRPr="009F21F5">
        <w:rPr>
          <w:bCs/>
        </w:rPr>
        <w:t xml:space="preserve">dimension de la confrontation des </w:t>
      </w:r>
      <w:r w:rsidR="0093486E" w:rsidRPr="009F21F5">
        <w:rPr>
          <w:bCs/>
        </w:rPr>
        <w:t>œuvres</w:t>
      </w:r>
      <w:r w:rsidR="004A3871" w:rsidRPr="009F21F5">
        <w:rPr>
          <w:bCs/>
        </w:rPr>
        <w:t> : convergences et divergences</w:t>
      </w:r>
      <w:r w:rsidRPr="009F21F5">
        <w:rPr>
          <w:bCs/>
        </w:rPr>
        <w:t>)</w:t>
      </w:r>
    </w:p>
    <w:p w:rsidR="006A4EED" w:rsidRPr="009F21F5" w:rsidRDefault="006A4EED" w:rsidP="009F21F5">
      <w:pPr>
        <w:pStyle w:val="Default"/>
        <w:numPr>
          <w:ilvl w:val="0"/>
          <w:numId w:val="82"/>
        </w:numPr>
        <w:spacing w:line="360" w:lineRule="auto"/>
        <w:jc w:val="both"/>
      </w:pPr>
      <w:r w:rsidRPr="003B00C8">
        <w:t xml:space="preserve">Comment ces procédés étudiés révèlent et valorisent-ils la théâtralité ? </w:t>
      </w:r>
      <w:r w:rsidRPr="009F21F5">
        <w:t>(dimension des enseignements)</w:t>
      </w:r>
    </w:p>
    <w:p w:rsidR="006A4EED" w:rsidRPr="003B00C8" w:rsidRDefault="009F21F5" w:rsidP="009F21F5">
      <w:pPr>
        <w:spacing w:after="0" w:line="360" w:lineRule="auto"/>
        <w:ind w:firstLine="284"/>
        <w:jc w:val="both"/>
        <w:rPr>
          <w:rFonts w:ascii="Times New Roman" w:hAnsi="Times New Roman"/>
          <w:bCs/>
          <w:sz w:val="24"/>
          <w:szCs w:val="24"/>
        </w:rPr>
      </w:pPr>
      <w:r>
        <w:rPr>
          <w:rFonts w:ascii="Times New Roman" w:hAnsi="Times New Roman"/>
          <w:bCs/>
          <w:sz w:val="24"/>
          <w:szCs w:val="24"/>
        </w:rPr>
        <w:t>À</w:t>
      </w:r>
      <w:r w:rsidR="006A4EED" w:rsidRPr="003B00C8">
        <w:rPr>
          <w:rFonts w:ascii="Times New Roman" w:hAnsi="Times New Roman"/>
          <w:bCs/>
          <w:sz w:val="24"/>
          <w:szCs w:val="24"/>
        </w:rPr>
        <w:t xml:space="preserve"> ce propos, l’examen du corpus à l’étude se sera avéré particulièrement édifiant. Et quelques résultats méritent ici, en synthèse, d’être rappelés et commentés.</w:t>
      </w:r>
    </w:p>
    <w:p w:rsidR="0093486E" w:rsidRDefault="009F21F5" w:rsidP="009F21F5">
      <w:pPr>
        <w:spacing w:after="0" w:line="360" w:lineRule="auto"/>
        <w:ind w:firstLine="284"/>
        <w:jc w:val="both"/>
        <w:rPr>
          <w:rFonts w:ascii="Times New Roman" w:hAnsi="Times New Roman"/>
          <w:sz w:val="24"/>
          <w:szCs w:val="24"/>
        </w:rPr>
      </w:pPr>
      <w:r>
        <w:rPr>
          <w:rFonts w:ascii="Times New Roman" w:hAnsi="Times New Roman"/>
          <w:sz w:val="24"/>
          <w:szCs w:val="24"/>
        </w:rPr>
        <w:t>É</w:t>
      </w:r>
      <w:r w:rsidR="006A4EED" w:rsidRPr="003B00C8">
        <w:rPr>
          <w:rFonts w:ascii="Times New Roman" w:hAnsi="Times New Roman"/>
          <w:sz w:val="24"/>
          <w:szCs w:val="24"/>
        </w:rPr>
        <w:t>voquons Kaki pour commencer. Tout récemment encore, en octobre 2015, il y avait foule pour la générale d'</w:t>
      </w:r>
      <w:r w:rsidR="006A4EED" w:rsidRPr="0093486E">
        <w:rPr>
          <w:rFonts w:ascii="Times New Roman" w:hAnsi="Times New Roman"/>
          <w:i/>
          <w:iCs/>
          <w:sz w:val="24"/>
          <w:szCs w:val="24"/>
        </w:rPr>
        <w:t xml:space="preserve">El guerrab oua salihine </w:t>
      </w:r>
      <w:r w:rsidR="006A4EED" w:rsidRPr="003B00C8">
        <w:rPr>
          <w:rFonts w:ascii="Times New Roman" w:hAnsi="Times New Roman"/>
          <w:sz w:val="24"/>
          <w:szCs w:val="24"/>
        </w:rPr>
        <w:t>(le porteur d'eau et les marabouts). La pièce</w:t>
      </w:r>
      <w:r w:rsidR="0093486E">
        <w:rPr>
          <w:rFonts w:ascii="Times New Roman" w:hAnsi="Times New Roman"/>
          <w:sz w:val="24"/>
          <w:szCs w:val="24"/>
        </w:rPr>
        <w:t>,</w:t>
      </w:r>
      <w:r w:rsidR="0093486E" w:rsidRPr="0093486E">
        <w:rPr>
          <w:rFonts w:ascii="Times New Roman" w:hAnsi="Times New Roman"/>
          <w:sz w:val="24"/>
          <w:szCs w:val="24"/>
        </w:rPr>
        <w:t xml:space="preserve"> </w:t>
      </w:r>
      <w:r w:rsidR="0093486E" w:rsidRPr="003B00C8">
        <w:rPr>
          <w:rFonts w:ascii="Times New Roman" w:hAnsi="Times New Roman"/>
          <w:sz w:val="24"/>
          <w:szCs w:val="24"/>
        </w:rPr>
        <w:t>Mise en scène par Nabil Bensekka</w:t>
      </w:r>
      <w:r w:rsidR="0093486E">
        <w:rPr>
          <w:rStyle w:val="Appelnotedebasdep"/>
          <w:rFonts w:ascii="Times New Roman" w:hAnsi="Times New Roman"/>
          <w:sz w:val="24"/>
          <w:szCs w:val="24"/>
        </w:rPr>
        <w:footnoteReference w:id="312"/>
      </w:r>
      <w:r w:rsidR="0093486E">
        <w:rPr>
          <w:rFonts w:ascii="Times New Roman" w:hAnsi="Times New Roman"/>
          <w:sz w:val="24"/>
          <w:szCs w:val="24"/>
        </w:rPr>
        <w:t>,</w:t>
      </w:r>
      <w:r w:rsidR="006A4EED" w:rsidRPr="003B00C8">
        <w:rPr>
          <w:rFonts w:ascii="Times New Roman" w:hAnsi="Times New Roman"/>
          <w:sz w:val="24"/>
          <w:szCs w:val="24"/>
        </w:rPr>
        <w:t xml:space="preserve"> a été jouée sur les planches du théâtre régional de Constantine (TRC), en hommage au dramaturge Ould Abderrahmane Kaki.</w:t>
      </w:r>
      <w:r>
        <w:rPr>
          <w:rFonts w:ascii="Times New Roman" w:hAnsi="Times New Roman"/>
          <w:sz w:val="24"/>
          <w:szCs w:val="24"/>
        </w:rPr>
        <w:t xml:space="preserve"> </w:t>
      </w:r>
      <w:r w:rsidR="006A4EED" w:rsidRPr="003B00C8">
        <w:rPr>
          <w:rFonts w:ascii="Times New Roman" w:hAnsi="Times New Roman"/>
          <w:sz w:val="24"/>
          <w:szCs w:val="24"/>
        </w:rPr>
        <w:t xml:space="preserve">L’œuvre de Kaki jouée pour la première fois en 1966 reste d’une admirable fraicheur. </w:t>
      </w:r>
    </w:p>
    <w:p w:rsidR="006A4EED" w:rsidRPr="003B00C8" w:rsidRDefault="006A4EED" w:rsidP="009F21F5">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Montée au sommet de sa carrière et de son art,  </w:t>
      </w:r>
      <w:r w:rsidR="0093486E" w:rsidRPr="0093486E">
        <w:rPr>
          <w:rFonts w:ascii="Times New Roman" w:hAnsi="Times New Roman"/>
          <w:i/>
          <w:iCs/>
          <w:sz w:val="24"/>
          <w:szCs w:val="24"/>
        </w:rPr>
        <w:t>Le Porteur d'eau et les Marabouts</w:t>
      </w:r>
      <w:r w:rsidR="0093486E" w:rsidRPr="003B00C8">
        <w:rPr>
          <w:rFonts w:ascii="Times New Roman" w:hAnsi="Times New Roman"/>
          <w:sz w:val="24"/>
          <w:szCs w:val="24"/>
        </w:rPr>
        <w:t xml:space="preserve"> </w:t>
      </w:r>
      <w:proofErr w:type="gramStart"/>
      <w:r w:rsidRPr="003B00C8">
        <w:rPr>
          <w:rFonts w:ascii="Times New Roman" w:hAnsi="Times New Roman"/>
          <w:sz w:val="24"/>
          <w:szCs w:val="24"/>
        </w:rPr>
        <w:t>est</w:t>
      </w:r>
      <w:proofErr w:type="gramEnd"/>
      <w:r w:rsidRPr="003B00C8">
        <w:rPr>
          <w:rFonts w:ascii="Times New Roman" w:hAnsi="Times New Roman"/>
          <w:sz w:val="24"/>
          <w:szCs w:val="24"/>
        </w:rPr>
        <w:t xml:space="preserve"> considérée, à juste titre dirons-nous, comme l’œuvre majeure du dramaturge Kaki. Nous avons exploré, analysé et interprété la pièce de Kaki et en retenons des enseignements édifiants du point de vue de vision, de narratologie et de la </w:t>
      </w:r>
      <w:r w:rsidR="00BE1E32">
        <w:rPr>
          <w:rFonts w:ascii="Times New Roman" w:hAnsi="Times New Roman"/>
          <w:sz w:val="24"/>
          <w:szCs w:val="24"/>
        </w:rPr>
        <w:t>sémiotique</w:t>
      </w:r>
      <w:r w:rsidRPr="003B00C8">
        <w:rPr>
          <w:rFonts w:ascii="Times New Roman" w:hAnsi="Times New Roman"/>
          <w:sz w:val="24"/>
          <w:szCs w:val="24"/>
        </w:rPr>
        <w:t xml:space="preserve"> de l’œuvre. </w:t>
      </w:r>
    </w:p>
    <w:p w:rsidR="006A4EED" w:rsidRPr="003B00C8" w:rsidRDefault="006A4EED" w:rsidP="009F21F5">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Du point de vue de la vision tout d’abord (entendue comme la volonté de véhiculer en définitive un message), notre thèse démontre que la référence à la culture populaire est le fil conducteur et le moteur de la pièce de Kaki. Sur un thème universel, Kaki y affirme en effet l'humanisme fondateur d'une culture populaire longtemps suspectée d'archaïsme niée dans ses dimensions civilisationnelles ainsi que dans son statut de mémoires des savoirs parfaitement </w:t>
      </w:r>
      <w:r w:rsidRPr="003B00C8">
        <w:rPr>
          <w:rFonts w:ascii="Times New Roman" w:hAnsi="Times New Roman"/>
          <w:sz w:val="24"/>
          <w:szCs w:val="24"/>
        </w:rPr>
        <w:lastRenderedPageBreak/>
        <w:t>élaborés. Il célèbre ainsi la culture populaire algérienne. Le recours aux Meddah, aux chants, aux références culturelles</w:t>
      </w:r>
      <w:r w:rsidR="004A3871">
        <w:rPr>
          <w:rFonts w:ascii="Times New Roman" w:hAnsi="Times New Roman"/>
          <w:sz w:val="24"/>
          <w:szCs w:val="24"/>
        </w:rPr>
        <w:t xml:space="preserve">, cultuelles </w:t>
      </w:r>
      <w:r w:rsidRPr="003B00C8">
        <w:rPr>
          <w:rFonts w:ascii="Times New Roman" w:hAnsi="Times New Roman"/>
          <w:sz w:val="24"/>
          <w:szCs w:val="24"/>
        </w:rPr>
        <w:t>et sociales de Mostaganem et de l’Algérie s’expliquent en toute logique.</w:t>
      </w:r>
    </w:p>
    <w:p w:rsidR="006A4EED" w:rsidRPr="003B00C8" w:rsidRDefault="006A4EED" w:rsidP="009F21F5">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Ensuite, que retenir de la pièce de Kaki du point de vue de la narratologie et de la sémiotique ? Notre thèse a révélé que </w:t>
      </w:r>
      <w:r w:rsidR="003E420F" w:rsidRPr="0093486E">
        <w:rPr>
          <w:rFonts w:ascii="Times New Roman" w:hAnsi="Times New Roman"/>
          <w:i/>
          <w:iCs/>
          <w:sz w:val="24"/>
          <w:szCs w:val="24"/>
        </w:rPr>
        <w:t>Le Porteur d'eau et les Marabouts</w:t>
      </w:r>
      <w:r w:rsidRPr="003B00C8">
        <w:rPr>
          <w:rFonts w:ascii="Times New Roman" w:hAnsi="Times New Roman"/>
          <w:sz w:val="24"/>
          <w:szCs w:val="24"/>
        </w:rPr>
        <w:t>, est la pièce de Kaki pour laquelle l'empreinte de Bertolt Brecht est l</w:t>
      </w:r>
      <w:r w:rsidR="004A3871">
        <w:rPr>
          <w:rFonts w:ascii="Times New Roman" w:hAnsi="Times New Roman"/>
          <w:sz w:val="24"/>
          <w:szCs w:val="24"/>
        </w:rPr>
        <w:t>a</w:t>
      </w:r>
      <w:r w:rsidRPr="003B00C8">
        <w:rPr>
          <w:rFonts w:ascii="Times New Roman" w:hAnsi="Times New Roman"/>
          <w:sz w:val="24"/>
          <w:szCs w:val="24"/>
        </w:rPr>
        <w:t xml:space="preserve"> plus palpable. D’aucuns diraient que l'œuvre a été partiellement adaptée de "La bonne âme de Se Tchouan" d</w:t>
      </w:r>
      <w:r w:rsidR="004A3871">
        <w:rPr>
          <w:rFonts w:ascii="Times New Roman" w:hAnsi="Times New Roman"/>
          <w:sz w:val="24"/>
          <w:szCs w:val="24"/>
        </w:rPr>
        <w:t xml:space="preserve">e ce </w:t>
      </w:r>
      <w:r w:rsidR="006D1754">
        <w:rPr>
          <w:rFonts w:ascii="Times New Roman" w:hAnsi="Times New Roman"/>
          <w:sz w:val="24"/>
          <w:szCs w:val="24"/>
        </w:rPr>
        <w:t>grand</w:t>
      </w:r>
      <w:r w:rsidRPr="003B00C8">
        <w:rPr>
          <w:rFonts w:ascii="Times New Roman" w:hAnsi="Times New Roman"/>
          <w:sz w:val="24"/>
          <w:szCs w:val="24"/>
        </w:rPr>
        <w:t xml:space="preserve"> dramaturge allemand, mais c’est peu comprendre l’imagination de Kaki.</w:t>
      </w:r>
    </w:p>
    <w:p w:rsidR="0030633B" w:rsidRDefault="006A4EED" w:rsidP="000A3399">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Dans notre investigation sémiologique, nous avons exploré la mise en scène de la pièce : Du point de vue de la sémiotique langagière, </w:t>
      </w:r>
      <w:r w:rsidR="003E420F" w:rsidRPr="0093486E">
        <w:rPr>
          <w:rFonts w:ascii="Times New Roman" w:hAnsi="Times New Roman"/>
          <w:i/>
          <w:iCs/>
          <w:sz w:val="24"/>
          <w:szCs w:val="24"/>
        </w:rPr>
        <w:t>Le Porteur d'eau et les Marabouts</w:t>
      </w:r>
      <w:r w:rsidR="003E420F" w:rsidRPr="003B00C8">
        <w:rPr>
          <w:rFonts w:ascii="Times New Roman" w:hAnsi="Times New Roman"/>
          <w:sz w:val="24"/>
          <w:szCs w:val="24"/>
        </w:rPr>
        <w:t xml:space="preserve"> </w:t>
      </w:r>
      <w:r w:rsidRPr="003B00C8">
        <w:rPr>
          <w:rFonts w:ascii="Times New Roman" w:hAnsi="Times New Roman"/>
          <w:sz w:val="24"/>
          <w:szCs w:val="24"/>
        </w:rPr>
        <w:t>a fait l'objet d'un travail fin, élaboré dans un arabe dialectal riche</w:t>
      </w:r>
      <w:r w:rsidR="004A3871">
        <w:rPr>
          <w:rFonts w:ascii="Times New Roman" w:hAnsi="Times New Roman"/>
          <w:sz w:val="24"/>
          <w:szCs w:val="24"/>
        </w:rPr>
        <w:t xml:space="preserve"> et littéraire</w:t>
      </w:r>
      <w:r w:rsidR="004A3871">
        <w:rPr>
          <w:rStyle w:val="Appelnotedebasdep"/>
          <w:rFonts w:ascii="Times New Roman" w:hAnsi="Times New Roman"/>
          <w:sz w:val="24"/>
          <w:szCs w:val="24"/>
        </w:rPr>
        <w:footnoteReference w:id="313"/>
      </w:r>
      <w:r w:rsidRPr="003B00C8">
        <w:rPr>
          <w:rFonts w:ascii="Times New Roman" w:hAnsi="Times New Roman"/>
          <w:sz w:val="24"/>
          <w:szCs w:val="24"/>
        </w:rPr>
        <w:t>, opportunément ajusté aux attentes et réactions des spectateurs. L’écriture se nourrit de la légende mais s'inspire aussi d'une réalité sociale, avec parfois un langage burlesque. Le tout nous dresse le tableau d'une société aux prises avec la misère culturelle et la déchéance</w:t>
      </w:r>
      <w:r w:rsidR="00254C75">
        <w:rPr>
          <w:rFonts w:ascii="Times New Roman" w:hAnsi="Times New Roman"/>
          <w:sz w:val="24"/>
          <w:szCs w:val="24"/>
        </w:rPr>
        <w:t xml:space="preserve"> voire du charlatanisme et l’obscurantisme</w:t>
      </w:r>
      <w:r w:rsidRPr="003B00C8">
        <w:rPr>
          <w:rFonts w:ascii="Times New Roman" w:hAnsi="Times New Roman"/>
          <w:sz w:val="24"/>
          <w:szCs w:val="24"/>
        </w:rPr>
        <w:t xml:space="preserve">. </w:t>
      </w:r>
    </w:p>
    <w:p w:rsidR="0030633B" w:rsidRDefault="006A4EED" w:rsidP="000A3399">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Ce corpus textuel est renforcé, du point de vue de la </w:t>
      </w:r>
      <w:r w:rsidR="00BE1E32">
        <w:rPr>
          <w:rFonts w:ascii="Times New Roman" w:hAnsi="Times New Roman"/>
          <w:sz w:val="24"/>
          <w:szCs w:val="24"/>
        </w:rPr>
        <w:t>sémiotique</w:t>
      </w:r>
      <w:r w:rsidRPr="003B00C8">
        <w:rPr>
          <w:rFonts w:ascii="Times New Roman" w:hAnsi="Times New Roman"/>
          <w:sz w:val="24"/>
          <w:szCs w:val="24"/>
        </w:rPr>
        <w:t xml:space="preserve"> du spectacle, par l'apport du Melhoun avec ses accents et ses sonorités, ponctuées de temps à autre de chants et de danses. La pièce, on l’a relevé, se distingue aussi par l'utilisation fréquente du chœur et du meddah. Du moment où les rôles sont soutenus et vivifiés par des comédiens de talent, ceux–ci parviennent parfaitement à se livrer et développer des éléments réalistes avec beaucoup de naturel. </w:t>
      </w:r>
    </w:p>
    <w:p w:rsidR="00380E1C" w:rsidRDefault="00380E1C" w:rsidP="000A3399">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Comme nous l’avons constaté tout au long de cette thèse, l</w:t>
      </w:r>
      <w:r w:rsidRPr="00B24912">
        <w:rPr>
          <w:rFonts w:ascii="Times New Roman" w:eastAsia="Times New Roman" w:hAnsi="Times New Roman"/>
          <w:sz w:val="24"/>
          <w:szCs w:val="24"/>
          <w:lang w:eastAsia="fr-FR"/>
        </w:rPr>
        <w:t>'élément du patrimoine a toujours été</w:t>
      </w:r>
      <w:r>
        <w:rPr>
          <w:rFonts w:ascii="Times New Roman" w:eastAsia="Times New Roman" w:hAnsi="Times New Roman"/>
          <w:sz w:val="24"/>
          <w:szCs w:val="24"/>
          <w:lang w:eastAsia="fr-FR"/>
        </w:rPr>
        <w:t xml:space="preserve"> ainsi </w:t>
      </w:r>
      <w:r w:rsidRPr="00B24912">
        <w:rPr>
          <w:rFonts w:ascii="Times New Roman" w:eastAsia="Times New Roman" w:hAnsi="Times New Roman"/>
          <w:sz w:val="24"/>
          <w:szCs w:val="24"/>
          <w:lang w:eastAsia="fr-FR"/>
        </w:rPr>
        <w:t>privilégié dans l'ensemble des écrits</w:t>
      </w:r>
      <w:r>
        <w:rPr>
          <w:rFonts w:ascii="Times New Roman" w:eastAsia="Times New Roman" w:hAnsi="Times New Roman"/>
          <w:sz w:val="24"/>
          <w:szCs w:val="24"/>
          <w:lang w:eastAsia="fr-FR"/>
        </w:rPr>
        <w:t xml:space="preserve"> de Kaki</w:t>
      </w:r>
      <w:r w:rsidRPr="00B24912">
        <w:rPr>
          <w:rFonts w:ascii="Times New Roman" w:eastAsia="Times New Roman" w:hAnsi="Times New Roman"/>
          <w:sz w:val="24"/>
          <w:szCs w:val="24"/>
          <w:lang w:eastAsia="fr-FR"/>
        </w:rPr>
        <w:t xml:space="preserve">, surtout sa façon d’insérer le personnage « El Meddah » "personnage/narrateur", en permettant au théâtre algérien et maghrébin d’effectuer un sursaut considérable et palpable principalement dans l’œuvre </w:t>
      </w:r>
      <w:r>
        <w:rPr>
          <w:rFonts w:ascii="Times New Roman" w:eastAsia="Times New Roman" w:hAnsi="Times New Roman"/>
          <w:sz w:val="24"/>
          <w:szCs w:val="24"/>
          <w:lang w:eastAsia="fr-FR"/>
        </w:rPr>
        <w:t xml:space="preserve">qui demeure à plus d’un titre </w:t>
      </w:r>
      <w:r w:rsidRPr="00B24912">
        <w:rPr>
          <w:rFonts w:ascii="Times New Roman" w:eastAsia="Times New Roman" w:hAnsi="Times New Roman"/>
          <w:sz w:val="24"/>
          <w:szCs w:val="24"/>
          <w:lang w:eastAsia="fr-FR"/>
        </w:rPr>
        <w:t>emblématique</w:t>
      </w:r>
      <w:r w:rsidRPr="00380E1C">
        <w:rPr>
          <w:rFonts w:ascii="Times New Roman" w:hAnsi="Times New Roman"/>
          <w:i/>
          <w:iCs/>
          <w:sz w:val="24"/>
          <w:szCs w:val="24"/>
        </w:rPr>
        <w:t xml:space="preserve"> </w:t>
      </w:r>
      <w:r w:rsidRPr="0093486E">
        <w:rPr>
          <w:rFonts w:ascii="Times New Roman" w:hAnsi="Times New Roman"/>
          <w:i/>
          <w:iCs/>
          <w:sz w:val="24"/>
          <w:szCs w:val="24"/>
        </w:rPr>
        <w:t>Le Porteur d'eau et les Marabouts</w:t>
      </w:r>
      <w:r w:rsidRPr="00B24912">
        <w:rPr>
          <w:rFonts w:ascii="Times New Roman" w:eastAsia="Times New Roman" w:hAnsi="Times New Roman"/>
          <w:sz w:val="24"/>
          <w:szCs w:val="24"/>
          <w:lang w:eastAsia="fr-FR"/>
        </w:rPr>
        <w:t>.</w:t>
      </w:r>
    </w:p>
    <w:p w:rsidR="001F201E" w:rsidRDefault="001F201E" w:rsidP="000A3399">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 xml:space="preserve">Si </w:t>
      </w:r>
      <w:r w:rsidRPr="007A0949">
        <w:rPr>
          <w:rFonts w:ascii="Times New Roman" w:eastAsia="Times New Roman" w:hAnsi="Times New Roman"/>
          <w:sz w:val="24"/>
          <w:szCs w:val="24"/>
          <w:lang w:eastAsia="fr-FR"/>
        </w:rPr>
        <w:t xml:space="preserve">Kaki a </w:t>
      </w:r>
      <w:r>
        <w:rPr>
          <w:rFonts w:ascii="Times New Roman" w:eastAsia="Times New Roman" w:hAnsi="Times New Roman"/>
          <w:sz w:val="24"/>
          <w:szCs w:val="24"/>
          <w:lang w:eastAsia="fr-FR"/>
        </w:rPr>
        <w:t xml:space="preserve">donc </w:t>
      </w:r>
      <w:r w:rsidRPr="007A0949">
        <w:rPr>
          <w:rFonts w:ascii="Times New Roman" w:eastAsia="Times New Roman" w:hAnsi="Times New Roman"/>
          <w:sz w:val="24"/>
          <w:szCs w:val="24"/>
          <w:lang w:eastAsia="fr-FR"/>
        </w:rPr>
        <w:t>su fusionner entre l’espace traditionnel de l’adage populaire et les capacités communicationnelles du narrateur,</w:t>
      </w:r>
      <w:r w:rsidRPr="00D529FC">
        <w:rPr>
          <w:rFonts w:ascii="Times New Roman" w:eastAsia="Times New Roman" w:hAnsi="Times New Roman"/>
          <w:sz w:val="24"/>
          <w:szCs w:val="24"/>
          <w:lang w:eastAsia="fr-FR"/>
        </w:rPr>
        <w:t xml:space="preserve"> </w:t>
      </w:r>
      <w:r w:rsidRPr="007A0949">
        <w:rPr>
          <w:rFonts w:ascii="Times New Roman" w:eastAsia="Times New Roman" w:hAnsi="Times New Roman"/>
          <w:sz w:val="24"/>
          <w:szCs w:val="24"/>
          <w:lang w:eastAsia="fr-FR"/>
        </w:rPr>
        <w:t xml:space="preserve">en reprenant au début le lieu du </w:t>
      </w:r>
      <w:r w:rsidRPr="007A0949">
        <w:rPr>
          <w:rFonts w:ascii="Times New Roman" w:eastAsia="Times New Roman" w:hAnsi="Times New Roman"/>
          <w:sz w:val="24"/>
          <w:szCs w:val="24"/>
          <w:lang w:eastAsia="fr-FR"/>
        </w:rPr>
        <w:lastRenderedPageBreak/>
        <w:t>spectacle traditionnel « El-Halka », où les spectateurs</w:t>
      </w:r>
      <w:r>
        <w:rPr>
          <w:rFonts w:ascii="Times New Roman" w:eastAsia="Times New Roman" w:hAnsi="Times New Roman"/>
          <w:sz w:val="24"/>
          <w:szCs w:val="24"/>
          <w:lang w:eastAsia="fr-FR"/>
        </w:rPr>
        <w:t xml:space="preserve"> </w:t>
      </w:r>
      <w:r w:rsidRPr="007A0949">
        <w:rPr>
          <w:rFonts w:ascii="Times New Roman" w:eastAsia="Times New Roman" w:hAnsi="Times New Roman"/>
          <w:sz w:val="24"/>
          <w:szCs w:val="24"/>
          <w:lang w:eastAsia="fr-FR"/>
        </w:rPr>
        <w:t xml:space="preserve">s’attroupent dans un cercle pour prendre part au spectacle. </w:t>
      </w:r>
      <w:r>
        <w:rPr>
          <w:rFonts w:ascii="Times New Roman" w:eastAsia="Times New Roman" w:hAnsi="Times New Roman"/>
          <w:sz w:val="24"/>
          <w:szCs w:val="24"/>
          <w:lang w:eastAsia="fr-FR"/>
        </w:rPr>
        <w:t>Il transféra ainsi</w:t>
      </w:r>
      <w:r w:rsidRPr="007A0949">
        <w:rPr>
          <w:rFonts w:ascii="Times New Roman" w:eastAsia="Times New Roman" w:hAnsi="Times New Roman"/>
          <w:sz w:val="24"/>
          <w:szCs w:val="24"/>
          <w:lang w:eastAsia="fr-FR"/>
        </w:rPr>
        <w:t xml:space="preserve"> la relation: acteur/public d’El-Halka vers le théâtre en travaillant à recréer la sensation et l’émotion qui caractérisent ce type d’attroupement, technique qui s’avère comme un élément passionnant de la relation entre la scène et le public.</w:t>
      </w:r>
    </w:p>
    <w:p w:rsidR="001F201E" w:rsidRDefault="001F201E" w:rsidP="0063771B">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 xml:space="preserve">Il </w:t>
      </w:r>
      <w:r w:rsidRPr="001E115E">
        <w:rPr>
          <w:rFonts w:ascii="Times New Roman" w:eastAsia="Times New Roman" w:hAnsi="Times New Roman"/>
          <w:sz w:val="24"/>
          <w:szCs w:val="24"/>
          <w:lang w:eastAsia="fr-FR"/>
        </w:rPr>
        <w:t xml:space="preserve">a su </w:t>
      </w:r>
      <w:r>
        <w:rPr>
          <w:rFonts w:ascii="Times New Roman" w:eastAsia="Times New Roman" w:hAnsi="Times New Roman"/>
          <w:sz w:val="24"/>
          <w:szCs w:val="24"/>
          <w:lang w:eastAsia="fr-FR"/>
        </w:rPr>
        <w:t xml:space="preserve">tout aussi </w:t>
      </w:r>
      <w:r w:rsidRPr="001E115E">
        <w:rPr>
          <w:rFonts w:ascii="Times New Roman" w:eastAsia="Times New Roman" w:hAnsi="Times New Roman"/>
          <w:sz w:val="24"/>
          <w:szCs w:val="24"/>
          <w:lang w:eastAsia="fr-FR"/>
        </w:rPr>
        <w:t xml:space="preserve">développer la créativité et les innovations dans </w:t>
      </w:r>
      <w:r>
        <w:rPr>
          <w:rFonts w:ascii="Times New Roman" w:eastAsia="Times New Roman" w:hAnsi="Times New Roman"/>
          <w:sz w:val="24"/>
          <w:szCs w:val="24"/>
          <w:lang w:eastAsia="fr-FR"/>
        </w:rPr>
        <w:t>cette</w:t>
      </w:r>
      <w:r w:rsidRPr="001E115E">
        <w:rPr>
          <w:rFonts w:ascii="Times New Roman" w:eastAsia="Times New Roman" w:hAnsi="Times New Roman"/>
          <w:sz w:val="24"/>
          <w:szCs w:val="24"/>
          <w:lang w:eastAsia="fr-FR"/>
        </w:rPr>
        <w:t xml:space="preserve"> œuvre au  vu de son intérêt tant de l'héritage de sa terre natale et de ses concitoyens, que de tous les rituels caractérisant </w:t>
      </w:r>
      <w:r>
        <w:rPr>
          <w:rFonts w:ascii="Times New Roman" w:eastAsia="Times New Roman" w:hAnsi="Times New Roman"/>
          <w:sz w:val="24"/>
          <w:szCs w:val="24"/>
          <w:lang w:eastAsia="fr-FR"/>
        </w:rPr>
        <w:t xml:space="preserve">les </w:t>
      </w:r>
      <w:r w:rsidRPr="001E115E">
        <w:rPr>
          <w:rFonts w:ascii="Times New Roman" w:eastAsia="Times New Roman" w:hAnsi="Times New Roman"/>
          <w:sz w:val="24"/>
          <w:szCs w:val="24"/>
          <w:lang w:eastAsia="fr-FR"/>
        </w:rPr>
        <w:t>peuples de la Méditerranée.</w:t>
      </w:r>
      <w:r w:rsidRPr="00705077">
        <w:rPr>
          <w:rFonts w:ascii="Times New Roman" w:eastAsia="Times New Roman" w:hAnsi="Times New Roman"/>
          <w:sz w:val="24"/>
          <w:szCs w:val="24"/>
          <w:lang w:eastAsia="fr-FR"/>
        </w:rPr>
        <w:t xml:space="preserve"> </w:t>
      </w:r>
      <w:r w:rsidRPr="007A0949">
        <w:rPr>
          <w:rFonts w:ascii="Times New Roman" w:eastAsia="Times New Roman" w:hAnsi="Times New Roman"/>
          <w:sz w:val="24"/>
          <w:szCs w:val="24"/>
          <w:lang w:eastAsia="fr-FR"/>
        </w:rPr>
        <w:t>Tout comme ses tentatives qui se sont singularisées par sa quête permanente pour relancer et renouveler les méthodes traditionnelles de communication menacées d'extinction en raison des évolutions qu’avait connues la société algérienne.</w:t>
      </w:r>
    </w:p>
    <w:p w:rsidR="001F201E" w:rsidRDefault="001F201E" w:rsidP="000A3399">
      <w:pPr>
        <w:spacing w:after="0" w:line="360" w:lineRule="auto"/>
        <w:ind w:firstLine="284"/>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Il est tout à fait vrai</w:t>
      </w:r>
      <w:r w:rsidRPr="007A0949">
        <w:rPr>
          <w:rFonts w:ascii="Times New Roman" w:eastAsia="Times New Roman" w:hAnsi="Times New Roman"/>
          <w:sz w:val="24"/>
          <w:szCs w:val="24"/>
          <w:lang w:eastAsia="fr-FR"/>
        </w:rPr>
        <w:t xml:space="preserve">, </w:t>
      </w:r>
      <w:r>
        <w:rPr>
          <w:rFonts w:ascii="Times New Roman" w:eastAsia="Times New Roman" w:hAnsi="Times New Roman"/>
          <w:sz w:val="24"/>
          <w:szCs w:val="24"/>
          <w:lang w:eastAsia="fr-FR"/>
        </w:rPr>
        <w:t xml:space="preserve">comme nous l’avons explicitement relevé dans cette pièce, que </w:t>
      </w:r>
      <w:r w:rsidRPr="007A0949">
        <w:rPr>
          <w:rFonts w:ascii="Times New Roman" w:eastAsia="Times New Roman" w:hAnsi="Times New Roman"/>
          <w:sz w:val="24"/>
          <w:szCs w:val="24"/>
          <w:lang w:eastAsia="fr-FR"/>
        </w:rPr>
        <w:t>Kaki</w:t>
      </w:r>
      <w:r>
        <w:rPr>
          <w:rFonts w:ascii="Times New Roman" w:eastAsia="Times New Roman" w:hAnsi="Times New Roman"/>
          <w:sz w:val="24"/>
          <w:szCs w:val="24"/>
          <w:lang w:eastAsia="fr-FR"/>
        </w:rPr>
        <w:t>, le Brecht algérien,</w:t>
      </w:r>
      <w:r w:rsidRPr="007A0949">
        <w:rPr>
          <w:rFonts w:ascii="Times New Roman" w:eastAsia="Times New Roman" w:hAnsi="Times New Roman"/>
          <w:sz w:val="24"/>
          <w:szCs w:val="24"/>
          <w:lang w:eastAsia="fr-FR"/>
        </w:rPr>
        <w:t xml:space="preserve"> a réussi le traitement du sujet, ce qui ne semble pas étrange de l'environnement algérien, il ne privait pas le village de sa foi, en procédant à un jeu d'événements religieux par le remplacement des trois dieux par trois Marabouts (</w:t>
      </w:r>
      <w:r w:rsidRPr="007A0949">
        <w:rPr>
          <w:rFonts w:ascii="Times New Roman" w:eastAsia="Times New Roman" w:hAnsi="Times New Roman"/>
          <w:i/>
          <w:iCs/>
          <w:sz w:val="24"/>
          <w:szCs w:val="24"/>
          <w:lang w:eastAsia="fr-FR"/>
        </w:rPr>
        <w:t>Salihines</w:t>
      </w:r>
      <w:r w:rsidRPr="007A0949">
        <w:rPr>
          <w:rFonts w:ascii="Times New Roman" w:eastAsia="Times New Roman" w:hAnsi="Times New Roman"/>
          <w:sz w:val="24"/>
          <w:szCs w:val="24"/>
          <w:lang w:eastAsia="fr-FR"/>
        </w:rPr>
        <w:t xml:space="preserve">), et le personnage Se-Tchouan par la vieille </w:t>
      </w:r>
      <w:r w:rsidRPr="007A0949">
        <w:rPr>
          <w:rFonts w:ascii="Times New Roman" w:eastAsia="Times New Roman" w:hAnsi="Times New Roman"/>
          <w:color w:val="000000"/>
          <w:sz w:val="24"/>
          <w:szCs w:val="24"/>
          <w:lang w:eastAsia="fr-FR"/>
        </w:rPr>
        <w:t>Halima, une femme aveugle mais très pieuse</w:t>
      </w:r>
      <w:r w:rsidRPr="007A0949">
        <w:rPr>
          <w:rFonts w:ascii="Times New Roman" w:eastAsia="Times New Roman" w:hAnsi="Times New Roman"/>
          <w:sz w:val="24"/>
          <w:szCs w:val="24"/>
          <w:lang w:eastAsia="fr-FR"/>
        </w:rPr>
        <w:t>.</w:t>
      </w:r>
    </w:p>
    <w:p w:rsidR="006A4EED" w:rsidRDefault="006A4EED" w:rsidP="00C00F6E">
      <w:pPr>
        <w:spacing w:after="0" w:line="360" w:lineRule="auto"/>
        <w:ind w:firstLine="284"/>
        <w:jc w:val="both"/>
        <w:rPr>
          <w:rFonts w:ascii="Times New Roman" w:hAnsi="Times New Roman"/>
          <w:sz w:val="24"/>
          <w:szCs w:val="24"/>
        </w:rPr>
      </w:pPr>
      <w:r w:rsidRPr="003B00C8">
        <w:rPr>
          <w:rFonts w:ascii="Times New Roman" w:hAnsi="Times New Roman"/>
          <w:sz w:val="24"/>
          <w:szCs w:val="24"/>
        </w:rPr>
        <w:t>Le dispositif scénique choisi</w:t>
      </w:r>
      <w:r w:rsidR="001F201E">
        <w:rPr>
          <w:rFonts w:ascii="Times New Roman" w:hAnsi="Times New Roman"/>
          <w:sz w:val="24"/>
          <w:szCs w:val="24"/>
        </w:rPr>
        <w:t xml:space="preserve"> en l’occurrence</w:t>
      </w:r>
      <w:r w:rsidRPr="003B00C8">
        <w:rPr>
          <w:rFonts w:ascii="Times New Roman" w:hAnsi="Times New Roman"/>
          <w:sz w:val="24"/>
          <w:szCs w:val="24"/>
        </w:rPr>
        <w:t xml:space="preserve"> par Kaki est minimaliste, afin de laisser éclore l’imagination du spectateur. En revanche, il n'est pas vain de préciser que le choix original des </w:t>
      </w:r>
      <w:r w:rsidR="0030633B" w:rsidRPr="003B00C8">
        <w:rPr>
          <w:rFonts w:ascii="Times New Roman" w:hAnsi="Times New Roman"/>
          <w:sz w:val="24"/>
          <w:szCs w:val="24"/>
        </w:rPr>
        <w:t>accessoires</w:t>
      </w:r>
      <w:r w:rsidRPr="003B00C8">
        <w:rPr>
          <w:rFonts w:ascii="Times New Roman" w:hAnsi="Times New Roman"/>
          <w:sz w:val="24"/>
          <w:szCs w:val="24"/>
        </w:rPr>
        <w:t xml:space="preserve"> avait été fait en rapport avec le texte et les comédiens. </w:t>
      </w:r>
      <w:r w:rsidR="0030633B">
        <w:rPr>
          <w:rFonts w:ascii="Times New Roman" w:hAnsi="Times New Roman"/>
          <w:sz w:val="24"/>
          <w:szCs w:val="24"/>
        </w:rPr>
        <w:t>U</w:t>
      </w:r>
      <w:r w:rsidRPr="003B00C8">
        <w:rPr>
          <w:rFonts w:ascii="Times New Roman" w:hAnsi="Times New Roman"/>
          <w:sz w:val="24"/>
          <w:szCs w:val="24"/>
        </w:rPr>
        <w:t>tilisation de</w:t>
      </w:r>
      <w:r w:rsidR="0030633B">
        <w:rPr>
          <w:rFonts w:ascii="Times New Roman" w:hAnsi="Times New Roman"/>
          <w:sz w:val="24"/>
          <w:szCs w:val="24"/>
        </w:rPr>
        <w:t xml:space="preserve"> ce</w:t>
      </w:r>
      <w:r w:rsidRPr="003B00C8">
        <w:rPr>
          <w:rFonts w:ascii="Times New Roman" w:hAnsi="Times New Roman"/>
          <w:sz w:val="24"/>
          <w:szCs w:val="24"/>
        </w:rPr>
        <w:t xml:space="preserve">s accessoires </w:t>
      </w:r>
      <w:r w:rsidR="0030633B">
        <w:rPr>
          <w:rFonts w:ascii="Times New Roman" w:hAnsi="Times New Roman"/>
          <w:sz w:val="24"/>
          <w:szCs w:val="24"/>
        </w:rPr>
        <w:t xml:space="preserve">qui </w:t>
      </w:r>
      <w:r w:rsidRPr="003B00C8">
        <w:rPr>
          <w:rFonts w:ascii="Times New Roman" w:hAnsi="Times New Roman"/>
          <w:sz w:val="24"/>
          <w:szCs w:val="24"/>
        </w:rPr>
        <w:t>ajoute à l'impact et au dynamisme de l'écriture</w:t>
      </w:r>
      <w:r w:rsidR="001F201E">
        <w:rPr>
          <w:rFonts w:ascii="Times New Roman" w:hAnsi="Times New Roman"/>
          <w:sz w:val="24"/>
          <w:szCs w:val="24"/>
        </w:rPr>
        <w:t xml:space="preserve"> une distanciation qui fera voyager le spectateur dans les profondeurs de sa vie mentale, ses croyances </w:t>
      </w:r>
      <w:r w:rsidR="002E3644">
        <w:rPr>
          <w:rFonts w:ascii="Times New Roman" w:hAnsi="Times New Roman"/>
          <w:sz w:val="24"/>
          <w:szCs w:val="24"/>
        </w:rPr>
        <w:t>voire son quotidien tumultueux</w:t>
      </w:r>
      <w:r w:rsidRPr="003B00C8">
        <w:rPr>
          <w:rFonts w:ascii="Times New Roman" w:hAnsi="Times New Roman"/>
          <w:sz w:val="24"/>
          <w:szCs w:val="24"/>
        </w:rPr>
        <w:t xml:space="preserve">. </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t>La pièce de Michel de Ghelderode n’aura pas été non plus avare en enseignements.</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t>Ghelderode est pratiquement un phénomène théâtral unique. Sa gouaille théâtrale poétique, figurative, allégorique, libre et ouverte, avec des éléments de fantaisie et de mysticisme surprend d’emblée !  Elle nous a touchés aussi par la modernité des idées, par les appels à la subversion, par la magie intérieure du drame. Le dramaturge offre un miroir métathéâtral dans lequel le spectateur peut regarder ses angoisses, ses attentes, des images tragiques transfusées en images grotesques créant un carnavalesque - quoique bouleversant - d’une esthétique théâtrale sublime.</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lastRenderedPageBreak/>
        <w:t>Comme pour Kaki, nous retenons des éléments au niveau de la vision, de la narratologie et de la sémiotique.</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La vision de Ghelderode est définitivement celle de l’« anti » ! Anti-conformisme, anticléricalisme, antipodes… antéchrist ! Ghelderode apparait comme un écorché vif, son </w:t>
      </w:r>
      <w:r w:rsidR="00DC730E" w:rsidRPr="003B00C8">
        <w:rPr>
          <w:rFonts w:ascii="Times New Roman" w:hAnsi="Times New Roman"/>
          <w:sz w:val="24"/>
          <w:szCs w:val="24"/>
        </w:rPr>
        <w:t>théâtre</w:t>
      </w:r>
      <w:r w:rsidRPr="003B00C8">
        <w:rPr>
          <w:rFonts w:ascii="Times New Roman" w:hAnsi="Times New Roman"/>
          <w:sz w:val="24"/>
          <w:szCs w:val="24"/>
        </w:rPr>
        <w:t xml:space="preserve"> émeut, offusque, dégoute, interroge, mais ne laisse jamais indifférent. Tantôt célébration, tantôt destruction. Parfois mysticisme, souvent obscénité. Cette ambivalence, on l’a étudié dans cette thèse se matérialise parfaitement dans la double référence au carnavalesque : carnavalesque festif et esthétique  d’une part, carnavalesque grotesque et tragique d’autre part. Ghelderode c’est l’insaisissable, le rebelle, le profanateur ! Cette façon de se démarquer de la </w:t>
      </w:r>
      <w:r w:rsidR="0030633B" w:rsidRPr="003B00C8">
        <w:rPr>
          <w:rFonts w:ascii="Times New Roman" w:hAnsi="Times New Roman"/>
          <w:sz w:val="24"/>
          <w:szCs w:val="24"/>
        </w:rPr>
        <w:t>bien-pensante</w:t>
      </w:r>
      <w:r w:rsidRPr="003B00C8">
        <w:rPr>
          <w:rFonts w:ascii="Times New Roman" w:hAnsi="Times New Roman"/>
          <w:sz w:val="24"/>
          <w:szCs w:val="24"/>
        </w:rPr>
        <w:t xml:space="preserve"> et de l’ordre (sociétal, clérical, moral) établis, ce refus de l’enfermement font l’identité du dramaturge belge, son intérêt aussi. C’est la personnalité de cette « qualité » qu’il nous a été donné d’étudier à travers sa pièce </w:t>
      </w:r>
      <w:r w:rsidRPr="003B00C8">
        <w:rPr>
          <w:rFonts w:ascii="Times New Roman" w:hAnsi="Times New Roman"/>
          <w:i/>
          <w:sz w:val="24"/>
          <w:szCs w:val="24"/>
        </w:rPr>
        <w:t>Bara</w:t>
      </w:r>
      <w:r w:rsidR="0030633B">
        <w:rPr>
          <w:rFonts w:ascii="Times New Roman" w:hAnsi="Times New Roman"/>
          <w:i/>
          <w:sz w:val="24"/>
          <w:szCs w:val="24"/>
        </w:rPr>
        <w:t>b</w:t>
      </w:r>
      <w:r w:rsidRPr="003B00C8">
        <w:rPr>
          <w:rFonts w:ascii="Times New Roman" w:hAnsi="Times New Roman"/>
          <w:i/>
          <w:sz w:val="24"/>
          <w:szCs w:val="24"/>
        </w:rPr>
        <w:t>bas</w:t>
      </w:r>
      <w:r w:rsidRPr="003B00C8">
        <w:rPr>
          <w:rFonts w:ascii="Times New Roman" w:hAnsi="Times New Roman"/>
          <w:sz w:val="24"/>
          <w:szCs w:val="24"/>
        </w:rPr>
        <w:t>.</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Et que dire des procédés narratologiques et sémiotiques chez Ghelderode à travers </w:t>
      </w:r>
      <w:r w:rsidRPr="003B00C8">
        <w:rPr>
          <w:rFonts w:ascii="Times New Roman" w:hAnsi="Times New Roman"/>
          <w:i/>
          <w:sz w:val="24"/>
          <w:szCs w:val="24"/>
        </w:rPr>
        <w:t>Bara</w:t>
      </w:r>
      <w:r w:rsidR="0030633B">
        <w:rPr>
          <w:rFonts w:ascii="Times New Roman" w:hAnsi="Times New Roman"/>
          <w:i/>
          <w:sz w:val="24"/>
          <w:szCs w:val="24"/>
        </w:rPr>
        <w:t>b</w:t>
      </w:r>
      <w:r w:rsidRPr="003B00C8">
        <w:rPr>
          <w:rFonts w:ascii="Times New Roman" w:hAnsi="Times New Roman"/>
          <w:i/>
          <w:sz w:val="24"/>
          <w:szCs w:val="24"/>
        </w:rPr>
        <w:t>bas </w:t>
      </w:r>
      <w:r w:rsidRPr="003B00C8">
        <w:rPr>
          <w:rFonts w:ascii="Times New Roman" w:hAnsi="Times New Roman"/>
          <w:sz w:val="24"/>
          <w:szCs w:val="24"/>
        </w:rPr>
        <w:t>?</w:t>
      </w:r>
    </w:p>
    <w:p w:rsidR="00FB0130" w:rsidRPr="001256E4" w:rsidRDefault="00FB0130" w:rsidP="00DF2CEA">
      <w:pPr>
        <w:spacing w:after="0" w:line="360" w:lineRule="auto"/>
        <w:ind w:firstLine="284"/>
        <w:jc w:val="both"/>
        <w:rPr>
          <w:rFonts w:ascii="Times New Roman" w:hAnsi="Times New Roman"/>
          <w:sz w:val="24"/>
          <w:szCs w:val="24"/>
        </w:rPr>
      </w:pPr>
      <w:r w:rsidRPr="001256E4">
        <w:rPr>
          <w:rFonts w:ascii="Times New Roman" w:hAnsi="Times New Roman"/>
          <w:sz w:val="24"/>
          <w:szCs w:val="24"/>
        </w:rPr>
        <w:t xml:space="preserve">Nous pensons qu’en proposant dans cette pièce, à travers le portrait et l'évolution du brigand Barabbas, une nouvelle vision de la Passion, l’auteur a élaboré un théâtre expressionniste où se mêlent l’horrible et le bouffon. Un théâtre où l’action, qui est brève, se situe dans la nuit et baignant dans une humeur ténébreuse. Un théâtre dont le langage est violent, lyrique et en même temps trivial.  La mort y est toujours présente et où le sujet est souvent médiéval et mystique. </w:t>
      </w:r>
    </w:p>
    <w:p w:rsidR="00FB0130" w:rsidRPr="001256E4" w:rsidRDefault="00FB0130" w:rsidP="00DF2CEA">
      <w:pPr>
        <w:spacing w:after="0" w:line="360" w:lineRule="auto"/>
        <w:ind w:firstLine="284"/>
        <w:jc w:val="both"/>
        <w:rPr>
          <w:rFonts w:ascii="Times New Roman" w:hAnsi="Times New Roman"/>
          <w:sz w:val="24"/>
          <w:szCs w:val="24"/>
        </w:rPr>
      </w:pPr>
      <w:r w:rsidRPr="001256E4">
        <w:rPr>
          <w:rFonts w:ascii="Times New Roman" w:hAnsi="Times New Roman"/>
          <w:sz w:val="24"/>
          <w:szCs w:val="24"/>
        </w:rPr>
        <w:t>De cette violence, l'humour dévastateur et grinçant des surréalistes, humour dont Ghelderode participe à plein, n'est sans doute que la forme la plus exaspérée et la plus percutante. Commencé dans la dérision des choses, des êtres et des institutions, le rire ghelderodien se retourne contre lui-même et rit de sa propre douleur. Là encore le constat d'absurdité totale, d'impuissance et d'obsession qu'il constitue annonce les formes les plus cruelles de l'humour noir où revient sans cesse buter la sensibilité contemporaine.</w:t>
      </w:r>
    </w:p>
    <w:p w:rsidR="00FB0130" w:rsidRPr="001256E4" w:rsidRDefault="00FB0130" w:rsidP="00DF2CEA">
      <w:pPr>
        <w:spacing w:after="0" w:line="360" w:lineRule="auto"/>
        <w:ind w:firstLine="284"/>
        <w:jc w:val="both"/>
        <w:rPr>
          <w:rFonts w:ascii="Times New Roman" w:hAnsi="Times New Roman"/>
          <w:sz w:val="24"/>
          <w:szCs w:val="24"/>
        </w:rPr>
      </w:pPr>
      <w:r w:rsidRPr="001256E4">
        <w:rPr>
          <w:rFonts w:ascii="Times New Roman" w:hAnsi="Times New Roman"/>
          <w:sz w:val="24"/>
          <w:szCs w:val="24"/>
        </w:rPr>
        <w:t xml:space="preserve">En effet, pour construire son « mystère » pseudo médiéval, Michel de Ghelderode, bien qu’il ait perdu la foi au dogme, mais demeure attaché aux liturgies et rituels (ex les scènes relatant le supplice de jésus), va demander ses </w:t>
      </w:r>
      <w:r w:rsidRPr="001256E4">
        <w:rPr>
          <w:rFonts w:ascii="Times New Roman" w:hAnsi="Times New Roman"/>
          <w:sz w:val="24"/>
          <w:szCs w:val="24"/>
        </w:rPr>
        <w:lastRenderedPageBreak/>
        <w:t xml:space="preserve">principaux éléments aux évangiles chrétiens. Barabbas qu’il a choisi, en remontant aux sources, à l’héritage européen classique  pour y trouver les réponses aux questions des années vingt, trente, est finalement cet être humain, ce « bandit » terrifiant, horrible, cruel et vraiment méchant, qui après avoir commis pleins de crimes, et qui n’est pas désespéré ni triste dans l’attente de sa mort tout en nourrissant la haine contre tous, est, paradoxalement - coté absurde de la vie oblige -, à la fin de la pièce, une personne plus sympathique, agissant selon la raison et détestant l’injustice !  </w:t>
      </w:r>
    </w:p>
    <w:p w:rsidR="009B08F8" w:rsidRPr="001256E4" w:rsidRDefault="009B08F8" w:rsidP="00DF2CEA">
      <w:pPr>
        <w:spacing w:after="0" w:line="360" w:lineRule="auto"/>
        <w:ind w:firstLine="284"/>
        <w:jc w:val="both"/>
        <w:rPr>
          <w:rFonts w:ascii="Times New Roman" w:hAnsi="Times New Roman"/>
          <w:sz w:val="24"/>
          <w:szCs w:val="24"/>
        </w:rPr>
      </w:pPr>
      <w:r w:rsidRPr="001256E4">
        <w:rPr>
          <w:rFonts w:ascii="Times New Roman" w:hAnsi="Times New Roman"/>
          <w:sz w:val="24"/>
          <w:szCs w:val="24"/>
        </w:rPr>
        <w:t>Le premier élément à observer cette règle, le seul à vrai dire qui au départ dépende strictement de l'auteur, c'est la langue dans laquelle s'expriment les personnages. Elle est résolument artificielle, artificieuse chez Ghelderode. Outre les cris, les rires, les hurlements, les grognements qui constituent la plupart du temps autant de procédés de transformation et de déréalisation du langage, le texte abonde de mots rares et vieillis, de tours inusités et surprenants, d'inversions, de répétitions, de rythmes poétiques et musicaux qui arrivent toujours à point nommé pour survolter la scène et maintenir l'illusion du spectateur à un niveau délibérément hors du commun.</w:t>
      </w:r>
    </w:p>
    <w:p w:rsidR="009B08F8" w:rsidRPr="001256E4" w:rsidRDefault="009B08F8" w:rsidP="00DF2CEA">
      <w:pPr>
        <w:spacing w:after="0" w:line="360" w:lineRule="auto"/>
        <w:ind w:firstLine="284"/>
        <w:jc w:val="both"/>
        <w:rPr>
          <w:rFonts w:ascii="Times New Roman" w:hAnsi="Times New Roman"/>
          <w:sz w:val="24"/>
          <w:szCs w:val="24"/>
        </w:rPr>
      </w:pPr>
      <w:r w:rsidRPr="001256E4">
        <w:rPr>
          <w:rFonts w:ascii="Times New Roman" w:hAnsi="Times New Roman"/>
          <w:sz w:val="24"/>
          <w:szCs w:val="24"/>
        </w:rPr>
        <w:t>Le théâtre de Ghelderode, phénomène théâtral unique - car s'agissant d'une poétique, figurative, allégorique, libre et ouvert, avec des éléments de fantaisie et de mysticisme - qui surprend par la modernité des idées et des appels à des scènes sensuelles par la magie intérieure du drame, devient un miroir métathéâtral dans lequel le spectateur peut regarder ses angoisses, ses attentes, des images tragiques transfusées en images grotesques créant un carnavalesque - quoique bouleversant - d’une esthétique théâtrale sublime.</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t>Tout au long de cette pièce, la narration est constatée par un ce parallélisme explicite de deux spectacles qui se déroulent : celui du calvaire rapporté par le guetteur et celui du spectacle montré par le Barnum sur scène. Le guetteur et le Barnum représentent deux bonimenteurs de spectacle. L'un pathétique, l'autre comique. Ils se confrontent pour constituer un théâtre qui se montre par lui-même dépassant la tradition classique.</w:t>
      </w:r>
    </w:p>
    <w:p w:rsidR="006A4EED" w:rsidRPr="003B00C8" w:rsidRDefault="009B08F8" w:rsidP="00DF2CEA">
      <w:pPr>
        <w:spacing w:after="0" w:line="360" w:lineRule="auto"/>
        <w:ind w:firstLine="284"/>
        <w:jc w:val="both"/>
        <w:rPr>
          <w:rFonts w:ascii="Times New Roman" w:hAnsi="Times New Roman"/>
          <w:vertAlign w:val="superscript"/>
        </w:rPr>
      </w:pPr>
      <w:r>
        <w:rPr>
          <w:rFonts w:ascii="Times New Roman" w:hAnsi="Times New Roman"/>
          <w:sz w:val="24"/>
          <w:szCs w:val="24"/>
        </w:rPr>
        <w:t>Sémiotiquement parlant, l</w:t>
      </w:r>
      <w:r w:rsidR="006A4EED" w:rsidRPr="003B00C8">
        <w:rPr>
          <w:rFonts w:ascii="Times New Roman" w:hAnsi="Times New Roman"/>
          <w:sz w:val="24"/>
          <w:szCs w:val="24"/>
        </w:rPr>
        <w:t xml:space="preserve">e guetteur représenterait le théâtre et son origine sacrée. Celui du Barnum, le spectacle de foire, qui est le produit du carnavalesque. C’est donc deux visions opposées du monde qui s'affrontent à travers deux ordres. </w:t>
      </w:r>
      <w:r w:rsidR="006A4EED" w:rsidRPr="003B00C8">
        <w:rPr>
          <w:rFonts w:ascii="Times New Roman" w:hAnsi="Times New Roman"/>
          <w:sz w:val="24"/>
          <w:szCs w:val="24"/>
        </w:rPr>
        <w:lastRenderedPageBreak/>
        <w:t>L'un sacré dont les personnages bibliques sont frappés de dénégation. Lâcheté, trahison, fatalisme et reniement sont leurs attributs tels que décrits dans la pièce. Pour preuve leur chef, Jésus, est une marionnette résignée à son sort, qui subit les pires atrocités sans broncher. Un univers où Dieu est omniprésent, omnipotent mais curieusement impuissant. La métadiégèse est ici consacrée. Et elle n’est pas innocente. Car l'autre ordre est profane. Dans la narration, le bien est voulu mais le mal est permanent. Celui d'un monde d'injustice où les personnages sont soumis à leur sort. Ils aspirent à l'avènement d'un monde inversé, celui de l'anarchie et du désordre où le meurtre devient loi et le gueux devient roi.</w:t>
      </w:r>
    </w:p>
    <w:p w:rsidR="006A4EED" w:rsidRPr="00DF2CEA" w:rsidRDefault="006A4EED" w:rsidP="00DF2CEA">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 xml:space="preserve">Ces deux univers se racontent donc dans </w:t>
      </w:r>
      <w:r w:rsidRPr="003B00C8">
        <w:rPr>
          <w:rFonts w:ascii="Times New Roman" w:hAnsi="Times New Roman"/>
          <w:i/>
          <w:sz w:val="24"/>
          <w:szCs w:val="24"/>
        </w:rPr>
        <w:t>Bara</w:t>
      </w:r>
      <w:r w:rsidR="0030633B">
        <w:rPr>
          <w:rFonts w:ascii="Times New Roman" w:hAnsi="Times New Roman"/>
          <w:i/>
          <w:sz w:val="24"/>
          <w:szCs w:val="24"/>
        </w:rPr>
        <w:t>b</w:t>
      </w:r>
      <w:r w:rsidRPr="003B00C8">
        <w:rPr>
          <w:rFonts w:ascii="Times New Roman" w:hAnsi="Times New Roman"/>
          <w:i/>
          <w:sz w:val="24"/>
          <w:szCs w:val="24"/>
        </w:rPr>
        <w:t>bas.</w:t>
      </w:r>
      <w:r w:rsidRPr="003B00C8">
        <w:rPr>
          <w:rFonts w:ascii="Times New Roman" w:hAnsi="Times New Roman"/>
          <w:sz w:val="24"/>
          <w:szCs w:val="24"/>
        </w:rPr>
        <w:t xml:space="preserve"> Ce faisant, ils s'affrontent, s'opposent et se confrontent sur scène. On se trouve à un niveau de théâtralité, son aspect dramatique, son questionnement sur l’ambivalence de la vie :</w:t>
      </w:r>
      <w:r w:rsidR="00DF2CEA">
        <w:rPr>
          <w:rFonts w:ascii="Times New Roman" w:hAnsi="Times New Roman"/>
          <w:sz w:val="24"/>
          <w:szCs w:val="24"/>
        </w:rPr>
        <w:t> «</w:t>
      </w:r>
      <w:r w:rsidR="00DF2CEA" w:rsidRPr="00DF2CEA">
        <w:rPr>
          <w:rFonts w:asciiTheme="majorBidi" w:hAnsiTheme="majorBidi" w:cstheme="majorBidi"/>
          <w:sz w:val="24"/>
          <w:szCs w:val="24"/>
        </w:rPr>
        <w:t> </w:t>
      </w:r>
      <w:r w:rsidRPr="00DF2CEA">
        <w:rPr>
          <w:rFonts w:asciiTheme="majorBidi" w:hAnsiTheme="majorBidi" w:cstheme="majorBidi"/>
          <w:sz w:val="24"/>
          <w:szCs w:val="24"/>
        </w:rPr>
        <w:t>C'est par le théâtre que des force irrationnelles éclatent en images incroyables, qui donnent droit de cite et d'existence à des actes hostiles par nature à la vie de société [...] Tentation de chaos dans le mouvement du cosmos. Le mouvement de la vie est à la fois création et destruction</w:t>
      </w:r>
      <w:r w:rsidR="00DF2CEA">
        <w:rPr>
          <w:rFonts w:asciiTheme="majorBidi" w:hAnsiTheme="majorBidi" w:cstheme="majorBidi"/>
          <w:sz w:val="24"/>
          <w:szCs w:val="24"/>
        </w:rPr>
        <w:t> »</w:t>
      </w:r>
      <w:r w:rsidRPr="00DF2CEA">
        <w:rPr>
          <w:rFonts w:asciiTheme="majorBidi" w:hAnsiTheme="majorBidi" w:cstheme="majorBidi"/>
          <w:sz w:val="24"/>
          <w:szCs w:val="24"/>
          <w:vertAlign w:val="superscript"/>
        </w:rPr>
        <w:footnoteReference w:id="314"/>
      </w:r>
      <w:r w:rsidR="00DF2CEA">
        <w:rPr>
          <w:rFonts w:asciiTheme="majorBidi" w:hAnsiTheme="majorBidi" w:cstheme="majorBidi"/>
          <w:sz w:val="24"/>
          <w:szCs w:val="24"/>
        </w:rPr>
        <w:t>.</w:t>
      </w:r>
      <w:r w:rsidRPr="00DF2CEA">
        <w:rPr>
          <w:rFonts w:asciiTheme="majorBidi" w:hAnsiTheme="majorBidi" w:cstheme="majorBidi"/>
          <w:sz w:val="24"/>
          <w:szCs w:val="24"/>
          <w:vertAlign w:val="superscript"/>
        </w:rPr>
        <w:t xml:space="preserve"> </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Les enseignements sémiologiques à ce titre sont nombreux. Rappelons quelques-uns. La parodie et le déguisement (masque) sont des signes importants, ils apparaissent comme des points de repère dans cet univers déconstruit et inversé. La parodie est portée par Ghelderode sur tout ce qui est sacré. Les sentiments des apôtres et des prêtres sont travestis. Les apôtres sont souvent masqués, ils renient leur monde et affichent un autre, celui du carnavalesque. Ils simulent, tout est faux ! Mais la parodie et le travestissement sont aussi exploités par le profane qui tourne en dérision le clergé, l’autorité par de nombreuses allusions, dans la pièce,  au découronnent. </w:t>
      </w:r>
    </w:p>
    <w:p w:rsidR="006A4EED" w:rsidRPr="003B00C8" w:rsidRDefault="006A4EED" w:rsidP="00DF2CEA">
      <w:pPr>
        <w:spacing w:after="0" w:line="360" w:lineRule="auto"/>
        <w:ind w:firstLine="284"/>
        <w:jc w:val="both"/>
        <w:rPr>
          <w:rFonts w:ascii="Times New Roman" w:hAnsi="Times New Roman"/>
          <w:sz w:val="24"/>
          <w:szCs w:val="24"/>
        </w:rPr>
      </w:pPr>
      <w:r w:rsidRPr="003B00C8">
        <w:rPr>
          <w:rFonts w:ascii="Times New Roman" w:hAnsi="Times New Roman"/>
          <w:sz w:val="24"/>
          <w:szCs w:val="24"/>
        </w:rPr>
        <w:t xml:space="preserve">Autre élément sémiologique fort, la mort du Christ est vécue comme un rite sacrificiel (le mode d'expression propre au carnaval) mais aussi comme le début de la vie. Dans l’acte III l’on assiste à une purgation des personnages. Le réel du calvaire va se fondre sur celui du carnavalesque. </w:t>
      </w:r>
    </w:p>
    <w:p w:rsidR="006A4EED" w:rsidRPr="00DF2CEA" w:rsidRDefault="006A4EED" w:rsidP="009C3D0C">
      <w:pPr>
        <w:spacing w:after="0" w:line="360" w:lineRule="auto"/>
        <w:ind w:firstLine="284"/>
        <w:jc w:val="both"/>
        <w:rPr>
          <w:rFonts w:asciiTheme="majorBidi" w:hAnsiTheme="majorBidi" w:cstheme="majorBidi"/>
          <w:sz w:val="24"/>
          <w:szCs w:val="24"/>
        </w:rPr>
      </w:pPr>
      <w:r w:rsidRPr="003B00C8">
        <w:rPr>
          <w:rFonts w:ascii="Times New Roman" w:hAnsi="Times New Roman"/>
          <w:sz w:val="24"/>
          <w:szCs w:val="24"/>
        </w:rPr>
        <w:t>L’ambivalence entre la vie et la mort est d’ailleurs prolongée avec l’assassinat de Bara</w:t>
      </w:r>
      <w:r w:rsidR="0030633B">
        <w:rPr>
          <w:rFonts w:ascii="Times New Roman" w:hAnsi="Times New Roman"/>
          <w:sz w:val="24"/>
          <w:szCs w:val="24"/>
        </w:rPr>
        <w:t>b</w:t>
      </w:r>
      <w:r w:rsidRPr="003B00C8">
        <w:rPr>
          <w:rFonts w:ascii="Times New Roman" w:hAnsi="Times New Roman"/>
          <w:sz w:val="24"/>
          <w:szCs w:val="24"/>
        </w:rPr>
        <w:t xml:space="preserve">bas. En mourant Barabbas se tourne vers le Calvaire et s'adresse à Jésus: </w:t>
      </w:r>
      <w:r w:rsidRPr="003B00C8">
        <w:rPr>
          <w:rFonts w:ascii="Times New Roman" w:hAnsi="Times New Roman"/>
          <w:i/>
          <w:sz w:val="24"/>
          <w:szCs w:val="24"/>
        </w:rPr>
        <w:t xml:space="preserve">« </w:t>
      </w:r>
      <w:r w:rsidRPr="00587201">
        <w:rPr>
          <w:rFonts w:ascii="Times New Roman" w:hAnsi="Times New Roman"/>
          <w:iCs/>
          <w:sz w:val="24"/>
          <w:szCs w:val="24"/>
        </w:rPr>
        <w:lastRenderedPageBreak/>
        <w:t>[...] Immolé le même jour [...] et si je pouvais te donner la main [...] Jésus ... mon frère</w:t>
      </w:r>
      <w:r w:rsidRPr="003B00C8">
        <w:rPr>
          <w:rFonts w:ascii="Times New Roman" w:hAnsi="Times New Roman"/>
          <w:i/>
          <w:sz w:val="24"/>
          <w:szCs w:val="24"/>
        </w:rPr>
        <w:t>...»</w:t>
      </w:r>
      <w:r w:rsidRPr="003B00C8">
        <w:rPr>
          <w:rFonts w:ascii="Times New Roman" w:hAnsi="Times New Roman"/>
          <w:sz w:val="24"/>
          <w:szCs w:val="24"/>
        </w:rPr>
        <w:t xml:space="preserve">. Comme une réconciliation. </w:t>
      </w:r>
      <w:r w:rsidRPr="003B00C8">
        <w:rPr>
          <w:rFonts w:ascii="Times New Roman" w:hAnsi="Times New Roman"/>
          <w:i/>
          <w:sz w:val="24"/>
          <w:szCs w:val="24"/>
        </w:rPr>
        <w:t xml:space="preserve"> </w:t>
      </w:r>
      <w:r w:rsidRPr="003B00C8">
        <w:rPr>
          <w:rFonts w:ascii="Times New Roman" w:hAnsi="Times New Roman"/>
          <w:sz w:val="24"/>
          <w:szCs w:val="24"/>
        </w:rPr>
        <w:t xml:space="preserve">Ghelderode envisage t-il un retour  symbolique du théâtre à ses origines mythiques et sacrées ? Rien n’est moins sûr. Tout le moins, il y a réconciliation des âmes puisque Christ est reconnu à sa juste place et l’usurpateur fini par mourir, en dépit de toutes les injustices et les distorsions de la vérité. Le Roi est mort, vive le Roi ! Mais en procédant à cette méthode méta théâtrale et (faussement) carnavalesque, Ghelderode semble se jouer de nous. Il revient  à la religion pour identifier la justice, les mœurs et la pureté alors que ses représentants sont méprisables et injustes. Il met en dérision l’humanité qui, selon sa vision macabre, n’a  désormais plus de valeurs. Chez Ghelderode, la mort l’emporte. Cnudde l’avait </w:t>
      </w:r>
      <w:r w:rsidRPr="00DF2CEA">
        <w:rPr>
          <w:rFonts w:asciiTheme="majorBidi" w:hAnsiTheme="majorBidi" w:cstheme="majorBidi"/>
          <w:sz w:val="24"/>
          <w:szCs w:val="24"/>
        </w:rPr>
        <w:t xml:space="preserve">dit : </w:t>
      </w:r>
      <w:r w:rsidR="00DF2CEA" w:rsidRPr="00DF2CEA">
        <w:rPr>
          <w:rFonts w:asciiTheme="majorBidi" w:hAnsiTheme="majorBidi" w:cstheme="majorBidi"/>
          <w:sz w:val="24"/>
          <w:szCs w:val="24"/>
        </w:rPr>
        <w:t>« </w:t>
      </w:r>
      <w:r w:rsidRPr="00DF2CEA">
        <w:rPr>
          <w:rFonts w:asciiTheme="majorBidi" w:hAnsiTheme="majorBidi" w:cstheme="majorBidi"/>
          <w:sz w:val="24"/>
          <w:szCs w:val="24"/>
        </w:rPr>
        <w:t>Depuis l’âge de seize ans, où la maladie le conduisit aux portes de la mort</w:t>
      </w:r>
      <w:r w:rsidR="009C3D0C" w:rsidRPr="00DF2CEA">
        <w:rPr>
          <w:rFonts w:asciiTheme="majorBidi" w:hAnsiTheme="majorBidi" w:cstheme="majorBidi"/>
          <w:sz w:val="24"/>
          <w:szCs w:val="24"/>
        </w:rPr>
        <w:t xml:space="preserve">, </w:t>
      </w:r>
      <w:r w:rsidR="009C3D0C">
        <w:rPr>
          <w:rFonts w:asciiTheme="majorBidi" w:hAnsiTheme="majorBidi" w:cstheme="majorBidi"/>
          <w:sz w:val="24"/>
          <w:szCs w:val="24"/>
        </w:rPr>
        <w:t>[</w:t>
      </w:r>
      <w:r w:rsidRPr="00DF2CEA">
        <w:rPr>
          <w:rFonts w:asciiTheme="majorBidi" w:hAnsiTheme="majorBidi" w:cstheme="majorBidi"/>
          <w:sz w:val="24"/>
          <w:szCs w:val="24"/>
        </w:rPr>
        <w:t>…</w:t>
      </w:r>
      <w:r w:rsidR="009C3D0C">
        <w:rPr>
          <w:rFonts w:asciiTheme="majorBidi" w:hAnsiTheme="majorBidi" w:cstheme="majorBidi"/>
          <w:sz w:val="24"/>
          <w:szCs w:val="24"/>
        </w:rPr>
        <w:t>]</w:t>
      </w:r>
      <w:r w:rsidRPr="00DF2CEA">
        <w:rPr>
          <w:rFonts w:asciiTheme="majorBidi" w:hAnsiTheme="majorBidi" w:cstheme="majorBidi"/>
          <w:sz w:val="24"/>
          <w:szCs w:val="24"/>
        </w:rPr>
        <w:t xml:space="preserve"> Michel de Ghelderode l’a eut pour camarade, pour compagne »</w:t>
      </w:r>
      <w:r w:rsidRPr="00DF2CEA">
        <w:rPr>
          <w:rStyle w:val="Appelnotedebasdep"/>
          <w:rFonts w:asciiTheme="majorBidi" w:hAnsiTheme="majorBidi" w:cstheme="majorBidi"/>
          <w:sz w:val="24"/>
          <w:szCs w:val="24"/>
        </w:rPr>
        <w:footnoteReference w:id="315"/>
      </w:r>
      <w:r w:rsidRPr="00DF2CEA">
        <w:rPr>
          <w:rFonts w:asciiTheme="majorBidi" w:hAnsiTheme="majorBidi" w:cstheme="majorBidi"/>
          <w:sz w:val="24"/>
          <w:szCs w:val="24"/>
        </w:rPr>
        <w:t>.</w:t>
      </w:r>
    </w:p>
    <w:p w:rsidR="006A4EED" w:rsidRPr="003B00C8" w:rsidRDefault="00795BF0" w:rsidP="008D0902">
      <w:pPr>
        <w:spacing w:after="0" w:line="360" w:lineRule="auto"/>
        <w:ind w:firstLine="284"/>
        <w:jc w:val="both"/>
        <w:rPr>
          <w:rFonts w:ascii="Times New Roman" w:hAnsi="Times New Roman"/>
          <w:sz w:val="24"/>
          <w:szCs w:val="24"/>
        </w:rPr>
      </w:pPr>
      <w:r>
        <w:rPr>
          <w:rFonts w:ascii="Times New Roman" w:hAnsi="Times New Roman"/>
          <w:sz w:val="24"/>
          <w:szCs w:val="24"/>
        </w:rPr>
        <w:t>E</w:t>
      </w:r>
      <w:r w:rsidR="006A4EED" w:rsidRPr="003B00C8">
        <w:rPr>
          <w:rFonts w:ascii="Times New Roman" w:hAnsi="Times New Roman"/>
          <w:sz w:val="24"/>
          <w:szCs w:val="24"/>
        </w:rPr>
        <w:t>n puisant dans ce genre théâtral ghelderodien, connecté à un passé tragique, réel ou imaginé,  le dramaturge nous conduit à évaluer le présent et sa culture, un présent tumultueux caractérisé par  la tragédie, la guerre, la faim. C’est cette tendance qui donna naissance ou consolidé, c’est selon, le théâtre de l’absurde. Il est d’ailleurs intéressant d’imaginer quelle aurait été l’influence d’un tel auteur sur des metteurs en scène et le public, voire le monde du théâtre, si l’univers théâtral, avait connu Michel Ghelderode plus tôt, dans les années vingt et trente.</w:t>
      </w:r>
    </w:p>
    <w:p w:rsidR="006A4EED" w:rsidRPr="003B00C8" w:rsidRDefault="006A4EED" w:rsidP="008D0902">
      <w:pPr>
        <w:spacing w:after="0" w:line="360" w:lineRule="auto"/>
        <w:ind w:firstLine="284"/>
        <w:jc w:val="both"/>
        <w:rPr>
          <w:rFonts w:ascii="Times New Roman" w:hAnsi="Times New Roman"/>
          <w:sz w:val="24"/>
          <w:szCs w:val="24"/>
        </w:rPr>
      </w:pPr>
      <w:r w:rsidRPr="003B00C8">
        <w:rPr>
          <w:rFonts w:ascii="Times New Roman" w:hAnsi="Times New Roman"/>
          <w:sz w:val="24"/>
          <w:szCs w:val="24"/>
        </w:rPr>
        <w:t>Finalement, en clôturant cette thèse, on relèvera chez Kaki comme chez Ghelderode des éléments de synthèse :</w:t>
      </w:r>
    </w:p>
    <w:p w:rsidR="006A4EED" w:rsidRPr="008D0902" w:rsidRDefault="006A4EED" w:rsidP="008D0902">
      <w:pPr>
        <w:pStyle w:val="Paragraphedeliste"/>
        <w:numPr>
          <w:ilvl w:val="0"/>
          <w:numId w:val="81"/>
        </w:numPr>
        <w:spacing w:line="360" w:lineRule="auto"/>
        <w:jc w:val="both"/>
        <w:rPr>
          <w:rFonts w:ascii="Times New Roman" w:hAnsi="Times New Roman"/>
          <w:sz w:val="24"/>
          <w:szCs w:val="24"/>
        </w:rPr>
      </w:pPr>
      <w:r w:rsidRPr="008D0902">
        <w:rPr>
          <w:rFonts w:ascii="Times New Roman" w:hAnsi="Times New Roman"/>
          <w:sz w:val="24"/>
          <w:szCs w:val="24"/>
        </w:rPr>
        <w:t xml:space="preserve">La </w:t>
      </w:r>
      <w:r w:rsidR="00BE1E32" w:rsidRPr="008D0902">
        <w:rPr>
          <w:rFonts w:ascii="Times New Roman" w:hAnsi="Times New Roman"/>
          <w:sz w:val="24"/>
          <w:szCs w:val="24"/>
        </w:rPr>
        <w:t>sémiotique</w:t>
      </w:r>
      <w:r w:rsidRPr="008D0902">
        <w:rPr>
          <w:rFonts w:ascii="Times New Roman" w:hAnsi="Times New Roman"/>
          <w:sz w:val="24"/>
          <w:szCs w:val="24"/>
        </w:rPr>
        <w:t xml:space="preserve"> du spectacle chez l’un comme chez l’autre permet d’appréhender la </w:t>
      </w:r>
      <w:r w:rsidR="00BE1E32" w:rsidRPr="008D0902">
        <w:rPr>
          <w:rFonts w:ascii="Times New Roman" w:hAnsi="Times New Roman"/>
          <w:sz w:val="24"/>
          <w:szCs w:val="24"/>
        </w:rPr>
        <w:t>sémiotique</w:t>
      </w:r>
      <w:r w:rsidRPr="008D0902">
        <w:rPr>
          <w:rFonts w:ascii="Times New Roman" w:hAnsi="Times New Roman"/>
          <w:sz w:val="24"/>
          <w:szCs w:val="24"/>
        </w:rPr>
        <w:t xml:space="preserve"> du texte. En cela, leur approche de la dramaturgie consacre le « </w:t>
      </w:r>
      <w:r w:rsidR="00DC730E" w:rsidRPr="008D0902">
        <w:rPr>
          <w:rFonts w:ascii="Times New Roman" w:hAnsi="Times New Roman"/>
          <w:sz w:val="24"/>
          <w:szCs w:val="24"/>
        </w:rPr>
        <w:t>théâtre</w:t>
      </w:r>
      <w:r w:rsidRPr="008D0902">
        <w:rPr>
          <w:rFonts w:ascii="Times New Roman" w:hAnsi="Times New Roman"/>
          <w:sz w:val="24"/>
          <w:szCs w:val="24"/>
        </w:rPr>
        <w:t xml:space="preserve"> total », tel que développé dans cette thèse, à savoir une acception de la </w:t>
      </w:r>
      <w:r w:rsidR="00DC730E" w:rsidRPr="008D0902">
        <w:rPr>
          <w:rFonts w:ascii="Times New Roman" w:hAnsi="Times New Roman"/>
          <w:sz w:val="24"/>
          <w:szCs w:val="24"/>
        </w:rPr>
        <w:t>théâtralité</w:t>
      </w:r>
      <w:r w:rsidRPr="008D0902">
        <w:rPr>
          <w:rFonts w:ascii="Times New Roman" w:hAnsi="Times New Roman"/>
          <w:sz w:val="24"/>
          <w:szCs w:val="24"/>
        </w:rPr>
        <w:t xml:space="preserve"> dans toute sa plénitude. Ecriture et récit certes, mais aussi spectacle,  jeu et décors! </w:t>
      </w:r>
      <w:r w:rsidRPr="008D0902">
        <w:rPr>
          <w:rFonts w:ascii="Times New Roman" w:eastAsia="Times New Roman" w:hAnsi="Times New Roman"/>
          <w:color w:val="000000"/>
          <w:sz w:val="24"/>
          <w:szCs w:val="24"/>
          <w:lang w:eastAsia="fr-FR"/>
        </w:rPr>
        <w:t xml:space="preserve">Un spectacle total où les joyeuses contributions s’entremêlent aussi : hommes, sons, images, couleurs, mouvements etc. Le théâtre pour Kaki comme pour Ghelderode a quelque chose de fondamentalement festif de joyeux. Mais le merveilleux côtoie </w:t>
      </w:r>
      <w:r w:rsidRPr="008D0902">
        <w:rPr>
          <w:rFonts w:ascii="Times New Roman" w:eastAsia="Times New Roman" w:hAnsi="Times New Roman"/>
          <w:color w:val="000000"/>
          <w:sz w:val="24"/>
          <w:szCs w:val="24"/>
          <w:lang w:eastAsia="fr-FR"/>
        </w:rPr>
        <w:lastRenderedPageBreak/>
        <w:t xml:space="preserve">souvent une réalité cruelle, brutale, moribonde. Le génie chez les deux dramaturges apparait lorsque ce merveilleux  se mêle à la réalité de façon « naturelle », y faisant parfois une irruption fracassante, déstabilisant brutalement le spectateur et conférant au propos une dimension inattendue. Du point de vue sémiologique donc, Ghelderode et Kaki jouent merveilleusement de cette imbrication, cette fusion entre spectacle scénique riches et codes langagiers. Ils sont des preuves vivantes de la richesse de la </w:t>
      </w:r>
      <w:r w:rsidR="00BE1E32" w:rsidRPr="008D0902">
        <w:rPr>
          <w:rFonts w:ascii="Times New Roman" w:eastAsia="Times New Roman" w:hAnsi="Times New Roman"/>
          <w:color w:val="000000"/>
          <w:sz w:val="24"/>
          <w:szCs w:val="24"/>
          <w:lang w:eastAsia="fr-FR"/>
        </w:rPr>
        <w:t>sémiotique</w:t>
      </w:r>
      <w:r w:rsidRPr="008D0902">
        <w:rPr>
          <w:rFonts w:ascii="Times New Roman" w:eastAsia="Times New Roman" w:hAnsi="Times New Roman"/>
          <w:color w:val="000000"/>
          <w:sz w:val="24"/>
          <w:szCs w:val="24"/>
          <w:lang w:eastAsia="fr-FR"/>
        </w:rPr>
        <w:t xml:space="preserve"> du </w:t>
      </w:r>
      <w:r w:rsidR="00DC730E" w:rsidRPr="008D0902">
        <w:rPr>
          <w:rFonts w:ascii="Times New Roman" w:eastAsia="Times New Roman" w:hAnsi="Times New Roman"/>
          <w:color w:val="000000"/>
          <w:sz w:val="24"/>
          <w:szCs w:val="24"/>
          <w:lang w:eastAsia="fr-FR"/>
        </w:rPr>
        <w:t>théâtre</w:t>
      </w:r>
      <w:r w:rsidRPr="008D0902">
        <w:rPr>
          <w:rFonts w:ascii="Times New Roman" w:eastAsia="Times New Roman" w:hAnsi="Times New Roman"/>
          <w:color w:val="000000"/>
          <w:sz w:val="24"/>
          <w:szCs w:val="24"/>
          <w:lang w:eastAsia="fr-FR"/>
        </w:rPr>
        <w:t xml:space="preserve">. </w:t>
      </w:r>
    </w:p>
    <w:p w:rsidR="006A4EED" w:rsidRPr="008D0902" w:rsidRDefault="006A4EED" w:rsidP="008D0902">
      <w:pPr>
        <w:pStyle w:val="Paragraphedeliste"/>
        <w:numPr>
          <w:ilvl w:val="0"/>
          <w:numId w:val="81"/>
        </w:numPr>
        <w:spacing w:line="360" w:lineRule="auto"/>
        <w:jc w:val="both"/>
        <w:rPr>
          <w:rFonts w:ascii="Times New Roman" w:hAnsi="Times New Roman"/>
          <w:sz w:val="24"/>
          <w:szCs w:val="24"/>
        </w:rPr>
      </w:pPr>
      <w:r w:rsidRPr="008D0902">
        <w:rPr>
          <w:rFonts w:ascii="Times New Roman" w:hAnsi="Times New Roman"/>
          <w:sz w:val="24"/>
          <w:szCs w:val="24"/>
        </w:rPr>
        <w:t>La metadiégèse est bien présente chez l’un comme chez l’’autre. Chez Ghelderode, elle consacre un métathéâtre illustré par ce jeu dans le jeu de ces personnages bibliques affublés de tous les qualificatifs. Chez Kaki, elle se manifeste dans les différents niveaux de narration et le recours à des procédés narratifs hérités de la culture populaire et consacrant un jeu narratif hybride et pluriel.</w:t>
      </w:r>
    </w:p>
    <w:p w:rsidR="006A4EED" w:rsidRPr="008D0902" w:rsidRDefault="006A4EED" w:rsidP="008D0902">
      <w:pPr>
        <w:pStyle w:val="Paragraphedeliste"/>
        <w:numPr>
          <w:ilvl w:val="0"/>
          <w:numId w:val="81"/>
        </w:numPr>
        <w:spacing w:line="360" w:lineRule="auto"/>
        <w:jc w:val="both"/>
        <w:rPr>
          <w:rFonts w:ascii="Times New Roman" w:hAnsi="Times New Roman"/>
          <w:sz w:val="24"/>
          <w:szCs w:val="24"/>
        </w:rPr>
      </w:pPr>
      <w:r w:rsidRPr="008D0902">
        <w:rPr>
          <w:rFonts w:ascii="Times New Roman" w:hAnsi="Times New Roman"/>
          <w:sz w:val="24"/>
          <w:szCs w:val="24"/>
        </w:rPr>
        <w:t>Il transparait (à partir de cette metadiégèse</w:t>
      </w:r>
      <w:r w:rsidR="005B495F" w:rsidRPr="008D0902">
        <w:rPr>
          <w:rFonts w:ascii="Times New Roman" w:hAnsi="Times New Roman"/>
          <w:sz w:val="24"/>
          <w:szCs w:val="24"/>
        </w:rPr>
        <w:t xml:space="preserve"> mais aussi des choix sémiotiques opérés</w:t>
      </w:r>
      <w:r w:rsidRPr="008D0902">
        <w:rPr>
          <w:rFonts w:ascii="Times New Roman" w:hAnsi="Times New Roman"/>
          <w:sz w:val="24"/>
          <w:szCs w:val="24"/>
        </w:rPr>
        <w:t xml:space="preserve">), </w:t>
      </w:r>
      <w:r w:rsidR="005B495F" w:rsidRPr="008D0902">
        <w:rPr>
          <w:rFonts w:ascii="Times New Roman" w:hAnsi="Times New Roman"/>
          <w:sz w:val="24"/>
          <w:szCs w:val="24"/>
        </w:rPr>
        <w:t>un gout prononcé, un aboutissement vers le</w:t>
      </w:r>
      <w:r w:rsidRPr="008D0902">
        <w:rPr>
          <w:rFonts w:ascii="Times New Roman" w:hAnsi="Times New Roman"/>
          <w:sz w:val="24"/>
          <w:szCs w:val="24"/>
        </w:rPr>
        <w:t xml:space="preserve"> métat</w:t>
      </w:r>
      <w:r w:rsidR="005B495F" w:rsidRPr="008D0902">
        <w:rPr>
          <w:rFonts w:ascii="Times New Roman" w:hAnsi="Times New Roman"/>
          <w:sz w:val="24"/>
          <w:szCs w:val="24"/>
        </w:rPr>
        <w:t>héâtral, chez les deux auteurs. Ce metathéatral s’exprime autour</w:t>
      </w:r>
      <w:r w:rsidRPr="008D0902">
        <w:rPr>
          <w:rFonts w:ascii="Times New Roman" w:hAnsi="Times New Roman"/>
          <w:sz w:val="24"/>
          <w:szCs w:val="24"/>
        </w:rPr>
        <w:t xml:space="preserve"> d’un « </w:t>
      </w:r>
      <w:r w:rsidR="00DC730E" w:rsidRPr="008D0902">
        <w:rPr>
          <w:rFonts w:ascii="Times New Roman" w:hAnsi="Times New Roman"/>
          <w:i/>
          <w:sz w:val="24"/>
          <w:szCs w:val="24"/>
        </w:rPr>
        <w:t>théâtre</w:t>
      </w:r>
      <w:r w:rsidRPr="008D0902">
        <w:rPr>
          <w:rFonts w:ascii="Times New Roman" w:hAnsi="Times New Roman"/>
          <w:i/>
          <w:sz w:val="24"/>
          <w:szCs w:val="24"/>
        </w:rPr>
        <w:t xml:space="preserve"> de confrontation</w:t>
      </w:r>
      <w:r w:rsidRPr="008D0902">
        <w:rPr>
          <w:rFonts w:ascii="Times New Roman" w:hAnsi="Times New Roman"/>
          <w:sz w:val="24"/>
          <w:szCs w:val="24"/>
        </w:rPr>
        <w:t> »</w:t>
      </w:r>
      <w:r w:rsidRPr="003B00C8">
        <w:rPr>
          <w:rStyle w:val="Appelnotedebasdep"/>
          <w:rFonts w:ascii="Times New Roman" w:hAnsi="Times New Roman"/>
          <w:szCs w:val="24"/>
        </w:rPr>
        <w:footnoteReference w:id="316"/>
      </w:r>
      <w:r w:rsidRPr="008D0902">
        <w:rPr>
          <w:rFonts w:ascii="Times New Roman" w:hAnsi="Times New Roman"/>
          <w:vertAlign w:val="superscript"/>
        </w:rPr>
        <w:t xml:space="preserve"> .  </w:t>
      </w:r>
      <w:r w:rsidR="005B495F" w:rsidRPr="008D0902">
        <w:rPr>
          <w:rFonts w:ascii="Times New Roman" w:hAnsi="Times New Roman"/>
          <w:sz w:val="24"/>
          <w:szCs w:val="24"/>
        </w:rPr>
        <w:t>capable de</w:t>
      </w:r>
      <w:r w:rsidRPr="008D0902">
        <w:rPr>
          <w:rFonts w:ascii="Times New Roman" w:hAnsi="Times New Roman"/>
          <w:sz w:val="24"/>
          <w:szCs w:val="24"/>
        </w:rPr>
        <w:t xml:space="preserve"> dépeindre des situations </w:t>
      </w:r>
      <w:r w:rsidR="005B495F" w:rsidRPr="008D0902">
        <w:rPr>
          <w:rFonts w:ascii="Times New Roman" w:hAnsi="Times New Roman"/>
          <w:sz w:val="24"/>
          <w:szCs w:val="24"/>
        </w:rPr>
        <w:t xml:space="preserve">souvent inattendues, mais surtout contrastées et </w:t>
      </w:r>
      <w:r w:rsidRPr="008D0902">
        <w:rPr>
          <w:rFonts w:ascii="Times New Roman" w:hAnsi="Times New Roman"/>
          <w:sz w:val="24"/>
          <w:szCs w:val="24"/>
        </w:rPr>
        <w:t xml:space="preserve">ambivalentes. Ainsi chez Ghelderode, le carnavalesque et sa dichotomie matérialisent ce cadre métathéâtral, le carnaval (festif comme tragique) fonctionnant comme un métalangage à l'intérieur de l'œuvre, actant pour ainsi dire la destruction d’un texte et d’un contexte pour en substituer une autre réalité toujours opposée. Et chez Kaki, ce jeu de sentiments et d’émotions, qui apprend au spectateur qu’en l’Homme sommeille le meilleur comme le pire, même si le dramaturge algérien propose, pour sa part, de croire au meilleur. </w:t>
      </w:r>
    </w:p>
    <w:p w:rsidR="006A4EED" w:rsidRPr="003B00C8" w:rsidRDefault="006A4EED" w:rsidP="006A4EED">
      <w:pPr>
        <w:pStyle w:val="Paragraphedeliste"/>
        <w:rPr>
          <w:rFonts w:ascii="Times New Roman" w:hAnsi="Times New Roman"/>
          <w:sz w:val="24"/>
          <w:szCs w:val="24"/>
        </w:rPr>
      </w:pPr>
    </w:p>
    <w:p w:rsidR="006A4EED" w:rsidRPr="003B00C8" w:rsidRDefault="006A4EED" w:rsidP="008D0902">
      <w:pPr>
        <w:pStyle w:val="Paragraphedeliste"/>
        <w:spacing w:after="0" w:line="360" w:lineRule="auto"/>
        <w:ind w:left="0" w:firstLine="284"/>
        <w:contextualSpacing w:val="0"/>
        <w:jc w:val="both"/>
        <w:rPr>
          <w:rFonts w:ascii="Times New Roman" w:hAnsi="Times New Roman"/>
          <w:vertAlign w:val="superscript"/>
        </w:rPr>
      </w:pPr>
      <w:r w:rsidRPr="003B00C8">
        <w:rPr>
          <w:rFonts w:ascii="Times New Roman" w:hAnsi="Times New Roman"/>
          <w:sz w:val="24"/>
          <w:szCs w:val="24"/>
        </w:rPr>
        <w:t>Oui, croire ou pas en l’homme ! A ce niveau apparait probablement la vraie et ultime démarcation entre ces deux immenses auteurs.</w:t>
      </w:r>
    </w:p>
    <w:p w:rsidR="006A4EED" w:rsidRDefault="003B68A5" w:rsidP="007E6D8D">
      <w:pPr>
        <w:pStyle w:val="Titre1"/>
        <w:pBdr>
          <w:bottom w:val="single" w:sz="6" w:space="0" w:color="auto"/>
        </w:pBdr>
        <w:bidi w:val="0"/>
        <w:spacing w:before="0"/>
        <w:jc w:val="both"/>
        <w:rPr>
          <w:rFonts w:ascii="Times New Roman" w:hAnsi="Times New Roman"/>
          <w:b/>
          <w:bCs w:val="0"/>
          <w:color w:val="auto"/>
          <w:sz w:val="24"/>
          <w:szCs w:val="24"/>
          <w:lang w:val="fr-FR" w:eastAsia="fr-FR"/>
        </w:rPr>
      </w:pPr>
      <w:bookmarkStart w:id="179" w:name="_Toc471484546"/>
      <w:r w:rsidRPr="00C460C8">
        <w:rPr>
          <w:rFonts w:ascii="Times New Roman" w:hAnsi="Times New Roman"/>
          <w:b/>
          <w:bCs w:val="0"/>
          <w:color w:val="auto"/>
          <w:sz w:val="24"/>
          <w:szCs w:val="24"/>
          <w:lang w:val="fr-FR" w:eastAsia="fr-FR"/>
        </w:rPr>
        <w:lastRenderedPageBreak/>
        <w:t>BIBLIOGRAPHIE</w:t>
      </w:r>
      <w:bookmarkEnd w:id="179"/>
      <w:r w:rsidRPr="00C460C8">
        <w:rPr>
          <w:rFonts w:ascii="Times New Roman" w:hAnsi="Times New Roman"/>
          <w:b/>
          <w:bCs w:val="0"/>
          <w:color w:val="auto"/>
          <w:sz w:val="24"/>
          <w:szCs w:val="24"/>
          <w:lang w:val="fr-FR" w:eastAsia="fr-FR"/>
        </w:rPr>
        <w:t xml:space="preserve"> </w:t>
      </w:r>
    </w:p>
    <w:p w:rsidR="00C460C8" w:rsidRDefault="00C460C8" w:rsidP="00C460C8">
      <w:pPr>
        <w:rPr>
          <w:lang w:eastAsia="fr-FR"/>
        </w:rPr>
      </w:pPr>
    </w:p>
    <w:p w:rsidR="00532ED5" w:rsidRPr="00615689" w:rsidRDefault="00532ED5" w:rsidP="00615689">
      <w:pPr>
        <w:spacing w:after="0" w:line="360" w:lineRule="auto"/>
        <w:jc w:val="both"/>
        <w:rPr>
          <w:rFonts w:asciiTheme="majorBidi" w:hAnsiTheme="majorBidi" w:cstheme="majorBidi"/>
          <w:b/>
          <w:bCs/>
          <w:sz w:val="24"/>
          <w:szCs w:val="24"/>
          <w:lang w:eastAsia="fr-FR"/>
        </w:rPr>
      </w:pPr>
      <w:r w:rsidRPr="00615689">
        <w:rPr>
          <w:rFonts w:asciiTheme="majorBidi" w:hAnsiTheme="majorBidi" w:cstheme="majorBidi"/>
          <w:b/>
          <w:bCs/>
          <w:sz w:val="24"/>
          <w:szCs w:val="24"/>
          <w:lang w:eastAsia="fr-FR"/>
        </w:rPr>
        <w:t>Corpus</w:t>
      </w:r>
    </w:p>
    <w:p w:rsidR="00532ED5" w:rsidRPr="00B709D4" w:rsidRDefault="005D3549" w:rsidP="003C4A35">
      <w:pPr>
        <w:spacing w:after="0" w:line="360" w:lineRule="auto"/>
        <w:jc w:val="both"/>
        <w:rPr>
          <w:rFonts w:asciiTheme="majorBidi" w:hAnsiTheme="majorBidi" w:cstheme="majorBidi"/>
          <w:sz w:val="24"/>
          <w:szCs w:val="24"/>
        </w:rPr>
      </w:pPr>
      <w:r w:rsidRPr="00B709D4">
        <w:rPr>
          <w:rFonts w:asciiTheme="majorBidi" w:hAnsiTheme="majorBidi" w:cstheme="majorBidi"/>
          <w:sz w:val="24"/>
          <w:szCs w:val="24"/>
          <w:lang w:eastAsia="fr-FR"/>
        </w:rPr>
        <w:t>GHELDEROLE</w:t>
      </w:r>
      <w:r w:rsidR="007A3061" w:rsidRPr="00B709D4">
        <w:rPr>
          <w:rFonts w:asciiTheme="majorBidi" w:hAnsiTheme="majorBidi" w:cstheme="majorBidi"/>
          <w:sz w:val="24"/>
          <w:szCs w:val="24"/>
          <w:lang w:eastAsia="fr-FR"/>
        </w:rPr>
        <w:t>, M.</w:t>
      </w:r>
      <w:r w:rsidRPr="00B709D4">
        <w:rPr>
          <w:rFonts w:asciiTheme="majorBidi" w:hAnsiTheme="majorBidi" w:cstheme="majorBidi"/>
          <w:sz w:val="24"/>
          <w:szCs w:val="24"/>
          <w:lang w:eastAsia="fr-FR"/>
        </w:rPr>
        <w:t>,</w:t>
      </w:r>
      <w:r w:rsidRPr="00B709D4">
        <w:rPr>
          <w:rFonts w:asciiTheme="majorBidi" w:hAnsiTheme="majorBidi" w:cstheme="majorBidi"/>
          <w:color w:val="00B0F0"/>
          <w:sz w:val="24"/>
          <w:szCs w:val="24"/>
          <w:lang w:eastAsia="fr-FR"/>
        </w:rPr>
        <w:t xml:space="preserve"> </w:t>
      </w:r>
      <w:r w:rsidRPr="00B709D4">
        <w:rPr>
          <w:rFonts w:asciiTheme="majorBidi" w:hAnsiTheme="majorBidi" w:cstheme="majorBidi"/>
          <w:i/>
          <w:iCs/>
          <w:sz w:val="24"/>
          <w:szCs w:val="24"/>
          <w:lang w:eastAsia="fr-FR"/>
        </w:rPr>
        <w:t>Barabbas – Escurial</w:t>
      </w:r>
      <w:r w:rsidRPr="00B709D4">
        <w:rPr>
          <w:rFonts w:asciiTheme="majorBidi" w:hAnsiTheme="majorBidi" w:cstheme="majorBidi"/>
          <w:sz w:val="24"/>
          <w:szCs w:val="24"/>
          <w:lang w:eastAsia="fr-FR"/>
        </w:rPr>
        <w:t xml:space="preserve">, </w:t>
      </w:r>
      <w:r w:rsidR="003C4A35" w:rsidRPr="00B709D4">
        <w:rPr>
          <w:rFonts w:asciiTheme="majorBidi" w:hAnsiTheme="majorBidi" w:cstheme="majorBidi"/>
          <w:sz w:val="24"/>
          <w:szCs w:val="24"/>
          <w:lang w:eastAsia="fr-FR"/>
        </w:rPr>
        <w:t xml:space="preserve">Labor, </w:t>
      </w:r>
      <w:r w:rsidRPr="00B709D4">
        <w:rPr>
          <w:rFonts w:asciiTheme="majorBidi" w:hAnsiTheme="majorBidi" w:cstheme="majorBidi"/>
          <w:sz w:val="24"/>
          <w:szCs w:val="24"/>
          <w:lang w:eastAsia="fr-FR"/>
        </w:rPr>
        <w:t>Bruxelles, 1984</w:t>
      </w:r>
      <w:r w:rsidR="003C4A35" w:rsidRPr="00B709D4">
        <w:rPr>
          <w:rFonts w:asciiTheme="majorBidi" w:hAnsiTheme="majorBidi" w:cstheme="majorBidi"/>
          <w:sz w:val="24"/>
          <w:szCs w:val="24"/>
          <w:lang w:eastAsia="fr-FR"/>
        </w:rPr>
        <w:t>.</w:t>
      </w:r>
      <w:r w:rsidRPr="00B709D4">
        <w:rPr>
          <w:rFonts w:asciiTheme="majorBidi" w:hAnsiTheme="majorBidi" w:cstheme="majorBidi"/>
          <w:sz w:val="24"/>
          <w:szCs w:val="24"/>
          <w:lang w:eastAsia="fr-FR"/>
        </w:rPr>
        <w:t xml:space="preserve"> </w:t>
      </w:r>
    </w:p>
    <w:p w:rsidR="00532ED5" w:rsidRPr="00615689" w:rsidRDefault="005D3549" w:rsidP="006E68B1">
      <w:pPr>
        <w:spacing w:after="0" w:line="360" w:lineRule="auto"/>
        <w:jc w:val="both"/>
        <w:rPr>
          <w:rFonts w:asciiTheme="majorBidi" w:hAnsiTheme="majorBidi" w:cstheme="majorBidi"/>
          <w:color w:val="000000"/>
          <w:sz w:val="24"/>
          <w:szCs w:val="24"/>
        </w:rPr>
      </w:pPr>
      <w:r w:rsidRPr="00615689">
        <w:rPr>
          <w:rFonts w:asciiTheme="majorBidi" w:hAnsiTheme="majorBidi" w:cstheme="majorBidi"/>
          <w:sz w:val="24"/>
          <w:szCs w:val="24"/>
        </w:rPr>
        <w:t>K</w:t>
      </w:r>
      <w:r w:rsidR="007A3061" w:rsidRPr="00615689">
        <w:rPr>
          <w:rFonts w:asciiTheme="majorBidi" w:hAnsiTheme="majorBidi" w:cstheme="majorBidi"/>
          <w:sz w:val="24"/>
          <w:szCs w:val="24"/>
        </w:rPr>
        <w:t>AKI</w:t>
      </w:r>
      <w:r w:rsidRPr="00615689">
        <w:rPr>
          <w:rFonts w:asciiTheme="majorBidi" w:hAnsiTheme="majorBidi" w:cstheme="majorBidi"/>
          <w:sz w:val="24"/>
          <w:szCs w:val="24"/>
        </w:rPr>
        <w:t>,</w:t>
      </w:r>
      <w:r w:rsidR="007A3061" w:rsidRPr="00615689">
        <w:rPr>
          <w:rFonts w:asciiTheme="majorBidi" w:hAnsiTheme="majorBidi" w:cstheme="majorBidi"/>
          <w:sz w:val="24"/>
          <w:szCs w:val="24"/>
        </w:rPr>
        <w:t>O.A.,</w:t>
      </w:r>
      <w:r w:rsidRPr="00615689">
        <w:rPr>
          <w:rFonts w:asciiTheme="majorBidi" w:hAnsiTheme="majorBidi" w:cstheme="majorBidi"/>
          <w:sz w:val="24"/>
          <w:szCs w:val="24"/>
        </w:rPr>
        <w:t xml:space="preserve"> </w:t>
      </w:r>
      <w:r w:rsidRPr="006E68B1">
        <w:rPr>
          <w:rFonts w:asciiTheme="majorBidi" w:hAnsiTheme="majorBidi" w:cstheme="majorBidi"/>
          <w:i/>
          <w:iCs/>
          <w:sz w:val="24"/>
          <w:szCs w:val="24"/>
        </w:rPr>
        <w:t>Le Porteur d'eau et les Marabouts</w:t>
      </w:r>
      <w:r w:rsidRPr="00615689">
        <w:rPr>
          <w:rFonts w:asciiTheme="majorBidi" w:hAnsiTheme="majorBidi" w:cstheme="majorBidi"/>
          <w:sz w:val="24"/>
          <w:szCs w:val="24"/>
        </w:rPr>
        <w:t xml:space="preserve">, </w:t>
      </w:r>
      <w:r w:rsidR="006E68B1">
        <w:rPr>
          <w:rFonts w:asciiTheme="majorBidi" w:hAnsiTheme="majorBidi" w:cstheme="majorBidi"/>
          <w:sz w:val="24"/>
          <w:szCs w:val="24"/>
        </w:rPr>
        <w:t>t</w:t>
      </w:r>
      <w:r w:rsidRPr="00615689">
        <w:rPr>
          <w:rFonts w:asciiTheme="majorBidi" w:hAnsiTheme="majorBidi" w:cstheme="majorBidi"/>
          <w:sz w:val="24"/>
          <w:szCs w:val="24"/>
        </w:rPr>
        <w:t xml:space="preserve">raduit de l'arabe par </w:t>
      </w:r>
      <w:r w:rsidR="006E68B1">
        <w:rPr>
          <w:rFonts w:asciiTheme="majorBidi" w:hAnsiTheme="majorBidi" w:cstheme="majorBidi"/>
          <w:sz w:val="24"/>
          <w:szCs w:val="24"/>
        </w:rPr>
        <w:t xml:space="preserve">BENYOUCEF </w:t>
      </w:r>
      <w:r w:rsidRPr="00615689">
        <w:rPr>
          <w:rFonts w:asciiTheme="majorBidi" w:hAnsiTheme="majorBidi" w:cstheme="majorBidi"/>
          <w:sz w:val="24"/>
          <w:szCs w:val="24"/>
        </w:rPr>
        <w:t>Messaoud</w:t>
      </w:r>
      <w:r w:rsidR="006E68B1">
        <w:rPr>
          <w:rFonts w:asciiTheme="majorBidi" w:hAnsiTheme="majorBidi" w:cstheme="majorBidi"/>
          <w:sz w:val="24"/>
          <w:szCs w:val="24"/>
        </w:rPr>
        <w:t xml:space="preserve">, </w:t>
      </w:r>
      <w:r w:rsidR="006E68B1" w:rsidRPr="00615689">
        <w:rPr>
          <w:rFonts w:asciiTheme="majorBidi" w:hAnsiTheme="majorBidi" w:cstheme="majorBidi"/>
          <w:sz w:val="24"/>
          <w:szCs w:val="24"/>
        </w:rPr>
        <w:t>M A I S O N A N T O I N E V I T E Z</w:t>
      </w:r>
      <w:r w:rsidR="006E68B1">
        <w:rPr>
          <w:rFonts w:asciiTheme="majorBidi" w:hAnsiTheme="majorBidi" w:cstheme="majorBidi"/>
          <w:sz w:val="24"/>
          <w:szCs w:val="24"/>
        </w:rPr>
        <w:t xml:space="preserve">, </w:t>
      </w:r>
      <w:r w:rsidR="006E68B1" w:rsidRPr="00615689">
        <w:rPr>
          <w:rFonts w:asciiTheme="majorBidi" w:hAnsiTheme="majorBidi" w:cstheme="majorBidi"/>
          <w:sz w:val="24"/>
          <w:szCs w:val="24"/>
        </w:rPr>
        <w:t>Paris</w:t>
      </w:r>
      <w:r w:rsidR="006E68B1">
        <w:rPr>
          <w:rFonts w:asciiTheme="majorBidi" w:hAnsiTheme="majorBidi" w:cstheme="majorBidi"/>
          <w:sz w:val="24"/>
          <w:szCs w:val="24"/>
        </w:rPr>
        <w:t xml:space="preserve">, </w:t>
      </w:r>
      <w:r w:rsidRPr="00615689">
        <w:rPr>
          <w:rFonts w:asciiTheme="majorBidi" w:hAnsiTheme="majorBidi" w:cstheme="majorBidi"/>
          <w:sz w:val="24"/>
          <w:szCs w:val="24"/>
        </w:rPr>
        <w:t>1965</w:t>
      </w:r>
      <w:r w:rsidR="006E68B1">
        <w:rPr>
          <w:rFonts w:asciiTheme="majorBidi" w:hAnsiTheme="majorBidi" w:cstheme="majorBidi"/>
          <w:sz w:val="24"/>
          <w:szCs w:val="24"/>
        </w:rPr>
        <w:t>.</w:t>
      </w:r>
    </w:p>
    <w:p w:rsidR="007C36B0" w:rsidRDefault="007C36B0" w:rsidP="00615689">
      <w:pPr>
        <w:spacing w:after="0" w:line="360" w:lineRule="auto"/>
        <w:jc w:val="both"/>
        <w:rPr>
          <w:rFonts w:asciiTheme="majorBidi" w:hAnsiTheme="majorBidi" w:cstheme="majorBidi"/>
          <w:b/>
          <w:bCs/>
          <w:sz w:val="24"/>
          <w:szCs w:val="24"/>
          <w:lang w:eastAsia="fr-FR"/>
        </w:rPr>
      </w:pPr>
    </w:p>
    <w:p w:rsidR="003B68A5" w:rsidRPr="00615689" w:rsidRDefault="003B68A5" w:rsidP="00615689">
      <w:pPr>
        <w:spacing w:after="0" w:line="360" w:lineRule="auto"/>
        <w:jc w:val="both"/>
        <w:rPr>
          <w:rFonts w:asciiTheme="majorBidi" w:hAnsiTheme="majorBidi" w:cstheme="majorBidi"/>
          <w:b/>
          <w:bCs/>
          <w:sz w:val="24"/>
          <w:szCs w:val="24"/>
          <w:lang w:eastAsia="fr-FR"/>
        </w:rPr>
      </w:pPr>
      <w:r w:rsidRPr="00615689">
        <w:rPr>
          <w:rFonts w:asciiTheme="majorBidi" w:hAnsiTheme="majorBidi" w:cstheme="majorBidi"/>
          <w:b/>
          <w:bCs/>
          <w:sz w:val="24"/>
          <w:szCs w:val="24"/>
          <w:lang w:eastAsia="fr-FR"/>
        </w:rPr>
        <w:t>Ouvrages généraux : Littérature, Histoire, Société</w:t>
      </w:r>
    </w:p>
    <w:p w:rsidR="003B68A5" w:rsidRPr="00615689" w:rsidRDefault="003B68A5" w:rsidP="006E68B1">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lang w:eastAsia="fr-FR"/>
        </w:rPr>
        <w:t xml:space="preserve">ARTAUD, A., </w:t>
      </w:r>
      <w:r w:rsidRPr="00615689">
        <w:rPr>
          <w:rFonts w:asciiTheme="majorBidi" w:hAnsiTheme="majorBidi" w:cstheme="majorBidi"/>
          <w:i/>
          <w:sz w:val="24"/>
          <w:szCs w:val="24"/>
        </w:rPr>
        <w:t>Le théâtre et son double</w:t>
      </w:r>
      <w:r w:rsidRPr="00615689">
        <w:rPr>
          <w:rFonts w:asciiTheme="majorBidi" w:hAnsiTheme="majorBidi" w:cstheme="majorBidi"/>
          <w:sz w:val="24"/>
          <w:szCs w:val="24"/>
        </w:rPr>
        <w:t xml:space="preserve">, </w:t>
      </w:r>
      <w:r w:rsidR="006E68B1" w:rsidRPr="00615689">
        <w:rPr>
          <w:rFonts w:asciiTheme="majorBidi" w:hAnsiTheme="majorBidi" w:cstheme="majorBidi"/>
          <w:sz w:val="24"/>
          <w:szCs w:val="24"/>
        </w:rPr>
        <w:t>Gallimard</w:t>
      </w:r>
      <w:r w:rsidR="006E68B1">
        <w:rPr>
          <w:rFonts w:asciiTheme="majorBidi" w:hAnsiTheme="majorBidi" w:cstheme="majorBidi"/>
          <w:sz w:val="24"/>
          <w:szCs w:val="24"/>
        </w:rPr>
        <w:t xml:space="preserve">, </w:t>
      </w:r>
      <w:r w:rsidRPr="00615689">
        <w:rPr>
          <w:rFonts w:asciiTheme="majorBidi" w:hAnsiTheme="majorBidi" w:cstheme="majorBidi"/>
          <w:sz w:val="24"/>
          <w:szCs w:val="24"/>
        </w:rPr>
        <w:t>Paris, 1961.</w:t>
      </w:r>
    </w:p>
    <w:p w:rsidR="003B68A5" w:rsidRPr="00615689" w:rsidRDefault="003B68A5" w:rsidP="006E68B1">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u w:val="single"/>
          <w:lang w:eastAsia="fr-FR"/>
        </w:rPr>
        <w:t xml:space="preserve">                     </w:t>
      </w:r>
      <w:r w:rsidRPr="00615689">
        <w:rPr>
          <w:rFonts w:asciiTheme="majorBidi" w:hAnsiTheme="majorBidi" w:cstheme="majorBidi"/>
          <w:sz w:val="24"/>
          <w:szCs w:val="24"/>
          <w:lang w:eastAsia="fr-FR"/>
        </w:rPr>
        <w:t xml:space="preserve">, </w:t>
      </w:r>
      <w:r w:rsidRPr="00615689">
        <w:rPr>
          <w:rFonts w:asciiTheme="majorBidi" w:hAnsiTheme="majorBidi" w:cstheme="majorBidi"/>
          <w:sz w:val="24"/>
          <w:szCs w:val="24"/>
        </w:rPr>
        <w:t xml:space="preserve"> </w:t>
      </w:r>
      <w:r w:rsidRPr="00615689">
        <w:rPr>
          <w:rFonts w:asciiTheme="majorBidi" w:hAnsiTheme="majorBidi" w:cstheme="majorBidi"/>
          <w:i/>
          <w:sz w:val="24"/>
          <w:szCs w:val="24"/>
        </w:rPr>
        <w:t>Bilboquet, œuvres complètes</w:t>
      </w:r>
      <w:r w:rsidRPr="00615689">
        <w:rPr>
          <w:rFonts w:asciiTheme="majorBidi" w:hAnsiTheme="majorBidi" w:cstheme="majorBidi"/>
          <w:sz w:val="24"/>
          <w:szCs w:val="24"/>
        </w:rPr>
        <w:t xml:space="preserve">, </w:t>
      </w:r>
      <w:r w:rsidR="006E68B1" w:rsidRPr="00615689">
        <w:rPr>
          <w:rFonts w:asciiTheme="majorBidi" w:hAnsiTheme="majorBidi" w:cstheme="majorBidi"/>
          <w:sz w:val="24"/>
          <w:szCs w:val="24"/>
        </w:rPr>
        <w:t>Gallimard</w:t>
      </w:r>
      <w:r w:rsidR="006E68B1">
        <w:rPr>
          <w:rFonts w:asciiTheme="majorBidi" w:hAnsiTheme="majorBidi" w:cstheme="majorBidi"/>
          <w:sz w:val="24"/>
          <w:szCs w:val="24"/>
        </w:rPr>
        <w:t xml:space="preserve">, </w:t>
      </w:r>
      <w:r w:rsidRPr="00615689">
        <w:rPr>
          <w:rFonts w:asciiTheme="majorBidi" w:hAnsiTheme="majorBidi" w:cstheme="majorBidi"/>
          <w:sz w:val="24"/>
          <w:szCs w:val="24"/>
        </w:rPr>
        <w:t>Paris, 1976.</w:t>
      </w:r>
    </w:p>
    <w:p w:rsidR="003B68A5" w:rsidRPr="00615689" w:rsidRDefault="003B68A5" w:rsidP="006E68B1">
      <w:pPr>
        <w:spacing w:after="0" w:line="360" w:lineRule="auto"/>
        <w:jc w:val="both"/>
        <w:rPr>
          <w:rFonts w:asciiTheme="majorBidi" w:hAnsiTheme="majorBidi" w:cstheme="majorBidi"/>
          <w:color w:val="000000"/>
          <w:sz w:val="24"/>
          <w:szCs w:val="24"/>
        </w:rPr>
      </w:pPr>
      <w:r w:rsidRPr="00615689">
        <w:rPr>
          <w:rFonts w:asciiTheme="majorBidi" w:hAnsiTheme="majorBidi" w:cstheme="majorBidi"/>
          <w:sz w:val="24"/>
          <w:szCs w:val="24"/>
        </w:rPr>
        <w:t xml:space="preserve">ARISTOTE., </w:t>
      </w:r>
      <w:r w:rsidRPr="00615689">
        <w:rPr>
          <w:rStyle w:val="ouvrage2"/>
          <w:rFonts w:asciiTheme="majorBidi" w:hAnsiTheme="majorBidi" w:cstheme="majorBidi"/>
          <w:color w:val="000000"/>
          <w:sz w:val="24"/>
          <w:szCs w:val="24"/>
        </w:rPr>
        <w:t>Poétique</w:t>
      </w:r>
      <w:r w:rsidRPr="00615689">
        <w:rPr>
          <w:rFonts w:asciiTheme="majorBidi" w:hAnsiTheme="majorBidi" w:cstheme="majorBidi"/>
          <w:color w:val="000000"/>
          <w:sz w:val="24"/>
          <w:szCs w:val="24"/>
        </w:rPr>
        <w:t xml:space="preserve">, trad. et notes de DUPONT-ROCH, R et LALLOT, J., </w:t>
      </w:r>
      <w:r w:rsidR="006E68B1" w:rsidRPr="00615689">
        <w:rPr>
          <w:rFonts w:asciiTheme="majorBidi" w:hAnsiTheme="majorBidi" w:cstheme="majorBidi"/>
          <w:color w:val="000000"/>
          <w:sz w:val="24"/>
          <w:szCs w:val="24"/>
        </w:rPr>
        <w:t>Seuil</w:t>
      </w:r>
      <w:r w:rsidR="006E68B1">
        <w:rPr>
          <w:rFonts w:asciiTheme="majorBidi" w:hAnsiTheme="majorBidi" w:cstheme="majorBidi"/>
          <w:color w:val="000000"/>
          <w:sz w:val="24"/>
          <w:szCs w:val="24"/>
        </w:rPr>
        <w:t xml:space="preserve">, </w:t>
      </w:r>
      <w:r w:rsidRPr="00615689">
        <w:rPr>
          <w:rFonts w:asciiTheme="majorBidi" w:hAnsiTheme="majorBidi" w:cstheme="majorBidi"/>
          <w:color w:val="000000"/>
          <w:sz w:val="24"/>
          <w:szCs w:val="24"/>
        </w:rPr>
        <w:t>Paris, 1980.</w:t>
      </w:r>
    </w:p>
    <w:p w:rsidR="003B68A5" w:rsidRDefault="003B68A5" w:rsidP="006E68B1">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BARTHES, R., « Qu’est-ce que l’écriture ? » in </w:t>
      </w:r>
      <w:r w:rsidRPr="00615689">
        <w:rPr>
          <w:rFonts w:asciiTheme="majorBidi" w:hAnsiTheme="majorBidi" w:cstheme="majorBidi"/>
          <w:i/>
          <w:sz w:val="24"/>
          <w:szCs w:val="24"/>
        </w:rPr>
        <w:t>Le degré zéro de l’écriture</w:t>
      </w:r>
      <w:r w:rsidRPr="00615689">
        <w:rPr>
          <w:rFonts w:asciiTheme="majorBidi" w:hAnsiTheme="majorBidi" w:cstheme="majorBidi"/>
          <w:sz w:val="24"/>
          <w:szCs w:val="24"/>
        </w:rPr>
        <w:t xml:space="preserve">, </w:t>
      </w:r>
      <w:r w:rsidR="006E68B1" w:rsidRPr="00615689">
        <w:rPr>
          <w:rFonts w:asciiTheme="majorBidi" w:hAnsiTheme="majorBidi" w:cstheme="majorBidi"/>
          <w:sz w:val="24"/>
          <w:szCs w:val="24"/>
        </w:rPr>
        <w:t>Gauthier</w:t>
      </w:r>
      <w:r w:rsidR="006E68B1" w:rsidRPr="00615689">
        <w:rPr>
          <w:rFonts w:asciiTheme="majorBidi" w:hAnsiTheme="majorBidi" w:cstheme="majorBidi"/>
          <w:sz w:val="24"/>
          <w:szCs w:val="24"/>
          <w:lang w:eastAsia="fr-FR"/>
        </w:rPr>
        <w:t xml:space="preserve"> Mostéfa</w:t>
      </w:r>
      <w:r w:rsidR="006E68B1">
        <w:rPr>
          <w:rFonts w:asciiTheme="majorBidi" w:hAnsiTheme="majorBidi" w:cstheme="majorBidi"/>
          <w:sz w:val="24"/>
          <w:szCs w:val="24"/>
          <w:lang w:eastAsia="fr-FR"/>
        </w:rPr>
        <w:t xml:space="preserve">, </w:t>
      </w:r>
      <w:r w:rsidRPr="00615689">
        <w:rPr>
          <w:rFonts w:asciiTheme="majorBidi" w:hAnsiTheme="majorBidi" w:cstheme="majorBidi"/>
          <w:sz w:val="24"/>
          <w:szCs w:val="24"/>
        </w:rPr>
        <w:t>Paris</w:t>
      </w:r>
      <w:r w:rsidRPr="00615689">
        <w:rPr>
          <w:rFonts w:asciiTheme="majorBidi" w:hAnsiTheme="majorBidi" w:cstheme="majorBidi"/>
          <w:sz w:val="24"/>
          <w:szCs w:val="24"/>
          <w:lang w:eastAsia="fr-FR"/>
        </w:rPr>
        <w:t xml:space="preserve">, </w:t>
      </w:r>
      <w:r w:rsidRPr="00615689">
        <w:rPr>
          <w:rFonts w:asciiTheme="majorBidi" w:hAnsiTheme="majorBidi" w:cstheme="majorBidi"/>
          <w:sz w:val="24"/>
          <w:szCs w:val="24"/>
        </w:rPr>
        <w:t>1970.</w:t>
      </w:r>
    </w:p>
    <w:p w:rsidR="001359CB" w:rsidRPr="001359CB" w:rsidRDefault="001359CB" w:rsidP="001359CB">
      <w:pPr>
        <w:spacing w:after="0" w:line="360" w:lineRule="auto"/>
        <w:rPr>
          <w:rFonts w:asciiTheme="majorBidi" w:hAnsiTheme="majorBidi" w:cstheme="majorBidi"/>
          <w:sz w:val="24"/>
          <w:szCs w:val="24"/>
        </w:rPr>
      </w:pPr>
      <w:r w:rsidRPr="001359CB">
        <w:rPr>
          <w:rStyle w:val="Accentuation"/>
          <w:rFonts w:asciiTheme="majorBidi" w:hAnsiTheme="majorBidi" w:cstheme="majorBidi"/>
          <w:i w:val="0"/>
          <w:iCs w:val="0"/>
          <w:sz w:val="24"/>
          <w:szCs w:val="24"/>
          <w:shd w:val="clear" w:color="auto" w:fill="FFFFFF"/>
        </w:rPr>
        <w:t>BERTRAND</w:t>
      </w:r>
      <w:r w:rsidRPr="001359CB">
        <w:rPr>
          <w:rFonts w:asciiTheme="majorBidi" w:hAnsiTheme="majorBidi" w:cstheme="majorBidi"/>
          <w:sz w:val="24"/>
          <w:szCs w:val="24"/>
          <w:shd w:val="clear" w:color="auto" w:fill="FFFFFF"/>
        </w:rPr>
        <w:t>, J.P.,</w:t>
      </w:r>
      <w:r w:rsidRPr="001359CB">
        <w:rPr>
          <w:rStyle w:val="apple-converted-space"/>
          <w:rFonts w:asciiTheme="majorBidi" w:hAnsiTheme="majorBidi" w:cstheme="majorBidi"/>
          <w:sz w:val="24"/>
          <w:szCs w:val="24"/>
          <w:shd w:val="clear" w:color="auto" w:fill="FFFFFF"/>
        </w:rPr>
        <w:t> </w:t>
      </w:r>
      <w:r w:rsidRPr="001359CB">
        <w:rPr>
          <w:rStyle w:val="Accentuation"/>
          <w:rFonts w:asciiTheme="majorBidi" w:hAnsiTheme="majorBidi" w:cstheme="majorBidi"/>
          <w:i w:val="0"/>
          <w:iCs w:val="0"/>
          <w:sz w:val="24"/>
          <w:szCs w:val="24"/>
          <w:shd w:val="clear" w:color="auto" w:fill="FFFFFF"/>
        </w:rPr>
        <w:t>Michel Biron</w:t>
      </w:r>
      <w:r w:rsidRPr="001359CB">
        <w:rPr>
          <w:rFonts w:asciiTheme="majorBidi" w:hAnsiTheme="majorBidi" w:cstheme="majorBidi"/>
          <w:sz w:val="24"/>
          <w:szCs w:val="24"/>
          <w:shd w:val="clear" w:color="auto" w:fill="FFFFFF"/>
        </w:rPr>
        <w:t>,</w:t>
      </w:r>
      <w:r w:rsidRPr="001359CB">
        <w:rPr>
          <w:rStyle w:val="apple-converted-space"/>
          <w:rFonts w:asciiTheme="majorBidi" w:hAnsiTheme="majorBidi" w:cstheme="majorBidi"/>
          <w:sz w:val="24"/>
          <w:szCs w:val="24"/>
          <w:shd w:val="clear" w:color="auto" w:fill="FFFFFF"/>
        </w:rPr>
        <w:t> </w:t>
      </w:r>
      <w:r w:rsidRPr="001359CB">
        <w:rPr>
          <w:rStyle w:val="Accentuation"/>
          <w:rFonts w:asciiTheme="majorBidi" w:hAnsiTheme="majorBidi" w:cstheme="majorBidi"/>
          <w:i w:val="0"/>
          <w:iCs w:val="0"/>
          <w:sz w:val="24"/>
          <w:szCs w:val="24"/>
          <w:shd w:val="clear" w:color="auto" w:fill="FFFFFF"/>
        </w:rPr>
        <w:t>Benoît Denis</w:t>
      </w:r>
      <w:r w:rsidRPr="001359CB">
        <w:rPr>
          <w:rFonts w:asciiTheme="majorBidi" w:hAnsiTheme="majorBidi" w:cstheme="majorBidi"/>
          <w:sz w:val="24"/>
          <w:szCs w:val="24"/>
          <w:shd w:val="clear" w:color="auto" w:fill="FFFFFF"/>
        </w:rPr>
        <w:t>,</w:t>
      </w:r>
      <w:r w:rsidRPr="001359CB">
        <w:rPr>
          <w:rStyle w:val="apple-converted-space"/>
          <w:rFonts w:asciiTheme="majorBidi" w:hAnsiTheme="majorBidi" w:cstheme="majorBidi"/>
          <w:sz w:val="24"/>
          <w:szCs w:val="24"/>
          <w:shd w:val="clear" w:color="auto" w:fill="FFFFFF"/>
        </w:rPr>
        <w:t> </w:t>
      </w:r>
      <w:r w:rsidRPr="001359CB">
        <w:rPr>
          <w:rStyle w:val="Accentuation"/>
          <w:rFonts w:asciiTheme="majorBidi" w:hAnsiTheme="majorBidi" w:cstheme="majorBidi"/>
          <w:i w:val="0"/>
          <w:iCs w:val="0"/>
          <w:sz w:val="24"/>
          <w:szCs w:val="24"/>
          <w:shd w:val="clear" w:color="auto" w:fill="FFFFFF"/>
        </w:rPr>
        <w:t>Rainier Grutman</w:t>
      </w:r>
      <w:r w:rsidRPr="001359CB">
        <w:rPr>
          <w:rFonts w:asciiTheme="majorBidi" w:hAnsiTheme="majorBidi" w:cstheme="majorBidi"/>
          <w:sz w:val="24"/>
          <w:szCs w:val="24"/>
          <w:shd w:val="clear" w:color="auto" w:fill="FFFFFF"/>
        </w:rPr>
        <w:t>. (</w:t>
      </w:r>
      <w:r w:rsidRPr="001359CB">
        <w:rPr>
          <w:rStyle w:val="Accentuation"/>
          <w:rFonts w:asciiTheme="majorBidi" w:hAnsiTheme="majorBidi" w:cstheme="majorBidi"/>
          <w:i w:val="0"/>
          <w:iCs w:val="0"/>
          <w:sz w:val="24"/>
          <w:szCs w:val="24"/>
          <w:shd w:val="clear" w:color="auto" w:fill="FFFFFF"/>
        </w:rPr>
        <w:t>dir</w:t>
      </w:r>
      <w:r w:rsidRPr="001359CB">
        <w:rPr>
          <w:rFonts w:asciiTheme="majorBidi" w:hAnsiTheme="majorBidi" w:cstheme="majorBidi"/>
          <w:sz w:val="24"/>
          <w:szCs w:val="24"/>
          <w:shd w:val="clear" w:color="auto" w:fill="FFFFFF"/>
        </w:rPr>
        <w:t>.),</w:t>
      </w:r>
      <w:r w:rsidRPr="001359CB">
        <w:rPr>
          <w:rStyle w:val="apple-converted-space"/>
          <w:rFonts w:asciiTheme="majorBidi" w:hAnsiTheme="majorBidi" w:cstheme="majorBidi"/>
          <w:sz w:val="24"/>
          <w:szCs w:val="24"/>
          <w:shd w:val="clear" w:color="auto" w:fill="FFFFFF"/>
        </w:rPr>
        <w:t> </w:t>
      </w:r>
      <w:r w:rsidRPr="001359CB">
        <w:rPr>
          <w:rStyle w:val="Accentuation"/>
          <w:rFonts w:asciiTheme="majorBidi" w:hAnsiTheme="majorBidi" w:cstheme="majorBidi"/>
          <w:sz w:val="24"/>
          <w:szCs w:val="24"/>
          <w:shd w:val="clear" w:color="auto" w:fill="FFFFFF"/>
        </w:rPr>
        <w:t>Histoire</w:t>
      </w:r>
      <w:r w:rsidRPr="001359CB">
        <w:rPr>
          <w:rStyle w:val="apple-converted-space"/>
          <w:rFonts w:asciiTheme="majorBidi" w:hAnsiTheme="majorBidi" w:cstheme="majorBidi"/>
          <w:sz w:val="24"/>
          <w:szCs w:val="24"/>
          <w:shd w:val="clear" w:color="auto" w:fill="FFFFFF"/>
        </w:rPr>
        <w:t> </w:t>
      </w:r>
      <w:r w:rsidRPr="001359CB">
        <w:rPr>
          <w:rFonts w:asciiTheme="majorBidi" w:hAnsiTheme="majorBidi" w:cstheme="majorBidi"/>
          <w:sz w:val="24"/>
          <w:szCs w:val="24"/>
          <w:shd w:val="clear" w:color="auto" w:fill="FFFFFF"/>
        </w:rPr>
        <w:t>de la</w:t>
      </w:r>
      <w:r w:rsidRPr="001359CB">
        <w:rPr>
          <w:rStyle w:val="apple-converted-space"/>
          <w:rFonts w:asciiTheme="majorBidi" w:hAnsiTheme="majorBidi" w:cstheme="majorBidi"/>
          <w:sz w:val="24"/>
          <w:szCs w:val="24"/>
          <w:shd w:val="clear" w:color="auto" w:fill="FFFFFF"/>
        </w:rPr>
        <w:t> </w:t>
      </w:r>
      <w:r w:rsidRPr="001359CB">
        <w:rPr>
          <w:rStyle w:val="Accentuation"/>
          <w:rFonts w:asciiTheme="majorBidi" w:hAnsiTheme="majorBidi" w:cstheme="majorBidi"/>
          <w:sz w:val="24"/>
          <w:szCs w:val="24"/>
          <w:shd w:val="clear" w:color="auto" w:fill="FFFFFF"/>
        </w:rPr>
        <w:t>littérature belge</w:t>
      </w:r>
      <w:r w:rsidRPr="001359CB">
        <w:rPr>
          <w:rStyle w:val="apple-converted-space"/>
          <w:rFonts w:asciiTheme="majorBidi" w:hAnsiTheme="majorBidi" w:cstheme="majorBidi"/>
          <w:sz w:val="24"/>
          <w:szCs w:val="24"/>
          <w:shd w:val="clear" w:color="auto" w:fill="FFFFFF"/>
        </w:rPr>
        <w:t> </w:t>
      </w:r>
      <w:r w:rsidRPr="001359CB">
        <w:rPr>
          <w:rFonts w:asciiTheme="majorBidi" w:hAnsiTheme="majorBidi" w:cstheme="majorBidi"/>
          <w:sz w:val="24"/>
          <w:szCs w:val="24"/>
          <w:shd w:val="clear" w:color="auto" w:fill="FFFFFF"/>
        </w:rPr>
        <w:t>(</w:t>
      </w:r>
      <w:r w:rsidRPr="001359CB">
        <w:rPr>
          <w:rStyle w:val="Accentuation"/>
          <w:rFonts w:asciiTheme="majorBidi" w:hAnsiTheme="majorBidi" w:cstheme="majorBidi"/>
          <w:i w:val="0"/>
          <w:iCs w:val="0"/>
          <w:sz w:val="24"/>
          <w:szCs w:val="24"/>
          <w:shd w:val="clear" w:color="auto" w:fill="FFFFFF"/>
        </w:rPr>
        <w:t>1830-2000</w:t>
      </w:r>
      <w:r w:rsidRPr="001359CB">
        <w:rPr>
          <w:rFonts w:asciiTheme="majorBidi" w:hAnsiTheme="majorBidi" w:cstheme="majorBidi"/>
          <w:sz w:val="24"/>
          <w:szCs w:val="24"/>
          <w:shd w:val="clear" w:color="auto" w:fill="FFFFFF"/>
        </w:rPr>
        <w:t>), Paris,</w:t>
      </w:r>
      <w:r w:rsidRPr="001359CB">
        <w:rPr>
          <w:rStyle w:val="apple-converted-space"/>
          <w:rFonts w:asciiTheme="majorBidi" w:hAnsiTheme="majorBidi" w:cstheme="majorBidi"/>
          <w:sz w:val="24"/>
          <w:szCs w:val="24"/>
          <w:shd w:val="clear" w:color="auto" w:fill="FFFFFF"/>
        </w:rPr>
        <w:t> </w:t>
      </w:r>
      <w:r w:rsidRPr="001359CB">
        <w:rPr>
          <w:rStyle w:val="Accentuation"/>
          <w:rFonts w:asciiTheme="majorBidi" w:hAnsiTheme="majorBidi" w:cstheme="majorBidi"/>
          <w:i w:val="0"/>
          <w:iCs w:val="0"/>
          <w:sz w:val="24"/>
          <w:szCs w:val="24"/>
          <w:shd w:val="clear" w:color="auto" w:fill="FFFFFF"/>
        </w:rPr>
        <w:t>Fayard</w:t>
      </w:r>
      <w:r w:rsidRPr="001359CB">
        <w:rPr>
          <w:rFonts w:asciiTheme="majorBidi" w:hAnsiTheme="majorBidi" w:cstheme="majorBidi"/>
          <w:sz w:val="24"/>
          <w:szCs w:val="24"/>
          <w:shd w:val="clear" w:color="auto" w:fill="FFFFFF"/>
        </w:rPr>
        <w:t>,</w:t>
      </w:r>
      <w:r w:rsidRPr="001359CB">
        <w:rPr>
          <w:rStyle w:val="apple-converted-space"/>
          <w:rFonts w:asciiTheme="majorBidi" w:hAnsiTheme="majorBidi" w:cstheme="majorBidi"/>
          <w:sz w:val="24"/>
          <w:szCs w:val="24"/>
          <w:shd w:val="clear" w:color="auto" w:fill="FFFFFF"/>
        </w:rPr>
        <w:t> </w:t>
      </w:r>
      <w:r w:rsidRPr="001359CB">
        <w:rPr>
          <w:rStyle w:val="Accentuation"/>
          <w:rFonts w:asciiTheme="majorBidi" w:hAnsiTheme="majorBidi" w:cstheme="majorBidi"/>
          <w:i w:val="0"/>
          <w:iCs w:val="0"/>
          <w:sz w:val="24"/>
          <w:szCs w:val="24"/>
          <w:shd w:val="clear" w:color="auto" w:fill="FFFFFF"/>
        </w:rPr>
        <w:t>2003</w:t>
      </w:r>
      <w:r w:rsidRPr="001359CB">
        <w:rPr>
          <w:rStyle w:val="Titre1Car"/>
          <w:rFonts w:asciiTheme="majorBidi" w:eastAsiaTheme="minorHAnsi" w:hAnsiTheme="majorBidi" w:cstheme="majorBidi"/>
          <w:i/>
          <w:iCs/>
          <w:color w:val="auto"/>
          <w:sz w:val="32"/>
          <w:szCs w:val="32"/>
          <w:shd w:val="clear" w:color="auto" w:fill="FFFFFF"/>
        </w:rPr>
        <w:t xml:space="preserve"> </w:t>
      </w:r>
    </w:p>
    <w:p w:rsidR="003B68A5" w:rsidRPr="00615689" w:rsidRDefault="003B68A5" w:rsidP="001359CB">
      <w:pPr>
        <w:spacing w:after="0" w:line="360" w:lineRule="auto"/>
        <w:jc w:val="both"/>
        <w:rPr>
          <w:rFonts w:asciiTheme="majorBidi" w:hAnsiTheme="majorBidi" w:cstheme="majorBidi"/>
          <w:color w:val="000000"/>
          <w:sz w:val="24"/>
          <w:szCs w:val="24"/>
        </w:rPr>
      </w:pPr>
      <w:r w:rsidRPr="00615689">
        <w:rPr>
          <w:rFonts w:asciiTheme="majorBidi" w:hAnsiTheme="majorBidi" w:cstheme="majorBidi"/>
          <w:color w:val="000000"/>
          <w:sz w:val="24"/>
          <w:szCs w:val="24"/>
        </w:rPr>
        <w:t xml:space="preserve">BOURNEUF, R OUELLET, Réal., </w:t>
      </w:r>
      <w:r w:rsidRPr="00615689">
        <w:rPr>
          <w:rFonts w:asciiTheme="majorBidi" w:hAnsiTheme="majorBidi" w:cstheme="majorBidi"/>
          <w:i/>
          <w:iCs/>
          <w:color w:val="000000"/>
          <w:sz w:val="24"/>
          <w:szCs w:val="24"/>
        </w:rPr>
        <w:t>L</w:t>
      </w:r>
      <w:r w:rsidRPr="00615689">
        <w:rPr>
          <w:rFonts w:asciiTheme="majorBidi" w:hAnsiTheme="majorBidi" w:cstheme="majorBidi"/>
          <w:i/>
          <w:color w:val="000000"/>
          <w:sz w:val="24"/>
          <w:szCs w:val="24"/>
        </w:rPr>
        <w:t>’Univers du Roman,</w:t>
      </w:r>
      <w:r w:rsidRPr="00615689">
        <w:rPr>
          <w:rFonts w:asciiTheme="majorBidi" w:hAnsiTheme="majorBidi" w:cstheme="majorBidi"/>
          <w:color w:val="000000"/>
          <w:sz w:val="24"/>
          <w:szCs w:val="24"/>
        </w:rPr>
        <w:t xml:space="preserve"> P. U F : Littératures modernes, 1972.</w:t>
      </w:r>
    </w:p>
    <w:p w:rsidR="003B68A5" w:rsidRPr="00615689" w:rsidRDefault="003B68A5" w:rsidP="006E68B1">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BOUTEFNOUCHET, M., </w:t>
      </w:r>
      <w:r w:rsidRPr="00615689">
        <w:rPr>
          <w:rFonts w:asciiTheme="majorBidi" w:hAnsiTheme="majorBidi" w:cstheme="majorBidi"/>
          <w:i/>
          <w:iCs/>
          <w:sz w:val="24"/>
          <w:szCs w:val="24"/>
          <w:lang w:eastAsia="fr-FR"/>
        </w:rPr>
        <w:t>La culture en Algérie : mythe et réalité,</w:t>
      </w:r>
      <w:r w:rsidRPr="00615689">
        <w:rPr>
          <w:rFonts w:asciiTheme="majorBidi" w:hAnsiTheme="majorBidi" w:cstheme="majorBidi"/>
          <w:sz w:val="24"/>
          <w:szCs w:val="24"/>
          <w:lang w:eastAsia="fr-FR"/>
        </w:rPr>
        <w:t xml:space="preserve">  </w:t>
      </w:r>
      <w:r w:rsidR="006E68B1" w:rsidRPr="00615689">
        <w:rPr>
          <w:rFonts w:asciiTheme="majorBidi" w:hAnsiTheme="majorBidi" w:cstheme="majorBidi"/>
          <w:sz w:val="24"/>
          <w:szCs w:val="24"/>
          <w:lang w:eastAsia="fr-FR"/>
        </w:rPr>
        <w:t>SNED</w:t>
      </w:r>
      <w:r w:rsidR="006E68B1">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Alger, 1982.</w:t>
      </w:r>
    </w:p>
    <w:p w:rsidR="003B68A5" w:rsidRPr="00615689" w:rsidRDefault="003B68A5" w:rsidP="006E68B1">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CAMUS, A., </w:t>
      </w:r>
      <w:r w:rsidRPr="00615689">
        <w:rPr>
          <w:rFonts w:asciiTheme="majorBidi" w:hAnsiTheme="majorBidi" w:cstheme="majorBidi"/>
          <w:i/>
          <w:sz w:val="24"/>
          <w:szCs w:val="24"/>
        </w:rPr>
        <w:t>L’homme révolté</w:t>
      </w:r>
      <w:r w:rsidRPr="00615689">
        <w:rPr>
          <w:rFonts w:asciiTheme="majorBidi" w:hAnsiTheme="majorBidi" w:cstheme="majorBidi"/>
          <w:sz w:val="24"/>
          <w:szCs w:val="24"/>
        </w:rPr>
        <w:t>, Paris</w:t>
      </w:r>
      <w:r w:rsidR="006E68B1">
        <w:rPr>
          <w:rFonts w:asciiTheme="majorBidi" w:hAnsiTheme="majorBidi" w:cstheme="majorBidi"/>
          <w:sz w:val="24"/>
          <w:szCs w:val="24"/>
        </w:rPr>
        <w:t xml:space="preserve">, </w:t>
      </w:r>
      <w:r w:rsidRPr="00615689">
        <w:rPr>
          <w:rFonts w:asciiTheme="majorBidi" w:hAnsiTheme="majorBidi" w:cstheme="majorBidi"/>
          <w:sz w:val="24"/>
          <w:szCs w:val="24"/>
        </w:rPr>
        <w:t>Folio, 1951.</w:t>
      </w:r>
    </w:p>
    <w:p w:rsidR="003B68A5" w:rsidRPr="00615689" w:rsidRDefault="003B68A5" w:rsidP="006E68B1">
      <w:pPr>
        <w:spacing w:after="0" w:line="360" w:lineRule="auto"/>
        <w:jc w:val="both"/>
        <w:rPr>
          <w:rFonts w:asciiTheme="majorBidi" w:hAnsiTheme="majorBidi" w:cstheme="majorBidi"/>
          <w:i/>
          <w:iCs/>
          <w:sz w:val="24"/>
          <w:szCs w:val="24"/>
          <w:lang w:eastAsia="fr-FR"/>
        </w:rPr>
      </w:pPr>
      <w:r w:rsidRPr="00615689">
        <w:rPr>
          <w:rFonts w:asciiTheme="majorBidi" w:hAnsiTheme="majorBidi" w:cstheme="majorBidi"/>
          <w:sz w:val="24"/>
          <w:szCs w:val="24"/>
          <w:lang w:eastAsia="fr-FR"/>
        </w:rPr>
        <w:t xml:space="preserve">DJEGHLOUL, A., </w:t>
      </w:r>
      <w:r w:rsidRPr="00615689">
        <w:rPr>
          <w:rFonts w:asciiTheme="majorBidi" w:hAnsiTheme="majorBidi" w:cstheme="majorBidi"/>
          <w:i/>
          <w:iCs/>
          <w:sz w:val="24"/>
          <w:szCs w:val="24"/>
          <w:lang w:eastAsia="fr-FR"/>
        </w:rPr>
        <w:t xml:space="preserve">Lettrés, intellectuels et militants en Algérie, 1880- 1950, </w:t>
      </w:r>
      <w:r w:rsidR="006E68B1" w:rsidRPr="00615689">
        <w:rPr>
          <w:rFonts w:asciiTheme="majorBidi" w:hAnsiTheme="majorBidi" w:cstheme="majorBidi"/>
          <w:sz w:val="24"/>
          <w:szCs w:val="24"/>
          <w:lang w:eastAsia="fr-FR"/>
        </w:rPr>
        <w:t>O.P.U</w:t>
      </w:r>
      <w:r w:rsidR="006E68B1">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Alger, 1988.</w:t>
      </w:r>
    </w:p>
    <w:p w:rsidR="003B68A5" w:rsidRPr="00615689" w:rsidRDefault="003B68A5" w:rsidP="00B17119">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ELIADE, M., </w:t>
      </w:r>
      <w:r w:rsidRPr="00615689">
        <w:rPr>
          <w:rFonts w:asciiTheme="majorBidi" w:hAnsiTheme="majorBidi" w:cstheme="majorBidi"/>
          <w:i/>
          <w:sz w:val="24"/>
          <w:szCs w:val="24"/>
        </w:rPr>
        <w:t>Le sacré et le Profane</w:t>
      </w:r>
      <w:r w:rsidRPr="00615689">
        <w:rPr>
          <w:rFonts w:asciiTheme="majorBidi" w:hAnsiTheme="majorBidi" w:cstheme="majorBidi"/>
          <w:sz w:val="24"/>
          <w:szCs w:val="24"/>
        </w:rPr>
        <w:t xml:space="preserve">, </w:t>
      </w:r>
      <w:r w:rsidR="00B17119" w:rsidRPr="00615689">
        <w:rPr>
          <w:rFonts w:asciiTheme="majorBidi" w:hAnsiTheme="majorBidi" w:cstheme="majorBidi"/>
          <w:sz w:val="24"/>
          <w:szCs w:val="24"/>
        </w:rPr>
        <w:t>Gallimard</w:t>
      </w:r>
      <w:r w:rsidR="00B17119">
        <w:rPr>
          <w:rFonts w:asciiTheme="majorBidi" w:hAnsiTheme="majorBidi" w:cstheme="majorBidi"/>
          <w:sz w:val="24"/>
          <w:szCs w:val="24"/>
        </w:rPr>
        <w:t xml:space="preserve">, </w:t>
      </w:r>
      <w:r w:rsidRPr="00615689">
        <w:rPr>
          <w:rFonts w:asciiTheme="majorBidi" w:hAnsiTheme="majorBidi" w:cstheme="majorBidi"/>
          <w:sz w:val="24"/>
          <w:szCs w:val="24"/>
        </w:rPr>
        <w:t>Paris, Folio, 1963.</w:t>
      </w:r>
    </w:p>
    <w:p w:rsidR="003B68A5" w:rsidRPr="00615689" w:rsidRDefault="003B68A5" w:rsidP="00B17119">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LACHERAF, M., </w:t>
      </w:r>
      <w:r w:rsidRPr="00615689">
        <w:rPr>
          <w:rFonts w:asciiTheme="majorBidi" w:hAnsiTheme="majorBidi" w:cstheme="majorBidi"/>
          <w:i/>
          <w:iCs/>
          <w:sz w:val="24"/>
          <w:szCs w:val="24"/>
          <w:lang w:eastAsia="fr-FR"/>
        </w:rPr>
        <w:t>L’Algérie, nation et société,</w:t>
      </w:r>
      <w:r w:rsidRPr="00615689">
        <w:rPr>
          <w:rFonts w:asciiTheme="majorBidi" w:hAnsiTheme="majorBidi" w:cstheme="majorBidi"/>
          <w:sz w:val="24"/>
          <w:szCs w:val="24"/>
          <w:lang w:eastAsia="fr-FR"/>
        </w:rPr>
        <w:t xml:space="preserve"> </w:t>
      </w:r>
      <w:r w:rsidR="00B17119" w:rsidRPr="00615689">
        <w:rPr>
          <w:rFonts w:asciiTheme="majorBidi" w:hAnsiTheme="majorBidi" w:cstheme="majorBidi"/>
          <w:sz w:val="24"/>
          <w:szCs w:val="24"/>
          <w:lang w:eastAsia="fr-FR"/>
        </w:rPr>
        <w:t>SNED</w:t>
      </w:r>
      <w:r w:rsidR="00B17119">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Alger, 1978.</w:t>
      </w:r>
    </w:p>
    <w:p w:rsidR="003B68A5" w:rsidRPr="00615689" w:rsidRDefault="003B68A5" w:rsidP="00B17119">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LAROUI, A., </w:t>
      </w:r>
      <w:r w:rsidRPr="00615689">
        <w:rPr>
          <w:rFonts w:asciiTheme="majorBidi" w:hAnsiTheme="majorBidi" w:cstheme="majorBidi"/>
          <w:i/>
          <w:iCs/>
          <w:sz w:val="24"/>
          <w:szCs w:val="24"/>
        </w:rPr>
        <w:t>L’idéologie arabe contemporaine</w:t>
      </w:r>
      <w:r w:rsidRPr="00615689">
        <w:rPr>
          <w:rFonts w:asciiTheme="majorBidi" w:hAnsiTheme="majorBidi" w:cstheme="majorBidi"/>
          <w:sz w:val="24"/>
          <w:szCs w:val="24"/>
        </w:rPr>
        <w:t xml:space="preserve">, (préface de Maxime Rodinson), </w:t>
      </w:r>
      <w:r w:rsidR="00B17119" w:rsidRPr="00615689">
        <w:rPr>
          <w:rFonts w:asciiTheme="majorBidi" w:hAnsiTheme="majorBidi" w:cstheme="majorBidi"/>
          <w:sz w:val="24"/>
          <w:szCs w:val="24"/>
        </w:rPr>
        <w:t>François Maspero</w:t>
      </w:r>
      <w:r w:rsidR="00B17119">
        <w:rPr>
          <w:rFonts w:asciiTheme="majorBidi" w:hAnsiTheme="majorBidi" w:cstheme="majorBidi"/>
          <w:sz w:val="24"/>
          <w:szCs w:val="24"/>
        </w:rPr>
        <w:t xml:space="preserve">, </w:t>
      </w:r>
      <w:r w:rsidRPr="00615689">
        <w:rPr>
          <w:rFonts w:asciiTheme="majorBidi" w:hAnsiTheme="majorBidi" w:cstheme="majorBidi"/>
          <w:sz w:val="24"/>
          <w:szCs w:val="24"/>
        </w:rPr>
        <w:t>Paris, 1970.</w:t>
      </w:r>
    </w:p>
    <w:p w:rsidR="003B68A5" w:rsidRPr="00615689" w:rsidRDefault="003B68A5" w:rsidP="00B17119">
      <w:pPr>
        <w:pStyle w:val="Notedebasdepage"/>
        <w:spacing w:line="360" w:lineRule="auto"/>
        <w:jc w:val="both"/>
        <w:rPr>
          <w:rFonts w:asciiTheme="majorBidi" w:hAnsiTheme="majorBidi" w:cstheme="majorBidi"/>
          <w:sz w:val="24"/>
          <w:szCs w:val="24"/>
        </w:rPr>
      </w:pPr>
      <w:r w:rsidRPr="00615689">
        <w:rPr>
          <w:rStyle w:val="marquage"/>
          <w:rFonts w:asciiTheme="majorBidi" w:hAnsiTheme="majorBidi" w:cstheme="majorBidi"/>
          <w:sz w:val="24"/>
          <w:szCs w:val="24"/>
        </w:rPr>
        <w:t xml:space="preserve">PICON, </w:t>
      </w:r>
      <w:r w:rsidRPr="00615689">
        <w:rPr>
          <w:rFonts w:asciiTheme="majorBidi" w:hAnsiTheme="majorBidi" w:cstheme="majorBidi"/>
          <w:sz w:val="24"/>
          <w:szCs w:val="24"/>
        </w:rPr>
        <w:t xml:space="preserve">G., </w:t>
      </w:r>
      <w:r w:rsidRPr="00615689">
        <w:rPr>
          <w:rStyle w:val="Accentuation"/>
          <w:rFonts w:asciiTheme="majorBidi" w:hAnsiTheme="majorBidi" w:cstheme="majorBidi"/>
          <w:sz w:val="24"/>
          <w:szCs w:val="24"/>
        </w:rPr>
        <w:t>Histoire des littératures III</w:t>
      </w:r>
      <w:r w:rsidRPr="00615689">
        <w:rPr>
          <w:rFonts w:asciiTheme="majorBidi" w:hAnsiTheme="majorBidi" w:cstheme="majorBidi"/>
          <w:sz w:val="24"/>
          <w:szCs w:val="24"/>
        </w:rPr>
        <w:t xml:space="preserve">, Editeur Queneau R., </w:t>
      </w:r>
      <w:r w:rsidR="00B17119" w:rsidRPr="00615689">
        <w:rPr>
          <w:rFonts w:asciiTheme="majorBidi" w:hAnsiTheme="majorBidi" w:cstheme="majorBidi"/>
          <w:sz w:val="24"/>
          <w:szCs w:val="24"/>
        </w:rPr>
        <w:t>Gallimard</w:t>
      </w:r>
      <w:r w:rsidR="00B17119">
        <w:rPr>
          <w:rFonts w:asciiTheme="majorBidi" w:hAnsiTheme="majorBidi" w:cstheme="majorBidi"/>
          <w:sz w:val="24"/>
          <w:szCs w:val="24"/>
        </w:rPr>
        <w:t xml:space="preserve">, </w:t>
      </w:r>
      <w:r w:rsidRPr="00615689">
        <w:rPr>
          <w:rFonts w:asciiTheme="majorBidi" w:hAnsiTheme="majorBidi" w:cstheme="majorBidi"/>
          <w:sz w:val="24"/>
          <w:szCs w:val="24"/>
        </w:rPr>
        <w:t>Paris, 1958.</w:t>
      </w:r>
    </w:p>
    <w:p w:rsidR="003B68A5" w:rsidRPr="00615689" w:rsidRDefault="003B68A5" w:rsidP="00B17119">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rPr>
        <w:t xml:space="preserve">SAID, E. W., </w:t>
      </w:r>
      <w:r w:rsidRPr="00615689">
        <w:rPr>
          <w:rFonts w:asciiTheme="majorBidi" w:hAnsiTheme="majorBidi" w:cstheme="majorBidi"/>
          <w:i/>
          <w:sz w:val="24"/>
          <w:szCs w:val="24"/>
        </w:rPr>
        <w:t>Culture et Impérialisme</w:t>
      </w:r>
      <w:r w:rsidRPr="00615689">
        <w:rPr>
          <w:rFonts w:asciiTheme="majorBidi" w:hAnsiTheme="majorBidi" w:cstheme="majorBidi"/>
          <w:sz w:val="24"/>
          <w:szCs w:val="24"/>
        </w:rPr>
        <w:t xml:space="preserve">, traduit de l’anglais par Paul Chemla, </w:t>
      </w:r>
      <w:r w:rsidR="00B17119" w:rsidRPr="00615689">
        <w:rPr>
          <w:rFonts w:asciiTheme="majorBidi" w:hAnsiTheme="majorBidi" w:cstheme="majorBidi"/>
          <w:sz w:val="24"/>
          <w:szCs w:val="24"/>
        </w:rPr>
        <w:t>Fayard le Monde</w:t>
      </w:r>
      <w:r w:rsidR="00B17119">
        <w:rPr>
          <w:rFonts w:asciiTheme="majorBidi" w:hAnsiTheme="majorBidi" w:cstheme="majorBidi"/>
          <w:sz w:val="24"/>
          <w:szCs w:val="24"/>
        </w:rPr>
        <w:t xml:space="preserve">, </w:t>
      </w:r>
      <w:r w:rsidRPr="00615689">
        <w:rPr>
          <w:rFonts w:asciiTheme="majorBidi" w:hAnsiTheme="majorBidi" w:cstheme="majorBidi"/>
          <w:sz w:val="24"/>
          <w:szCs w:val="24"/>
        </w:rPr>
        <w:t>Paris, 2000.</w:t>
      </w:r>
    </w:p>
    <w:p w:rsidR="003B68A5" w:rsidRPr="00615689" w:rsidRDefault="003B68A5" w:rsidP="008902D4">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lastRenderedPageBreak/>
        <w:t xml:space="preserve">SALLUSTE., </w:t>
      </w:r>
      <w:r w:rsidRPr="00615689">
        <w:rPr>
          <w:rFonts w:asciiTheme="majorBidi" w:hAnsiTheme="majorBidi" w:cstheme="majorBidi"/>
          <w:i/>
          <w:iCs/>
          <w:sz w:val="24"/>
          <w:szCs w:val="24"/>
        </w:rPr>
        <w:t>La Guerre de Jugurtha</w:t>
      </w:r>
      <w:r w:rsidRPr="00615689">
        <w:rPr>
          <w:rFonts w:asciiTheme="majorBidi" w:hAnsiTheme="majorBidi" w:cstheme="majorBidi"/>
          <w:sz w:val="24"/>
          <w:szCs w:val="24"/>
        </w:rPr>
        <w:t>, [I</w:t>
      </w:r>
      <w:r w:rsidRPr="00615689">
        <w:rPr>
          <w:rFonts w:asciiTheme="majorBidi" w:hAnsiTheme="majorBidi" w:cstheme="majorBidi"/>
          <w:sz w:val="24"/>
          <w:szCs w:val="24"/>
          <w:vertAlign w:val="superscript"/>
        </w:rPr>
        <w:t>er</w:t>
      </w:r>
      <w:r w:rsidRPr="00615689">
        <w:rPr>
          <w:rFonts w:asciiTheme="majorBidi" w:hAnsiTheme="majorBidi" w:cstheme="majorBidi"/>
          <w:sz w:val="24"/>
          <w:szCs w:val="24"/>
        </w:rPr>
        <w:t xml:space="preserve"> siècle avant Jésus Christ, 1</w:t>
      </w:r>
      <w:r w:rsidRPr="00615689">
        <w:rPr>
          <w:rFonts w:asciiTheme="majorBidi" w:hAnsiTheme="majorBidi" w:cstheme="majorBidi"/>
          <w:sz w:val="24"/>
          <w:szCs w:val="24"/>
          <w:vertAlign w:val="superscript"/>
        </w:rPr>
        <w:t>re</w:t>
      </w:r>
      <w:r w:rsidRPr="00615689">
        <w:rPr>
          <w:rFonts w:asciiTheme="majorBidi" w:hAnsiTheme="majorBidi" w:cstheme="majorBidi"/>
          <w:sz w:val="24"/>
          <w:szCs w:val="24"/>
        </w:rPr>
        <w:t xml:space="preserve"> traduction en français en 1968] réédition </w:t>
      </w:r>
      <w:r w:rsidR="008902D4" w:rsidRPr="00615689">
        <w:rPr>
          <w:rFonts w:asciiTheme="majorBidi" w:hAnsiTheme="majorBidi" w:cstheme="majorBidi"/>
          <w:sz w:val="24"/>
          <w:szCs w:val="24"/>
        </w:rPr>
        <w:t>G.A.L</w:t>
      </w:r>
      <w:r w:rsidR="008902D4">
        <w:rPr>
          <w:rFonts w:asciiTheme="majorBidi" w:hAnsiTheme="majorBidi" w:cstheme="majorBidi"/>
          <w:sz w:val="24"/>
          <w:szCs w:val="24"/>
        </w:rPr>
        <w:t xml:space="preserve">, </w:t>
      </w:r>
      <w:r w:rsidRPr="00615689">
        <w:rPr>
          <w:rFonts w:asciiTheme="majorBidi" w:hAnsiTheme="majorBidi" w:cstheme="majorBidi"/>
          <w:sz w:val="24"/>
          <w:szCs w:val="24"/>
        </w:rPr>
        <w:t xml:space="preserve">Alger, coll. histoire, 2005. </w:t>
      </w:r>
    </w:p>
    <w:p w:rsidR="003B68A5" w:rsidRPr="00615689" w:rsidRDefault="003B68A5" w:rsidP="008902D4">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SARTRE, J-P., </w:t>
      </w:r>
      <w:r w:rsidRPr="00615689">
        <w:rPr>
          <w:rFonts w:asciiTheme="majorBidi" w:hAnsiTheme="majorBidi" w:cstheme="majorBidi"/>
          <w:i/>
          <w:iCs/>
          <w:sz w:val="24"/>
          <w:szCs w:val="24"/>
        </w:rPr>
        <w:t>Qu’est-ce que la littérature ?</w:t>
      </w:r>
      <w:r w:rsidRPr="00615689">
        <w:rPr>
          <w:rFonts w:asciiTheme="majorBidi" w:hAnsiTheme="majorBidi" w:cstheme="majorBidi"/>
          <w:sz w:val="24"/>
          <w:szCs w:val="24"/>
        </w:rPr>
        <w:t xml:space="preserve"> [1</w:t>
      </w:r>
      <w:r w:rsidRPr="00615689">
        <w:rPr>
          <w:rFonts w:asciiTheme="majorBidi" w:hAnsiTheme="majorBidi" w:cstheme="majorBidi"/>
          <w:sz w:val="24"/>
          <w:szCs w:val="24"/>
          <w:vertAlign w:val="superscript"/>
        </w:rPr>
        <w:t>ère</w:t>
      </w:r>
      <w:r w:rsidRPr="00615689">
        <w:rPr>
          <w:rFonts w:asciiTheme="majorBidi" w:hAnsiTheme="majorBidi" w:cstheme="majorBidi"/>
          <w:sz w:val="24"/>
          <w:szCs w:val="24"/>
        </w:rPr>
        <w:t xml:space="preserve"> édition 1948], </w:t>
      </w:r>
      <w:r w:rsidR="008902D4" w:rsidRPr="00615689">
        <w:rPr>
          <w:rFonts w:asciiTheme="majorBidi" w:hAnsiTheme="majorBidi" w:cstheme="majorBidi"/>
          <w:sz w:val="24"/>
          <w:szCs w:val="24"/>
        </w:rPr>
        <w:t>Gallimard</w:t>
      </w:r>
      <w:r w:rsidR="008902D4">
        <w:rPr>
          <w:rFonts w:asciiTheme="majorBidi" w:hAnsiTheme="majorBidi" w:cstheme="majorBidi"/>
          <w:sz w:val="24"/>
          <w:szCs w:val="24"/>
        </w:rPr>
        <w:t xml:space="preserve">, </w:t>
      </w:r>
      <w:r w:rsidRPr="00615689">
        <w:rPr>
          <w:rFonts w:asciiTheme="majorBidi" w:hAnsiTheme="majorBidi" w:cstheme="majorBidi"/>
          <w:sz w:val="24"/>
          <w:szCs w:val="24"/>
        </w:rPr>
        <w:t>Paris, 1985.</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Style w:val="reference-text"/>
          <w:rFonts w:asciiTheme="majorBidi" w:hAnsiTheme="majorBidi" w:cstheme="majorBidi"/>
          <w:sz w:val="24"/>
          <w:szCs w:val="24"/>
        </w:rPr>
        <w:t xml:space="preserve">SOURIAU, E., </w:t>
      </w:r>
      <w:r w:rsidRPr="00615689">
        <w:rPr>
          <w:rStyle w:val="reference-text"/>
          <w:rFonts w:asciiTheme="majorBidi" w:hAnsiTheme="majorBidi" w:cstheme="majorBidi"/>
          <w:i/>
          <w:iCs/>
          <w:sz w:val="24"/>
          <w:szCs w:val="24"/>
        </w:rPr>
        <w:t>Vocabulaire d'esthétique</w:t>
      </w:r>
      <w:r w:rsidRPr="00615689">
        <w:rPr>
          <w:rStyle w:val="reference-text"/>
          <w:rFonts w:asciiTheme="majorBidi" w:hAnsiTheme="majorBidi" w:cstheme="majorBidi"/>
          <w:sz w:val="24"/>
          <w:szCs w:val="24"/>
        </w:rPr>
        <w:t xml:space="preserve">, </w:t>
      </w:r>
      <w:r w:rsidR="008902D4" w:rsidRPr="00615689">
        <w:rPr>
          <w:rStyle w:val="reference-text"/>
          <w:rFonts w:asciiTheme="majorBidi" w:hAnsiTheme="majorBidi" w:cstheme="majorBidi"/>
          <w:sz w:val="24"/>
          <w:szCs w:val="24"/>
        </w:rPr>
        <w:t>Presses universitaires</w:t>
      </w:r>
      <w:r w:rsidR="008902D4">
        <w:rPr>
          <w:rStyle w:val="reference-text"/>
          <w:rFonts w:asciiTheme="majorBidi" w:hAnsiTheme="majorBidi" w:cstheme="majorBidi"/>
          <w:sz w:val="24"/>
          <w:szCs w:val="24"/>
        </w:rPr>
        <w:t xml:space="preserve">, </w:t>
      </w:r>
      <w:r w:rsidRPr="00615689">
        <w:rPr>
          <w:rStyle w:val="reference-text"/>
          <w:rFonts w:asciiTheme="majorBidi" w:hAnsiTheme="majorBidi" w:cstheme="majorBidi"/>
          <w:sz w:val="24"/>
          <w:szCs w:val="24"/>
        </w:rPr>
        <w:t>France, 1990.</w:t>
      </w:r>
    </w:p>
    <w:p w:rsidR="007C36B0" w:rsidRDefault="007C36B0" w:rsidP="00615689">
      <w:pPr>
        <w:spacing w:after="0" w:line="360" w:lineRule="auto"/>
        <w:jc w:val="both"/>
        <w:rPr>
          <w:rFonts w:asciiTheme="majorBidi" w:hAnsiTheme="majorBidi" w:cstheme="majorBidi"/>
          <w:b/>
          <w:bCs/>
          <w:sz w:val="24"/>
          <w:szCs w:val="24"/>
          <w:lang w:eastAsia="fr-FR"/>
        </w:rPr>
      </w:pPr>
    </w:p>
    <w:p w:rsidR="003B68A5" w:rsidRPr="00615689" w:rsidRDefault="003B68A5" w:rsidP="00615689">
      <w:pPr>
        <w:spacing w:after="0" w:line="360" w:lineRule="auto"/>
        <w:jc w:val="both"/>
        <w:rPr>
          <w:rFonts w:asciiTheme="majorBidi" w:hAnsiTheme="majorBidi" w:cstheme="majorBidi"/>
          <w:b/>
          <w:bCs/>
          <w:sz w:val="24"/>
          <w:szCs w:val="24"/>
          <w:lang w:eastAsia="fr-FR"/>
        </w:rPr>
      </w:pPr>
      <w:r w:rsidRPr="00615689">
        <w:rPr>
          <w:rFonts w:asciiTheme="majorBidi" w:hAnsiTheme="majorBidi" w:cstheme="majorBidi"/>
          <w:b/>
          <w:bCs/>
          <w:sz w:val="24"/>
          <w:szCs w:val="24"/>
          <w:lang w:eastAsia="fr-FR"/>
        </w:rPr>
        <w:t xml:space="preserve">Ouvrages </w:t>
      </w:r>
      <w:r w:rsidR="00615689" w:rsidRPr="00615689">
        <w:rPr>
          <w:rFonts w:asciiTheme="majorBidi" w:hAnsiTheme="majorBidi" w:cstheme="majorBidi"/>
          <w:b/>
          <w:bCs/>
          <w:sz w:val="24"/>
          <w:szCs w:val="24"/>
          <w:lang w:eastAsia="fr-FR"/>
        </w:rPr>
        <w:t>s</w:t>
      </w:r>
      <w:r w:rsidRPr="00615689">
        <w:rPr>
          <w:rFonts w:asciiTheme="majorBidi" w:hAnsiTheme="majorBidi" w:cstheme="majorBidi"/>
          <w:b/>
          <w:bCs/>
          <w:sz w:val="24"/>
          <w:szCs w:val="24"/>
          <w:lang w:eastAsia="fr-FR"/>
        </w:rPr>
        <w:t>ur le théâtre et la théâtralité</w:t>
      </w:r>
    </w:p>
    <w:p w:rsidR="003B68A5" w:rsidRPr="00615689" w:rsidRDefault="003B68A5" w:rsidP="008902D4">
      <w:pPr>
        <w:spacing w:after="0" w:line="360" w:lineRule="auto"/>
        <w:jc w:val="both"/>
        <w:rPr>
          <w:rFonts w:asciiTheme="majorBidi" w:hAnsiTheme="majorBidi" w:cstheme="majorBidi"/>
          <w:i/>
          <w:iCs/>
          <w:sz w:val="24"/>
          <w:szCs w:val="24"/>
          <w:lang w:eastAsia="fr-FR"/>
        </w:rPr>
      </w:pPr>
      <w:r w:rsidRPr="00615689">
        <w:rPr>
          <w:rFonts w:asciiTheme="majorBidi" w:hAnsiTheme="majorBidi" w:cstheme="majorBidi"/>
          <w:sz w:val="24"/>
          <w:szCs w:val="24"/>
          <w:lang w:eastAsia="fr-FR"/>
        </w:rPr>
        <w:t xml:space="preserve">BARTHES, R., </w:t>
      </w:r>
      <w:r w:rsidRPr="00615689">
        <w:rPr>
          <w:rFonts w:asciiTheme="majorBidi" w:hAnsiTheme="majorBidi" w:cstheme="majorBidi"/>
          <w:i/>
          <w:iCs/>
          <w:sz w:val="24"/>
          <w:szCs w:val="24"/>
          <w:lang w:eastAsia="fr-FR"/>
        </w:rPr>
        <w:t>É</w:t>
      </w:r>
      <w:r w:rsidRPr="00615689">
        <w:rPr>
          <w:rFonts w:asciiTheme="majorBidi" w:hAnsiTheme="majorBidi" w:cstheme="majorBidi"/>
          <w:i/>
          <w:sz w:val="24"/>
          <w:szCs w:val="24"/>
        </w:rPr>
        <w:t>crits sur le théâtre</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Seuil</w:t>
      </w:r>
      <w:r w:rsidR="008902D4">
        <w:rPr>
          <w:rFonts w:asciiTheme="majorBidi" w:hAnsiTheme="majorBidi" w:cstheme="majorBidi"/>
          <w:sz w:val="24"/>
          <w:szCs w:val="24"/>
        </w:rPr>
        <w:t xml:space="preserve">, </w:t>
      </w:r>
      <w:r w:rsidRPr="00615689">
        <w:rPr>
          <w:rFonts w:asciiTheme="majorBidi" w:hAnsiTheme="majorBidi" w:cstheme="majorBidi"/>
          <w:sz w:val="24"/>
          <w:szCs w:val="24"/>
        </w:rPr>
        <w:t>Paris, 2002.</w:t>
      </w:r>
    </w:p>
    <w:p w:rsidR="003B68A5" w:rsidRPr="00615689" w:rsidRDefault="003B68A5" w:rsidP="008902D4">
      <w:pPr>
        <w:spacing w:after="0" w:line="360" w:lineRule="auto"/>
        <w:jc w:val="both"/>
        <w:rPr>
          <w:rFonts w:asciiTheme="majorBidi" w:hAnsiTheme="majorBidi" w:cstheme="majorBidi"/>
          <w:i/>
          <w:iCs/>
          <w:sz w:val="24"/>
          <w:szCs w:val="24"/>
          <w:lang w:eastAsia="fr-FR"/>
        </w:rPr>
      </w:pPr>
      <w:r w:rsidRPr="00615689">
        <w:rPr>
          <w:rFonts w:asciiTheme="majorBidi" w:hAnsiTheme="majorBidi" w:cstheme="majorBidi"/>
          <w:sz w:val="24"/>
          <w:szCs w:val="24"/>
        </w:rPr>
        <w:t xml:space="preserve">BIET, C et TRIAU, C., </w:t>
      </w:r>
      <w:r w:rsidRPr="00615689">
        <w:rPr>
          <w:rFonts w:asciiTheme="majorBidi" w:hAnsiTheme="majorBidi" w:cstheme="majorBidi"/>
          <w:i/>
          <w:iCs/>
          <w:sz w:val="24"/>
          <w:szCs w:val="24"/>
        </w:rPr>
        <w:t>Qu’est-ce que le théâtre ?</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Gallimard</w:t>
      </w:r>
      <w:r w:rsidR="008902D4">
        <w:rPr>
          <w:rFonts w:asciiTheme="majorBidi" w:hAnsiTheme="majorBidi" w:cstheme="majorBidi"/>
          <w:sz w:val="24"/>
          <w:szCs w:val="24"/>
        </w:rPr>
        <w:t xml:space="preserve">, </w:t>
      </w:r>
      <w:r w:rsidRPr="00615689">
        <w:rPr>
          <w:rFonts w:asciiTheme="majorBidi" w:hAnsiTheme="majorBidi" w:cstheme="majorBidi"/>
          <w:sz w:val="24"/>
          <w:szCs w:val="24"/>
        </w:rPr>
        <w:t>Paris, coll. Essais, 2006.</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BOIRE, M., </w:t>
      </w:r>
      <w:r w:rsidRPr="00615689">
        <w:rPr>
          <w:rFonts w:asciiTheme="majorBidi" w:hAnsiTheme="majorBidi" w:cstheme="majorBidi"/>
          <w:i/>
          <w:iCs/>
          <w:sz w:val="24"/>
          <w:szCs w:val="24"/>
          <w:lang w:eastAsia="fr-FR"/>
        </w:rPr>
        <w:t xml:space="preserve">Esthétique théâtrale, </w:t>
      </w:r>
      <w:r w:rsidR="008902D4" w:rsidRPr="00615689">
        <w:rPr>
          <w:rFonts w:asciiTheme="majorBidi" w:hAnsiTheme="majorBidi" w:cstheme="majorBidi"/>
          <w:sz w:val="24"/>
          <w:szCs w:val="24"/>
          <w:lang w:eastAsia="fr-FR"/>
        </w:rPr>
        <w:t>Sedes</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Paris, 2001.</w:t>
      </w:r>
      <w:r w:rsidRPr="00615689">
        <w:rPr>
          <w:rFonts w:asciiTheme="majorBidi" w:hAnsiTheme="majorBidi" w:cstheme="majorBidi"/>
          <w:i/>
          <w:iCs/>
          <w:sz w:val="24"/>
          <w:szCs w:val="24"/>
          <w:lang w:eastAsia="fr-FR"/>
        </w:rPr>
        <w:t xml:space="preserve">      </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rPr>
        <w:t xml:space="preserve">BORGIA, M. E., « L’importance de la sémantique dans une pièce de théâtre » in </w:t>
      </w:r>
      <w:r w:rsidRPr="00615689">
        <w:rPr>
          <w:rFonts w:asciiTheme="majorBidi" w:hAnsiTheme="majorBidi" w:cstheme="majorBidi"/>
          <w:i/>
          <w:sz w:val="24"/>
          <w:szCs w:val="24"/>
        </w:rPr>
        <w:t>Théâtre camerounais</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Clé</w:t>
      </w:r>
      <w:r w:rsidR="008902D4">
        <w:rPr>
          <w:rFonts w:asciiTheme="majorBidi" w:hAnsiTheme="majorBidi" w:cstheme="majorBidi"/>
          <w:sz w:val="24"/>
          <w:szCs w:val="24"/>
        </w:rPr>
        <w:t xml:space="preserve">, </w:t>
      </w:r>
      <w:r w:rsidRPr="00615689">
        <w:rPr>
          <w:rFonts w:asciiTheme="majorBidi" w:hAnsiTheme="majorBidi" w:cstheme="majorBidi"/>
          <w:sz w:val="24"/>
          <w:szCs w:val="24"/>
        </w:rPr>
        <w:t>Yaoundé, 1988.</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BRECHT, B., </w:t>
      </w:r>
      <w:r w:rsidRPr="00615689">
        <w:rPr>
          <w:rFonts w:asciiTheme="majorBidi" w:hAnsiTheme="majorBidi" w:cstheme="majorBidi"/>
          <w:i/>
          <w:iCs/>
          <w:sz w:val="24"/>
          <w:szCs w:val="24"/>
          <w:lang w:eastAsia="fr-FR"/>
        </w:rPr>
        <w:t xml:space="preserve">Écrits sur le théâtre </w:t>
      </w:r>
      <w:r w:rsidRPr="008902D4">
        <w:rPr>
          <w:rFonts w:asciiTheme="majorBidi" w:hAnsiTheme="majorBidi" w:cstheme="majorBidi"/>
          <w:i/>
          <w:iCs/>
          <w:sz w:val="24"/>
          <w:szCs w:val="24"/>
          <w:lang w:eastAsia="fr-FR"/>
        </w:rPr>
        <w:t>I – II</w:t>
      </w:r>
      <w:r w:rsidR="008902D4">
        <w:rPr>
          <w:rFonts w:asciiTheme="majorBidi" w:hAnsiTheme="majorBidi" w:cstheme="majorBidi"/>
          <w:i/>
          <w:iCs/>
          <w:sz w:val="24"/>
          <w:szCs w:val="24"/>
          <w:lang w:eastAsia="fr-FR"/>
        </w:rPr>
        <w:t xml:space="preserve">, </w:t>
      </w:r>
      <w:r w:rsidR="008902D4" w:rsidRPr="00615689">
        <w:rPr>
          <w:rFonts w:asciiTheme="majorBidi" w:hAnsiTheme="majorBidi" w:cstheme="majorBidi"/>
          <w:sz w:val="24"/>
          <w:szCs w:val="24"/>
          <w:lang w:eastAsia="fr-FR"/>
        </w:rPr>
        <w:t>L’Arche</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 xml:space="preserve">Paris, 1972. </w:t>
      </w:r>
    </w:p>
    <w:p w:rsidR="003B68A5" w:rsidRPr="00615689" w:rsidRDefault="003B68A5" w:rsidP="00615689">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CHAPERON, D., </w:t>
      </w:r>
      <w:r w:rsidRPr="00615689">
        <w:rPr>
          <w:rFonts w:asciiTheme="majorBidi" w:hAnsiTheme="majorBidi" w:cstheme="majorBidi"/>
          <w:i/>
          <w:iCs/>
          <w:sz w:val="24"/>
          <w:szCs w:val="24"/>
          <w:lang w:eastAsia="fr-FR"/>
        </w:rPr>
        <w:t>L</w:t>
      </w:r>
      <w:r w:rsidRPr="00615689">
        <w:rPr>
          <w:rFonts w:asciiTheme="majorBidi" w:hAnsiTheme="majorBidi" w:cstheme="majorBidi"/>
          <w:i/>
          <w:iCs/>
          <w:color w:val="000000"/>
          <w:kern w:val="36"/>
          <w:sz w:val="24"/>
          <w:szCs w:val="24"/>
        </w:rPr>
        <w:t>’œuvre dramatique méthodes et problèmes</w:t>
      </w:r>
      <w:r w:rsidRPr="00615689">
        <w:rPr>
          <w:rFonts w:asciiTheme="majorBidi" w:hAnsiTheme="majorBidi" w:cstheme="majorBidi"/>
          <w:color w:val="000000"/>
          <w:kern w:val="36"/>
          <w:sz w:val="24"/>
          <w:szCs w:val="24"/>
        </w:rPr>
        <w:t xml:space="preserve">, </w:t>
      </w:r>
      <w:r w:rsidRPr="00615689">
        <w:rPr>
          <w:rFonts w:asciiTheme="majorBidi" w:hAnsiTheme="majorBidi" w:cstheme="majorBidi"/>
          <w:color w:val="000000"/>
          <w:sz w:val="24"/>
          <w:szCs w:val="24"/>
        </w:rPr>
        <w:t>Université de Lausanne, 2004.</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rPr>
        <w:t>CHAVRET, P (et</w:t>
      </w:r>
      <w:r w:rsidRPr="00615689">
        <w:rPr>
          <w:rFonts w:asciiTheme="majorBidi" w:hAnsiTheme="majorBidi" w:cstheme="majorBidi"/>
          <w:i/>
          <w:iCs/>
          <w:sz w:val="24"/>
          <w:szCs w:val="24"/>
        </w:rPr>
        <w:t xml:space="preserve"> al)</w:t>
      </w:r>
      <w:proofErr w:type="gramStart"/>
      <w:r w:rsidRPr="00615689">
        <w:rPr>
          <w:rFonts w:asciiTheme="majorBidi" w:hAnsiTheme="majorBidi" w:cstheme="majorBidi"/>
          <w:i/>
          <w:iCs/>
          <w:sz w:val="24"/>
          <w:szCs w:val="24"/>
        </w:rPr>
        <w:t>.</w:t>
      </w:r>
      <w:r w:rsidRPr="00615689">
        <w:rPr>
          <w:rFonts w:asciiTheme="majorBidi" w:hAnsiTheme="majorBidi" w:cstheme="majorBidi"/>
          <w:sz w:val="24"/>
          <w:szCs w:val="24"/>
        </w:rPr>
        <w:t>,</w:t>
      </w:r>
      <w:proofErr w:type="gramEnd"/>
      <w:r w:rsidRPr="00615689">
        <w:rPr>
          <w:rFonts w:asciiTheme="majorBidi" w:hAnsiTheme="majorBidi" w:cstheme="majorBidi"/>
          <w:sz w:val="24"/>
          <w:szCs w:val="24"/>
        </w:rPr>
        <w:t xml:space="preserve"> </w:t>
      </w:r>
      <w:r w:rsidRPr="00615689">
        <w:rPr>
          <w:rFonts w:asciiTheme="majorBidi" w:hAnsiTheme="majorBidi" w:cstheme="majorBidi"/>
          <w:i/>
          <w:iCs/>
          <w:sz w:val="24"/>
          <w:szCs w:val="24"/>
        </w:rPr>
        <w:t xml:space="preserve">Pour pratiquer les textes de théâtre, </w:t>
      </w:r>
      <w:r w:rsidR="008902D4" w:rsidRPr="00615689">
        <w:rPr>
          <w:rFonts w:asciiTheme="majorBidi" w:hAnsiTheme="majorBidi" w:cstheme="majorBidi"/>
          <w:sz w:val="24"/>
          <w:szCs w:val="24"/>
        </w:rPr>
        <w:t>A. de Boeck</w:t>
      </w:r>
      <w:r w:rsidR="008902D4">
        <w:rPr>
          <w:rFonts w:asciiTheme="majorBidi" w:hAnsiTheme="majorBidi" w:cstheme="majorBidi"/>
          <w:sz w:val="24"/>
          <w:szCs w:val="24"/>
        </w:rPr>
        <w:t xml:space="preserve">, </w:t>
      </w:r>
      <w:r w:rsidRPr="00615689">
        <w:rPr>
          <w:rFonts w:asciiTheme="majorBidi" w:hAnsiTheme="majorBidi" w:cstheme="majorBidi"/>
          <w:sz w:val="24"/>
          <w:szCs w:val="24"/>
        </w:rPr>
        <w:t>Duculot, 1979.</w:t>
      </w:r>
    </w:p>
    <w:p w:rsidR="003B68A5" w:rsidRPr="00615689" w:rsidRDefault="003B68A5" w:rsidP="008902D4">
      <w:pPr>
        <w:spacing w:after="0" w:line="360" w:lineRule="auto"/>
        <w:jc w:val="both"/>
        <w:rPr>
          <w:rFonts w:asciiTheme="majorBidi" w:hAnsiTheme="majorBidi" w:cstheme="majorBidi"/>
          <w:i/>
          <w:iCs/>
          <w:sz w:val="24"/>
          <w:szCs w:val="24"/>
          <w:lang w:eastAsia="fr-FR"/>
        </w:rPr>
      </w:pPr>
      <w:r w:rsidRPr="00615689">
        <w:rPr>
          <w:rFonts w:asciiTheme="majorBidi" w:hAnsiTheme="majorBidi" w:cstheme="majorBidi"/>
          <w:sz w:val="24"/>
          <w:szCs w:val="24"/>
          <w:lang w:eastAsia="fr-FR"/>
        </w:rPr>
        <w:t xml:space="preserve">COUTY, D et REY, A (sous la </w:t>
      </w:r>
      <w:proofErr w:type="gramStart"/>
      <w:r w:rsidRPr="00615689">
        <w:rPr>
          <w:rFonts w:asciiTheme="majorBidi" w:hAnsiTheme="majorBidi" w:cstheme="majorBidi"/>
          <w:sz w:val="24"/>
          <w:szCs w:val="24"/>
          <w:lang w:eastAsia="fr-FR"/>
        </w:rPr>
        <w:t>dir )</w:t>
      </w:r>
      <w:proofErr w:type="gramEnd"/>
      <w:r w:rsidRPr="00615689">
        <w:rPr>
          <w:rFonts w:asciiTheme="majorBidi" w:hAnsiTheme="majorBidi" w:cstheme="majorBidi"/>
          <w:sz w:val="24"/>
          <w:szCs w:val="24"/>
          <w:lang w:eastAsia="fr-FR"/>
        </w:rPr>
        <w:t xml:space="preserve">., </w:t>
      </w:r>
      <w:r w:rsidRPr="00615689">
        <w:rPr>
          <w:rFonts w:asciiTheme="majorBidi" w:hAnsiTheme="majorBidi" w:cstheme="majorBidi"/>
          <w:i/>
          <w:iCs/>
          <w:sz w:val="24"/>
          <w:szCs w:val="24"/>
          <w:lang w:eastAsia="fr-FR"/>
        </w:rPr>
        <w:t xml:space="preserve">Le théâtre, </w:t>
      </w:r>
      <w:r w:rsidR="008902D4" w:rsidRPr="00615689">
        <w:rPr>
          <w:rFonts w:asciiTheme="majorBidi" w:hAnsiTheme="majorBidi" w:cstheme="majorBidi"/>
          <w:sz w:val="24"/>
          <w:szCs w:val="24"/>
          <w:lang w:eastAsia="fr-FR"/>
        </w:rPr>
        <w:t>Bordas</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Paris, 1980.</w:t>
      </w:r>
    </w:p>
    <w:p w:rsidR="003B68A5" w:rsidRPr="00615689" w:rsidRDefault="003B68A5" w:rsidP="008902D4">
      <w:pPr>
        <w:spacing w:after="0" w:line="360" w:lineRule="auto"/>
        <w:jc w:val="both"/>
        <w:rPr>
          <w:rFonts w:asciiTheme="majorBidi" w:hAnsiTheme="majorBidi" w:cstheme="majorBidi"/>
          <w:i/>
          <w:iCs/>
          <w:sz w:val="24"/>
          <w:szCs w:val="24"/>
          <w:lang w:eastAsia="fr-FR"/>
        </w:rPr>
      </w:pPr>
      <w:r w:rsidRPr="00615689">
        <w:rPr>
          <w:rFonts w:asciiTheme="majorBidi" w:hAnsiTheme="majorBidi" w:cstheme="majorBidi"/>
          <w:sz w:val="24"/>
          <w:szCs w:val="24"/>
          <w:lang w:eastAsia="fr-FR"/>
        </w:rPr>
        <w:t xml:space="preserve">CRAIG, E. G., </w:t>
      </w:r>
      <w:r w:rsidRPr="00615689">
        <w:rPr>
          <w:rFonts w:asciiTheme="majorBidi" w:hAnsiTheme="majorBidi" w:cstheme="majorBidi"/>
          <w:i/>
          <w:iCs/>
          <w:sz w:val="24"/>
          <w:szCs w:val="24"/>
          <w:lang w:eastAsia="fr-FR"/>
        </w:rPr>
        <w:t xml:space="preserve">De l’art du théâtre, </w:t>
      </w:r>
      <w:r w:rsidR="008902D4" w:rsidRPr="00615689">
        <w:rPr>
          <w:rFonts w:asciiTheme="majorBidi" w:hAnsiTheme="majorBidi" w:cstheme="majorBidi"/>
          <w:sz w:val="24"/>
          <w:szCs w:val="24"/>
          <w:lang w:eastAsia="fr-FR"/>
        </w:rPr>
        <w:t>Circé</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Paris, 2004</w:t>
      </w:r>
    </w:p>
    <w:p w:rsidR="003B68A5" w:rsidRPr="00615689" w:rsidRDefault="003B68A5" w:rsidP="008902D4">
      <w:pPr>
        <w:spacing w:after="0" w:line="360" w:lineRule="auto"/>
        <w:jc w:val="both"/>
        <w:rPr>
          <w:rFonts w:asciiTheme="majorBidi" w:hAnsiTheme="majorBidi" w:cstheme="majorBidi"/>
          <w:i/>
          <w:iCs/>
          <w:sz w:val="24"/>
          <w:szCs w:val="24"/>
          <w:lang w:eastAsia="fr-FR"/>
        </w:rPr>
      </w:pPr>
      <w:r w:rsidRPr="00615689">
        <w:rPr>
          <w:rFonts w:asciiTheme="majorBidi" w:hAnsiTheme="majorBidi" w:cstheme="majorBidi"/>
          <w:sz w:val="24"/>
          <w:szCs w:val="24"/>
          <w:lang w:eastAsia="fr-FR"/>
        </w:rPr>
        <w:t xml:space="preserve">DORT, B., </w:t>
      </w:r>
      <w:r w:rsidRPr="00615689">
        <w:rPr>
          <w:rFonts w:asciiTheme="majorBidi" w:hAnsiTheme="majorBidi" w:cstheme="majorBidi"/>
          <w:i/>
          <w:iCs/>
          <w:sz w:val="24"/>
          <w:szCs w:val="24"/>
          <w:lang w:eastAsia="fr-FR"/>
        </w:rPr>
        <w:t xml:space="preserve">La représentation émancipée(R.E),  Actes-Sud 1988, Lecture de Brecht, </w:t>
      </w:r>
      <w:r w:rsidRPr="00615689">
        <w:rPr>
          <w:rFonts w:asciiTheme="majorBidi" w:hAnsiTheme="majorBidi" w:cstheme="majorBidi"/>
          <w:sz w:val="24"/>
          <w:szCs w:val="24"/>
          <w:lang w:eastAsia="fr-FR"/>
        </w:rPr>
        <w:t xml:space="preserve"> </w:t>
      </w:r>
      <w:r w:rsidR="008902D4" w:rsidRPr="00615689">
        <w:rPr>
          <w:rFonts w:asciiTheme="majorBidi" w:hAnsiTheme="majorBidi" w:cstheme="majorBidi"/>
          <w:sz w:val="24"/>
          <w:szCs w:val="24"/>
          <w:lang w:eastAsia="fr-FR"/>
        </w:rPr>
        <w:t>Seuil</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 xml:space="preserve">Paris, 1972. </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DUVIGNAUD, J., </w:t>
      </w:r>
      <w:r w:rsidRPr="00615689">
        <w:rPr>
          <w:rFonts w:asciiTheme="majorBidi" w:hAnsiTheme="majorBidi" w:cstheme="majorBidi"/>
          <w:i/>
          <w:iCs/>
          <w:sz w:val="24"/>
          <w:szCs w:val="24"/>
          <w:lang w:eastAsia="fr-FR"/>
        </w:rPr>
        <w:t xml:space="preserve">Sociologie du théâtre, </w:t>
      </w:r>
      <w:r w:rsidR="008902D4" w:rsidRPr="00615689">
        <w:rPr>
          <w:rFonts w:asciiTheme="majorBidi" w:hAnsiTheme="majorBidi" w:cstheme="majorBidi"/>
          <w:sz w:val="24"/>
          <w:szCs w:val="24"/>
          <w:lang w:eastAsia="fr-FR"/>
        </w:rPr>
        <w:t>P.U.F</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 xml:space="preserve">Paris, 1965. </w:t>
      </w:r>
    </w:p>
    <w:p w:rsidR="003B68A5" w:rsidRPr="00615689" w:rsidRDefault="003B68A5" w:rsidP="00615689">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GOUHIER,  H., </w:t>
      </w:r>
      <w:r w:rsidRPr="00615689">
        <w:rPr>
          <w:rFonts w:asciiTheme="majorBidi" w:hAnsiTheme="majorBidi" w:cstheme="majorBidi"/>
          <w:i/>
          <w:iCs/>
          <w:sz w:val="24"/>
          <w:szCs w:val="24"/>
          <w:lang w:eastAsia="fr-FR"/>
        </w:rPr>
        <w:t xml:space="preserve">L’essence du théâtre,   </w:t>
      </w:r>
      <w:r w:rsidRPr="00615689">
        <w:rPr>
          <w:rFonts w:asciiTheme="majorBidi" w:hAnsiTheme="majorBidi" w:cstheme="majorBidi"/>
          <w:sz w:val="24"/>
          <w:szCs w:val="24"/>
          <w:lang w:eastAsia="fr-FR"/>
        </w:rPr>
        <w:t>Librairie J. Vrin, 2002.</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bCs/>
          <w:sz w:val="24"/>
          <w:szCs w:val="24"/>
        </w:rPr>
        <w:t>HELBO, A. JOHANSEN, J.D, PAYISs, P, UBERSFELD, A. (sous la dir)</w:t>
      </w:r>
      <w:proofErr w:type="gramStart"/>
      <w:r w:rsidRPr="00615689">
        <w:rPr>
          <w:rFonts w:asciiTheme="majorBidi" w:hAnsiTheme="majorBidi" w:cstheme="majorBidi"/>
          <w:bCs/>
          <w:sz w:val="24"/>
          <w:szCs w:val="24"/>
        </w:rPr>
        <w:t>.,</w:t>
      </w:r>
      <w:proofErr w:type="gramEnd"/>
      <w:r w:rsidRPr="00615689">
        <w:rPr>
          <w:rFonts w:asciiTheme="majorBidi" w:hAnsiTheme="majorBidi" w:cstheme="majorBidi"/>
          <w:bCs/>
          <w:sz w:val="24"/>
          <w:szCs w:val="24"/>
        </w:rPr>
        <w:t xml:space="preserve"> </w:t>
      </w:r>
      <w:r w:rsidRPr="00615689">
        <w:rPr>
          <w:rFonts w:asciiTheme="majorBidi" w:hAnsiTheme="majorBidi" w:cstheme="majorBidi"/>
          <w:bCs/>
          <w:i/>
          <w:iCs/>
          <w:sz w:val="24"/>
          <w:szCs w:val="24"/>
        </w:rPr>
        <w:t xml:space="preserve">Théâtre/Modes d'approche, </w:t>
      </w:r>
      <w:r w:rsidR="008902D4" w:rsidRPr="00615689">
        <w:rPr>
          <w:rFonts w:asciiTheme="majorBidi" w:hAnsiTheme="majorBidi" w:cstheme="majorBidi"/>
          <w:bCs/>
          <w:sz w:val="24"/>
          <w:szCs w:val="24"/>
        </w:rPr>
        <w:t>Labor et Méridiens Klincksieck</w:t>
      </w:r>
      <w:r w:rsidR="008902D4">
        <w:rPr>
          <w:rFonts w:asciiTheme="majorBidi" w:hAnsiTheme="majorBidi" w:cstheme="majorBidi"/>
          <w:bCs/>
          <w:sz w:val="24"/>
          <w:szCs w:val="24"/>
        </w:rPr>
        <w:t xml:space="preserve">, </w:t>
      </w:r>
      <w:r w:rsidRPr="00615689">
        <w:rPr>
          <w:rFonts w:asciiTheme="majorBidi" w:hAnsiTheme="majorBidi" w:cstheme="majorBidi"/>
          <w:bCs/>
          <w:sz w:val="24"/>
          <w:szCs w:val="24"/>
        </w:rPr>
        <w:t>Bruxelles, 1987.</w:t>
      </w:r>
    </w:p>
    <w:p w:rsidR="003B68A5" w:rsidRPr="00615689" w:rsidRDefault="003B68A5" w:rsidP="008902D4">
      <w:pPr>
        <w:spacing w:after="0" w:line="360" w:lineRule="auto"/>
        <w:jc w:val="both"/>
        <w:rPr>
          <w:rFonts w:asciiTheme="majorBidi" w:hAnsiTheme="majorBidi" w:cstheme="majorBidi"/>
          <w:sz w:val="24"/>
          <w:szCs w:val="24"/>
          <w:lang w:val="en-US" w:eastAsia="fr-FR"/>
        </w:rPr>
      </w:pPr>
      <w:r w:rsidRPr="00615689">
        <w:rPr>
          <w:rStyle w:val="marquage"/>
          <w:rFonts w:asciiTheme="majorBidi" w:hAnsiTheme="majorBidi" w:cstheme="majorBidi"/>
          <w:sz w:val="24"/>
          <w:szCs w:val="24"/>
        </w:rPr>
        <w:t xml:space="preserve">JACQUART, </w:t>
      </w:r>
      <w:r w:rsidRPr="00615689">
        <w:rPr>
          <w:rFonts w:asciiTheme="majorBidi" w:hAnsiTheme="majorBidi" w:cstheme="majorBidi"/>
          <w:sz w:val="24"/>
          <w:szCs w:val="24"/>
        </w:rPr>
        <w:t xml:space="preserve">E., </w:t>
      </w:r>
      <w:r w:rsidRPr="00615689">
        <w:rPr>
          <w:rStyle w:val="Accentuation"/>
          <w:rFonts w:asciiTheme="majorBidi" w:hAnsiTheme="majorBidi" w:cstheme="majorBidi"/>
          <w:sz w:val="24"/>
          <w:szCs w:val="24"/>
        </w:rPr>
        <w:t xml:space="preserve">Le théâtre de dérision. </w:t>
      </w:r>
      <w:proofErr w:type="gramStart"/>
      <w:r w:rsidRPr="00615689">
        <w:rPr>
          <w:rStyle w:val="Accentuation"/>
          <w:rFonts w:asciiTheme="majorBidi" w:hAnsiTheme="majorBidi" w:cstheme="majorBidi"/>
          <w:sz w:val="24"/>
          <w:szCs w:val="24"/>
          <w:lang w:val="en-US"/>
        </w:rPr>
        <w:t>Beckett, Ionesco, Adamov</w:t>
      </w:r>
      <w:r w:rsidRPr="00615689">
        <w:rPr>
          <w:rFonts w:asciiTheme="majorBidi" w:hAnsiTheme="majorBidi" w:cstheme="majorBidi"/>
          <w:sz w:val="24"/>
          <w:szCs w:val="24"/>
          <w:lang w:val="en-US"/>
        </w:rPr>
        <w:t xml:space="preserve">, </w:t>
      </w:r>
      <w:r w:rsidR="008902D4" w:rsidRPr="00615689">
        <w:rPr>
          <w:rFonts w:asciiTheme="majorBidi" w:hAnsiTheme="majorBidi" w:cstheme="majorBidi"/>
          <w:sz w:val="24"/>
          <w:szCs w:val="24"/>
          <w:lang w:val="en-US"/>
        </w:rPr>
        <w:t>Gallimard</w:t>
      </w:r>
      <w:r w:rsidR="008902D4">
        <w:rPr>
          <w:rFonts w:asciiTheme="majorBidi" w:hAnsiTheme="majorBidi" w:cstheme="majorBidi"/>
          <w:sz w:val="24"/>
          <w:szCs w:val="24"/>
          <w:lang w:val="en-US"/>
        </w:rPr>
        <w:t xml:space="preserve">, </w:t>
      </w:r>
      <w:r w:rsidRPr="00615689">
        <w:rPr>
          <w:rFonts w:asciiTheme="majorBidi" w:hAnsiTheme="majorBidi" w:cstheme="majorBidi"/>
          <w:sz w:val="24"/>
          <w:szCs w:val="24"/>
          <w:lang w:val="en-US"/>
        </w:rPr>
        <w:t>Paris, coll Tel, 1998.</w:t>
      </w:r>
      <w:proofErr w:type="gramEnd"/>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rPr>
        <w:t xml:space="preserve">LARTHOMAS, P., </w:t>
      </w:r>
      <w:r w:rsidRPr="00615689">
        <w:rPr>
          <w:rFonts w:asciiTheme="majorBidi" w:hAnsiTheme="majorBidi" w:cstheme="majorBidi"/>
          <w:i/>
          <w:sz w:val="24"/>
          <w:szCs w:val="24"/>
        </w:rPr>
        <w:t>Techniques du théâtre</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PUF</w:t>
      </w:r>
      <w:r w:rsidR="008902D4">
        <w:rPr>
          <w:rFonts w:asciiTheme="majorBidi" w:hAnsiTheme="majorBidi" w:cstheme="majorBidi"/>
          <w:sz w:val="24"/>
          <w:szCs w:val="24"/>
        </w:rPr>
        <w:t xml:space="preserve">, </w:t>
      </w:r>
      <w:r w:rsidRPr="00615689">
        <w:rPr>
          <w:rFonts w:asciiTheme="majorBidi" w:hAnsiTheme="majorBidi" w:cstheme="majorBidi"/>
          <w:sz w:val="24"/>
          <w:szCs w:val="24"/>
        </w:rPr>
        <w:t>Paris, 1985.</w:t>
      </w:r>
    </w:p>
    <w:p w:rsidR="003B68A5" w:rsidRPr="00615689" w:rsidRDefault="003B68A5" w:rsidP="008902D4">
      <w:pPr>
        <w:spacing w:after="0" w:line="360" w:lineRule="auto"/>
        <w:jc w:val="both"/>
        <w:rPr>
          <w:rFonts w:asciiTheme="majorBidi" w:hAnsiTheme="majorBidi" w:cstheme="majorBidi"/>
          <w:i/>
          <w:iCs/>
          <w:sz w:val="24"/>
          <w:szCs w:val="24"/>
          <w:lang w:eastAsia="fr-FR"/>
        </w:rPr>
      </w:pPr>
      <w:r w:rsidRPr="00615689">
        <w:rPr>
          <w:rFonts w:asciiTheme="majorBidi" w:hAnsiTheme="majorBidi" w:cstheme="majorBidi"/>
          <w:sz w:val="24"/>
          <w:szCs w:val="24"/>
          <w:lang w:eastAsia="fr-FR"/>
        </w:rPr>
        <w:t xml:space="preserve">NAUGRETTE, C., </w:t>
      </w:r>
      <w:r w:rsidRPr="00615689">
        <w:rPr>
          <w:rFonts w:asciiTheme="majorBidi" w:hAnsiTheme="majorBidi" w:cstheme="majorBidi"/>
          <w:i/>
          <w:iCs/>
          <w:sz w:val="24"/>
          <w:szCs w:val="24"/>
          <w:lang w:eastAsia="fr-FR"/>
        </w:rPr>
        <w:t xml:space="preserve">L’esthétique Théâtrale, </w:t>
      </w:r>
      <w:r w:rsidR="008902D4" w:rsidRPr="00615689">
        <w:rPr>
          <w:rFonts w:asciiTheme="majorBidi" w:hAnsiTheme="majorBidi" w:cstheme="majorBidi"/>
          <w:sz w:val="24"/>
          <w:szCs w:val="24"/>
          <w:lang w:eastAsia="fr-FR"/>
        </w:rPr>
        <w:t>Nathan Université</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Paris, 2000.</w:t>
      </w:r>
    </w:p>
    <w:p w:rsidR="003B68A5" w:rsidRPr="00615689" w:rsidRDefault="003B68A5" w:rsidP="00615689">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rPr>
        <w:t xml:space="preserve">ORECCHIONI-KERBRAT, C., « Pour une approche pragmatique du dialogue théâtral » in </w:t>
      </w:r>
      <w:r w:rsidRPr="00615689">
        <w:rPr>
          <w:rFonts w:asciiTheme="majorBidi" w:hAnsiTheme="majorBidi" w:cstheme="majorBidi"/>
          <w:i/>
          <w:iCs/>
          <w:sz w:val="24"/>
          <w:szCs w:val="24"/>
        </w:rPr>
        <w:t>Pratiques N° 41</w:t>
      </w:r>
      <w:r w:rsidRPr="00615689">
        <w:rPr>
          <w:rFonts w:asciiTheme="majorBidi" w:hAnsiTheme="majorBidi" w:cstheme="majorBidi"/>
          <w:sz w:val="24"/>
          <w:szCs w:val="24"/>
        </w:rPr>
        <w:t>, 1984.</w:t>
      </w:r>
    </w:p>
    <w:p w:rsidR="003B68A5" w:rsidRPr="00615689" w:rsidRDefault="003B68A5" w:rsidP="008902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615689">
        <w:rPr>
          <w:rStyle w:val="marquage"/>
          <w:rFonts w:asciiTheme="majorBidi" w:hAnsiTheme="majorBidi" w:cstheme="majorBidi"/>
          <w:sz w:val="24"/>
          <w:szCs w:val="24"/>
        </w:rPr>
        <w:t xml:space="preserve">PAVIS, </w:t>
      </w:r>
      <w:r w:rsidRPr="00615689">
        <w:rPr>
          <w:rFonts w:asciiTheme="majorBidi" w:hAnsiTheme="majorBidi" w:cstheme="majorBidi"/>
          <w:sz w:val="24"/>
          <w:szCs w:val="24"/>
        </w:rPr>
        <w:t xml:space="preserve">P., </w:t>
      </w:r>
      <w:r w:rsidRPr="00615689">
        <w:rPr>
          <w:rStyle w:val="Accentuation"/>
          <w:rFonts w:asciiTheme="majorBidi" w:hAnsiTheme="majorBidi" w:cstheme="majorBidi"/>
          <w:sz w:val="24"/>
          <w:szCs w:val="24"/>
        </w:rPr>
        <w:t>Dictionnaire du théâtre</w:t>
      </w:r>
      <w:r w:rsidRPr="00615689">
        <w:rPr>
          <w:rFonts w:asciiTheme="majorBidi" w:hAnsiTheme="majorBidi" w:cstheme="majorBidi"/>
          <w:sz w:val="24"/>
          <w:szCs w:val="24"/>
        </w:rPr>
        <w:t xml:space="preserve">, rubrique « théâtre bourgeois », </w:t>
      </w:r>
      <w:r w:rsidR="008902D4" w:rsidRPr="00615689">
        <w:rPr>
          <w:rFonts w:asciiTheme="majorBidi" w:hAnsiTheme="majorBidi" w:cstheme="majorBidi"/>
          <w:sz w:val="24"/>
          <w:szCs w:val="24"/>
        </w:rPr>
        <w:t>Dunod</w:t>
      </w:r>
      <w:r w:rsidR="008902D4">
        <w:rPr>
          <w:rFonts w:asciiTheme="majorBidi" w:hAnsiTheme="majorBidi" w:cstheme="majorBidi"/>
          <w:sz w:val="24"/>
          <w:szCs w:val="24"/>
        </w:rPr>
        <w:t xml:space="preserve">, </w:t>
      </w:r>
      <w:r w:rsidRPr="00615689">
        <w:rPr>
          <w:rFonts w:asciiTheme="majorBidi" w:hAnsiTheme="majorBidi" w:cstheme="majorBidi"/>
          <w:sz w:val="24"/>
          <w:szCs w:val="24"/>
        </w:rPr>
        <w:t xml:space="preserve">Paris, </w:t>
      </w:r>
      <w:r w:rsidRPr="00615689">
        <w:rPr>
          <w:rFonts w:asciiTheme="majorBidi" w:hAnsiTheme="majorBidi" w:cstheme="majorBidi"/>
          <w:sz w:val="24"/>
          <w:szCs w:val="24"/>
        </w:rPr>
        <w:lastRenderedPageBreak/>
        <w:t>1996.</w:t>
      </w:r>
    </w:p>
    <w:p w:rsidR="003B68A5" w:rsidRPr="00615689" w:rsidRDefault="003B68A5" w:rsidP="008902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PIRANDELLO, L., </w:t>
      </w:r>
      <w:r w:rsidRPr="00615689">
        <w:rPr>
          <w:rFonts w:asciiTheme="majorBidi" w:hAnsiTheme="majorBidi" w:cstheme="majorBidi"/>
          <w:i/>
          <w:sz w:val="24"/>
          <w:szCs w:val="24"/>
        </w:rPr>
        <w:t>É</w:t>
      </w:r>
      <w:r w:rsidRPr="00615689">
        <w:rPr>
          <w:rFonts w:asciiTheme="majorBidi" w:hAnsiTheme="majorBidi" w:cstheme="majorBidi"/>
          <w:i/>
          <w:iCs/>
          <w:sz w:val="24"/>
          <w:szCs w:val="24"/>
        </w:rPr>
        <w:t>crits sur le théâtre et la littérature</w:t>
      </w:r>
      <w:r w:rsidRPr="00615689">
        <w:rPr>
          <w:rFonts w:asciiTheme="majorBidi" w:hAnsiTheme="majorBidi" w:cstheme="majorBidi"/>
          <w:sz w:val="24"/>
          <w:szCs w:val="24"/>
        </w:rPr>
        <w:t>, [date de la 1</w:t>
      </w:r>
      <w:r w:rsidRPr="00615689">
        <w:rPr>
          <w:rFonts w:asciiTheme="majorBidi" w:hAnsiTheme="majorBidi" w:cstheme="majorBidi"/>
          <w:sz w:val="24"/>
          <w:szCs w:val="24"/>
          <w:vertAlign w:val="superscript"/>
        </w:rPr>
        <w:t>re</w:t>
      </w:r>
      <w:r w:rsidRPr="00615689">
        <w:rPr>
          <w:rFonts w:asciiTheme="majorBidi" w:hAnsiTheme="majorBidi" w:cstheme="majorBidi"/>
          <w:sz w:val="24"/>
          <w:szCs w:val="24"/>
        </w:rPr>
        <w:t xml:space="preserve"> édition 1990] </w:t>
      </w:r>
      <w:r w:rsidR="008902D4" w:rsidRPr="00615689">
        <w:rPr>
          <w:rFonts w:asciiTheme="majorBidi" w:hAnsiTheme="majorBidi" w:cstheme="majorBidi"/>
          <w:sz w:val="24"/>
          <w:szCs w:val="24"/>
        </w:rPr>
        <w:t>Seuil</w:t>
      </w:r>
      <w:r w:rsidR="008902D4">
        <w:rPr>
          <w:rFonts w:asciiTheme="majorBidi" w:hAnsiTheme="majorBidi" w:cstheme="majorBidi"/>
          <w:sz w:val="24"/>
          <w:szCs w:val="24"/>
        </w:rPr>
        <w:t xml:space="preserve">, </w:t>
      </w:r>
      <w:r w:rsidRPr="00615689">
        <w:rPr>
          <w:rFonts w:asciiTheme="majorBidi" w:hAnsiTheme="majorBidi" w:cstheme="majorBidi"/>
          <w:sz w:val="24"/>
          <w:szCs w:val="24"/>
        </w:rPr>
        <w:t xml:space="preserve">Paris, coll. Points, 2001. </w:t>
      </w:r>
    </w:p>
    <w:p w:rsidR="003B68A5" w:rsidRPr="00615689" w:rsidRDefault="003B68A5" w:rsidP="008902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PRUNER, M., </w:t>
      </w:r>
      <w:r w:rsidRPr="00615689">
        <w:rPr>
          <w:rFonts w:asciiTheme="majorBidi" w:hAnsiTheme="majorBidi" w:cstheme="majorBidi"/>
          <w:i/>
          <w:iCs/>
          <w:sz w:val="24"/>
          <w:szCs w:val="24"/>
        </w:rPr>
        <w:t>La Fabrique du théâtre</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Nathan Université</w:t>
      </w:r>
      <w:r w:rsidR="008902D4">
        <w:rPr>
          <w:rFonts w:asciiTheme="majorBidi" w:hAnsiTheme="majorBidi" w:cstheme="majorBidi"/>
          <w:sz w:val="24"/>
          <w:szCs w:val="24"/>
        </w:rPr>
        <w:t xml:space="preserve">, </w:t>
      </w:r>
      <w:r w:rsidRPr="00615689">
        <w:rPr>
          <w:rFonts w:asciiTheme="majorBidi" w:hAnsiTheme="majorBidi" w:cstheme="majorBidi"/>
          <w:sz w:val="24"/>
          <w:szCs w:val="24"/>
        </w:rPr>
        <w:t xml:space="preserve">Paris, coll. Lettres Sup, 2000. </w:t>
      </w:r>
    </w:p>
    <w:p w:rsidR="003B68A5" w:rsidRPr="00615689" w:rsidRDefault="003B68A5" w:rsidP="008902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615689">
        <w:rPr>
          <w:rFonts w:asciiTheme="majorBidi" w:hAnsiTheme="majorBidi" w:cstheme="majorBidi"/>
          <w:sz w:val="24"/>
          <w:szCs w:val="24"/>
          <w:u w:val="single"/>
        </w:rPr>
        <w:t xml:space="preserve">                     </w:t>
      </w:r>
      <w:r w:rsidRPr="00615689">
        <w:rPr>
          <w:rFonts w:asciiTheme="majorBidi" w:hAnsiTheme="majorBidi" w:cstheme="majorBidi"/>
          <w:sz w:val="24"/>
          <w:szCs w:val="24"/>
        </w:rPr>
        <w:t xml:space="preserve"> , </w:t>
      </w:r>
      <w:r w:rsidRPr="00615689">
        <w:rPr>
          <w:rFonts w:asciiTheme="majorBidi" w:hAnsiTheme="majorBidi" w:cstheme="majorBidi"/>
          <w:i/>
          <w:iCs/>
          <w:sz w:val="24"/>
          <w:szCs w:val="24"/>
        </w:rPr>
        <w:t>L’Analyse du texte de théâtre</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Nathan Université</w:t>
      </w:r>
      <w:r w:rsidR="008902D4">
        <w:rPr>
          <w:rFonts w:asciiTheme="majorBidi" w:hAnsiTheme="majorBidi" w:cstheme="majorBidi"/>
          <w:sz w:val="24"/>
          <w:szCs w:val="24"/>
        </w:rPr>
        <w:t xml:space="preserve">, </w:t>
      </w:r>
      <w:r w:rsidRPr="00615689">
        <w:rPr>
          <w:rFonts w:asciiTheme="majorBidi" w:hAnsiTheme="majorBidi" w:cstheme="majorBidi"/>
          <w:sz w:val="24"/>
          <w:szCs w:val="24"/>
        </w:rPr>
        <w:t>Paris, 2001.</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SARTRE, J-P., «Forger des mythes » in </w:t>
      </w:r>
      <w:r w:rsidRPr="00615689">
        <w:rPr>
          <w:rFonts w:asciiTheme="majorBidi" w:hAnsiTheme="majorBidi" w:cstheme="majorBidi"/>
          <w:i/>
          <w:iCs/>
          <w:sz w:val="24"/>
          <w:szCs w:val="24"/>
          <w:lang w:eastAsia="fr-FR"/>
        </w:rPr>
        <w:t>Un Théâtre de situations</w:t>
      </w:r>
      <w:r w:rsidRPr="00615689">
        <w:rPr>
          <w:rFonts w:asciiTheme="majorBidi" w:hAnsiTheme="majorBidi" w:cstheme="majorBidi"/>
          <w:sz w:val="24"/>
          <w:szCs w:val="24"/>
          <w:lang w:eastAsia="fr-FR"/>
        </w:rPr>
        <w:t xml:space="preserve">, textes rassemblés par Michel Contat et Michel Rybalka, </w:t>
      </w:r>
      <w:r w:rsidR="008902D4" w:rsidRPr="00615689">
        <w:rPr>
          <w:rFonts w:asciiTheme="majorBidi" w:hAnsiTheme="majorBidi" w:cstheme="majorBidi"/>
          <w:sz w:val="24"/>
          <w:szCs w:val="24"/>
          <w:lang w:eastAsia="fr-FR"/>
        </w:rPr>
        <w:t>Gallimard</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Paris, 1992.</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 xml:space="preserve">STANISLAVSKI, C., </w:t>
      </w:r>
      <w:r w:rsidRPr="00615689">
        <w:rPr>
          <w:rFonts w:asciiTheme="majorBidi" w:hAnsiTheme="majorBidi" w:cstheme="majorBidi"/>
          <w:i/>
          <w:iCs/>
          <w:sz w:val="24"/>
          <w:szCs w:val="24"/>
          <w:lang w:eastAsia="fr-FR"/>
        </w:rPr>
        <w:t>La formation de l’acteur,</w:t>
      </w:r>
      <w:r w:rsidRPr="00615689">
        <w:rPr>
          <w:rFonts w:asciiTheme="majorBidi" w:hAnsiTheme="majorBidi" w:cstheme="majorBidi"/>
          <w:sz w:val="24"/>
          <w:szCs w:val="24"/>
          <w:lang w:eastAsia="fr-FR"/>
        </w:rPr>
        <w:t xml:space="preserve"> </w:t>
      </w:r>
      <w:r w:rsidR="008902D4" w:rsidRPr="00615689">
        <w:rPr>
          <w:rFonts w:asciiTheme="majorBidi" w:hAnsiTheme="majorBidi" w:cstheme="majorBidi"/>
          <w:sz w:val="24"/>
          <w:szCs w:val="24"/>
          <w:lang w:eastAsia="fr-FR"/>
        </w:rPr>
        <w:t>Payot</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 xml:space="preserve">Lausanne, 1969. </w:t>
      </w:r>
    </w:p>
    <w:p w:rsidR="003B68A5" w:rsidRPr="00615689" w:rsidRDefault="003B68A5" w:rsidP="008902D4">
      <w:pPr>
        <w:spacing w:after="0" w:line="360" w:lineRule="auto"/>
        <w:jc w:val="both"/>
        <w:rPr>
          <w:rFonts w:asciiTheme="majorBidi" w:hAnsiTheme="majorBidi" w:cstheme="majorBidi"/>
          <w:sz w:val="24"/>
          <w:szCs w:val="24"/>
        </w:rPr>
      </w:pPr>
      <w:r w:rsidRPr="00615689">
        <w:rPr>
          <w:rFonts w:asciiTheme="majorBidi" w:hAnsiTheme="majorBidi" w:cstheme="majorBidi"/>
          <w:bCs/>
          <w:sz w:val="24"/>
          <w:szCs w:val="24"/>
        </w:rPr>
        <w:t>SCHMELING</w:t>
      </w:r>
      <w:r w:rsidRPr="00615689">
        <w:rPr>
          <w:rFonts w:asciiTheme="majorBidi" w:hAnsiTheme="majorBidi" w:cstheme="majorBidi"/>
          <w:sz w:val="24"/>
          <w:szCs w:val="24"/>
        </w:rPr>
        <w:t xml:space="preserve">, M., </w:t>
      </w:r>
      <w:r w:rsidRPr="00615689">
        <w:rPr>
          <w:rFonts w:asciiTheme="majorBidi" w:hAnsiTheme="majorBidi" w:cstheme="majorBidi"/>
          <w:i/>
          <w:sz w:val="24"/>
          <w:szCs w:val="24"/>
        </w:rPr>
        <w:t>Métathéâtre et Intertexte</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Lettres modernes</w:t>
      </w:r>
      <w:r w:rsidR="008902D4">
        <w:rPr>
          <w:rFonts w:asciiTheme="majorBidi" w:hAnsiTheme="majorBidi" w:cstheme="majorBidi"/>
          <w:sz w:val="24"/>
          <w:szCs w:val="24"/>
        </w:rPr>
        <w:t xml:space="preserve">, </w:t>
      </w:r>
      <w:r w:rsidRPr="00615689">
        <w:rPr>
          <w:rFonts w:asciiTheme="majorBidi" w:hAnsiTheme="majorBidi" w:cstheme="majorBidi"/>
          <w:sz w:val="24"/>
          <w:szCs w:val="24"/>
        </w:rPr>
        <w:t>Paris, 1982.</w:t>
      </w:r>
    </w:p>
    <w:p w:rsidR="003B68A5" w:rsidRPr="00615689" w:rsidRDefault="003B68A5" w:rsidP="008902D4">
      <w:pPr>
        <w:spacing w:after="0" w:line="360" w:lineRule="auto"/>
        <w:jc w:val="both"/>
        <w:rPr>
          <w:rFonts w:asciiTheme="majorBidi" w:hAnsiTheme="majorBidi" w:cstheme="majorBidi"/>
          <w:sz w:val="24"/>
          <w:szCs w:val="24"/>
        </w:rPr>
      </w:pPr>
      <w:r w:rsidRPr="00615689">
        <w:rPr>
          <w:rFonts w:asciiTheme="majorBidi" w:hAnsiTheme="majorBidi" w:cstheme="majorBidi"/>
          <w:bCs/>
          <w:sz w:val="24"/>
          <w:szCs w:val="24"/>
        </w:rPr>
        <w:t xml:space="preserve">UBERSFELD, </w:t>
      </w:r>
      <w:r w:rsidRPr="00615689">
        <w:rPr>
          <w:rFonts w:asciiTheme="majorBidi" w:hAnsiTheme="majorBidi" w:cstheme="majorBidi"/>
          <w:sz w:val="24"/>
          <w:szCs w:val="24"/>
        </w:rPr>
        <w:t xml:space="preserve">A., </w:t>
      </w:r>
      <w:r w:rsidRPr="00615689">
        <w:rPr>
          <w:rFonts w:asciiTheme="majorBidi" w:hAnsiTheme="majorBidi" w:cstheme="majorBidi"/>
          <w:i/>
          <w:iCs/>
          <w:sz w:val="24"/>
          <w:szCs w:val="24"/>
        </w:rPr>
        <w:t>Les Termes clés de l’analyse du théâtre</w:t>
      </w:r>
      <w:r w:rsidRPr="00615689">
        <w:rPr>
          <w:rFonts w:asciiTheme="majorBidi" w:hAnsiTheme="majorBidi" w:cstheme="majorBidi"/>
          <w:sz w:val="24"/>
          <w:szCs w:val="24"/>
        </w:rPr>
        <w:t xml:space="preserve">, </w:t>
      </w:r>
      <w:r w:rsidR="008902D4" w:rsidRPr="00615689">
        <w:rPr>
          <w:rFonts w:asciiTheme="majorBidi" w:hAnsiTheme="majorBidi" w:cstheme="majorBidi"/>
          <w:sz w:val="24"/>
          <w:szCs w:val="24"/>
        </w:rPr>
        <w:t>Seuil</w:t>
      </w:r>
      <w:r w:rsidR="008902D4">
        <w:rPr>
          <w:rFonts w:asciiTheme="majorBidi" w:hAnsiTheme="majorBidi" w:cstheme="majorBidi"/>
          <w:sz w:val="24"/>
          <w:szCs w:val="24"/>
        </w:rPr>
        <w:t xml:space="preserve">, </w:t>
      </w:r>
      <w:r w:rsidRPr="00615689">
        <w:rPr>
          <w:rFonts w:asciiTheme="majorBidi" w:hAnsiTheme="majorBidi" w:cstheme="majorBidi"/>
          <w:sz w:val="24"/>
          <w:szCs w:val="24"/>
        </w:rPr>
        <w:t>Paris, 1985.</w:t>
      </w:r>
    </w:p>
    <w:p w:rsidR="003B68A5" w:rsidRPr="00615689" w:rsidRDefault="003B68A5" w:rsidP="008902D4">
      <w:pPr>
        <w:spacing w:after="0" w:line="360" w:lineRule="auto"/>
        <w:jc w:val="both"/>
        <w:rPr>
          <w:rFonts w:asciiTheme="majorBidi" w:hAnsiTheme="majorBidi" w:cstheme="majorBidi"/>
          <w:sz w:val="24"/>
          <w:szCs w:val="24"/>
        </w:rPr>
      </w:pPr>
      <w:r w:rsidRPr="00615689">
        <w:rPr>
          <w:rFonts w:asciiTheme="majorBidi" w:hAnsiTheme="majorBidi" w:cstheme="majorBidi"/>
          <w:sz w:val="24"/>
          <w:szCs w:val="24"/>
          <w:u w:val="single"/>
        </w:rPr>
        <w:t xml:space="preserve">                          </w:t>
      </w:r>
      <w:r w:rsidRPr="00615689">
        <w:rPr>
          <w:rFonts w:asciiTheme="majorBidi" w:hAnsiTheme="majorBidi" w:cstheme="majorBidi"/>
          <w:sz w:val="24"/>
          <w:szCs w:val="24"/>
        </w:rPr>
        <w:t xml:space="preserve"> , </w:t>
      </w:r>
      <w:r w:rsidRPr="00615689">
        <w:rPr>
          <w:rFonts w:asciiTheme="majorBidi" w:hAnsiTheme="majorBidi" w:cstheme="majorBidi"/>
          <w:i/>
          <w:iCs/>
          <w:sz w:val="24"/>
          <w:szCs w:val="24"/>
          <w:lang w:val="it-IT" w:eastAsia="fr-FR"/>
        </w:rPr>
        <w:t>Lire le théâtre I – II- III</w:t>
      </w:r>
      <w:r w:rsidR="008902D4">
        <w:rPr>
          <w:rFonts w:asciiTheme="majorBidi" w:hAnsiTheme="majorBidi" w:cstheme="majorBidi"/>
          <w:i/>
          <w:iCs/>
          <w:sz w:val="24"/>
          <w:szCs w:val="24"/>
          <w:lang w:val="it-IT" w:eastAsia="fr-FR"/>
        </w:rPr>
        <w:t xml:space="preserve">, </w:t>
      </w:r>
      <w:r w:rsidR="008902D4" w:rsidRPr="00615689">
        <w:rPr>
          <w:rFonts w:asciiTheme="majorBidi" w:hAnsiTheme="majorBidi" w:cstheme="majorBidi"/>
          <w:sz w:val="24"/>
          <w:szCs w:val="24"/>
          <w:lang w:eastAsia="fr-FR"/>
        </w:rPr>
        <w:t>Belin</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Paris, coll. Lettres supérieures, 1996.</w:t>
      </w:r>
    </w:p>
    <w:p w:rsidR="003B68A5" w:rsidRPr="00615689" w:rsidRDefault="003B68A5" w:rsidP="008902D4">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lang w:eastAsia="fr-FR"/>
        </w:rPr>
        <w:t>VINAVER, M., « </w:t>
      </w:r>
      <w:r w:rsidRPr="00615689">
        <w:rPr>
          <w:rFonts w:asciiTheme="majorBidi" w:hAnsiTheme="majorBidi" w:cstheme="majorBidi"/>
          <w:i/>
          <w:iCs/>
          <w:sz w:val="24"/>
          <w:szCs w:val="24"/>
          <w:lang w:eastAsia="fr-FR"/>
        </w:rPr>
        <w:t>Ecritures dramatiques</w:t>
      </w:r>
      <w:r w:rsidRPr="00615689">
        <w:rPr>
          <w:rFonts w:asciiTheme="majorBidi" w:hAnsiTheme="majorBidi" w:cstheme="majorBidi"/>
          <w:sz w:val="24"/>
          <w:szCs w:val="24"/>
          <w:lang w:eastAsia="fr-FR"/>
        </w:rPr>
        <w:t> »</w:t>
      </w:r>
      <w:r w:rsidR="008902D4">
        <w:rPr>
          <w:rFonts w:asciiTheme="majorBidi" w:hAnsiTheme="majorBidi" w:cstheme="majorBidi"/>
          <w:sz w:val="24"/>
          <w:szCs w:val="24"/>
          <w:lang w:eastAsia="fr-FR"/>
        </w:rPr>
        <w:t xml:space="preserve">, </w:t>
      </w:r>
      <w:r w:rsidR="008902D4" w:rsidRPr="00615689">
        <w:rPr>
          <w:rFonts w:asciiTheme="majorBidi" w:hAnsiTheme="majorBidi" w:cstheme="majorBidi"/>
          <w:sz w:val="24"/>
          <w:szCs w:val="24"/>
          <w:lang w:eastAsia="fr-FR"/>
        </w:rPr>
        <w:t>Actes Sud</w:t>
      </w:r>
      <w:r w:rsidR="008902D4">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Arles, 1993.</w:t>
      </w:r>
    </w:p>
    <w:p w:rsidR="003B68A5" w:rsidRPr="00615689" w:rsidRDefault="003B68A5" w:rsidP="00615689">
      <w:pPr>
        <w:spacing w:after="0"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rPr>
        <w:t xml:space="preserve">WILLIAM, P., «À la recherche d’un langage », in </w:t>
      </w:r>
      <w:r w:rsidRPr="00615689">
        <w:rPr>
          <w:rFonts w:asciiTheme="majorBidi" w:hAnsiTheme="majorBidi" w:cstheme="majorBidi"/>
          <w:i/>
          <w:iCs/>
          <w:sz w:val="24"/>
          <w:szCs w:val="24"/>
        </w:rPr>
        <w:t xml:space="preserve">Marginales </w:t>
      </w:r>
      <w:r w:rsidRPr="00615689">
        <w:rPr>
          <w:rFonts w:asciiTheme="majorBidi" w:hAnsiTheme="majorBidi" w:cstheme="majorBidi"/>
          <w:sz w:val="24"/>
          <w:szCs w:val="24"/>
        </w:rPr>
        <w:t>(Revue bimestrielle des idées et des lettres) N</w:t>
      </w:r>
      <w:r w:rsidRPr="00615689">
        <w:rPr>
          <w:rFonts w:asciiTheme="majorBidi" w:hAnsiTheme="majorBidi" w:cstheme="majorBidi"/>
          <w:sz w:val="24"/>
          <w:szCs w:val="24"/>
          <w:vertAlign w:val="superscript"/>
        </w:rPr>
        <w:t>o</w:t>
      </w:r>
      <w:r w:rsidRPr="00615689">
        <w:rPr>
          <w:rFonts w:asciiTheme="majorBidi" w:hAnsiTheme="majorBidi" w:cstheme="majorBidi"/>
          <w:sz w:val="24"/>
          <w:szCs w:val="24"/>
        </w:rPr>
        <w:t>112-113, Bruxelles, mai 1967.</w:t>
      </w:r>
    </w:p>
    <w:p w:rsidR="007C36B0" w:rsidRDefault="007C36B0" w:rsidP="00F92922">
      <w:pPr>
        <w:spacing w:after="0" w:line="360" w:lineRule="auto"/>
        <w:jc w:val="both"/>
        <w:rPr>
          <w:rFonts w:asciiTheme="majorBidi" w:hAnsiTheme="majorBidi" w:cstheme="majorBidi"/>
          <w:b/>
          <w:bCs/>
          <w:sz w:val="24"/>
          <w:szCs w:val="24"/>
          <w:lang w:eastAsia="fr-FR"/>
        </w:rPr>
      </w:pPr>
    </w:p>
    <w:p w:rsidR="00316218" w:rsidRPr="009E2850" w:rsidRDefault="00615689" w:rsidP="00F92922">
      <w:pPr>
        <w:spacing w:after="0" w:line="360" w:lineRule="auto"/>
        <w:jc w:val="both"/>
        <w:rPr>
          <w:rFonts w:asciiTheme="majorBidi" w:hAnsiTheme="majorBidi" w:cstheme="majorBidi"/>
          <w:b/>
          <w:bCs/>
          <w:sz w:val="24"/>
          <w:szCs w:val="24"/>
          <w:lang w:eastAsia="fr-FR"/>
        </w:rPr>
      </w:pPr>
      <w:r w:rsidRPr="009E2850">
        <w:rPr>
          <w:rFonts w:asciiTheme="majorBidi" w:hAnsiTheme="majorBidi" w:cstheme="majorBidi"/>
          <w:b/>
          <w:bCs/>
          <w:sz w:val="24"/>
          <w:szCs w:val="24"/>
          <w:lang w:eastAsia="fr-FR"/>
        </w:rPr>
        <w:t>Ouvrages s</w:t>
      </w:r>
      <w:r w:rsidR="00316218" w:rsidRPr="009E2850">
        <w:rPr>
          <w:rFonts w:asciiTheme="majorBidi" w:hAnsiTheme="majorBidi" w:cstheme="majorBidi"/>
          <w:b/>
          <w:bCs/>
          <w:sz w:val="24"/>
          <w:szCs w:val="24"/>
          <w:lang w:eastAsia="fr-FR"/>
        </w:rPr>
        <w:t xml:space="preserve">ur la narratologie </w:t>
      </w:r>
    </w:p>
    <w:p w:rsidR="00316218" w:rsidRPr="00346747" w:rsidRDefault="00316218" w:rsidP="008902D4">
      <w:pPr>
        <w:spacing w:after="0" w:line="360" w:lineRule="auto"/>
        <w:jc w:val="both"/>
        <w:rPr>
          <w:rFonts w:asciiTheme="majorBidi" w:hAnsiTheme="majorBidi" w:cstheme="majorBidi"/>
          <w:sz w:val="24"/>
          <w:szCs w:val="24"/>
          <w:lang w:eastAsia="fr-FR"/>
        </w:rPr>
      </w:pPr>
      <w:r w:rsidRPr="00346747">
        <w:rPr>
          <w:rFonts w:asciiTheme="majorBidi" w:hAnsiTheme="majorBidi" w:cstheme="majorBidi"/>
          <w:sz w:val="24"/>
          <w:szCs w:val="24"/>
          <w:lang w:eastAsia="fr-FR"/>
        </w:rPr>
        <w:t xml:space="preserve">BARTHES, R., </w:t>
      </w:r>
      <w:r w:rsidRPr="00346747">
        <w:rPr>
          <w:rFonts w:asciiTheme="majorBidi" w:hAnsiTheme="majorBidi" w:cstheme="majorBidi"/>
          <w:i/>
          <w:iCs/>
          <w:sz w:val="24"/>
          <w:szCs w:val="24"/>
          <w:lang w:eastAsia="fr-FR"/>
        </w:rPr>
        <w:t>Introduction à l’analyse structurale du récit,</w:t>
      </w:r>
      <w:r w:rsidRPr="00346747">
        <w:rPr>
          <w:rFonts w:asciiTheme="majorBidi" w:hAnsiTheme="majorBidi" w:cstheme="majorBidi"/>
          <w:sz w:val="24"/>
          <w:szCs w:val="24"/>
          <w:lang w:eastAsia="fr-FR"/>
        </w:rPr>
        <w:t xml:space="preserve"> </w:t>
      </w:r>
      <w:r w:rsidR="008902D4" w:rsidRPr="00346747">
        <w:rPr>
          <w:rFonts w:asciiTheme="majorBidi" w:hAnsiTheme="majorBidi" w:cstheme="majorBidi"/>
          <w:sz w:val="24"/>
          <w:szCs w:val="24"/>
          <w:lang w:eastAsia="fr-FR"/>
        </w:rPr>
        <w:t>Seuil</w:t>
      </w:r>
      <w:r w:rsidR="008902D4">
        <w:rPr>
          <w:rFonts w:asciiTheme="majorBidi" w:hAnsiTheme="majorBidi" w:cstheme="majorBidi"/>
          <w:sz w:val="24"/>
          <w:szCs w:val="24"/>
          <w:lang w:eastAsia="fr-FR"/>
        </w:rPr>
        <w:t xml:space="preserve">, </w:t>
      </w:r>
      <w:r w:rsidRPr="00346747">
        <w:rPr>
          <w:rFonts w:asciiTheme="majorBidi" w:hAnsiTheme="majorBidi" w:cstheme="majorBidi"/>
          <w:sz w:val="24"/>
          <w:szCs w:val="24"/>
          <w:lang w:eastAsia="fr-FR"/>
        </w:rPr>
        <w:t>Paris, 1981.</w:t>
      </w:r>
    </w:p>
    <w:p w:rsidR="00316218" w:rsidRPr="00346747" w:rsidRDefault="00316218" w:rsidP="00E231DA">
      <w:pPr>
        <w:spacing w:after="0" w:line="360" w:lineRule="auto"/>
        <w:jc w:val="both"/>
        <w:rPr>
          <w:rFonts w:asciiTheme="majorBidi" w:hAnsiTheme="majorBidi" w:cstheme="majorBidi"/>
          <w:sz w:val="24"/>
          <w:szCs w:val="24"/>
          <w:lang w:eastAsia="fr-FR"/>
        </w:rPr>
      </w:pPr>
      <w:r w:rsidRPr="00346747">
        <w:rPr>
          <w:rFonts w:asciiTheme="majorBidi" w:hAnsiTheme="majorBidi" w:cstheme="majorBidi"/>
          <w:sz w:val="24"/>
          <w:szCs w:val="24"/>
          <w:lang w:eastAsia="fr-FR"/>
        </w:rPr>
        <w:t xml:space="preserve">BREMOND, C., </w:t>
      </w:r>
      <w:r w:rsidRPr="00346747">
        <w:rPr>
          <w:rFonts w:asciiTheme="majorBidi" w:hAnsiTheme="majorBidi" w:cstheme="majorBidi"/>
          <w:i/>
          <w:iCs/>
          <w:sz w:val="24"/>
          <w:szCs w:val="24"/>
          <w:lang w:eastAsia="fr-FR"/>
        </w:rPr>
        <w:t xml:space="preserve">La logique des possibles narratifs, </w:t>
      </w:r>
      <w:r w:rsidR="00E231DA" w:rsidRPr="00346747">
        <w:rPr>
          <w:rFonts w:asciiTheme="majorBidi" w:hAnsiTheme="majorBidi" w:cstheme="majorBidi"/>
          <w:sz w:val="24"/>
          <w:szCs w:val="24"/>
          <w:lang w:eastAsia="fr-FR"/>
        </w:rPr>
        <w:t>Seuil</w:t>
      </w:r>
      <w:r w:rsidR="00E231DA">
        <w:rPr>
          <w:rFonts w:asciiTheme="majorBidi" w:hAnsiTheme="majorBidi" w:cstheme="majorBidi"/>
          <w:sz w:val="24"/>
          <w:szCs w:val="24"/>
          <w:lang w:eastAsia="fr-FR"/>
        </w:rPr>
        <w:t xml:space="preserve">, </w:t>
      </w:r>
      <w:r w:rsidRPr="00346747">
        <w:rPr>
          <w:rFonts w:asciiTheme="majorBidi" w:hAnsiTheme="majorBidi" w:cstheme="majorBidi"/>
          <w:sz w:val="24"/>
          <w:szCs w:val="24"/>
          <w:lang w:eastAsia="fr-FR"/>
        </w:rPr>
        <w:t xml:space="preserve">Paris, 1966. </w:t>
      </w:r>
    </w:p>
    <w:p w:rsidR="00316218" w:rsidRPr="00346747" w:rsidRDefault="00316218" w:rsidP="00E231DA">
      <w:pPr>
        <w:spacing w:after="0" w:line="360" w:lineRule="auto"/>
        <w:jc w:val="both"/>
        <w:rPr>
          <w:rFonts w:asciiTheme="majorBidi" w:hAnsiTheme="majorBidi" w:cstheme="majorBidi"/>
          <w:sz w:val="24"/>
          <w:szCs w:val="24"/>
          <w:lang w:val="it-IT" w:eastAsia="fr-FR"/>
        </w:rPr>
      </w:pPr>
      <w:r w:rsidRPr="00346747">
        <w:rPr>
          <w:rFonts w:asciiTheme="majorBidi" w:hAnsiTheme="majorBidi" w:cstheme="majorBidi"/>
          <w:sz w:val="24"/>
          <w:szCs w:val="24"/>
          <w:lang w:val="it-IT" w:eastAsia="fr-FR"/>
        </w:rPr>
        <w:t xml:space="preserve">ECO, U, </w:t>
      </w:r>
      <w:r w:rsidRPr="00346747">
        <w:rPr>
          <w:rFonts w:asciiTheme="majorBidi" w:hAnsiTheme="majorBidi" w:cstheme="majorBidi"/>
          <w:i/>
          <w:iCs/>
          <w:sz w:val="24"/>
          <w:szCs w:val="24"/>
          <w:lang w:val="it-IT" w:eastAsia="fr-FR"/>
        </w:rPr>
        <w:t xml:space="preserve">Lector in fabula, </w:t>
      </w:r>
      <w:r w:rsidRPr="00346747">
        <w:rPr>
          <w:rFonts w:asciiTheme="majorBidi" w:hAnsiTheme="majorBidi" w:cstheme="majorBidi"/>
          <w:sz w:val="24"/>
          <w:szCs w:val="24"/>
          <w:lang w:val="it-IT" w:eastAsia="fr-FR"/>
        </w:rPr>
        <w:t xml:space="preserve"> </w:t>
      </w:r>
      <w:r w:rsidR="00E231DA" w:rsidRPr="00346747">
        <w:rPr>
          <w:rFonts w:asciiTheme="majorBidi" w:hAnsiTheme="majorBidi" w:cstheme="majorBidi"/>
          <w:sz w:val="24"/>
          <w:szCs w:val="24"/>
          <w:lang w:val="it-IT" w:eastAsia="fr-FR"/>
        </w:rPr>
        <w:t>Grasset</w:t>
      </w:r>
      <w:r w:rsidR="00E231DA">
        <w:rPr>
          <w:rFonts w:asciiTheme="majorBidi" w:hAnsiTheme="majorBidi" w:cstheme="majorBidi"/>
          <w:sz w:val="24"/>
          <w:szCs w:val="24"/>
          <w:lang w:val="it-IT" w:eastAsia="fr-FR"/>
        </w:rPr>
        <w:t xml:space="preserve">, </w:t>
      </w:r>
      <w:r w:rsidRPr="00346747">
        <w:rPr>
          <w:rFonts w:asciiTheme="majorBidi" w:hAnsiTheme="majorBidi" w:cstheme="majorBidi"/>
          <w:sz w:val="24"/>
          <w:szCs w:val="24"/>
          <w:lang w:val="it-IT" w:eastAsia="fr-FR"/>
        </w:rPr>
        <w:t>France, 1985.</w:t>
      </w:r>
    </w:p>
    <w:p w:rsidR="00316218" w:rsidRPr="00346747" w:rsidRDefault="00316218" w:rsidP="00F92922">
      <w:pPr>
        <w:spacing w:after="0" w:line="360" w:lineRule="auto"/>
        <w:jc w:val="both"/>
        <w:rPr>
          <w:rFonts w:asciiTheme="majorBidi" w:hAnsiTheme="majorBidi" w:cstheme="majorBidi"/>
          <w:i/>
          <w:iCs/>
          <w:sz w:val="24"/>
          <w:szCs w:val="24"/>
          <w:lang w:eastAsia="fr-FR"/>
        </w:rPr>
      </w:pPr>
      <w:r w:rsidRPr="00346747">
        <w:rPr>
          <w:rFonts w:asciiTheme="majorBidi" w:hAnsiTheme="majorBidi" w:cstheme="majorBidi"/>
          <w:bCs/>
          <w:sz w:val="24"/>
          <w:szCs w:val="24"/>
        </w:rPr>
        <w:t xml:space="preserve">ERTEL, É., «Éléments pour une </w:t>
      </w:r>
      <w:r w:rsidR="00BE1E32" w:rsidRPr="00346747">
        <w:rPr>
          <w:rFonts w:asciiTheme="majorBidi" w:hAnsiTheme="majorBidi" w:cstheme="majorBidi"/>
          <w:bCs/>
          <w:sz w:val="24"/>
          <w:szCs w:val="24"/>
        </w:rPr>
        <w:t>sémiotique</w:t>
      </w:r>
      <w:r w:rsidRPr="00346747">
        <w:rPr>
          <w:rFonts w:asciiTheme="majorBidi" w:hAnsiTheme="majorBidi" w:cstheme="majorBidi"/>
          <w:bCs/>
          <w:sz w:val="24"/>
          <w:szCs w:val="24"/>
        </w:rPr>
        <w:t xml:space="preserve"> du théâtre», in </w:t>
      </w:r>
      <w:r w:rsidRPr="00346747">
        <w:rPr>
          <w:rFonts w:asciiTheme="majorBidi" w:hAnsiTheme="majorBidi" w:cstheme="majorBidi"/>
          <w:bCs/>
          <w:i/>
          <w:iCs/>
          <w:sz w:val="24"/>
          <w:szCs w:val="24"/>
        </w:rPr>
        <w:t xml:space="preserve">Travail théâtral, </w:t>
      </w:r>
      <w:r w:rsidRPr="00346747">
        <w:rPr>
          <w:rFonts w:asciiTheme="majorBidi" w:hAnsiTheme="majorBidi" w:cstheme="majorBidi"/>
          <w:bCs/>
          <w:sz w:val="24"/>
          <w:szCs w:val="24"/>
        </w:rPr>
        <w:t>n° 29, 1977.</w:t>
      </w:r>
      <w:r w:rsidRPr="00346747">
        <w:rPr>
          <w:rFonts w:asciiTheme="majorBidi" w:hAnsiTheme="majorBidi" w:cstheme="majorBidi"/>
          <w:sz w:val="24"/>
          <w:szCs w:val="24"/>
          <w:lang w:eastAsia="fr-FR"/>
        </w:rPr>
        <w:t xml:space="preserve"> </w:t>
      </w:r>
    </w:p>
    <w:p w:rsidR="00316218" w:rsidRPr="00346747" w:rsidRDefault="00316218" w:rsidP="00E231DA">
      <w:pPr>
        <w:spacing w:after="0" w:line="360" w:lineRule="auto"/>
        <w:jc w:val="both"/>
        <w:rPr>
          <w:rFonts w:asciiTheme="majorBidi" w:hAnsiTheme="majorBidi" w:cstheme="majorBidi"/>
          <w:sz w:val="24"/>
          <w:szCs w:val="24"/>
          <w:lang w:eastAsia="fr-FR"/>
        </w:rPr>
      </w:pPr>
      <w:r w:rsidRPr="00346747">
        <w:rPr>
          <w:rFonts w:asciiTheme="majorBidi" w:hAnsiTheme="majorBidi" w:cstheme="majorBidi"/>
          <w:sz w:val="24"/>
          <w:szCs w:val="24"/>
          <w:lang w:eastAsia="fr-FR"/>
        </w:rPr>
        <w:t xml:space="preserve">GENETTE, G.,  </w:t>
      </w:r>
      <w:r w:rsidRPr="00346747">
        <w:rPr>
          <w:rFonts w:asciiTheme="majorBidi" w:hAnsiTheme="majorBidi" w:cstheme="majorBidi"/>
          <w:i/>
          <w:iCs/>
          <w:sz w:val="24"/>
          <w:szCs w:val="24"/>
          <w:lang w:eastAsia="fr-FR"/>
        </w:rPr>
        <w:t>Figures III</w:t>
      </w:r>
      <w:r w:rsidRPr="00346747">
        <w:rPr>
          <w:rFonts w:asciiTheme="majorBidi" w:hAnsiTheme="majorBidi" w:cstheme="majorBidi"/>
          <w:sz w:val="24"/>
          <w:szCs w:val="24"/>
          <w:lang w:eastAsia="fr-FR"/>
        </w:rPr>
        <w:t xml:space="preserve">, </w:t>
      </w:r>
      <w:r w:rsidR="00E231DA" w:rsidRPr="00346747">
        <w:rPr>
          <w:rFonts w:asciiTheme="majorBidi" w:hAnsiTheme="majorBidi" w:cstheme="majorBidi"/>
          <w:sz w:val="24"/>
          <w:szCs w:val="24"/>
          <w:lang w:eastAsia="fr-FR"/>
        </w:rPr>
        <w:t>Seuil</w:t>
      </w:r>
      <w:r w:rsidR="00E231DA">
        <w:rPr>
          <w:rFonts w:asciiTheme="majorBidi" w:hAnsiTheme="majorBidi" w:cstheme="majorBidi"/>
          <w:sz w:val="24"/>
          <w:szCs w:val="24"/>
          <w:lang w:eastAsia="fr-FR"/>
        </w:rPr>
        <w:t xml:space="preserve">, </w:t>
      </w:r>
      <w:r w:rsidRPr="00346747">
        <w:rPr>
          <w:rFonts w:asciiTheme="majorBidi" w:hAnsiTheme="majorBidi" w:cstheme="majorBidi"/>
          <w:sz w:val="24"/>
          <w:szCs w:val="24"/>
          <w:lang w:eastAsia="fr-FR"/>
        </w:rPr>
        <w:t>Paris</w:t>
      </w:r>
      <w:r w:rsidR="00E231DA">
        <w:rPr>
          <w:rFonts w:asciiTheme="majorBidi" w:hAnsiTheme="majorBidi" w:cstheme="majorBidi"/>
          <w:sz w:val="24"/>
          <w:szCs w:val="24"/>
          <w:lang w:eastAsia="fr-FR"/>
        </w:rPr>
        <w:t xml:space="preserve">, </w:t>
      </w:r>
      <w:r w:rsidRPr="00346747">
        <w:rPr>
          <w:rFonts w:asciiTheme="majorBidi" w:hAnsiTheme="majorBidi" w:cstheme="majorBidi"/>
          <w:sz w:val="24"/>
          <w:szCs w:val="24"/>
          <w:lang w:eastAsia="fr-FR"/>
        </w:rPr>
        <w:t xml:space="preserve">1972. </w:t>
      </w:r>
    </w:p>
    <w:p w:rsidR="00316218" w:rsidRPr="00EA6D4C" w:rsidRDefault="00316218" w:rsidP="00E231DA">
      <w:pPr>
        <w:spacing w:after="0" w:line="360" w:lineRule="auto"/>
        <w:jc w:val="both"/>
        <w:rPr>
          <w:rFonts w:asciiTheme="majorBidi" w:hAnsiTheme="majorBidi" w:cstheme="majorBidi"/>
          <w:sz w:val="24"/>
          <w:szCs w:val="24"/>
          <w:lang w:eastAsia="fr-FR"/>
        </w:rPr>
      </w:pPr>
      <w:r w:rsidRPr="00EA6D4C">
        <w:rPr>
          <w:rFonts w:asciiTheme="majorBidi" w:hAnsiTheme="majorBidi" w:cstheme="majorBidi"/>
          <w:sz w:val="24"/>
          <w:szCs w:val="24"/>
          <w:u w:val="single"/>
          <w:lang w:eastAsia="fr-FR"/>
        </w:rPr>
        <w:t xml:space="preserve">                      </w:t>
      </w:r>
      <w:r w:rsidRPr="00EA6D4C">
        <w:rPr>
          <w:rFonts w:asciiTheme="majorBidi" w:hAnsiTheme="majorBidi" w:cstheme="majorBidi"/>
          <w:sz w:val="24"/>
          <w:szCs w:val="24"/>
          <w:lang w:eastAsia="fr-FR"/>
        </w:rPr>
        <w:t xml:space="preserve">,  </w:t>
      </w:r>
      <w:r w:rsidRPr="00EA6D4C">
        <w:rPr>
          <w:rFonts w:asciiTheme="majorBidi" w:hAnsiTheme="majorBidi" w:cstheme="majorBidi"/>
          <w:i/>
          <w:iCs/>
          <w:sz w:val="24"/>
          <w:szCs w:val="24"/>
          <w:lang w:eastAsia="fr-FR"/>
        </w:rPr>
        <w:t xml:space="preserve">Palimpsestes. La littérature au second degré, </w:t>
      </w:r>
      <w:r w:rsidR="00E231DA" w:rsidRPr="00EA6D4C">
        <w:rPr>
          <w:rFonts w:asciiTheme="majorBidi" w:hAnsiTheme="majorBidi" w:cstheme="majorBidi"/>
          <w:sz w:val="24"/>
          <w:szCs w:val="24"/>
          <w:lang w:eastAsia="fr-FR"/>
        </w:rPr>
        <w:t>Seuil</w:t>
      </w:r>
      <w:r w:rsidR="00E231DA">
        <w:rPr>
          <w:rFonts w:asciiTheme="majorBidi" w:hAnsiTheme="majorBidi" w:cstheme="majorBidi"/>
          <w:sz w:val="24"/>
          <w:szCs w:val="24"/>
          <w:lang w:eastAsia="fr-FR"/>
        </w:rPr>
        <w:t xml:space="preserve">, </w:t>
      </w:r>
      <w:r w:rsidRPr="00EA6D4C">
        <w:rPr>
          <w:rFonts w:asciiTheme="majorBidi" w:hAnsiTheme="majorBidi" w:cstheme="majorBidi"/>
          <w:sz w:val="24"/>
          <w:szCs w:val="24"/>
          <w:lang w:eastAsia="fr-FR"/>
        </w:rPr>
        <w:t>Paris, 1982.</w:t>
      </w:r>
    </w:p>
    <w:p w:rsidR="00316218" w:rsidRPr="00D2079B" w:rsidRDefault="00316218" w:rsidP="00E231DA">
      <w:pPr>
        <w:autoSpaceDE w:val="0"/>
        <w:autoSpaceDN w:val="0"/>
        <w:adjustRightInd w:val="0"/>
        <w:spacing w:after="0" w:line="360" w:lineRule="auto"/>
        <w:jc w:val="both"/>
        <w:rPr>
          <w:rFonts w:asciiTheme="majorBidi" w:hAnsiTheme="majorBidi" w:cstheme="majorBidi"/>
          <w:sz w:val="24"/>
          <w:szCs w:val="24"/>
        </w:rPr>
      </w:pPr>
      <w:r w:rsidRPr="00D2079B">
        <w:rPr>
          <w:rFonts w:asciiTheme="majorBidi" w:hAnsiTheme="majorBidi" w:cstheme="majorBidi"/>
          <w:sz w:val="24"/>
          <w:szCs w:val="24"/>
          <w:u w:val="single"/>
          <w:lang w:eastAsia="fr-FR"/>
        </w:rPr>
        <w:t xml:space="preserve">                      </w:t>
      </w:r>
      <w:r w:rsidRPr="00D2079B">
        <w:rPr>
          <w:rFonts w:asciiTheme="majorBidi" w:hAnsiTheme="majorBidi" w:cstheme="majorBidi"/>
          <w:sz w:val="24"/>
          <w:szCs w:val="24"/>
          <w:lang w:eastAsia="fr-FR"/>
        </w:rPr>
        <w:t xml:space="preserve">, </w:t>
      </w:r>
      <w:r w:rsidRPr="00D2079B">
        <w:rPr>
          <w:rFonts w:asciiTheme="majorBidi" w:hAnsiTheme="majorBidi" w:cstheme="majorBidi"/>
          <w:bCs/>
          <w:sz w:val="24"/>
          <w:szCs w:val="24"/>
        </w:rPr>
        <w:t xml:space="preserve">« </w:t>
      </w:r>
      <w:r w:rsidRPr="00D2079B">
        <w:rPr>
          <w:rFonts w:asciiTheme="majorBidi" w:hAnsiTheme="majorBidi" w:cstheme="majorBidi"/>
          <w:sz w:val="24"/>
          <w:szCs w:val="24"/>
        </w:rPr>
        <w:t xml:space="preserve">Récit fictionnel, récit factuel », in </w:t>
      </w:r>
      <w:r w:rsidRPr="00D2079B">
        <w:rPr>
          <w:rFonts w:asciiTheme="majorBidi" w:hAnsiTheme="majorBidi" w:cstheme="majorBidi"/>
          <w:i/>
          <w:iCs/>
          <w:sz w:val="24"/>
          <w:szCs w:val="24"/>
        </w:rPr>
        <w:t>Fiction et diction</w:t>
      </w:r>
      <w:r w:rsidRPr="00D2079B">
        <w:rPr>
          <w:rFonts w:asciiTheme="majorBidi" w:hAnsiTheme="majorBidi" w:cstheme="majorBidi"/>
          <w:sz w:val="24"/>
          <w:szCs w:val="24"/>
        </w:rPr>
        <w:t xml:space="preserve">, </w:t>
      </w:r>
      <w:r w:rsidR="00E231DA" w:rsidRPr="00D2079B">
        <w:rPr>
          <w:rFonts w:asciiTheme="majorBidi" w:hAnsiTheme="majorBidi" w:cstheme="majorBidi"/>
          <w:sz w:val="24"/>
          <w:szCs w:val="24"/>
        </w:rPr>
        <w:t>Seuil</w:t>
      </w:r>
      <w:r w:rsidR="00E231DA">
        <w:rPr>
          <w:rFonts w:asciiTheme="majorBidi" w:hAnsiTheme="majorBidi" w:cstheme="majorBidi"/>
          <w:sz w:val="24"/>
          <w:szCs w:val="24"/>
        </w:rPr>
        <w:t xml:space="preserve">, </w:t>
      </w:r>
      <w:r w:rsidRPr="00D2079B">
        <w:rPr>
          <w:rFonts w:asciiTheme="majorBidi" w:hAnsiTheme="majorBidi" w:cstheme="majorBidi"/>
          <w:sz w:val="24"/>
          <w:szCs w:val="24"/>
        </w:rPr>
        <w:t>Paris, coll. </w:t>
      </w:r>
      <w:r w:rsidRPr="00D2079B">
        <w:rPr>
          <w:rFonts w:asciiTheme="majorBidi" w:hAnsiTheme="majorBidi" w:cstheme="majorBidi"/>
          <w:sz w:val="24"/>
          <w:szCs w:val="24"/>
          <w:shd w:val="clear" w:color="auto" w:fill="FFFFFF"/>
        </w:rPr>
        <w:t>"Points-essais", 2004.</w:t>
      </w:r>
      <w:r w:rsidRPr="00D2079B">
        <w:rPr>
          <w:rFonts w:asciiTheme="majorBidi" w:hAnsiTheme="majorBidi" w:cstheme="majorBidi"/>
          <w:color w:val="FF0000"/>
          <w:sz w:val="24"/>
          <w:szCs w:val="24"/>
        </w:rPr>
        <w:t xml:space="preserve"> </w:t>
      </w:r>
    </w:p>
    <w:p w:rsidR="00316218" w:rsidRPr="00F92922" w:rsidRDefault="00316218" w:rsidP="00E231DA">
      <w:pPr>
        <w:spacing w:after="0" w:line="360" w:lineRule="auto"/>
        <w:jc w:val="both"/>
        <w:rPr>
          <w:rFonts w:asciiTheme="majorBidi" w:hAnsiTheme="majorBidi" w:cstheme="majorBidi"/>
          <w:color w:val="545454"/>
          <w:sz w:val="24"/>
          <w:szCs w:val="24"/>
          <w:shd w:val="clear" w:color="auto" w:fill="FFFFFF"/>
        </w:rPr>
      </w:pPr>
      <w:r w:rsidRPr="00F92922">
        <w:rPr>
          <w:rFonts w:asciiTheme="majorBidi" w:hAnsiTheme="majorBidi" w:cstheme="majorBidi"/>
          <w:sz w:val="24"/>
          <w:szCs w:val="24"/>
          <w:u w:val="single"/>
          <w:lang w:eastAsia="fr-FR"/>
        </w:rPr>
        <w:t xml:space="preserve">                        </w:t>
      </w:r>
      <w:r w:rsidRPr="00F92922">
        <w:rPr>
          <w:rFonts w:asciiTheme="majorBidi" w:hAnsiTheme="majorBidi" w:cstheme="majorBidi"/>
          <w:sz w:val="24"/>
          <w:szCs w:val="24"/>
          <w:lang w:eastAsia="fr-FR"/>
        </w:rPr>
        <w:t xml:space="preserve">,  </w:t>
      </w:r>
      <w:r w:rsidRPr="00F92922">
        <w:rPr>
          <w:rFonts w:asciiTheme="majorBidi" w:hAnsiTheme="majorBidi" w:cstheme="majorBidi"/>
          <w:i/>
          <w:iCs/>
          <w:sz w:val="24"/>
          <w:szCs w:val="24"/>
          <w:shd w:val="clear" w:color="auto" w:fill="FFFFFF"/>
        </w:rPr>
        <w:t>Fiction et diction</w:t>
      </w:r>
      <w:r w:rsidRPr="00F92922">
        <w:rPr>
          <w:rFonts w:asciiTheme="majorBidi" w:hAnsiTheme="majorBidi" w:cstheme="majorBidi"/>
          <w:sz w:val="24"/>
          <w:szCs w:val="24"/>
          <w:shd w:val="clear" w:color="auto" w:fill="FFFFFF"/>
        </w:rPr>
        <w:t>. Collection '</w:t>
      </w:r>
      <w:r w:rsidRPr="00F92922">
        <w:rPr>
          <w:rStyle w:val="Accentuation"/>
          <w:rFonts w:asciiTheme="majorBidi" w:hAnsiTheme="majorBidi" w:cstheme="majorBidi"/>
          <w:i w:val="0"/>
          <w:iCs w:val="0"/>
          <w:sz w:val="24"/>
          <w:szCs w:val="24"/>
          <w:shd w:val="clear" w:color="auto" w:fill="FFFFFF"/>
        </w:rPr>
        <w:t>Poétique</w:t>
      </w:r>
      <w:r w:rsidRPr="00F92922">
        <w:rPr>
          <w:rFonts w:asciiTheme="majorBidi" w:hAnsiTheme="majorBidi" w:cstheme="majorBidi"/>
          <w:sz w:val="24"/>
          <w:szCs w:val="24"/>
          <w:shd w:val="clear" w:color="auto" w:fill="FFFFFF"/>
        </w:rPr>
        <w:t xml:space="preserve">', </w:t>
      </w:r>
      <w:r w:rsidR="00E231DA" w:rsidRPr="0054360D">
        <w:rPr>
          <w:rFonts w:asciiTheme="majorBidi" w:eastAsia="Times New Roman" w:hAnsiTheme="majorBidi" w:cstheme="majorBidi"/>
          <w:sz w:val="24"/>
          <w:szCs w:val="24"/>
        </w:rPr>
        <w:t>Seuil</w:t>
      </w:r>
      <w:r w:rsidR="00E231DA">
        <w:rPr>
          <w:rFonts w:asciiTheme="majorBidi" w:eastAsia="Times New Roman" w:hAnsiTheme="majorBidi" w:cstheme="majorBidi"/>
          <w:sz w:val="24"/>
          <w:szCs w:val="24"/>
        </w:rPr>
        <w:t xml:space="preserve">, </w:t>
      </w:r>
      <w:r w:rsidRPr="00F92922">
        <w:rPr>
          <w:rFonts w:asciiTheme="majorBidi" w:hAnsiTheme="majorBidi" w:cstheme="majorBidi"/>
          <w:sz w:val="24"/>
          <w:szCs w:val="24"/>
          <w:shd w:val="clear" w:color="auto" w:fill="FFFFFF"/>
        </w:rPr>
        <w:t>Paris</w:t>
      </w:r>
      <w:r w:rsidR="00E231DA">
        <w:rPr>
          <w:rFonts w:asciiTheme="majorBidi" w:hAnsiTheme="majorBidi" w:cstheme="majorBidi"/>
          <w:sz w:val="24"/>
          <w:szCs w:val="24"/>
          <w:shd w:val="clear" w:color="auto" w:fill="FFFFFF"/>
        </w:rPr>
        <w:t xml:space="preserve">, </w:t>
      </w:r>
      <w:r w:rsidRPr="00F92922">
        <w:rPr>
          <w:rStyle w:val="Accentuation"/>
          <w:rFonts w:asciiTheme="majorBidi" w:hAnsiTheme="majorBidi" w:cstheme="majorBidi"/>
          <w:i w:val="0"/>
          <w:iCs w:val="0"/>
          <w:sz w:val="24"/>
          <w:szCs w:val="24"/>
          <w:shd w:val="clear" w:color="auto" w:fill="FFFFFF"/>
        </w:rPr>
        <w:t>1991</w:t>
      </w:r>
      <w:r w:rsidRPr="00F92922">
        <w:rPr>
          <w:rFonts w:asciiTheme="majorBidi" w:hAnsiTheme="majorBidi" w:cstheme="majorBidi"/>
          <w:color w:val="545454"/>
          <w:sz w:val="24"/>
          <w:szCs w:val="24"/>
          <w:shd w:val="clear" w:color="auto" w:fill="FFFFFF"/>
        </w:rPr>
        <w:t>.</w:t>
      </w:r>
    </w:p>
    <w:p w:rsidR="00316218" w:rsidRPr="0054360D" w:rsidRDefault="00316218" w:rsidP="00E231DA">
      <w:pPr>
        <w:spacing w:after="0" w:line="360" w:lineRule="auto"/>
        <w:jc w:val="both"/>
        <w:rPr>
          <w:rFonts w:asciiTheme="majorBidi" w:eastAsia="Times New Roman" w:hAnsiTheme="majorBidi" w:cstheme="majorBidi"/>
          <w:sz w:val="24"/>
          <w:szCs w:val="24"/>
        </w:rPr>
      </w:pPr>
      <w:r w:rsidRPr="0054360D">
        <w:rPr>
          <w:rFonts w:asciiTheme="majorBidi" w:hAnsiTheme="majorBidi" w:cstheme="majorBidi"/>
          <w:sz w:val="24"/>
          <w:szCs w:val="24"/>
          <w:u w:val="single"/>
          <w:lang w:eastAsia="fr-FR"/>
        </w:rPr>
        <w:t xml:space="preserve">                      </w:t>
      </w:r>
      <w:r w:rsidRPr="0054360D">
        <w:rPr>
          <w:rFonts w:asciiTheme="majorBidi" w:hAnsiTheme="majorBidi" w:cstheme="majorBidi"/>
          <w:sz w:val="24"/>
          <w:szCs w:val="24"/>
          <w:lang w:eastAsia="fr-FR"/>
        </w:rPr>
        <w:t xml:space="preserve">, </w:t>
      </w:r>
      <w:r w:rsidRPr="0054360D">
        <w:rPr>
          <w:rFonts w:asciiTheme="majorBidi" w:eastAsia="Times New Roman" w:hAnsiTheme="majorBidi" w:cstheme="majorBidi"/>
          <w:i/>
          <w:iCs/>
          <w:sz w:val="24"/>
          <w:szCs w:val="24"/>
        </w:rPr>
        <w:t>Nouveau discours du récit</w:t>
      </w:r>
      <w:r w:rsidRPr="0054360D">
        <w:rPr>
          <w:rFonts w:asciiTheme="majorBidi" w:eastAsia="Times New Roman" w:hAnsiTheme="majorBidi" w:cstheme="majorBidi"/>
          <w:bCs/>
          <w:sz w:val="24"/>
          <w:szCs w:val="24"/>
        </w:rPr>
        <w:t xml:space="preserve">, </w:t>
      </w:r>
      <w:r w:rsidR="00E231DA" w:rsidRPr="0054360D">
        <w:rPr>
          <w:rFonts w:asciiTheme="majorBidi" w:eastAsia="Times New Roman" w:hAnsiTheme="majorBidi" w:cstheme="majorBidi"/>
          <w:sz w:val="24"/>
          <w:szCs w:val="24"/>
        </w:rPr>
        <w:t>Seuil</w:t>
      </w:r>
      <w:r w:rsidR="00E231DA">
        <w:rPr>
          <w:rFonts w:asciiTheme="majorBidi" w:eastAsia="Times New Roman" w:hAnsiTheme="majorBidi" w:cstheme="majorBidi"/>
          <w:sz w:val="24"/>
          <w:szCs w:val="24"/>
        </w:rPr>
        <w:t xml:space="preserve">, </w:t>
      </w:r>
      <w:r w:rsidRPr="0054360D">
        <w:rPr>
          <w:rFonts w:asciiTheme="majorBidi" w:eastAsia="Times New Roman" w:hAnsiTheme="majorBidi" w:cstheme="majorBidi"/>
          <w:sz w:val="24"/>
          <w:szCs w:val="24"/>
        </w:rPr>
        <w:t>Paris, 1983.</w:t>
      </w:r>
    </w:p>
    <w:p w:rsidR="00316218" w:rsidRPr="00D72C37" w:rsidRDefault="00316218" w:rsidP="00E231DA">
      <w:pPr>
        <w:spacing w:after="0" w:line="360" w:lineRule="auto"/>
        <w:jc w:val="both"/>
        <w:rPr>
          <w:rFonts w:asciiTheme="majorBidi" w:hAnsiTheme="majorBidi" w:cstheme="majorBidi"/>
          <w:sz w:val="24"/>
          <w:szCs w:val="24"/>
        </w:rPr>
      </w:pPr>
      <w:r w:rsidRPr="00D72C37">
        <w:rPr>
          <w:rFonts w:asciiTheme="majorBidi" w:hAnsiTheme="majorBidi" w:cstheme="majorBidi"/>
          <w:bCs/>
          <w:sz w:val="24"/>
          <w:szCs w:val="24"/>
        </w:rPr>
        <w:t xml:space="preserve">GREIMAS, </w:t>
      </w:r>
      <w:r w:rsidRPr="00D72C37">
        <w:rPr>
          <w:rFonts w:asciiTheme="majorBidi" w:hAnsiTheme="majorBidi" w:cstheme="majorBidi"/>
          <w:sz w:val="24"/>
          <w:szCs w:val="24"/>
        </w:rPr>
        <w:t xml:space="preserve">A.J., </w:t>
      </w:r>
      <w:r w:rsidRPr="00D72C37">
        <w:rPr>
          <w:rFonts w:asciiTheme="majorBidi" w:hAnsiTheme="majorBidi" w:cstheme="majorBidi"/>
          <w:i/>
          <w:iCs/>
          <w:sz w:val="24"/>
          <w:szCs w:val="24"/>
        </w:rPr>
        <w:t>Sémantique structurale, </w:t>
      </w:r>
      <w:r w:rsidRPr="00D72C37">
        <w:rPr>
          <w:rFonts w:asciiTheme="majorBidi" w:hAnsiTheme="majorBidi" w:cstheme="majorBidi"/>
          <w:sz w:val="24"/>
          <w:szCs w:val="24"/>
        </w:rPr>
        <w:t xml:space="preserve"> </w:t>
      </w:r>
      <w:r w:rsidR="00E231DA" w:rsidRPr="00D72C37">
        <w:rPr>
          <w:rFonts w:asciiTheme="majorBidi" w:hAnsiTheme="majorBidi" w:cstheme="majorBidi"/>
          <w:sz w:val="24"/>
          <w:szCs w:val="24"/>
        </w:rPr>
        <w:t>Larousse</w:t>
      </w:r>
      <w:r w:rsidR="00E231DA">
        <w:rPr>
          <w:rFonts w:asciiTheme="majorBidi" w:hAnsiTheme="majorBidi" w:cstheme="majorBidi"/>
          <w:sz w:val="24"/>
          <w:szCs w:val="24"/>
        </w:rPr>
        <w:t xml:space="preserve">, </w:t>
      </w:r>
      <w:r w:rsidRPr="00D72C37">
        <w:rPr>
          <w:rFonts w:asciiTheme="majorBidi" w:hAnsiTheme="majorBidi" w:cstheme="majorBidi"/>
          <w:sz w:val="24"/>
          <w:szCs w:val="24"/>
        </w:rPr>
        <w:t>Paris, 1966.</w:t>
      </w:r>
    </w:p>
    <w:p w:rsidR="00316218" w:rsidRPr="00D72C37" w:rsidRDefault="00316218" w:rsidP="00E231DA">
      <w:pPr>
        <w:spacing w:after="0" w:line="360" w:lineRule="auto"/>
        <w:jc w:val="both"/>
        <w:rPr>
          <w:rFonts w:asciiTheme="majorBidi" w:hAnsiTheme="majorBidi" w:cstheme="majorBidi"/>
          <w:color w:val="000000"/>
          <w:sz w:val="24"/>
          <w:szCs w:val="24"/>
        </w:rPr>
      </w:pPr>
      <w:r w:rsidRPr="00D72C37">
        <w:rPr>
          <w:rFonts w:asciiTheme="majorBidi" w:hAnsiTheme="majorBidi" w:cstheme="majorBidi"/>
          <w:color w:val="000000"/>
          <w:sz w:val="24"/>
          <w:szCs w:val="24"/>
          <w:u w:val="single"/>
        </w:rPr>
        <w:t xml:space="preserve">                         </w:t>
      </w:r>
      <w:r w:rsidRPr="00D72C37">
        <w:rPr>
          <w:rFonts w:asciiTheme="majorBidi" w:hAnsiTheme="majorBidi" w:cstheme="majorBidi"/>
          <w:color w:val="000000"/>
          <w:sz w:val="24"/>
          <w:szCs w:val="24"/>
        </w:rPr>
        <w:t xml:space="preserve">, « Pour une sémiotique topologique »  in </w:t>
      </w:r>
      <w:r w:rsidRPr="00D72C37">
        <w:rPr>
          <w:rFonts w:asciiTheme="majorBidi" w:hAnsiTheme="majorBidi" w:cstheme="majorBidi"/>
          <w:i/>
          <w:color w:val="000000"/>
          <w:sz w:val="24"/>
          <w:szCs w:val="24"/>
        </w:rPr>
        <w:t>Sémiotique de l’espace Architecture Urbanisme Sortir de l’impasse</w:t>
      </w:r>
      <w:r w:rsidRPr="00D72C37">
        <w:rPr>
          <w:rFonts w:asciiTheme="majorBidi" w:hAnsiTheme="majorBidi" w:cstheme="majorBidi"/>
          <w:iCs/>
          <w:color w:val="000000"/>
          <w:sz w:val="24"/>
          <w:szCs w:val="24"/>
        </w:rPr>
        <w:t xml:space="preserve">, </w:t>
      </w:r>
      <w:r w:rsidR="00E231DA" w:rsidRPr="00D72C37">
        <w:rPr>
          <w:rFonts w:asciiTheme="majorBidi" w:hAnsiTheme="majorBidi" w:cstheme="majorBidi"/>
          <w:color w:val="000000"/>
          <w:sz w:val="24"/>
          <w:szCs w:val="24"/>
        </w:rPr>
        <w:t>Denoël/ Gonthier</w:t>
      </w:r>
      <w:r w:rsidR="00E231DA">
        <w:rPr>
          <w:rFonts w:asciiTheme="majorBidi" w:hAnsiTheme="majorBidi" w:cstheme="majorBidi"/>
          <w:color w:val="000000"/>
          <w:sz w:val="24"/>
          <w:szCs w:val="24"/>
        </w:rPr>
        <w:t xml:space="preserve">, </w:t>
      </w:r>
      <w:r w:rsidRPr="00D72C37">
        <w:rPr>
          <w:rFonts w:asciiTheme="majorBidi" w:hAnsiTheme="majorBidi" w:cstheme="majorBidi"/>
          <w:iCs/>
          <w:color w:val="000000"/>
          <w:sz w:val="24"/>
          <w:szCs w:val="24"/>
        </w:rPr>
        <w:t>Paris</w:t>
      </w:r>
      <w:r w:rsidRPr="00D72C37">
        <w:rPr>
          <w:rFonts w:asciiTheme="majorBidi" w:hAnsiTheme="majorBidi" w:cstheme="majorBidi"/>
          <w:color w:val="000000"/>
          <w:sz w:val="24"/>
          <w:szCs w:val="24"/>
        </w:rPr>
        <w:t xml:space="preserve">, 1979. </w:t>
      </w:r>
    </w:p>
    <w:p w:rsidR="00316218" w:rsidRPr="00D72C37" w:rsidRDefault="00316218" w:rsidP="00E231DA">
      <w:pPr>
        <w:spacing w:after="0" w:line="360" w:lineRule="auto"/>
        <w:jc w:val="both"/>
        <w:rPr>
          <w:rFonts w:asciiTheme="majorBidi" w:hAnsiTheme="majorBidi" w:cstheme="majorBidi"/>
          <w:sz w:val="24"/>
          <w:szCs w:val="24"/>
        </w:rPr>
      </w:pPr>
      <w:r w:rsidRPr="00D72C37">
        <w:rPr>
          <w:rFonts w:asciiTheme="majorBidi" w:hAnsiTheme="majorBidi" w:cstheme="majorBidi"/>
          <w:sz w:val="24"/>
          <w:szCs w:val="24"/>
          <w:u w:val="single"/>
          <w:lang w:eastAsia="fr-FR"/>
        </w:rPr>
        <w:t xml:space="preserve">                          </w:t>
      </w:r>
      <w:r w:rsidRPr="00D72C37">
        <w:rPr>
          <w:rFonts w:asciiTheme="majorBidi" w:hAnsiTheme="majorBidi" w:cstheme="majorBidi"/>
          <w:sz w:val="24"/>
          <w:szCs w:val="24"/>
          <w:lang w:eastAsia="fr-FR"/>
        </w:rPr>
        <w:t xml:space="preserve">, </w:t>
      </w:r>
      <w:r w:rsidRPr="00D72C37">
        <w:rPr>
          <w:rFonts w:asciiTheme="majorBidi" w:hAnsiTheme="majorBidi" w:cstheme="majorBidi"/>
          <w:i/>
          <w:iCs/>
          <w:sz w:val="24"/>
          <w:szCs w:val="24"/>
        </w:rPr>
        <w:t xml:space="preserve">Du sens II, </w:t>
      </w:r>
      <w:r w:rsidR="00E231DA" w:rsidRPr="00D72C37">
        <w:rPr>
          <w:rFonts w:asciiTheme="majorBidi" w:hAnsiTheme="majorBidi" w:cstheme="majorBidi"/>
          <w:sz w:val="24"/>
          <w:szCs w:val="24"/>
        </w:rPr>
        <w:t>Seuil</w:t>
      </w:r>
      <w:r w:rsidR="00E231DA">
        <w:rPr>
          <w:rFonts w:asciiTheme="majorBidi" w:hAnsiTheme="majorBidi" w:cstheme="majorBidi"/>
          <w:sz w:val="24"/>
          <w:szCs w:val="24"/>
        </w:rPr>
        <w:t xml:space="preserve">, </w:t>
      </w:r>
      <w:r w:rsidRPr="00D72C37">
        <w:rPr>
          <w:rFonts w:asciiTheme="majorBidi" w:hAnsiTheme="majorBidi" w:cstheme="majorBidi"/>
          <w:sz w:val="24"/>
          <w:szCs w:val="24"/>
        </w:rPr>
        <w:t>Paris, 1983.</w:t>
      </w:r>
    </w:p>
    <w:p w:rsidR="00316218" w:rsidRPr="003B46A2" w:rsidRDefault="00316218" w:rsidP="00E231DA">
      <w:pPr>
        <w:spacing w:after="0" w:line="360" w:lineRule="auto"/>
        <w:jc w:val="both"/>
        <w:rPr>
          <w:rFonts w:asciiTheme="majorBidi" w:hAnsiTheme="majorBidi" w:cstheme="majorBidi"/>
          <w:sz w:val="24"/>
          <w:szCs w:val="24"/>
          <w:lang w:val="it-IT" w:eastAsia="fr-FR"/>
        </w:rPr>
      </w:pPr>
      <w:r w:rsidRPr="003B46A2">
        <w:rPr>
          <w:rFonts w:asciiTheme="majorBidi" w:hAnsiTheme="majorBidi" w:cstheme="majorBidi"/>
          <w:sz w:val="24"/>
          <w:szCs w:val="24"/>
        </w:rPr>
        <w:lastRenderedPageBreak/>
        <w:t xml:space="preserve">HÉNAULT, A., </w:t>
      </w:r>
      <w:r w:rsidRPr="003B46A2">
        <w:rPr>
          <w:rFonts w:asciiTheme="majorBidi" w:hAnsiTheme="majorBidi" w:cstheme="majorBidi"/>
          <w:i/>
          <w:iCs/>
          <w:sz w:val="24"/>
          <w:szCs w:val="24"/>
        </w:rPr>
        <w:t>Narratologie, Sémiotique</w:t>
      </w:r>
      <w:r w:rsidRPr="003B46A2">
        <w:rPr>
          <w:rFonts w:asciiTheme="majorBidi" w:hAnsiTheme="majorBidi" w:cstheme="majorBidi"/>
          <w:sz w:val="24"/>
          <w:szCs w:val="24"/>
        </w:rPr>
        <w:t xml:space="preserve"> </w:t>
      </w:r>
      <w:r w:rsidRPr="003B46A2">
        <w:rPr>
          <w:rFonts w:asciiTheme="majorBidi" w:hAnsiTheme="majorBidi" w:cstheme="majorBidi"/>
          <w:i/>
          <w:iCs/>
          <w:sz w:val="24"/>
          <w:szCs w:val="24"/>
        </w:rPr>
        <w:t xml:space="preserve">générale, </w:t>
      </w:r>
      <w:r w:rsidRPr="003B46A2">
        <w:rPr>
          <w:rFonts w:asciiTheme="majorBidi" w:hAnsiTheme="majorBidi" w:cstheme="majorBidi"/>
          <w:sz w:val="24"/>
          <w:szCs w:val="24"/>
        </w:rPr>
        <w:t>PUF,</w:t>
      </w:r>
      <w:r w:rsidR="00E231DA">
        <w:rPr>
          <w:rFonts w:asciiTheme="majorBidi" w:hAnsiTheme="majorBidi" w:cstheme="majorBidi"/>
          <w:sz w:val="24"/>
          <w:szCs w:val="24"/>
        </w:rPr>
        <w:t xml:space="preserve"> Paris, </w:t>
      </w:r>
      <w:r w:rsidRPr="003B46A2">
        <w:rPr>
          <w:rFonts w:asciiTheme="majorBidi" w:hAnsiTheme="majorBidi" w:cstheme="majorBidi"/>
          <w:sz w:val="24"/>
          <w:szCs w:val="24"/>
        </w:rPr>
        <w:t>1983.</w:t>
      </w:r>
    </w:p>
    <w:p w:rsidR="00316218" w:rsidRPr="003B46A2" w:rsidRDefault="00316218" w:rsidP="005B4AD2">
      <w:pPr>
        <w:spacing w:after="0" w:line="360" w:lineRule="auto"/>
        <w:jc w:val="both"/>
        <w:rPr>
          <w:rFonts w:asciiTheme="majorBidi" w:hAnsiTheme="majorBidi" w:cstheme="majorBidi"/>
          <w:sz w:val="24"/>
          <w:szCs w:val="24"/>
        </w:rPr>
      </w:pPr>
      <w:r w:rsidRPr="003B46A2">
        <w:rPr>
          <w:rFonts w:asciiTheme="majorBidi" w:hAnsiTheme="majorBidi" w:cstheme="majorBidi"/>
          <w:sz w:val="24"/>
          <w:szCs w:val="24"/>
        </w:rPr>
        <w:t xml:space="preserve">KAEMPLER, J &amp; MICHELI, R., </w:t>
      </w:r>
      <w:r w:rsidRPr="003B46A2">
        <w:rPr>
          <w:rFonts w:asciiTheme="majorBidi" w:hAnsiTheme="majorBidi" w:cstheme="majorBidi"/>
          <w:i/>
          <w:sz w:val="24"/>
          <w:szCs w:val="24"/>
        </w:rPr>
        <w:t>La temporalité Narrative</w:t>
      </w:r>
      <w:r w:rsidRPr="003B46A2">
        <w:rPr>
          <w:rFonts w:asciiTheme="majorBidi" w:hAnsiTheme="majorBidi" w:cstheme="majorBidi"/>
          <w:sz w:val="24"/>
          <w:szCs w:val="24"/>
        </w:rPr>
        <w:t>, Section de Français, Université de Lausanne, 2005.</w:t>
      </w:r>
    </w:p>
    <w:p w:rsidR="00316218" w:rsidRPr="003B46A2" w:rsidRDefault="00316218" w:rsidP="00E231DA">
      <w:pPr>
        <w:spacing w:after="0" w:line="360" w:lineRule="auto"/>
        <w:jc w:val="both"/>
        <w:rPr>
          <w:rFonts w:asciiTheme="majorBidi" w:hAnsiTheme="majorBidi" w:cstheme="majorBidi"/>
          <w:i/>
          <w:iCs/>
          <w:sz w:val="24"/>
          <w:szCs w:val="24"/>
          <w:lang w:eastAsia="fr-FR"/>
        </w:rPr>
      </w:pPr>
      <w:r w:rsidRPr="003B46A2">
        <w:rPr>
          <w:rFonts w:asciiTheme="majorBidi" w:hAnsiTheme="majorBidi" w:cstheme="majorBidi"/>
          <w:sz w:val="24"/>
          <w:szCs w:val="24"/>
          <w:lang w:eastAsia="fr-FR"/>
        </w:rPr>
        <w:t xml:space="preserve">HAMON, Ph.,  </w:t>
      </w:r>
      <w:r w:rsidRPr="003B46A2">
        <w:rPr>
          <w:rFonts w:asciiTheme="majorBidi" w:hAnsiTheme="majorBidi" w:cstheme="majorBidi"/>
          <w:i/>
          <w:iCs/>
          <w:sz w:val="24"/>
          <w:szCs w:val="24"/>
          <w:lang w:eastAsia="fr-FR"/>
        </w:rPr>
        <w:t>Pour un statut sémiologique du personnage, i</w:t>
      </w:r>
      <w:r w:rsidRPr="003B46A2">
        <w:rPr>
          <w:rFonts w:asciiTheme="majorBidi" w:hAnsiTheme="majorBidi" w:cstheme="majorBidi"/>
          <w:sz w:val="24"/>
          <w:szCs w:val="24"/>
          <w:lang w:eastAsia="fr-FR"/>
        </w:rPr>
        <w:t xml:space="preserve">n </w:t>
      </w:r>
      <w:r w:rsidRPr="003B46A2">
        <w:rPr>
          <w:rFonts w:asciiTheme="majorBidi" w:hAnsiTheme="majorBidi" w:cstheme="majorBidi"/>
          <w:i/>
          <w:iCs/>
          <w:sz w:val="24"/>
          <w:szCs w:val="24"/>
          <w:lang w:eastAsia="fr-FR"/>
        </w:rPr>
        <w:t xml:space="preserve">Poétique du Récit,  </w:t>
      </w:r>
      <w:r w:rsidR="00E231DA" w:rsidRPr="003B46A2">
        <w:rPr>
          <w:rFonts w:asciiTheme="majorBidi" w:hAnsiTheme="majorBidi" w:cstheme="majorBidi"/>
          <w:sz w:val="24"/>
          <w:szCs w:val="24"/>
          <w:lang w:eastAsia="fr-FR"/>
        </w:rPr>
        <w:t>Seuil</w:t>
      </w:r>
      <w:r w:rsidR="00E231DA">
        <w:rPr>
          <w:rFonts w:asciiTheme="majorBidi" w:hAnsiTheme="majorBidi" w:cstheme="majorBidi"/>
          <w:sz w:val="24"/>
          <w:szCs w:val="24"/>
          <w:lang w:eastAsia="fr-FR"/>
        </w:rPr>
        <w:t xml:space="preserve">, </w:t>
      </w:r>
      <w:r w:rsidRPr="003B46A2">
        <w:rPr>
          <w:rFonts w:asciiTheme="majorBidi" w:hAnsiTheme="majorBidi" w:cstheme="majorBidi"/>
          <w:sz w:val="24"/>
          <w:szCs w:val="24"/>
          <w:lang w:eastAsia="fr-FR"/>
        </w:rPr>
        <w:t>Paris, 1997.</w:t>
      </w:r>
    </w:p>
    <w:p w:rsidR="00316218" w:rsidRPr="003B46A2" w:rsidRDefault="00316218" w:rsidP="00E231DA">
      <w:pPr>
        <w:spacing w:after="0" w:line="360" w:lineRule="auto"/>
        <w:jc w:val="both"/>
        <w:rPr>
          <w:rFonts w:asciiTheme="majorBidi" w:hAnsiTheme="majorBidi" w:cstheme="majorBidi"/>
          <w:sz w:val="24"/>
          <w:szCs w:val="24"/>
          <w:lang w:eastAsia="fr-FR"/>
        </w:rPr>
      </w:pPr>
      <w:r w:rsidRPr="003B46A2">
        <w:rPr>
          <w:rFonts w:asciiTheme="majorBidi" w:hAnsiTheme="majorBidi" w:cstheme="majorBidi"/>
          <w:sz w:val="24"/>
          <w:szCs w:val="24"/>
          <w:u w:val="single"/>
          <w:lang w:eastAsia="fr-FR"/>
        </w:rPr>
        <w:t xml:space="preserve">                      </w:t>
      </w:r>
      <w:r w:rsidRPr="003B46A2">
        <w:rPr>
          <w:rFonts w:asciiTheme="majorBidi" w:hAnsiTheme="majorBidi" w:cstheme="majorBidi"/>
          <w:sz w:val="24"/>
          <w:szCs w:val="24"/>
          <w:lang w:eastAsia="fr-FR"/>
        </w:rPr>
        <w:t xml:space="preserve">,  </w:t>
      </w:r>
      <w:r w:rsidRPr="003B46A2">
        <w:rPr>
          <w:rFonts w:asciiTheme="majorBidi" w:hAnsiTheme="majorBidi" w:cstheme="majorBidi"/>
          <w:i/>
          <w:iCs/>
          <w:sz w:val="24"/>
          <w:szCs w:val="24"/>
          <w:lang w:eastAsia="fr-FR"/>
        </w:rPr>
        <w:t>Le personnel du roman,</w:t>
      </w:r>
      <w:r w:rsidRPr="003B46A2">
        <w:rPr>
          <w:rFonts w:asciiTheme="majorBidi" w:hAnsiTheme="majorBidi" w:cstheme="majorBidi"/>
          <w:sz w:val="24"/>
          <w:szCs w:val="24"/>
          <w:lang w:eastAsia="fr-FR"/>
        </w:rPr>
        <w:t xml:space="preserve"> </w:t>
      </w:r>
      <w:r w:rsidR="00E231DA" w:rsidRPr="003B46A2">
        <w:rPr>
          <w:rFonts w:asciiTheme="majorBidi" w:hAnsiTheme="majorBidi" w:cstheme="majorBidi"/>
          <w:sz w:val="24"/>
          <w:szCs w:val="24"/>
          <w:lang w:eastAsia="fr-FR"/>
        </w:rPr>
        <w:t>Librairie Droz S.A</w:t>
      </w:r>
      <w:r w:rsidR="00E231DA">
        <w:rPr>
          <w:rFonts w:asciiTheme="majorBidi" w:hAnsiTheme="majorBidi" w:cstheme="majorBidi"/>
          <w:sz w:val="24"/>
          <w:szCs w:val="24"/>
          <w:lang w:eastAsia="fr-FR"/>
        </w:rPr>
        <w:t xml:space="preserve">, </w:t>
      </w:r>
      <w:r w:rsidRPr="003B46A2">
        <w:rPr>
          <w:rFonts w:asciiTheme="majorBidi" w:hAnsiTheme="majorBidi" w:cstheme="majorBidi"/>
          <w:sz w:val="24"/>
          <w:szCs w:val="24"/>
          <w:lang w:eastAsia="fr-FR"/>
        </w:rPr>
        <w:t>Genève, 1998.</w:t>
      </w:r>
    </w:p>
    <w:p w:rsidR="00316218" w:rsidRPr="005B4AD2" w:rsidRDefault="00316218" w:rsidP="005B4AD2">
      <w:pPr>
        <w:spacing w:after="0" w:line="360" w:lineRule="auto"/>
        <w:jc w:val="both"/>
        <w:rPr>
          <w:rFonts w:asciiTheme="majorBidi" w:hAnsiTheme="majorBidi" w:cstheme="majorBidi"/>
          <w:sz w:val="24"/>
          <w:szCs w:val="24"/>
          <w:lang w:eastAsia="fr-FR"/>
        </w:rPr>
      </w:pPr>
      <w:r w:rsidRPr="005B4AD2">
        <w:rPr>
          <w:rFonts w:asciiTheme="majorBidi" w:hAnsiTheme="majorBidi" w:cstheme="majorBidi"/>
          <w:sz w:val="24"/>
          <w:szCs w:val="24"/>
        </w:rPr>
        <w:t>LELEU-MERVIEL, S., « Nouvelles écritures de théâtre. Le texte est tout le problème...», </w:t>
      </w:r>
      <w:r w:rsidRPr="005B4AD2">
        <w:rPr>
          <w:rFonts w:asciiTheme="majorBidi" w:hAnsiTheme="majorBidi" w:cstheme="majorBidi"/>
          <w:i/>
          <w:iCs/>
          <w:sz w:val="24"/>
          <w:szCs w:val="24"/>
        </w:rPr>
        <w:t>Document numérique</w:t>
      </w:r>
      <w:r w:rsidRPr="005B4AD2">
        <w:rPr>
          <w:rFonts w:asciiTheme="majorBidi" w:hAnsiTheme="majorBidi" w:cstheme="majorBidi"/>
          <w:sz w:val="24"/>
          <w:szCs w:val="24"/>
        </w:rPr>
        <w:t xml:space="preserve"> 1/2001 (Vol. 5).</w:t>
      </w:r>
    </w:p>
    <w:p w:rsidR="00316218" w:rsidRPr="005B4AD2" w:rsidRDefault="00316218" w:rsidP="00E231DA">
      <w:pPr>
        <w:spacing w:after="0" w:line="360" w:lineRule="auto"/>
        <w:jc w:val="both"/>
        <w:rPr>
          <w:rFonts w:asciiTheme="majorBidi" w:hAnsiTheme="majorBidi" w:cstheme="majorBidi"/>
          <w:i/>
          <w:iCs/>
          <w:sz w:val="24"/>
          <w:szCs w:val="24"/>
          <w:lang w:eastAsia="fr-FR"/>
        </w:rPr>
      </w:pPr>
      <w:r w:rsidRPr="005B4AD2">
        <w:rPr>
          <w:rStyle w:val="reference-text"/>
          <w:rFonts w:asciiTheme="majorBidi" w:hAnsiTheme="majorBidi" w:cstheme="majorBidi"/>
          <w:sz w:val="24"/>
          <w:szCs w:val="24"/>
        </w:rPr>
        <w:t xml:space="preserve">MATHIEU-COLAS, M., « Frontières de la narratologie », in </w:t>
      </w:r>
      <w:r w:rsidRPr="005B4AD2">
        <w:rPr>
          <w:rStyle w:val="reference-text"/>
          <w:rFonts w:asciiTheme="majorBidi" w:hAnsiTheme="majorBidi" w:cstheme="majorBidi"/>
          <w:i/>
          <w:iCs/>
          <w:sz w:val="24"/>
          <w:szCs w:val="24"/>
        </w:rPr>
        <w:t>Poétique</w:t>
      </w:r>
      <w:r w:rsidRPr="005B4AD2">
        <w:rPr>
          <w:rStyle w:val="reference-text"/>
          <w:rFonts w:asciiTheme="majorBidi" w:hAnsiTheme="majorBidi" w:cstheme="majorBidi"/>
          <w:sz w:val="24"/>
          <w:szCs w:val="24"/>
        </w:rPr>
        <w:t xml:space="preserve"> N</w:t>
      </w:r>
      <w:r w:rsidRPr="005B4AD2">
        <w:rPr>
          <w:rStyle w:val="reference-text"/>
          <w:rFonts w:asciiTheme="majorBidi" w:hAnsiTheme="majorBidi" w:cstheme="majorBidi"/>
          <w:sz w:val="24"/>
          <w:szCs w:val="24"/>
          <w:vertAlign w:val="superscript"/>
        </w:rPr>
        <w:t>0</w:t>
      </w:r>
      <w:r w:rsidRPr="005B4AD2">
        <w:rPr>
          <w:rStyle w:val="reference-text"/>
          <w:rFonts w:asciiTheme="majorBidi" w:hAnsiTheme="majorBidi" w:cstheme="majorBidi"/>
          <w:sz w:val="24"/>
          <w:szCs w:val="24"/>
        </w:rPr>
        <w:t xml:space="preserve">65, </w:t>
      </w:r>
      <w:r w:rsidR="00E231DA" w:rsidRPr="005B4AD2">
        <w:rPr>
          <w:rStyle w:val="reference-text"/>
          <w:rFonts w:asciiTheme="majorBidi" w:hAnsiTheme="majorBidi" w:cstheme="majorBidi"/>
          <w:sz w:val="24"/>
          <w:szCs w:val="24"/>
        </w:rPr>
        <w:t>Seuil</w:t>
      </w:r>
      <w:r w:rsidR="00E231DA">
        <w:rPr>
          <w:rStyle w:val="reference-text"/>
          <w:rFonts w:asciiTheme="majorBidi" w:hAnsiTheme="majorBidi" w:cstheme="majorBidi"/>
          <w:sz w:val="24"/>
          <w:szCs w:val="24"/>
        </w:rPr>
        <w:t xml:space="preserve">, </w:t>
      </w:r>
      <w:r w:rsidRPr="005B4AD2">
        <w:rPr>
          <w:rStyle w:val="reference-text"/>
          <w:rFonts w:asciiTheme="majorBidi" w:hAnsiTheme="majorBidi" w:cstheme="majorBidi"/>
          <w:sz w:val="24"/>
          <w:szCs w:val="24"/>
        </w:rPr>
        <w:t xml:space="preserve">Paris, 1986. </w:t>
      </w:r>
      <w:r w:rsidRPr="005B4AD2">
        <w:rPr>
          <w:rFonts w:asciiTheme="majorBidi" w:hAnsiTheme="majorBidi" w:cstheme="majorBidi"/>
          <w:i/>
          <w:iCs/>
          <w:sz w:val="24"/>
          <w:szCs w:val="24"/>
          <w:lang w:eastAsia="fr-FR"/>
        </w:rPr>
        <w:t xml:space="preserve">  </w:t>
      </w:r>
    </w:p>
    <w:p w:rsidR="00316218" w:rsidRPr="00615689" w:rsidRDefault="00316218" w:rsidP="00E231DA">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MIBALA ZÉ, B., </w:t>
      </w:r>
      <w:r w:rsidRPr="00615689">
        <w:rPr>
          <w:rFonts w:asciiTheme="majorBidi" w:hAnsiTheme="majorBidi" w:cstheme="majorBidi"/>
          <w:i/>
          <w:sz w:val="24"/>
          <w:szCs w:val="24"/>
        </w:rPr>
        <w:t>La Narratologie revisitée, entre Antée et Protée,</w:t>
      </w:r>
      <w:r w:rsidRPr="00615689">
        <w:rPr>
          <w:rFonts w:asciiTheme="majorBidi" w:hAnsiTheme="majorBidi" w:cstheme="majorBidi"/>
          <w:sz w:val="24"/>
          <w:szCs w:val="24"/>
        </w:rPr>
        <w:t xml:space="preserve"> </w:t>
      </w:r>
      <w:r w:rsidR="00E231DA" w:rsidRPr="00615689">
        <w:rPr>
          <w:rFonts w:asciiTheme="majorBidi" w:hAnsiTheme="majorBidi" w:cstheme="majorBidi"/>
          <w:sz w:val="24"/>
          <w:szCs w:val="24"/>
        </w:rPr>
        <w:t>PUY</w:t>
      </w:r>
      <w:r w:rsidR="00E231DA">
        <w:rPr>
          <w:rFonts w:asciiTheme="majorBidi" w:hAnsiTheme="majorBidi" w:cstheme="majorBidi"/>
          <w:sz w:val="24"/>
          <w:szCs w:val="24"/>
        </w:rPr>
        <w:t xml:space="preserve">, </w:t>
      </w:r>
      <w:r w:rsidRPr="00615689">
        <w:rPr>
          <w:rFonts w:asciiTheme="majorBidi" w:hAnsiTheme="majorBidi" w:cstheme="majorBidi"/>
          <w:sz w:val="24"/>
          <w:szCs w:val="24"/>
        </w:rPr>
        <w:t>Yaoundé, 2001.</w:t>
      </w:r>
    </w:p>
    <w:p w:rsidR="00316218" w:rsidRPr="005B4AD2" w:rsidRDefault="00316218" w:rsidP="005B4AD2">
      <w:pPr>
        <w:spacing w:after="0" w:line="360" w:lineRule="auto"/>
        <w:jc w:val="both"/>
        <w:rPr>
          <w:rFonts w:asciiTheme="majorBidi" w:hAnsiTheme="majorBidi" w:cstheme="majorBidi"/>
          <w:sz w:val="24"/>
          <w:szCs w:val="24"/>
        </w:rPr>
      </w:pPr>
      <w:r w:rsidRPr="005B4AD2">
        <w:rPr>
          <w:rFonts w:asciiTheme="majorBidi" w:hAnsiTheme="majorBidi" w:cstheme="majorBidi"/>
          <w:sz w:val="24"/>
          <w:szCs w:val="24"/>
        </w:rPr>
        <w:t xml:space="preserve">PAWLIEZ, M., « Narratologie et étude du personnage : un cas de figure. Caractérisation dans Dis-moi que je vis de Michèle Mailho » in </w:t>
      </w:r>
      <w:r w:rsidRPr="005B4AD2">
        <w:rPr>
          <w:rFonts w:asciiTheme="majorBidi" w:hAnsiTheme="majorBidi" w:cstheme="majorBidi"/>
          <w:i/>
          <w:sz w:val="24"/>
          <w:szCs w:val="24"/>
        </w:rPr>
        <w:t>Revue internationale d’études canadiennes</w:t>
      </w:r>
      <w:r w:rsidRPr="005B4AD2">
        <w:rPr>
          <w:rFonts w:asciiTheme="majorBidi" w:hAnsiTheme="majorBidi" w:cstheme="majorBidi"/>
          <w:sz w:val="24"/>
          <w:szCs w:val="24"/>
        </w:rPr>
        <w:t>, Numéro 43, 2011.</w:t>
      </w:r>
    </w:p>
    <w:p w:rsidR="00316218" w:rsidRPr="005B4AD2" w:rsidRDefault="00316218" w:rsidP="00E231DA">
      <w:pPr>
        <w:spacing w:after="0" w:line="360" w:lineRule="auto"/>
        <w:jc w:val="both"/>
        <w:rPr>
          <w:rFonts w:asciiTheme="majorBidi" w:hAnsiTheme="majorBidi" w:cstheme="majorBidi"/>
          <w:sz w:val="24"/>
          <w:szCs w:val="24"/>
        </w:rPr>
      </w:pPr>
      <w:r w:rsidRPr="005B4AD2">
        <w:rPr>
          <w:rFonts w:asciiTheme="majorBidi" w:eastAsia="Times New Roman" w:hAnsiTheme="majorBidi" w:cstheme="majorBidi"/>
          <w:sz w:val="24"/>
          <w:szCs w:val="24"/>
        </w:rPr>
        <w:t xml:space="preserve">PROPP, V., </w:t>
      </w:r>
      <w:r w:rsidRPr="005B4AD2">
        <w:rPr>
          <w:rFonts w:asciiTheme="majorBidi" w:eastAsia="Times New Roman" w:hAnsiTheme="majorBidi" w:cstheme="majorBidi"/>
          <w:i/>
          <w:iCs/>
          <w:sz w:val="24"/>
          <w:szCs w:val="24"/>
        </w:rPr>
        <w:t>Morphologie du conte</w:t>
      </w:r>
      <w:r w:rsidRPr="005B4AD2">
        <w:rPr>
          <w:rFonts w:asciiTheme="majorBidi" w:eastAsia="Times New Roman" w:hAnsiTheme="majorBidi" w:cstheme="majorBidi"/>
          <w:sz w:val="24"/>
          <w:szCs w:val="24"/>
        </w:rPr>
        <w:t xml:space="preserve">, </w:t>
      </w:r>
      <w:r w:rsidR="00E231DA" w:rsidRPr="005B4AD2">
        <w:rPr>
          <w:rFonts w:asciiTheme="majorBidi" w:eastAsia="Times New Roman" w:hAnsiTheme="majorBidi" w:cstheme="majorBidi"/>
          <w:sz w:val="24"/>
          <w:szCs w:val="24"/>
        </w:rPr>
        <w:t>Seuil</w:t>
      </w:r>
      <w:r w:rsidR="00E231DA">
        <w:rPr>
          <w:rFonts w:asciiTheme="majorBidi" w:eastAsia="Times New Roman" w:hAnsiTheme="majorBidi" w:cstheme="majorBidi"/>
          <w:sz w:val="24"/>
          <w:szCs w:val="24"/>
        </w:rPr>
        <w:t xml:space="preserve">, </w:t>
      </w:r>
      <w:r w:rsidRPr="005B4AD2">
        <w:rPr>
          <w:rFonts w:asciiTheme="majorBidi" w:eastAsia="Times New Roman" w:hAnsiTheme="majorBidi" w:cstheme="majorBidi"/>
          <w:sz w:val="24"/>
          <w:szCs w:val="24"/>
        </w:rPr>
        <w:t>Paris, 1970.</w:t>
      </w:r>
    </w:p>
    <w:p w:rsidR="00316218" w:rsidRPr="005B4AD2" w:rsidRDefault="00316218" w:rsidP="00E231DA">
      <w:pPr>
        <w:spacing w:after="0" w:line="360" w:lineRule="auto"/>
        <w:jc w:val="both"/>
        <w:rPr>
          <w:rFonts w:asciiTheme="majorBidi" w:hAnsiTheme="majorBidi" w:cstheme="majorBidi"/>
          <w:sz w:val="24"/>
          <w:szCs w:val="24"/>
          <w:lang w:eastAsia="fr-FR"/>
        </w:rPr>
      </w:pPr>
      <w:r w:rsidRPr="005B4AD2">
        <w:rPr>
          <w:rFonts w:asciiTheme="majorBidi" w:hAnsiTheme="majorBidi" w:cstheme="majorBidi"/>
          <w:sz w:val="24"/>
          <w:szCs w:val="24"/>
          <w:lang w:eastAsia="fr-FR"/>
        </w:rPr>
        <w:t xml:space="preserve">RIFFATERE, M., </w:t>
      </w:r>
      <w:r w:rsidRPr="005B4AD2">
        <w:rPr>
          <w:rFonts w:asciiTheme="majorBidi" w:hAnsiTheme="majorBidi" w:cstheme="majorBidi"/>
          <w:i/>
          <w:iCs/>
          <w:sz w:val="24"/>
          <w:szCs w:val="24"/>
          <w:lang w:eastAsia="fr-FR"/>
        </w:rPr>
        <w:t>La production du texte,</w:t>
      </w:r>
      <w:r w:rsidRPr="005B4AD2">
        <w:rPr>
          <w:rFonts w:asciiTheme="majorBidi" w:hAnsiTheme="majorBidi" w:cstheme="majorBidi"/>
          <w:sz w:val="24"/>
          <w:szCs w:val="24"/>
          <w:lang w:eastAsia="fr-FR"/>
        </w:rPr>
        <w:t xml:space="preserve"> </w:t>
      </w:r>
      <w:r w:rsidR="00E231DA" w:rsidRPr="005B4AD2">
        <w:rPr>
          <w:rFonts w:asciiTheme="majorBidi" w:hAnsiTheme="majorBidi" w:cstheme="majorBidi"/>
          <w:sz w:val="24"/>
          <w:szCs w:val="24"/>
          <w:lang w:eastAsia="fr-FR"/>
        </w:rPr>
        <w:t>Seuil</w:t>
      </w:r>
      <w:r w:rsidR="00E231DA">
        <w:rPr>
          <w:rFonts w:asciiTheme="majorBidi" w:hAnsiTheme="majorBidi" w:cstheme="majorBidi"/>
          <w:sz w:val="24"/>
          <w:szCs w:val="24"/>
          <w:lang w:eastAsia="fr-FR"/>
        </w:rPr>
        <w:t xml:space="preserve">, </w:t>
      </w:r>
      <w:r w:rsidRPr="005B4AD2">
        <w:rPr>
          <w:rFonts w:asciiTheme="majorBidi" w:hAnsiTheme="majorBidi" w:cstheme="majorBidi"/>
          <w:sz w:val="24"/>
          <w:szCs w:val="24"/>
          <w:lang w:eastAsia="fr-FR"/>
        </w:rPr>
        <w:t xml:space="preserve">Paris, 1980. </w:t>
      </w:r>
    </w:p>
    <w:p w:rsidR="00316218" w:rsidRPr="005B4AD2" w:rsidRDefault="00316218" w:rsidP="00E231DA">
      <w:pPr>
        <w:spacing w:after="0" w:line="360" w:lineRule="auto"/>
        <w:jc w:val="both"/>
        <w:rPr>
          <w:rFonts w:asciiTheme="majorBidi" w:hAnsiTheme="majorBidi" w:cstheme="majorBidi"/>
          <w:sz w:val="24"/>
          <w:szCs w:val="24"/>
        </w:rPr>
      </w:pPr>
      <w:r w:rsidRPr="005B4AD2">
        <w:rPr>
          <w:rFonts w:asciiTheme="majorBidi" w:hAnsiTheme="majorBidi" w:cstheme="majorBidi"/>
          <w:sz w:val="24"/>
          <w:szCs w:val="24"/>
        </w:rPr>
        <w:t xml:space="preserve">SADOULET, E. L., </w:t>
      </w:r>
      <w:r w:rsidRPr="005B4AD2">
        <w:rPr>
          <w:rFonts w:asciiTheme="majorBidi" w:hAnsiTheme="majorBidi" w:cstheme="majorBidi"/>
          <w:i/>
          <w:iCs/>
          <w:sz w:val="24"/>
          <w:szCs w:val="24"/>
        </w:rPr>
        <w:t>Temps et récit dans l’œuvre romanesque de G. Bernanos</w:t>
      </w:r>
      <w:r w:rsidRPr="005B4AD2">
        <w:rPr>
          <w:rFonts w:asciiTheme="majorBidi" w:hAnsiTheme="majorBidi" w:cstheme="majorBidi"/>
          <w:sz w:val="24"/>
          <w:szCs w:val="24"/>
        </w:rPr>
        <w:t xml:space="preserve">, </w:t>
      </w:r>
      <w:r w:rsidR="00E231DA" w:rsidRPr="005B4AD2">
        <w:rPr>
          <w:rFonts w:asciiTheme="majorBidi" w:hAnsiTheme="majorBidi" w:cstheme="majorBidi"/>
          <w:sz w:val="24"/>
          <w:szCs w:val="24"/>
        </w:rPr>
        <w:t>Klincksiek</w:t>
      </w:r>
      <w:r w:rsidR="00E231DA">
        <w:rPr>
          <w:rFonts w:asciiTheme="majorBidi" w:hAnsiTheme="majorBidi" w:cstheme="majorBidi"/>
          <w:sz w:val="24"/>
          <w:szCs w:val="24"/>
        </w:rPr>
        <w:t xml:space="preserve">, </w:t>
      </w:r>
      <w:r w:rsidRPr="005B4AD2">
        <w:rPr>
          <w:rFonts w:asciiTheme="majorBidi" w:hAnsiTheme="majorBidi" w:cstheme="majorBidi"/>
          <w:sz w:val="24"/>
          <w:szCs w:val="24"/>
        </w:rPr>
        <w:t>Paris, 1988.</w:t>
      </w:r>
      <w:r w:rsidRPr="005B4AD2">
        <w:rPr>
          <w:rFonts w:asciiTheme="majorBidi" w:hAnsiTheme="majorBidi" w:cstheme="majorBidi"/>
          <w:i/>
          <w:iCs/>
          <w:sz w:val="24"/>
          <w:szCs w:val="24"/>
          <w:lang w:eastAsia="fr-FR"/>
        </w:rPr>
        <w:t xml:space="preserve"> </w:t>
      </w:r>
      <w:r w:rsidRPr="005B4AD2">
        <w:rPr>
          <w:rFonts w:asciiTheme="majorBidi" w:hAnsiTheme="majorBidi" w:cstheme="majorBidi"/>
          <w:sz w:val="24"/>
          <w:szCs w:val="24"/>
          <w:lang w:eastAsia="fr-FR"/>
        </w:rPr>
        <w:t xml:space="preserve"> </w:t>
      </w:r>
    </w:p>
    <w:p w:rsidR="00316218" w:rsidRPr="005B4AD2" w:rsidRDefault="00316218" w:rsidP="00E231DA">
      <w:pPr>
        <w:spacing w:after="0" w:line="360" w:lineRule="auto"/>
        <w:jc w:val="both"/>
        <w:rPr>
          <w:rFonts w:asciiTheme="majorBidi" w:hAnsiTheme="majorBidi" w:cstheme="majorBidi"/>
          <w:sz w:val="24"/>
          <w:szCs w:val="24"/>
        </w:rPr>
      </w:pPr>
      <w:r w:rsidRPr="005B4AD2">
        <w:rPr>
          <w:rFonts w:asciiTheme="majorBidi" w:hAnsiTheme="majorBidi" w:cstheme="majorBidi"/>
          <w:sz w:val="24"/>
          <w:szCs w:val="24"/>
          <w:lang w:eastAsia="fr-FR"/>
        </w:rPr>
        <w:t xml:space="preserve">TODOROV, T., </w:t>
      </w:r>
      <w:r w:rsidRPr="005B4AD2">
        <w:rPr>
          <w:rFonts w:asciiTheme="majorBidi" w:hAnsiTheme="majorBidi" w:cstheme="majorBidi"/>
          <w:sz w:val="24"/>
          <w:szCs w:val="24"/>
        </w:rPr>
        <w:t xml:space="preserve">« Les catégories du récit littéraire », in </w:t>
      </w:r>
      <w:r w:rsidRPr="005B4AD2">
        <w:rPr>
          <w:rFonts w:asciiTheme="majorBidi" w:hAnsiTheme="majorBidi" w:cstheme="majorBidi"/>
          <w:i/>
          <w:sz w:val="24"/>
          <w:szCs w:val="24"/>
        </w:rPr>
        <w:t xml:space="preserve">Communication 8, </w:t>
      </w:r>
      <w:r w:rsidR="00E231DA" w:rsidRPr="005B4AD2">
        <w:rPr>
          <w:rFonts w:asciiTheme="majorBidi" w:hAnsiTheme="majorBidi" w:cstheme="majorBidi"/>
          <w:sz w:val="24"/>
          <w:szCs w:val="24"/>
        </w:rPr>
        <w:t>Seuil</w:t>
      </w:r>
      <w:r w:rsidR="00E231DA">
        <w:rPr>
          <w:rFonts w:asciiTheme="majorBidi" w:hAnsiTheme="majorBidi" w:cstheme="majorBidi"/>
          <w:sz w:val="24"/>
          <w:szCs w:val="24"/>
        </w:rPr>
        <w:t xml:space="preserve">, </w:t>
      </w:r>
      <w:r w:rsidRPr="005B4AD2">
        <w:rPr>
          <w:rFonts w:asciiTheme="majorBidi" w:hAnsiTheme="majorBidi" w:cstheme="majorBidi"/>
          <w:sz w:val="24"/>
          <w:szCs w:val="24"/>
        </w:rPr>
        <w:t>Paris, 1981.</w:t>
      </w:r>
    </w:p>
    <w:p w:rsidR="00316218" w:rsidRPr="005B4AD2" w:rsidRDefault="00316218" w:rsidP="005B4AD2">
      <w:pPr>
        <w:spacing w:after="0" w:line="360" w:lineRule="auto"/>
        <w:jc w:val="both"/>
        <w:rPr>
          <w:rFonts w:asciiTheme="majorBidi" w:hAnsiTheme="majorBidi" w:cstheme="majorBidi"/>
          <w:sz w:val="24"/>
          <w:szCs w:val="24"/>
          <w:lang w:val="it-IT" w:eastAsia="fr-FR"/>
        </w:rPr>
      </w:pPr>
      <w:r w:rsidRPr="005B4AD2">
        <w:rPr>
          <w:rFonts w:asciiTheme="majorBidi" w:hAnsiTheme="majorBidi" w:cstheme="majorBidi"/>
          <w:sz w:val="24"/>
          <w:szCs w:val="24"/>
        </w:rPr>
        <w:t xml:space="preserve">VIGEANT, Louise, </w:t>
      </w:r>
      <w:r w:rsidRPr="005B4AD2">
        <w:rPr>
          <w:rFonts w:asciiTheme="majorBidi" w:hAnsiTheme="majorBidi" w:cstheme="majorBidi"/>
          <w:i/>
          <w:sz w:val="24"/>
          <w:szCs w:val="24"/>
        </w:rPr>
        <w:t xml:space="preserve">Les objets de la </w:t>
      </w:r>
      <w:r w:rsidR="00BE1E32" w:rsidRPr="005B4AD2">
        <w:rPr>
          <w:rFonts w:asciiTheme="majorBidi" w:hAnsiTheme="majorBidi" w:cstheme="majorBidi"/>
          <w:i/>
          <w:sz w:val="24"/>
          <w:szCs w:val="24"/>
        </w:rPr>
        <w:t>sémiotique</w:t>
      </w:r>
      <w:r w:rsidRPr="005B4AD2">
        <w:rPr>
          <w:rFonts w:asciiTheme="majorBidi" w:hAnsiTheme="majorBidi" w:cstheme="majorBidi"/>
          <w:i/>
          <w:sz w:val="24"/>
          <w:szCs w:val="24"/>
        </w:rPr>
        <w:t xml:space="preserve"> théâtrale : le texte et le spectacle</w:t>
      </w:r>
      <w:r w:rsidRPr="005B4AD2">
        <w:rPr>
          <w:rFonts w:asciiTheme="majorBidi" w:hAnsiTheme="majorBidi" w:cstheme="majorBidi"/>
          <w:sz w:val="24"/>
          <w:szCs w:val="24"/>
        </w:rPr>
        <w:t>, Horizons philosophiques, vol.1, n° 1, 1990.</w:t>
      </w:r>
    </w:p>
    <w:p w:rsidR="007C36B0" w:rsidRDefault="007C36B0" w:rsidP="005B4AD2">
      <w:pPr>
        <w:spacing w:after="0" w:line="360" w:lineRule="auto"/>
        <w:jc w:val="both"/>
        <w:rPr>
          <w:rFonts w:asciiTheme="majorBidi" w:hAnsiTheme="majorBidi" w:cstheme="majorBidi"/>
          <w:b/>
          <w:bCs/>
          <w:sz w:val="24"/>
          <w:szCs w:val="24"/>
          <w:lang w:eastAsia="fr-FR"/>
        </w:rPr>
      </w:pPr>
    </w:p>
    <w:p w:rsidR="00316218" w:rsidRPr="009E2850" w:rsidRDefault="005B4AD2" w:rsidP="005B4AD2">
      <w:pPr>
        <w:spacing w:after="0" w:line="360" w:lineRule="auto"/>
        <w:jc w:val="both"/>
        <w:rPr>
          <w:rFonts w:asciiTheme="majorBidi" w:hAnsiTheme="majorBidi" w:cstheme="majorBidi"/>
          <w:b/>
          <w:bCs/>
          <w:sz w:val="24"/>
          <w:szCs w:val="24"/>
          <w:lang w:eastAsia="fr-FR"/>
        </w:rPr>
      </w:pPr>
      <w:r w:rsidRPr="009E2850">
        <w:rPr>
          <w:rFonts w:asciiTheme="majorBidi" w:hAnsiTheme="majorBidi" w:cstheme="majorBidi"/>
          <w:b/>
          <w:bCs/>
          <w:sz w:val="24"/>
          <w:szCs w:val="24"/>
          <w:lang w:eastAsia="fr-FR"/>
        </w:rPr>
        <w:t>Ouvrages s</w:t>
      </w:r>
      <w:r w:rsidR="00316218" w:rsidRPr="009E2850">
        <w:rPr>
          <w:rFonts w:asciiTheme="majorBidi" w:hAnsiTheme="majorBidi" w:cstheme="majorBidi"/>
          <w:b/>
          <w:bCs/>
          <w:sz w:val="24"/>
          <w:szCs w:val="24"/>
          <w:lang w:eastAsia="fr-FR"/>
        </w:rPr>
        <w:t>ur la sémiotique</w:t>
      </w:r>
      <w:r w:rsidR="00134243" w:rsidRPr="009E2850">
        <w:rPr>
          <w:rFonts w:asciiTheme="majorBidi" w:hAnsiTheme="majorBidi" w:cstheme="majorBidi"/>
          <w:b/>
          <w:bCs/>
          <w:sz w:val="24"/>
          <w:szCs w:val="24"/>
          <w:lang w:eastAsia="fr-FR"/>
        </w:rPr>
        <w:t xml:space="preserve"> </w:t>
      </w:r>
      <w:r w:rsidR="00EA15F8" w:rsidRPr="009E2850">
        <w:rPr>
          <w:rFonts w:asciiTheme="majorBidi" w:hAnsiTheme="majorBidi" w:cstheme="majorBidi"/>
          <w:b/>
          <w:bCs/>
          <w:sz w:val="24"/>
          <w:szCs w:val="24"/>
          <w:lang w:eastAsia="fr-FR"/>
        </w:rPr>
        <w:t xml:space="preserve">en </w:t>
      </w:r>
      <w:r w:rsidR="0032268B" w:rsidRPr="009E2850">
        <w:rPr>
          <w:rFonts w:asciiTheme="majorBidi" w:hAnsiTheme="majorBidi" w:cstheme="majorBidi"/>
          <w:b/>
          <w:bCs/>
          <w:sz w:val="24"/>
          <w:szCs w:val="24"/>
          <w:lang w:eastAsia="fr-FR"/>
        </w:rPr>
        <w:t>général</w:t>
      </w:r>
    </w:p>
    <w:p w:rsidR="00316218" w:rsidRPr="00615689" w:rsidRDefault="00316218" w:rsidP="009D69A3">
      <w:pPr>
        <w:pStyle w:val="Notedebasdepage"/>
        <w:spacing w:line="360" w:lineRule="auto"/>
        <w:jc w:val="both"/>
        <w:rPr>
          <w:rStyle w:val="FontStyle71"/>
          <w:rFonts w:asciiTheme="majorBidi" w:hAnsiTheme="majorBidi" w:cstheme="majorBidi"/>
          <w:iCs/>
          <w:sz w:val="24"/>
          <w:szCs w:val="24"/>
        </w:rPr>
      </w:pPr>
      <w:r w:rsidRPr="00615689">
        <w:rPr>
          <w:rFonts w:asciiTheme="majorBidi" w:hAnsiTheme="majorBidi" w:cstheme="majorBidi"/>
          <w:sz w:val="24"/>
          <w:szCs w:val="24"/>
        </w:rPr>
        <w:t xml:space="preserve">BAKHTINE, M., </w:t>
      </w:r>
      <w:r w:rsidRPr="00615689">
        <w:rPr>
          <w:rStyle w:val="FontStyle71"/>
          <w:rFonts w:asciiTheme="majorBidi" w:hAnsiTheme="majorBidi" w:cstheme="majorBidi"/>
          <w:i/>
          <w:iCs/>
          <w:sz w:val="24"/>
          <w:szCs w:val="24"/>
        </w:rPr>
        <w:t xml:space="preserve">La poétique de Dostoïevski, </w:t>
      </w:r>
      <w:r w:rsidR="009D69A3" w:rsidRPr="00615689">
        <w:rPr>
          <w:rStyle w:val="FontStyle71"/>
          <w:rFonts w:asciiTheme="majorBidi" w:hAnsiTheme="majorBidi" w:cstheme="majorBidi"/>
          <w:iCs/>
          <w:sz w:val="24"/>
          <w:szCs w:val="24"/>
        </w:rPr>
        <w:t>Seuil</w:t>
      </w:r>
      <w:r w:rsidR="009D69A3">
        <w:rPr>
          <w:rStyle w:val="FontStyle71"/>
          <w:rFonts w:asciiTheme="majorBidi" w:hAnsiTheme="majorBidi" w:cstheme="majorBidi"/>
          <w:iCs/>
          <w:sz w:val="24"/>
          <w:szCs w:val="24"/>
        </w:rPr>
        <w:t xml:space="preserve">, </w:t>
      </w:r>
      <w:r w:rsidRPr="00615689">
        <w:rPr>
          <w:rStyle w:val="FontStyle71"/>
          <w:rFonts w:asciiTheme="majorBidi" w:hAnsiTheme="majorBidi" w:cstheme="majorBidi"/>
          <w:sz w:val="24"/>
          <w:szCs w:val="24"/>
        </w:rPr>
        <w:t>Paris</w:t>
      </w:r>
      <w:r w:rsidRPr="00615689">
        <w:rPr>
          <w:rStyle w:val="FontStyle71"/>
          <w:rFonts w:asciiTheme="majorBidi" w:hAnsiTheme="majorBidi" w:cstheme="majorBidi"/>
          <w:iCs/>
          <w:sz w:val="24"/>
          <w:szCs w:val="24"/>
        </w:rPr>
        <w:t>, 1970.</w:t>
      </w:r>
    </w:p>
    <w:p w:rsidR="00316218" w:rsidRPr="005B4AD2" w:rsidRDefault="00316218" w:rsidP="009D69A3">
      <w:pPr>
        <w:spacing w:after="0" w:line="360" w:lineRule="auto"/>
        <w:jc w:val="both"/>
        <w:rPr>
          <w:rFonts w:asciiTheme="majorBidi" w:hAnsiTheme="majorBidi" w:cstheme="majorBidi"/>
          <w:sz w:val="24"/>
          <w:szCs w:val="24"/>
        </w:rPr>
      </w:pPr>
      <w:r w:rsidRPr="005B4AD2">
        <w:rPr>
          <w:rFonts w:asciiTheme="majorBidi" w:hAnsiTheme="majorBidi" w:cstheme="majorBidi"/>
          <w:sz w:val="24"/>
          <w:szCs w:val="24"/>
          <w:u w:val="single"/>
        </w:rPr>
        <w:t xml:space="preserve">                         </w:t>
      </w:r>
      <w:r w:rsidRPr="005B4AD2">
        <w:rPr>
          <w:rFonts w:asciiTheme="majorBidi" w:hAnsiTheme="majorBidi" w:cstheme="majorBidi"/>
          <w:sz w:val="24"/>
          <w:szCs w:val="24"/>
        </w:rPr>
        <w:t xml:space="preserve">, </w:t>
      </w:r>
      <w:r w:rsidRPr="005B4AD2">
        <w:rPr>
          <w:rFonts w:asciiTheme="majorBidi" w:hAnsiTheme="majorBidi" w:cstheme="majorBidi"/>
          <w:i/>
          <w:iCs/>
          <w:sz w:val="24"/>
          <w:szCs w:val="24"/>
        </w:rPr>
        <w:t>Esthétique et théorie du roman</w:t>
      </w:r>
      <w:r w:rsidRPr="005B4AD2">
        <w:rPr>
          <w:rFonts w:asciiTheme="majorBidi" w:hAnsiTheme="majorBidi" w:cstheme="majorBidi"/>
          <w:sz w:val="24"/>
          <w:szCs w:val="24"/>
        </w:rPr>
        <w:t xml:space="preserve">, </w:t>
      </w:r>
      <w:r w:rsidR="009D69A3" w:rsidRPr="005B4AD2">
        <w:rPr>
          <w:rFonts w:asciiTheme="majorBidi" w:hAnsiTheme="majorBidi" w:cstheme="majorBidi"/>
          <w:sz w:val="24"/>
          <w:szCs w:val="24"/>
        </w:rPr>
        <w:t>Gallimard</w:t>
      </w:r>
      <w:r w:rsidR="009D69A3">
        <w:rPr>
          <w:rFonts w:asciiTheme="majorBidi" w:hAnsiTheme="majorBidi" w:cstheme="majorBidi"/>
          <w:sz w:val="24"/>
          <w:szCs w:val="24"/>
        </w:rPr>
        <w:t xml:space="preserve">, </w:t>
      </w:r>
      <w:r w:rsidRPr="005B4AD2">
        <w:rPr>
          <w:rFonts w:asciiTheme="majorBidi" w:hAnsiTheme="majorBidi" w:cstheme="majorBidi"/>
          <w:sz w:val="24"/>
          <w:szCs w:val="24"/>
        </w:rPr>
        <w:t>Paris, 1988.</w:t>
      </w:r>
    </w:p>
    <w:p w:rsidR="00316218" w:rsidRPr="005B4AD2" w:rsidRDefault="00316218" w:rsidP="009D69A3">
      <w:pPr>
        <w:spacing w:after="0" w:line="360" w:lineRule="auto"/>
        <w:jc w:val="both"/>
        <w:rPr>
          <w:rStyle w:val="FontStyle71"/>
          <w:rFonts w:asciiTheme="majorBidi" w:hAnsiTheme="majorBidi" w:cstheme="majorBidi"/>
          <w:sz w:val="24"/>
          <w:szCs w:val="24"/>
        </w:rPr>
      </w:pPr>
      <w:r w:rsidRPr="005B4AD2">
        <w:rPr>
          <w:rFonts w:asciiTheme="majorBidi" w:hAnsiTheme="majorBidi" w:cstheme="majorBidi"/>
          <w:sz w:val="24"/>
          <w:szCs w:val="24"/>
          <w:u w:val="single"/>
        </w:rPr>
        <w:t xml:space="preserve">                         </w:t>
      </w:r>
      <w:r w:rsidRPr="005B4AD2">
        <w:rPr>
          <w:rStyle w:val="FontStyle71"/>
          <w:rFonts w:asciiTheme="majorBidi" w:hAnsiTheme="majorBidi" w:cstheme="majorBidi"/>
          <w:sz w:val="24"/>
          <w:szCs w:val="24"/>
        </w:rPr>
        <w:t>,</w:t>
      </w:r>
      <w:r w:rsidRPr="005B4AD2">
        <w:rPr>
          <w:rStyle w:val="FontStyle71"/>
          <w:rFonts w:asciiTheme="majorBidi" w:hAnsiTheme="majorBidi" w:cstheme="majorBidi"/>
          <w:i/>
          <w:iCs/>
          <w:sz w:val="24"/>
          <w:szCs w:val="24"/>
        </w:rPr>
        <w:t xml:space="preserve"> L’Œuvre de François Rabelais et la culture populaire au Moyen Âge, </w:t>
      </w:r>
      <w:r w:rsidR="009D69A3" w:rsidRPr="005B4AD2">
        <w:rPr>
          <w:rStyle w:val="FontStyle71"/>
          <w:rFonts w:asciiTheme="majorBidi" w:hAnsiTheme="majorBidi" w:cstheme="majorBidi"/>
          <w:sz w:val="24"/>
          <w:szCs w:val="24"/>
        </w:rPr>
        <w:t>Gallimard</w:t>
      </w:r>
      <w:r w:rsidR="009D69A3">
        <w:rPr>
          <w:rStyle w:val="FontStyle71"/>
          <w:rFonts w:asciiTheme="majorBidi" w:hAnsiTheme="majorBidi" w:cstheme="majorBidi"/>
          <w:sz w:val="24"/>
          <w:szCs w:val="24"/>
        </w:rPr>
        <w:t xml:space="preserve">, </w:t>
      </w:r>
      <w:r w:rsidRPr="005B4AD2">
        <w:rPr>
          <w:rStyle w:val="FontStyle71"/>
          <w:rFonts w:asciiTheme="majorBidi" w:hAnsiTheme="majorBidi" w:cstheme="majorBidi"/>
          <w:sz w:val="24"/>
          <w:szCs w:val="24"/>
        </w:rPr>
        <w:t>Paris, 1982</w:t>
      </w:r>
      <w:r w:rsidR="009D69A3">
        <w:rPr>
          <w:rStyle w:val="FontStyle71"/>
          <w:rFonts w:asciiTheme="majorBidi" w:hAnsiTheme="majorBidi" w:cstheme="majorBidi"/>
          <w:sz w:val="24"/>
          <w:szCs w:val="24"/>
        </w:rPr>
        <w:t>.</w:t>
      </w:r>
      <w:r w:rsidRPr="005B4AD2">
        <w:rPr>
          <w:rStyle w:val="FontStyle71"/>
          <w:rFonts w:asciiTheme="majorBidi" w:hAnsiTheme="majorBidi" w:cstheme="majorBidi"/>
          <w:sz w:val="24"/>
          <w:szCs w:val="24"/>
        </w:rPr>
        <w:t xml:space="preserve"> </w:t>
      </w:r>
    </w:p>
    <w:p w:rsidR="00316218" w:rsidRPr="00615689" w:rsidRDefault="00316218" w:rsidP="009D69A3">
      <w:pPr>
        <w:pStyle w:val="Notedebasdepage"/>
        <w:spacing w:line="360" w:lineRule="auto"/>
        <w:jc w:val="both"/>
        <w:rPr>
          <w:rStyle w:val="FontStyle71"/>
          <w:rFonts w:asciiTheme="majorBidi" w:hAnsiTheme="majorBidi" w:cstheme="majorBidi"/>
          <w:sz w:val="24"/>
          <w:szCs w:val="24"/>
        </w:rPr>
      </w:pPr>
      <w:r w:rsidRPr="00615689">
        <w:rPr>
          <w:rStyle w:val="FontStyle71"/>
          <w:rFonts w:asciiTheme="majorBidi" w:hAnsiTheme="majorBidi" w:cstheme="majorBidi"/>
          <w:sz w:val="24"/>
          <w:szCs w:val="24"/>
        </w:rPr>
        <w:t xml:space="preserve">BATAILLE, G., </w:t>
      </w:r>
      <w:r w:rsidRPr="00615689">
        <w:rPr>
          <w:rStyle w:val="FontStyle71"/>
          <w:rFonts w:asciiTheme="majorBidi" w:hAnsiTheme="majorBidi" w:cstheme="majorBidi"/>
          <w:i/>
          <w:iCs/>
          <w:sz w:val="24"/>
          <w:szCs w:val="24"/>
        </w:rPr>
        <w:t>Le masque en œuvres complètes</w:t>
      </w:r>
      <w:r w:rsidR="009D69A3">
        <w:rPr>
          <w:rStyle w:val="FontStyle71"/>
          <w:rFonts w:asciiTheme="majorBidi" w:hAnsiTheme="majorBidi" w:cstheme="majorBidi"/>
          <w:i/>
          <w:iCs/>
          <w:sz w:val="24"/>
          <w:szCs w:val="24"/>
        </w:rPr>
        <w:t xml:space="preserve">, </w:t>
      </w:r>
      <w:r w:rsidR="009D69A3" w:rsidRPr="00615689">
        <w:rPr>
          <w:rStyle w:val="FontStyle71"/>
          <w:rFonts w:asciiTheme="majorBidi" w:hAnsiTheme="majorBidi" w:cstheme="majorBidi"/>
          <w:sz w:val="24"/>
          <w:szCs w:val="24"/>
        </w:rPr>
        <w:t>Gallimard</w:t>
      </w:r>
      <w:r w:rsidR="009D69A3">
        <w:rPr>
          <w:rStyle w:val="FontStyle71"/>
          <w:rFonts w:asciiTheme="majorBidi" w:hAnsiTheme="majorBidi" w:cstheme="majorBidi"/>
          <w:sz w:val="24"/>
          <w:szCs w:val="24"/>
        </w:rPr>
        <w:t xml:space="preserve">, </w:t>
      </w:r>
      <w:r w:rsidRPr="00615689">
        <w:rPr>
          <w:rStyle w:val="FontStyle71"/>
          <w:rFonts w:asciiTheme="majorBidi" w:hAnsiTheme="majorBidi" w:cstheme="majorBidi"/>
          <w:sz w:val="24"/>
          <w:szCs w:val="24"/>
        </w:rPr>
        <w:t>Paris, 1970.</w:t>
      </w:r>
    </w:p>
    <w:p w:rsidR="00316218" w:rsidRPr="00615689" w:rsidRDefault="00316218" w:rsidP="009D69A3">
      <w:pPr>
        <w:pStyle w:val="Notedebasdepage"/>
        <w:spacing w:line="360" w:lineRule="auto"/>
        <w:jc w:val="both"/>
        <w:rPr>
          <w:rStyle w:val="FontStyle71"/>
          <w:rFonts w:asciiTheme="majorBidi" w:hAnsiTheme="majorBidi" w:cstheme="majorBidi"/>
          <w:sz w:val="24"/>
          <w:szCs w:val="24"/>
        </w:rPr>
      </w:pPr>
      <w:r w:rsidRPr="00615689">
        <w:rPr>
          <w:rStyle w:val="FontStyle71"/>
          <w:rFonts w:asciiTheme="majorBidi" w:hAnsiTheme="majorBidi" w:cstheme="majorBidi"/>
          <w:sz w:val="24"/>
          <w:szCs w:val="24"/>
        </w:rPr>
        <w:t xml:space="preserve">CAILLOIS, Roger., </w:t>
      </w:r>
      <w:r w:rsidRPr="00615689">
        <w:rPr>
          <w:rStyle w:val="FontStyle71"/>
          <w:rFonts w:asciiTheme="majorBidi" w:hAnsiTheme="majorBidi" w:cstheme="majorBidi"/>
          <w:i/>
          <w:sz w:val="24"/>
          <w:szCs w:val="24"/>
        </w:rPr>
        <w:t>L’homme et le sacré</w:t>
      </w:r>
      <w:r w:rsidR="009D69A3">
        <w:rPr>
          <w:rStyle w:val="FontStyle71"/>
          <w:rFonts w:asciiTheme="majorBidi" w:hAnsiTheme="majorBidi" w:cstheme="majorBidi"/>
          <w:i/>
          <w:sz w:val="24"/>
          <w:szCs w:val="24"/>
        </w:rPr>
        <w:t xml:space="preserve">, </w:t>
      </w:r>
      <w:r w:rsidR="009D69A3" w:rsidRPr="00615689">
        <w:rPr>
          <w:rStyle w:val="FontStyle71"/>
          <w:rFonts w:asciiTheme="majorBidi" w:hAnsiTheme="majorBidi" w:cstheme="majorBidi"/>
          <w:sz w:val="24"/>
          <w:szCs w:val="24"/>
        </w:rPr>
        <w:t>Gallimard</w:t>
      </w:r>
      <w:r w:rsidR="009D69A3">
        <w:rPr>
          <w:rStyle w:val="FontStyle71"/>
          <w:rFonts w:asciiTheme="majorBidi" w:hAnsiTheme="majorBidi" w:cstheme="majorBidi"/>
          <w:sz w:val="24"/>
          <w:szCs w:val="24"/>
        </w:rPr>
        <w:t xml:space="preserve">, </w:t>
      </w:r>
      <w:r w:rsidRPr="00615689">
        <w:rPr>
          <w:rStyle w:val="FontStyle71"/>
          <w:rFonts w:asciiTheme="majorBidi" w:hAnsiTheme="majorBidi" w:cstheme="majorBidi"/>
          <w:sz w:val="24"/>
          <w:szCs w:val="24"/>
        </w:rPr>
        <w:t>Paris, 1963.</w:t>
      </w:r>
    </w:p>
    <w:p w:rsidR="00316218" w:rsidRPr="00615689" w:rsidRDefault="00316218" w:rsidP="009D69A3">
      <w:pPr>
        <w:pStyle w:val="Notedebasdepage"/>
        <w:spacing w:line="360" w:lineRule="auto"/>
        <w:jc w:val="both"/>
        <w:rPr>
          <w:rStyle w:val="FontStyle71"/>
          <w:rFonts w:asciiTheme="majorBidi" w:hAnsiTheme="majorBidi" w:cstheme="majorBidi"/>
          <w:sz w:val="24"/>
          <w:szCs w:val="24"/>
        </w:rPr>
      </w:pPr>
      <w:r w:rsidRPr="00615689">
        <w:rPr>
          <w:rStyle w:val="FontStyle71"/>
          <w:rFonts w:asciiTheme="majorBidi" w:hAnsiTheme="majorBidi" w:cstheme="majorBidi"/>
          <w:iCs/>
          <w:sz w:val="24"/>
          <w:szCs w:val="24"/>
        </w:rPr>
        <w:t>CARADEC</w:t>
      </w:r>
      <w:r w:rsidRPr="00615689">
        <w:rPr>
          <w:rStyle w:val="FontStyle71"/>
          <w:rFonts w:asciiTheme="majorBidi" w:hAnsiTheme="majorBidi" w:cstheme="majorBidi"/>
          <w:i/>
          <w:iCs/>
          <w:sz w:val="24"/>
          <w:szCs w:val="24"/>
        </w:rPr>
        <w:t xml:space="preserve">, </w:t>
      </w:r>
      <w:r w:rsidRPr="00615689">
        <w:rPr>
          <w:rStyle w:val="FontStyle71"/>
          <w:rFonts w:asciiTheme="majorBidi" w:hAnsiTheme="majorBidi" w:cstheme="majorBidi"/>
          <w:iCs/>
          <w:sz w:val="24"/>
          <w:szCs w:val="24"/>
        </w:rPr>
        <w:t>F., La</w:t>
      </w:r>
      <w:r w:rsidRPr="00615689">
        <w:rPr>
          <w:rStyle w:val="FontStyle71"/>
          <w:rFonts w:asciiTheme="majorBidi" w:hAnsiTheme="majorBidi" w:cstheme="majorBidi"/>
          <w:sz w:val="24"/>
          <w:szCs w:val="24"/>
        </w:rPr>
        <w:t xml:space="preserve"> farce et le Sacré, </w:t>
      </w:r>
      <w:r w:rsidR="009D69A3" w:rsidRPr="00615689">
        <w:rPr>
          <w:rStyle w:val="FontStyle71"/>
          <w:rFonts w:asciiTheme="majorBidi" w:hAnsiTheme="majorBidi" w:cstheme="majorBidi"/>
          <w:sz w:val="24"/>
          <w:szCs w:val="24"/>
        </w:rPr>
        <w:t>Casterman</w:t>
      </w:r>
      <w:r w:rsidR="009D69A3">
        <w:rPr>
          <w:rStyle w:val="FontStyle71"/>
          <w:rFonts w:asciiTheme="majorBidi" w:hAnsiTheme="majorBidi" w:cstheme="majorBidi"/>
          <w:sz w:val="24"/>
          <w:szCs w:val="24"/>
        </w:rPr>
        <w:t xml:space="preserve">, </w:t>
      </w:r>
      <w:r w:rsidRPr="00615689">
        <w:rPr>
          <w:rStyle w:val="FontStyle71"/>
          <w:rFonts w:asciiTheme="majorBidi" w:hAnsiTheme="majorBidi" w:cstheme="majorBidi"/>
          <w:sz w:val="24"/>
          <w:szCs w:val="24"/>
        </w:rPr>
        <w:t>Paris, 1977.</w:t>
      </w:r>
    </w:p>
    <w:p w:rsidR="00316218" w:rsidRPr="00615689" w:rsidRDefault="00316218" w:rsidP="005B4AD2">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sz w:val="24"/>
          <w:szCs w:val="24"/>
        </w:rPr>
        <w:lastRenderedPageBreak/>
        <w:t xml:space="preserve">COULIBALY, A., « Onomastique et création romanesque chez Amadou Kourouma : le cas d’Allah n’est pas obligé. » in </w:t>
      </w:r>
      <w:r w:rsidRPr="00615689">
        <w:rPr>
          <w:rFonts w:asciiTheme="majorBidi" w:hAnsiTheme="majorBidi" w:cstheme="majorBidi"/>
          <w:i/>
          <w:iCs/>
          <w:sz w:val="24"/>
          <w:szCs w:val="24"/>
        </w:rPr>
        <w:t>Ethiopiques N° 73</w:t>
      </w:r>
      <w:r w:rsidRPr="00615689">
        <w:rPr>
          <w:rFonts w:asciiTheme="majorBidi" w:hAnsiTheme="majorBidi" w:cstheme="majorBidi"/>
          <w:sz w:val="24"/>
          <w:szCs w:val="24"/>
        </w:rPr>
        <w:t>, Littérature, philosophie et art, 2</w:t>
      </w:r>
      <w:r w:rsidRPr="00615689">
        <w:rPr>
          <w:rFonts w:asciiTheme="majorBidi" w:hAnsiTheme="majorBidi" w:cstheme="majorBidi"/>
          <w:sz w:val="24"/>
          <w:szCs w:val="24"/>
          <w:vertAlign w:val="superscript"/>
        </w:rPr>
        <w:t>e</w:t>
      </w:r>
      <w:r w:rsidRPr="00615689">
        <w:rPr>
          <w:rFonts w:asciiTheme="majorBidi" w:hAnsiTheme="majorBidi" w:cstheme="majorBidi"/>
          <w:sz w:val="24"/>
          <w:szCs w:val="24"/>
        </w:rPr>
        <w:t xml:space="preserve"> semestre, 2004. </w:t>
      </w:r>
    </w:p>
    <w:p w:rsidR="00316218" w:rsidRPr="00615689" w:rsidRDefault="00316218" w:rsidP="009D69A3">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HAMON, Ph., « Pour un statut sémiologique du personnage » in </w:t>
      </w:r>
      <w:r w:rsidRPr="00615689">
        <w:rPr>
          <w:rFonts w:asciiTheme="majorBidi" w:hAnsiTheme="majorBidi" w:cstheme="majorBidi"/>
          <w:i/>
          <w:iCs/>
          <w:sz w:val="24"/>
          <w:szCs w:val="24"/>
        </w:rPr>
        <w:t>Poétique du récit</w:t>
      </w:r>
      <w:r w:rsidRPr="00615689">
        <w:rPr>
          <w:rFonts w:asciiTheme="majorBidi" w:hAnsiTheme="majorBidi" w:cstheme="majorBidi"/>
          <w:sz w:val="24"/>
          <w:szCs w:val="24"/>
        </w:rPr>
        <w:t xml:space="preserve">, </w:t>
      </w:r>
      <w:r w:rsidR="009D69A3" w:rsidRPr="00615689">
        <w:rPr>
          <w:rFonts w:asciiTheme="majorBidi" w:hAnsiTheme="majorBidi" w:cstheme="majorBidi"/>
          <w:sz w:val="24"/>
          <w:szCs w:val="24"/>
        </w:rPr>
        <w:t>Seuil</w:t>
      </w:r>
      <w:r w:rsidR="009D69A3">
        <w:rPr>
          <w:rFonts w:asciiTheme="majorBidi" w:hAnsiTheme="majorBidi" w:cstheme="majorBidi"/>
          <w:sz w:val="24"/>
          <w:szCs w:val="24"/>
        </w:rPr>
        <w:t xml:space="preserve">, </w:t>
      </w:r>
      <w:r w:rsidRPr="00615689">
        <w:rPr>
          <w:rFonts w:asciiTheme="majorBidi" w:hAnsiTheme="majorBidi" w:cstheme="majorBidi"/>
          <w:sz w:val="24"/>
          <w:szCs w:val="24"/>
        </w:rPr>
        <w:t>Paris, 1977.</w:t>
      </w:r>
    </w:p>
    <w:p w:rsidR="00316218" w:rsidRPr="00615689" w:rsidRDefault="00316218" w:rsidP="005B4AD2">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HÉBERT, L., « Le modèle actantiel », in Louis HÉBERT, L (sous la dir.), </w:t>
      </w:r>
      <w:r w:rsidRPr="00615689">
        <w:rPr>
          <w:rStyle w:val="Accentuation"/>
          <w:rFonts w:asciiTheme="majorBidi" w:hAnsiTheme="majorBidi" w:cstheme="majorBidi"/>
          <w:sz w:val="24"/>
          <w:szCs w:val="24"/>
        </w:rPr>
        <w:t>Signo</w:t>
      </w:r>
      <w:r w:rsidRPr="00615689">
        <w:rPr>
          <w:rFonts w:asciiTheme="majorBidi" w:hAnsiTheme="majorBidi" w:cstheme="majorBidi"/>
          <w:sz w:val="24"/>
          <w:szCs w:val="24"/>
        </w:rPr>
        <w:t xml:space="preserve"> [en ligne], Rimouski (Québec), 2006.</w:t>
      </w:r>
    </w:p>
    <w:p w:rsidR="00316218" w:rsidRPr="0097404C" w:rsidRDefault="00316218" w:rsidP="0097404C">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 xml:space="preserve">JOUVE, V., « Pour une analyse de l’effet-personnage» in  Littérature, 1998 </w:t>
      </w:r>
    </w:p>
    <w:p w:rsidR="00316218" w:rsidRPr="0097404C" w:rsidRDefault="00316218" w:rsidP="0097404C">
      <w:pPr>
        <w:spacing w:after="0" w:line="360" w:lineRule="auto"/>
        <w:jc w:val="both"/>
        <w:rPr>
          <w:rFonts w:asciiTheme="majorBidi" w:hAnsiTheme="majorBidi" w:cstheme="majorBidi"/>
          <w:sz w:val="24"/>
          <w:szCs w:val="24"/>
          <w:lang w:eastAsia="fr-FR"/>
        </w:rPr>
      </w:pPr>
      <w:r w:rsidRPr="0097404C">
        <w:rPr>
          <w:rFonts w:asciiTheme="majorBidi" w:hAnsiTheme="majorBidi" w:cstheme="majorBidi"/>
          <w:sz w:val="24"/>
          <w:szCs w:val="24"/>
        </w:rPr>
        <w:t>KERŠYTĖ, N., « Les interactions discursives : entre sémiotique narrative et narratologie</w:t>
      </w:r>
      <w:r w:rsidRPr="0097404C">
        <w:rPr>
          <w:rFonts w:asciiTheme="majorBidi" w:hAnsiTheme="majorBidi" w:cstheme="majorBidi"/>
          <w:i/>
          <w:iCs/>
          <w:sz w:val="24"/>
          <w:szCs w:val="24"/>
        </w:rPr>
        <w:t xml:space="preserve"> » in Synergies Pays Riverains de la Baltique n°5</w:t>
      </w:r>
      <w:r w:rsidRPr="0097404C">
        <w:rPr>
          <w:rFonts w:asciiTheme="majorBidi" w:hAnsiTheme="majorBidi" w:cstheme="majorBidi"/>
          <w:sz w:val="24"/>
          <w:szCs w:val="24"/>
        </w:rPr>
        <w:t>, 2008.</w:t>
      </w:r>
    </w:p>
    <w:p w:rsidR="00316218" w:rsidRPr="0097404C" w:rsidRDefault="00316218" w:rsidP="009D69A3">
      <w:pPr>
        <w:spacing w:after="0" w:line="360" w:lineRule="auto"/>
        <w:jc w:val="both"/>
        <w:rPr>
          <w:rFonts w:asciiTheme="majorBidi" w:hAnsiTheme="majorBidi" w:cstheme="majorBidi"/>
          <w:sz w:val="24"/>
          <w:szCs w:val="24"/>
        </w:rPr>
      </w:pPr>
      <w:r w:rsidRPr="0097404C">
        <w:rPr>
          <w:rFonts w:asciiTheme="majorBidi" w:hAnsiTheme="majorBidi" w:cstheme="majorBidi"/>
          <w:bCs/>
          <w:sz w:val="24"/>
          <w:szCs w:val="24"/>
        </w:rPr>
        <w:t>KRISTEVA,</w:t>
      </w:r>
      <w:r w:rsidRPr="0097404C">
        <w:rPr>
          <w:rFonts w:asciiTheme="majorBidi" w:hAnsiTheme="majorBidi" w:cstheme="majorBidi"/>
          <w:sz w:val="24"/>
          <w:szCs w:val="24"/>
        </w:rPr>
        <w:t xml:space="preserve">  J., </w:t>
      </w:r>
      <w:r w:rsidRPr="0097404C">
        <w:rPr>
          <w:rFonts w:asciiTheme="majorBidi" w:hAnsiTheme="majorBidi" w:cstheme="majorBidi"/>
          <w:i/>
          <w:sz w:val="24"/>
          <w:szCs w:val="24"/>
        </w:rPr>
        <w:t>Sémiotiké, Recherche pour une sémanalyse</w:t>
      </w:r>
      <w:r w:rsidRPr="0097404C">
        <w:rPr>
          <w:rFonts w:asciiTheme="majorBidi" w:hAnsiTheme="majorBidi" w:cstheme="majorBidi"/>
          <w:sz w:val="24"/>
          <w:szCs w:val="24"/>
        </w:rPr>
        <w:t xml:space="preserve">, </w:t>
      </w:r>
      <w:r w:rsidR="009D69A3" w:rsidRPr="0097404C">
        <w:rPr>
          <w:rFonts w:asciiTheme="majorBidi" w:hAnsiTheme="majorBidi" w:cstheme="majorBidi"/>
          <w:sz w:val="24"/>
          <w:szCs w:val="24"/>
        </w:rPr>
        <w:t>Seuil</w:t>
      </w:r>
      <w:r w:rsidR="009D69A3">
        <w:rPr>
          <w:rFonts w:asciiTheme="majorBidi" w:hAnsiTheme="majorBidi" w:cstheme="majorBidi"/>
          <w:sz w:val="24"/>
          <w:szCs w:val="24"/>
        </w:rPr>
        <w:t xml:space="preserve">, </w:t>
      </w:r>
      <w:r w:rsidRPr="0097404C">
        <w:rPr>
          <w:rFonts w:asciiTheme="majorBidi" w:hAnsiTheme="majorBidi" w:cstheme="majorBidi"/>
          <w:sz w:val="24"/>
          <w:szCs w:val="24"/>
        </w:rPr>
        <w:t>Paris, 1969.</w:t>
      </w:r>
    </w:p>
    <w:p w:rsidR="00316218" w:rsidRPr="0097404C" w:rsidRDefault="00316218" w:rsidP="009D69A3">
      <w:pPr>
        <w:pStyle w:val="Notedebasdepage"/>
        <w:spacing w:line="360" w:lineRule="auto"/>
        <w:jc w:val="both"/>
        <w:rPr>
          <w:rFonts w:asciiTheme="majorBidi" w:hAnsiTheme="majorBidi" w:cstheme="majorBidi"/>
          <w:sz w:val="24"/>
          <w:szCs w:val="24"/>
        </w:rPr>
      </w:pPr>
      <w:r w:rsidRPr="0097404C">
        <w:rPr>
          <w:rFonts w:asciiTheme="majorBidi" w:hAnsiTheme="majorBidi" w:cstheme="majorBidi"/>
          <w:sz w:val="24"/>
          <w:szCs w:val="24"/>
        </w:rPr>
        <w:t>LAVOCAT, F, MURICIA, Cl, SALADO, R., « La Fabrique du personnage »</w:t>
      </w:r>
      <w:r w:rsidR="009D69A3">
        <w:rPr>
          <w:rFonts w:asciiTheme="majorBidi" w:hAnsiTheme="majorBidi" w:cstheme="majorBidi"/>
          <w:sz w:val="24"/>
          <w:szCs w:val="24"/>
        </w:rPr>
        <w:t xml:space="preserve">, </w:t>
      </w:r>
      <w:r w:rsidR="009D69A3" w:rsidRPr="0097404C">
        <w:rPr>
          <w:rFonts w:asciiTheme="majorBidi" w:hAnsiTheme="majorBidi" w:cstheme="majorBidi"/>
          <w:sz w:val="24"/>
          <w:szCs w:val="24"/>
        </w:rPr>
        <w:t>Champion</w:t>
      </w:r>
      <w:r w:rsidR="009D69A3">
        <w:rPr>
          <w:rFonts w:asciiTheme="majorBidi" w:hAnsiTheme="majorBidi" w:cstheme="majorBidi"/>
          <w:sz w:val="24"/>
          <w:szCs w:val="24"/>
        </w:rPr>
        <w:t xml:space="preserve">, </w:t>
      </w:r>
      <w:r w:rsidRPr="0097404C">
        <w:rPr>
          <w:rFonts w:asciiTheme="majorBidi" w:hAnsiTheme="majorBidi" w:cstheme="majorBidi"/>
          <w:sz w:val="24"/>
          <w:szCs w:val="24"/>
        </w:rPr>
        <w:t>Paris, 2007.</w:t>
      </w:r>
    </w:p>
    <w:p w:rsidR="00316218" w:rsidRPr="0097404C" w:rsidRDefault="00316218" w:rsidP="0097404C">
      <w:pPr>
        <w:autoSpaceDE w:val="0"/>
        <w:autoSpaceDN w:val="0"/>
        <w:adjustRightInd w:val="0"/>
        <w:spacing w:after="0" w:line="360" w:lineRule="auto"/>
        <w:jc w:val="both"/>
        <w:rPr>
          <w:rFonts w:asciiTheme="majorBidi" w:hAnsiTheme="majorBidi" w:cstheme="majorBidi"/>
          <w:color w:val="000000"/>
          <w:sz w:val="24"/>
          <w:szCs w:val="24"/>
        </w:rPr>
      </w:pPr>
      <w:r w:rsidRPr="0097404C">
        <w:rPr>
          <w:rFonts w:asciiTheme="majorBidi" w:hAnsiTheme="majorBidi" w:cstheme="majorBidi"/>
          <w:color w:val="000000"/>
          <w:sz w:val="24"/>
          <w:szCs w:val="24"/>
        </w:rPr>
        <w:t xml:space="preserve">MBATSOGO, Z., « La lecture suivie en approche communicative » in </w:t>
      </w:r>
      <w:r w:rsidRPr="0097404C">
        <w:rPr>
          <w:rFonts w:asciiTheme="majorBidi" w:hAnsiTheme="majorBidi" w:cstheme="majorBidi"/>
          <w:i/>
          <w:color w:val="000000"/>
          <w:sz w:val="24"/>
          <w:szCs w:val="24"/>
        </w:rPr>
        <w:t>L’Ecole francophone d’été: dossier II</w:t>
      </w:r>
      <w:r w:rsidRPr="0097404C">
        <w:rPr>
          <w:rFonts w:asciiTheme="majorBidi" w:hAnsiTheme="majorBidi" w:cstheme="majorBidi"/>
          <w:color w:val="000000"/>
          <w:sz w:val="24"/>
          <w:szCs w:val="24"/>
        </w:rPr>
        <w:t>: didactique du français, session 1993.</w:t>
      </w:r>
    </w:p>
    <w:p w:rsidR="00316218" w:rsidRPr="0097404C" w:rsidRDefault="00316218" w:rsidP="009D69A3">
      <w:pPr>
        <w:pStyle w:val="Notedebasdepage"/>
        <w:spacing w:line="360" w:lineRule="auto"/>
        <w:jc w:val="both"/>
        <w:rPr>
          <w:rFonts w:asciiTheme="majorBidi" w:hAnsiTheme="majorBidi" w:cstheme="majorBidi"/>
          <w:sz w:val="24"/>
          <w:szCs w:val="24"/>
        </w:rPr>
      </w:pPr>
      <w:proofErr w:type="gramStart"/>
      <w:r w:rsidRPr="0097404C">
        <w:rPr>
          <w:rFonts w:asciiTheme="majorBidi" w:hAnsiTheme="majorBidi" w:cstheme="majorBidi"/>
          <w:sz w:val="24"/>
          <w:szCs w:val="24"/>
          <w:lang w:val="en-GB"/>
        </w:rPr>
        <w:t>MORRIS, Ch-W., “</w:t>
      </w:r>
      <w:r w:rsidRPr="0097404C">
        <w:rPr>
          <w:rFonts w:asciiTheme="majorBidi" w:hAnsiTheme="majorBidi" w:cstheme="majorBidi"/>
          <w:iCs/>
          <w:sz w:val="24"/>
          <w:szCs w:val="24"/>
          <w:lang w:val="en-GB"/>
        </w:rPr>
        <w:t>Foundations of the Theory of Signs”</w:t>
      </w:r>
      <w:r w:rsidRPr="0097404C">
        <w:rPr>
          <w:rFonts w:asciiTheme="majorBidi" w:hAnsiTheme="majorBidi" w:cstheme="majorBidi"/>
          <w:sz w:val="24"/>
          <w:szCs w:val="24"/>
          <w:lang w:val="en-GB"/>
        </w:rPr>
        <w:t xml:space="preserve">, in </w:t>
      </w:r>
      <w:r w:rsidRPr="0097404C">
        <w:rPr>
          <w:rFonts w:asciiTheme="majorBidi" w:hAnsiTheme="majorBidi" w:cstheme="majorBidi"/>
          <w:i/>
          <w:iCs/>
          <w:sz w:val="24"/>
          <w:szCs w:val="24"/>
          <w:lang w:val="en-GB"/>
        </w:rPr>
        <w:t>International Encyclopedia of Unified Science</w:t>
      </w:r>
      <w:r w:rsidRPr="0097404C">
        <w:rPr>
          <w:rFonts w:asciiTheme="majorBidi" w:hAnsiTheme="majorBidi" w:cstheme="majorBidi"/>
          <w:sz w:val="24"/>
          <w:szCs w:val="24"/>
          <w:lang w:val="en-GB"/>
        </w:rPr>
        <w:t>, 1938.</w:t>
      </w:r>
      <w:proofErr w:type="gramEnd"/>
      <w:r w:rsidRPr="0097404C">
        <w:rPr>
          <w:rFonts w:asciiTheme="majorBidi" w:hAnsiTheme="majorBidi" w:cstheme="majorBidi"/>
          <w:sz w:val="24"/>
          <w:szCs w:val="24"/>
          <w:lang w:val="en-GB"/>
        </w:rPr>
        <w:t xml:space="preserve"> </w:t>
      </w:r>
      <w:r w:rsidRPr="0097404C">
        <w:rPr>
          <w:rFonts w:asciiTheme="majorBidi" w:hAnsiTheme="majorBidi" w:cstheme="majorBidi"/>
          <w:sz w:val="24"/>
          <w:szCs w:val="24"/>
        </w:rPr>
        <w:t xml:space="preserve">Trad. fr. par J.-P. Paillet, </w:t>
      </w:r>
      <w:r w:rsidRPr="0097404C">
        <w:rPr>
          <w:rFonts w:asciiTheme="majorBidi" w:hAnsiTheme="majorBidi" w:cstheme="majorBidi"/>
          <w:i/>
          <w:iCs/>
          <w:sz w:val="24"/>
          <w:szCs w:val="24"/>
        </w:rPr>
        <w:t>Langages</w:t>
      </w:r>
      <w:r w:rsidRPr="0097404C">
        <w:rPr>
          <w:rFonts w:asciiTheme="majorBidi" w:hAnsiTheme="majorBidi" w:cstheme="majorBidi"/>
          <w:sz w:val="24"/>
          <w:szCs w:val="24"/>
        </w:rPr>
        <w:t>, n</w:t>
      </w:r>
      <w:r w:rsidRPr="0097404C">
        <w:rPr>
          <w:rFonts w:asciiTheme="majorBidi" w:hAnsiTheme="majorBidi" w:cstheme="majorBidi"/>
          <w:sz w:val="24"/>
          <w:szCs w:val="24"/>
          <w:vertAlign w:val="superscript"/>
        </w:rPr>
        <w:t>o</w:t>
      </w:r>
      <w:r w:rsidRPr="0097404C">
        <w:rPr>
          <w:rFonts w:asciiTheme="majorBidi" w:hAnsiTheme="majorBidi" w:cstheme="majorBidi"/>
          <w:sz w:val="24"/>
          <w:szCs w:val="24"/>
        </w:rPr>
        <w:t xml:space="preserve"> 35, </w:t>
      </w:r>
      <w:r w:rsidR="009D69A3" w:rsidRPr="0097404C">
        <w:rPr>
          <w:rFonts w:asciiTheme="majorBidi" w:hAnsiTheme="majorBidi" w:cstheme="majorBidi"/>
          <w:sz w:val="24"/>
          <w:szCs w:val="24"/>
        </w:rPr>
        <w:t>Larousse</w:t>
      </w:r>
      <w:r w:rsidR="009D69A3">
        <w:rPr>
          <w:rFonts w:asciiTheme="majorBidi" w:hAnsiTheme="majorBidi" w:cstheme="majorBidi"/>
          <w:sz w:val="24"/>
          <w:szCs w:val="24"/>
        </w:rPr>
        <w:t xml:space="preserve">, </w:t>
      </w:r>
      <w:r w:rsidRPr="0097404C">
        <w:rPr>
          <w:rFonts w:asciiTheme="majorBidi" w:hAnsiTheme="majorBidi" w:cstheme="majorBidi"/>
          <w:sz w:val="24"/>
          <w:szCs w:val="24"/>
        </w:rPr>
        <w:t>Paris, septembre 1974.</w:t>
      </w:r>
    </w:p>
    <w:p w:rsidR="00316218" w:rsidRPr="0097404C" w:rsidRDefault="00316218" w:rsidP="009D69A3">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 xml:space="preserve">SANGSUE, D.,  </w:t>
      </w:r>
      <w:r w:rsidRPr="0097404C">
        <w:rPr>
          <w:rStyle w:val="Accentuation"/>
          <w:rFonts w:asciiTheme="majorBidi" w:hAnsiTheme="majorBidi" w:cstheme="majorBidi"/>
          <w:sz w:val="24"/>
          <w:szCs w:val="24"/>
        </w:rPr>
        <w:t>La Parodie</w:t>
      </w:r>
      <w:r w:rsidRPr="0097404C">
        <w:rPr>
          <w:rFonts w:asciiTheme="majorBidi" w:hAnsiTheme="majorBidi" w:cstheme="majorBidi"/>
          <w:sz w:val="24"/>
          <w:szCs w:val="24"/>
        </w:rPr>
        <w:t xml:space="preserve">, </w:t>
      </w:r>
      <w:r w:rsidR="009D69A3" w:rsidRPr="0097404C">
        <w:rPr>
          <w:rFonts w:asciiTheme="majorBidi" w:hAnsiTheme="majorBidi" w:cstheme="majorBidi"/>
          <w:sz w:val="24"/>
          <w:szCs w:val="24"/>
        </w:rPr>
        <w:t>Hachette Supérieur</w:t>
      </w:r>
      <w:r w:rsidR="009D69A3">
        <w:rPr>
          <w:rFonts w:asciiTheme="majorBidi" w:hAnsiTheme="majorBidi" w:cstheme="majorBidi"/>
          <w:sz w:val="24"/>
          <w:szCs w:val="24"/>
        </w:rPr>
        <w:t xml:space="preserve">, </w:t>
      </w:r>
      <w:r w:rsidRPr="0097404C">
        <w:rPr>
          <w:rFonts w:asciiTheme="majorBidi" w:hAnsiTheme="majorBidi" w:cstheme="majorBidi"/>
          <w:sz w:val="24"/>
          <w:szCs w:val="24"/>
        </w:rPr>
        <w:t>Paris, coll.  Contours littéraires, 1994.</w:t>
      </w:r>
    </w:p>
    <w:p w:rsidR="00316218" w:rsidRPr="0097404C" w:rsidRDefault="00316218" w:rsidP="0097404C">
      <w:pPr>
        <w:pStyle w:val="Notedebasdepage"/>
        <w:spacing w:line="360" w:lineRule="auto"/>
        <w:jc w:val="both"/>
        <w:rPr>
          <w:rFonts w:asciiTheme="majorBidi" w:hAnsiTheme="majorBidi" w:cstheme="majorBidi"/>
          <w:sz w:val="24"/>
          <w:szCs w:val="24"/>
        </w:rPr>
      </w:pPr>
      <w:r w:rsidRPr="0097404C">
        <w:rPr>
          <w:rFonts w:asciiTheme="majorBidi" w:hAnsiTheme="majorBidi" w:cstheme="majorBidi"/>
          <w:sz w:val="24"/>
          <w:szCs w:val="24"/>
        </w:rPr>
        <w:t xml:space="preserve">SEMIOPOLIS., « Dossier Analyse sémiotique » disponible sur le site </w:t>
      </w:r>
      <w:hyperlink r:id="rId104" w:history="1">
        <w:r w:rsidRPr="0097404C">
          <w:rPr>
            <w:rStyle w:val="Lienhypertexte"/>
            <w:rFonts w:asciiTheme="majorBidi" w:hAnsiTheme="majorBidi" w:cstheme="majorBidi"/>
            <w:color w:val="auto"/>
            <w:sz w:val="24"/>
            <w:szCs w:val="24"/>
          </w:rPr>
          <w:t>www.semiopolis.fr</w:t>
        </w:r>
      </w:hyperlink>
      <w:r w:rsidRPr="0097404C">
        <w:rPr>
          <w:rFonts w:asciiTheme="majorBidi" w:hAnsiTheme="majorBidi" w:cstheme="majorBidi"/>
          <w:sz w:val="24"/>
          <w:szCs w:val="24"/>
        </w:rPr>
        <w:t xml:space="preserve">. </w:t>
      </w:r>
    </w:p>
    <w:p w:rsidR="00316218" w:rsidRPr="0097404C" w:rsidRDefault="00316218" w:rsidP="009D69A3">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 xml:space="preserve">TOMACHEVSKI, B., « Thématique », in </w:t>
      </w:r>
      <w:r w:rsidRPr="0097404C">
        <w:rPr>
          <w:rStyle w:val="Accentuation"/>
          <w:rFonts w:asciiTheme="majorBidi" w:hAnsiTheme="majorBidi" w:cstheme="majorBidi"/>
          <w:sz w:val="24"/>
          <w:szCs w:val="24"/>
        </w:rPr>
        <w:t>Théorie de la littérature</w:t>
      </w:r>
      <w:r w:rsidRPr="0097404C">
        <w:rPr>
          <w:rFonts w:asciiTheme="majorBidi" w:hAnsiTheme="majorBidi" w:cstheme="majorBidi"/>
          <w:sz w:val="24"/>
          <w:szCs w:val="24"/>
        </w:rPr>
        <w:t xml:space="preserve">, </w:t>
      </w:r>
      <w:r w:rsidRPr="0097404C">
        <w:rPr>
          <w:rFonts w:asciiTheme="majorBidi" w:hAnsiTheme="majorBidi" w:cstheme="majorBidi"/>
          <w:i/>
          <w:sz w:val="24"/>
          <w:szCs w:val="24"/>
        </w:rPr>
        <w:t>textes des formalistes russes réunis</w:t>
      </w:r>
      <w:r w:rsidRPr="0097404C">
        <w:rPr>
          <w:rFonts w:asciiTheme="majorBidi" w:hAnsiTheme="majorBidi" w:cstheme="majorBidi"/>
          <w:sz w:val="24"/>
          <w:szCs w:val="24"/>
        </w:rPr>
        <w:t xml:space="preserve">, </w:t>
      </w:r>
      <w:r w:rsidR="009D69A3" w:rsidRPr="0097404C">
        <w:rPr>
          <w:rFonts w:asciiTheme="majorBidi" w:hAnsiTheme="majorBidi" w:cstheme="majorBidi"/>
          <w:sz w:val="24"/>
          <w:szCs w:val="24"/>
        </w:rPr>
        <w:t>Seuil</w:t>
      </w:r>
      <w:r w:rsidR="009D69A3">
        <w:rPr>
          <w:rFonts w:asciiTheme="majorBidi" w:hAnsiTheme="majorBidi" w:cstheme="majorBidi"/>
          <w:sz w:val="24"/>
          <w:szCs w:val="24"/>
        </w:rPr>
        <w:t xml:space="preserve">, </w:t>
      </w:r>
      <w:r w:rsidRPr="0097404C">
        <w:rPr>
          <w:rFonts w:asciiTheme="majorBidi" w:hAnsiTheme="majorBidi" w:cstheme="majorBidi"/>
          <w:sz w:val="24"/>
          <w:szCs w:val="24"/>
        </w:rPr>
        <w:t>Paris, 1965.</w:t>
      </w:r>
    </w:p>
    <w:p w:rsidR="007C36B0" w:rsidRDefault="007C36B0" w:rsidP="0097404C">
      <w:pPr>
        <w:spacing w:after="0" w:line="360" w:lineRule="auto"/>
        <w:jc w:val="both"/>
        <w:rPr>
          <w:rFonts w:asciiTheme="majorBidi" w:hAnsiTheme="majorBidi" w:cstheme="majorBidi"/>
          <w:b/>
          <w:bCs/>
          <w:sz w:val="24"/>
          <w:szCs w:val="24"/>
          <w:lang w:eastAsia="fr-FR"/>
        </w:rPr>
      </w:pPr>
    </w:p>
    <w:p w:rsidR="00EA15F8" w:rsidRPr="009E2850" w:rsidRDefault="0097404C" w:rsidP="0097404C">
      <w:pPr>
        <w:spacing w:after="0" w:line="360" w:lineRule="auto"/>
        <w:jc w:val="both"/>
        <w:rPr>
          <w:rFonts w:asciiTheme="majorBidi" w:hAnsiTheme="majorBidi" w:cstheme="majorBidi"/>
          <w:b/>
          <w:bCs/>
          <w:sz w:val="24"/>
          <w:szCs w:val="24"/>
          <w:lang w:eastAsia="fr-FR"/>
        </w:rPr>
      </w:pPr>
      <w:r w:rsidRPr="009E2850">
        <w:rPr>
          <w:rFonts w:asciiTheme="majorBidi" w:hAnsiTheme="majorBidi" w:cstheme="majorBidi"/>
          <w:b/>
          <w:bCs/>
          <w:sz w:val="24"/>
          <w:szCs w:val="24"/>
          <w:lang w:eastAsia="fr-FR"/>
        </w:rPr>
        <w:t>Ouvrages s</w:t>
      </w:r>
      <w:r w:rsidR="00EA15F8" w:rsidRPr="009E2850">
        <w:rPr>
          <w:rFonts w:asciiTheme="majorBidi" w:hAnsiTheme="majorBidi" w:cstheme="majorBidi"/>
          <w:b/>
          <w:bCs/>
          <w:sz w:val="24"/>
          <w:szCs w:val="24"/>
          <w:lang w:eastAsia="fr-FR"/>
        </w:rPr>
        <w:t>ur la sémiotique discursive</w:t>
      </w:r>
    </w:p>
    <w:p w:rsidR="00864BA3" w:rsidRPr="0097404C" w:rsidRDefault="007812D8" w:rsidP="0097404C">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BERTRAND</w:t>
      </w:r>
      <w:r w:rsidR="00864BA3" w:rsidRPr="0097404C">
        <w:rPr>
          <w:rFonts w:asciiTheme="majorBidi" w:hAnsiTheme="majorBidi" w:cstheme="majorBidi"/>
          <w:sz w:val="24"/>
          <w:szCs w:val="24"/>
        </w:rPr>
        <w:t xml:space="preserve">, </w:t>
      </w:r>
      <w:r w:rsidR="00E53361" w:rsidRPr="0097404C">
        <w:rPr>
          <w:rFonts w:asciiTheme="majorBidi" w:hAnsiTheme="majorBidi" w:cstheme="majorBidi"/>
          <w:sz w:val="24"/>
          <w:szCs w:val="24"/>
        </w:rPr>
        <w:t>D</w:t>
      </w:r>
      <w:r w:rsidRPr="0097404C">
        <w:rPr>
          <w:rFonts w:asciiTheme="majorBidi" w:hAnsiTheme="majorBidi" w:cstheme="majorBidi"/>
          <w:sz w:val="24"/>
          <w:szCs w:val="24"/>
        </w:rPr>
        <w:t xml:space="preserve">. </w:t>
      </w:r>
      <w:r w:rsidR="00864BA3" w:rsidRPr="0097404C">
        <w:rPr>
          <w:rFonts w:asciiTheme="majorBidi" w:hAnsiTheme="majorBidi" w:cstheme="majorBidi"/>
          <w:i/>
          <w:iCs/>
          <w:sz w:val="24"/>
          <w:szCs w:val="24"/>
        </w:rPr>
        <w:t>La transversalité du sens. Parcours sémiotiques, </w:t>
      </w:r>
      <w:r w:rsidR="00864BA3" w:rsidRPr="0097404C">
        <w:rPr>
          <w:rFonts w:asciiTheme="majorBidi" w:hAnsiTheme="majorBidi" w:cstheme="majorBidi"/>
          <w:sz w:val="24"/>
          <w:szCs w:val="24"/>
        </w:rPr>
        <w:t>Saint-Denis, PUV, 2007 (</w:t>
      </w:r>
      <w:proofErr w:type="gramStart"/>
      <w:r w:rsidR="00864BA3" w:rsidRPr="0097404C">
        <w:rPr>
          <w:rFonts w:asciiTheme="majorBidi" w:hAnsiTheme="majorBidi" w:cstheme="majorBidi"/>
          <w:sz w:val="24"/>
          <w:szCs w:val="24"/>
        </w:rPr>
        <w:t>dir.,</w:t>
      </w:r>
      <w:proofErr w:type="gramEnd"/>
      <w:r w:rsidR="00864BA3" w:rsidRPr="0097404C">
        <w:rPr>
          <w:rFonts w:asciiTheme="majorBidi" w:hAnsiTheme="majorBidi" w:cstheme="majorBidi"/>
          <w:sz w:val="24"/>
          <w:szCs w:val="24"/>
        </w:rPr>
        <w:t xml:space="preserve"> avec M. Costantini, S. Dambrine, J. Alonso).</w:t>
      </w:r>
    </w:p>
    <w:p w:rsidR="00864BA3" w:rsidRPr="00615689" w:rsidRDefault="007812D8" w:rsidP="009D69A3">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sz w:val="24"/>
          <w:szCs w:val="24"/>
        </w:rPr>
        <w:t>BERTRAND, D..</w:t>
      </w:r>
      <w:r w:rsidR="00864BA3" w:rsidRPr="00615689">
        <w:rPr>
          <w:rFonts w:asciiTheme="majorBidi" w:hAnsiTheme="majorBidi" w:cstheme="majorBidi"/>
          <w:sz w:val="24"/>
          <w:szCs w:val="24"/>
        </w:rPr>
        <w:t xml:space="preserve">., 2000 : </w:t>
      </w:r>
      <w:r w:rsidR="00864BA3" w:rsidRPr="00615689">
        <w:rPr>
          <w:rFonts w:asciiTheme="majorBidi" w:hAnsiTheme="majorBidi" w:cstheme="majorBidi"/>
          <w:i/>
          <w:iCs/>
          <w:sz w:val="24"/>
          <w:szCs w:val="24"/>
        </w:rPr>
        <w:t>Précis de Sémiotique Littéraire</w:t>
      </w:r>
      <w:r w:rsidR="00864BA3" w:rsidRPr="00615689">
        <w:rPr>
          <w:rFonts w:asciiTheme="majorBidi" w:hAnsiTheme="majorBidi" w:cstheme="majorBidi"/>
          <w:sz w:val="24"/>
          <w:szCs w:val="24"/>
        </w:rPr>
        <w:t xml:space="preserve">, </w:t>
      </w:r>
      <w:r w:rsidR="009D69A3" w:rsidRPr="00615689">
        <w:rPr>
          <w:rFonts w:asciiTheme="majorBidi" w:hAnsiTheme="majorBidi" w:cstheme="majorBidi"/>
          <w:sz w:val="24"/>
          <w:szCs w:val="24"/>
        </w:rPr>
        <w:t>Nathan</w:t>
      </w:r>
      <w:r w:rsidR="009D69A3">
        <w:rPr>
          <w:rFonts w:asciiTheme="majorBidi" w:hAnsiTheme="majorBidi" w:cstheme="majorBidi"/>
          <w:sz w:val="24"/>
          <w:szCs w:val="24"/>
        </w:rPr>
        <w:t xml:space="preserve">, </w:t>
      </w:r>
      <w:r w:rsidR="00864BA3" w:rsidRPr="00615689">
        <w:rPr>
          <w:rFonts w:asciiTheme="majorBidi" w:hAnsiTheme="majorBidi" w:cstheme="majorBidi"/>
          <w:sz w:val="24"/>
          <w:szCs w:val="24"/>
        </w:rPr>
        <w:t>Paris</w:t>
      </w:r>
      <w:r w:rsidR="009D69A3">
        <w:rPr>
          <w:rFonts w:asciiTheme="majorBidi" w:hAnsiTheme="majorBidi" w:cstheme="majorBidi"/>
          <w:sz w:val="24"/>
          <w:szCs w:val="24"/>
        </w:rPr>
        <w:t>.</w:t>
      </w:r>
    </w:p>
    <w:p w:rsidR="00864BA3" w:rsidRPr="00615689" w:rsidRDefault="007812D8" w:rsidP="009D69A3">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sz w:val="24"/>
          <w:szCs w:val="24"/>
        </w:rPr>
        <w:t>BERTRAND, D..</w:t>
      </w:r>
      <w:r w:rsidR="00864BA3" w:rsidRPr="00615689">
        <w:rPr>
          <w:rFonts w:asciiTheme="majorBidi" w:hAnsiTheme="majorBidi" w:cstheme="majorBidi"/>
          <w:sz w:val="24"/>
          <w:szCs w:val="24"/>
        </w:rPr>
        <w:t>, </w:t>
      </w:r>
      <w:r w:rsidR="00864BA3" w:rsidRPr="00615689">
        <w:rPr>
          <w:rFonts w:asciiTheme="majorBidi" w:hAnsiTheme="majorBidi" w:cstheme="majorBidi"/>
          <w:i/>
          <w:iCs/>
          <w:sz w:val="24"/>
          <w:szCs w:val="24"/>
        </w:rPr>
        <w:t xml:space="preserve">Parler pour convaincre. Rhétorique et discours, </w:t>
      </w:r>
      <w:r w:rsidR="009D69A3" w:rsidRPr="00615689">
        <w:rPr>
          <w:rFonts w:asciiTheme="majorBidi" w:hAnsiTheme="majorBidi" w:cstheme="majorBidi"/>
          <w:iCs/>
          <w:sz w:val="24"/>
          <w:szCs w:val="24"/>
        </w:rPr>
        <w:t>Gallimard</w:t>
      </w:r>
      <w:r w:rsidR="009D69A3">
        <w:rPr>
          <w:rFonts w:asciiTheme="majorBidi" w:hAnsiTheme="majorBidi" w:cstheme="majorBidi"/>
          <w:iCs/>
          <w:sz w:val="24"/>
          <w:szCs w:val="24"/>
        </w:rPr>
        <w:t xml:space="preserve">, </w:t>
      </w:r>
      <w:r w:rsidR="00864BA3" w:rsidRPr="00615689">
        <w:rPr>
          <w:rFonts w:asciiTheme="majorBidi" w:hAnsiTheme="majorBidi" w:cstheme="majorBidi"/>
          <w:iCs/>
          <w:sz w:val="24"/>
          <w:szCs w:val="24"/>
        </w:rPr>
        <w:t>Paris, 1999</w:t>
      </w:r>
      <w:r w:rsidR="009D69A3">
        <w:rPr>
          <w:rFonts w:asciiTheme="majorBidi" w:hAnsiTheme="majorBidi" w:cstheme="majorBidi"/>
          <w:iCs/>
          <w:sz w:val="24"/>
          <w:szCs w:val="24"/>
        </w:rPr>
        <w:t>.</w:t>
      </w:r>
    </w:p>
    <w:p w:rsidR="002D6518" w:rsidRPr="0097404C" w:rsidRDefault="007812D8" w:rsidP="009D69A3">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BERTRAND, D..</w:t>
      </w:r>
      <w:r w:rsidR="00864BA3" w:rsidRPr="0097404C">
        <w:rPr>
          <w:rFonts w:asciiTheme="majorBidi" w:hAnsiTheme="majorBidi" w:cstheme="majorBidi"/>
          <w:sz w:val="24"/>
          <w:szCs w:val="24"/>
        </w:rPr>
        <w:t>,  « Sémiotique du discours et lecture des textes », in J. Fontanille, éd., « Sémiotique et enseignement du français », </w:t>
      </w:r>
      <w:r w:rsidR="00864BA3" w:rsidRPr="0097404C">
        <w:rPr>
          <w:rFonts w:asciiTheme="majorBidi" w:hAnsiTheme="majorBidi" w:cstheme="majorBidi"/>
          <w:i/>
          <w:iCs/>
          <w:sz w:val="24"/>
          <w:szCs w:val="24"/>
        </w:rPr>
        <w:t>Langue française</w:t>
      </w:r>
      <w:r w:rsidR="00864BA3" w:rsidRPr="0097404C">
        <w:rPr>
          <w:rFonts w:asciiTheme="majorBidi" w:hAnsiTheme="majorBidi" w:cstheme="majorBidi"/>
          <w:sz w:val="24"/>
          <w:szCs w:val="24"/>
        </w:rPr>
        <w:t xml:space="preserve">, 61, </w:t>
      </w:r>
      <w:r w:rsidR="009D69A3" w:rsidRPr="0097404C">
        <w:rPr>
          <w:rFonts w:asciiTheme="majorBidi" w:hAnsiTheme="majorBidi" w:cstheme="majorBidi"/>
          <w:sz w:val="24"/>
          <w:szCs w:val="24"/>
        </w:rPr>
        <w:lastRenderedPageBreak/>
        <w:t>Larousse</w:t>
      </w:r>
      <w:r w:rsidR="009D69A3">
        <w:rPr>
          <w:rFonts w:asciiTheme="majorBidi" w:hAnsiTheme="majorBidi" w:cstheme="majorBidi"/>
          <w:sz w:val="24"/>
          <w:szCs w:val="24"/>
        </w:rPr>
        <w:t xml:space="preserve">, </w:t>
      </w:r>
      <w:r w:rsidR="00864BA3" w:rsidRPr="0097404C">
        <w:rPr>
          <w:rFonts w:asciiTheme="majorBidi" w:hAnsiTheme="majorBidi" w:cstheme="majorBidi"/>
          <w:sz w:val="24"/>
          <w:szCs w:val="24"/>
        </w:rPr>
        <w:t>Paris, 1983, p. 9-26</w:t>
      </w:r>
      <w:r w:rsidR="009D69A3">
        <w:rPr>
          <w:rFonts w:asciiTheme="majorBidi" w:hAnsiTheme="majorBidi" w:cstheme="majorBidi"/>
          <w:sz w:val="24"/>
          <w:szCs w:val="24"/>
        </w:rPr>
        <w:t>.</w:t>
      </w:r>
      <w:r w:rsidR="00864BA3" w:rsidRPr="0097404C">
        <w:rPr>
          <w:rFonts w:asciiTheme="majorBidi" w:hAnsiTheme="majorBidi" w:cstheme="majorBidi"/>
          <w:sz w:val="24"/>
          <w:szCs w:val="24"/>
        </w:rPr>
        <w:br/>
      </w:r>
      <w:r w:rsidRPr="0097404C">
        <w:rPr>
          <w:rFonts w:asciiTheme="majorBidi" w:hAnsiTheme="majorBidi" w:cstheme="majorBidi"/>
          <w:sz w:val="24"/>
          <w:szCs w:val="24"/>
        </w:rPr>
        <w:t>FONTANILLE  J.</w:t>
      </w:r>
      <w:r w:rsidR="00864BA3" w:rsidRPr="0097404C">
        <w:rPr>
          <w:rFonts w:asciiTheme="majorBidi" w:hAnsiTheme="majorBidi" w:cstheme="majorBidi"/>
          <w:sz w:val="24"/>
          <w:szCs w:val="24"/>
        </w:rPr>
        <w:t>, </w:t>
      </w:r>
      <w:r w:rsidR="00864BA3" w:rsidRPr="0097404C">
        <w:rPr>
          <w:rFonts w:asciiTheme="majorBidi" w:hAnsiTheme="majorBidi" w:cstheme="majorBidi"/>
          <w:i/>
          <w:iCs/>
          <w:sz w:val="24"/>
          <w:szCs w:val="24"/>
        </w:rPr>
        <w:t>Modes du sensible et syntaxe figurative</w:t>
      </w:r>
      <w:r w:rsidR="00864BA3" w:rsidRPr="0097404C">
        <w:rPr>
          <w:rFonts w:asciiTheme="majorBidi" w:hAnsiTheme="majorBidi" w:cstheme="majorBidi"/>
          <w:sz w:val="24"/>
          <w:szCs w:val="24"/>
        </w:rPr>
        <w:t>, Nouveaux actes sémiotiques(Limoges) 061-63, 1-68, Université de Limoges, 1999</w:t>
      </w:r>
      <w:r w:rsidR="009D69A3">
        <w:rPr>
          <w:rFonts w:asciiTheme="majorBidi" w:hAnsiTheme="majorBidi" w:cstheme="majorBidi"/>
          <w:sz w:val="24"/>
          <w:szCs w:val="24"/>
        </w:rPr>
        <w:t>.</w:t>
      </w:r>
    </w:p>
    <w:p w:rsidR="009D69A3" w:rsidRDefault="007812D8" w:rsidP="009D69A3">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 xml:space="preserve">GREIMAS J. </w:t>
      </w:r>
      <w:r w:rsidR="002D6518" w:rsidRPr="0097404C">
        <w:rPr>
          <w:rFonts w:asciiTheme="majorBidi" w:hAnsiTheme="majorBidi" w:cstheme="majorBidi"/>
          <w:sz w:val="24"/>
          <w:szCs w:val="24"/>
        </w:rPr>
        <w:t xml:space="preserve">et </w:t>
      </w:r>
      <w:r w:rsidRPr="0097404C">
        <w:rPr>
          <w:rFonts w:asciiTheme="majorBidi" w:hAnsiTheme="majorBidi" w:cstheme="majorBidi"/>
          <w:sz w:val="24"/>
          <w:szCs w:val="24"/>
        </w:rPr>
        <w:t xml:space="preserve"> FONTANILLE  J</w:t>
      </w:r>
      <w:r w:rsidR="002D6518" w:rsidRPr="0097404C">
        <w:rPr>
          <w:rFonts w:asciiTheme="majorBidi" w:hAnsiTheme="majorBidi" w:cstheme="majorBidi"/>
          <w:sz w:val="24"/>
          <w:szCs w:val="24"/>
        </w:rPr>
        <w:t>,</w:t>
      </w:r>
      <w:r w:rsidR="002D6518" w:rsidRPr="0097404C">
        <w:rPr>
          <w:rFonts w:asciiTheme="majorBidi" w:hAnsiTheme="majorBidi" w:cstheme="majorBidi"/>
          <w:i/>
          <w:iCs/>
          <w:sz w:val="24"/>
          <w:szCs w:val="24"/>
        </w:rPr>
        <w:t xml:space="preserve"> sémiotique des passions. Des états de choses aux états d'âme</w:t>
      </w:r>
      <w:r w:rsidR="002D6518" w:rsidRPr="0097404C">
        <w:rPr>
          <w:rFonts w:asciiTheme="majorBidi" w:hAnsiTheme="majorBidi" w:cstheme="majorBidi"/>
          <w:sz w:val="24"/>
          <w:szCs w:val="24"/>
        </w:rPr>
        <w:t xml:space="preserve">, </w:t>
      </w:r>
      <w:r w:rsidR="009D69A3" w:rsidRPr="0097404C">
        <w:rPr>
          <w:rFonts w:asciiTheme="majorBidi" w:hAnsiTheme="majorBidi" w:cstheme="majorBidi"/>
          <w:sz w:val="24"/>
          <w:szCs w:val="24"/>
        </w:rPr>
        <w:t>Seuil</w:t>
      </w:r>
      <w:r w:rsidR="009D69A3">
        <w:rPr>
          <w:rFonts w:asciiTheme="majorBidi" w:hAnsiTheme="majorBidi" w:cstheme="majorBidi"/>
          <w:sz w:val="24"/>
          <w:szCs w:val="24"/>
        </w:rPr>
        <w:t xml:space="preserve">, </w:t>
      </w:r>
      <w:r w:rsidR="002D6518" w:rsidRPr="0097404C">
        <w:rPr>
          <w:rFonts w:asciiTheme="majorBidi" w:hAnsiTheme="majorBidi" w:cstheme="majorBidi"/>
          <w:sz w:val="24"/>
          <w:szCs w:val="24"/>
        </w:rPr>
        <w:t>Paris, 1991</w:t>
      </w:r>
      <w:r w:rsidR="009D69A3">
        <w:rPr>
          <w:rFonts w:asciiTheme="majorBidi" w:hAnsiTheme="majorBidi" w:cstheme="majorBidi"/>
          <w:sz w:val="24"/>
          <w:szCs w:val="24"/>
        </w:rPr>
        <w:t>.</w:t>
      </w:r>
    </w:p>
    <w:p w:rsidR="00864BA3" w:rsidRPr="0097404C" w:rsidRDefault="007812D8" w:rsidP="009D69A3">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PANIER L,</w:t>
      </w:r>
      <w:r w:rsidR="00864BA3" w:rsidRPr="0097404C">
        <w:rPr>
          <w:rFonts w:asciiTheme="majorBidi" w:hAnsiTheme="majorBidi" w:cstheme="majorBidi"/>
          <w:sz w:val="24"/>
          <w:szCs w:val="24"/>
        </w:rPr>
        <w:t xml:space="preserve"> « La sémiotique discursive : une analyse de la signification et de ses Fonctionnements ; une pratique de la lecture des textes », Fiche académique, Université Lyon Lumière 2, 2009</w:t>
      </w:r>
      <w:r w:rsidR="009D69A3">
        <w:rPr>
          <w:rFonts w:asciiTheme="majorBidi" w:hAnsiTheme="majorBidi" w:cstheme="majorBidi"/>
          <w:sz w:val="24"/>
          <w:szCs w:val="24"/>
        </w:rPr>
        <w:t>.</w:t>
      </w:r>
    </w:p>
    <w:p w:rsidR="007C36B0" w:rsidRDefault="007C36B0" w:rsidP="0097404C">
      <w:pPr>
        <w:spacing w:after="0" w:line="360" w:lineRule="auto"/>
        <w:jc w:val="both"/>
        <w:rPr>
          <w:rFonts w:asciiTheme="majorBidi" w:hAnsiTheme="majorBidi" w:cstheme="majorBidi"/>
          <w:b/>
          <w:bCs/>
          <w:sz w:val="24"/>
          <w:szCs w:val="24"/>
          <w:lang w:eastAsia="fr-FR"/>
        </w:rPr>
      </w:pPr>
    </w:p>
    <w:p w:rsidR="00316218" w:rsidRPr="0097404C" w:rsidRDefault="00316218" w:rsidP="0097404C">
      <w:pPr>
        <w:spacing w:after="0" w:line="360" w:lineRule="auto"/>
        <w:jc w:val="both"/>
        <w:rPr>
          <w:rFonts w:asciiTheme="majorBidi" w:hAnsiTheme="majorBidi" w:cstheme="majorBidi"/>
          <w:b/>
          <w:bCs/>
          <w:sz w:val="24"/>
          <w:szCs w:val="24"/>
          <w:lang w:eastAsia="fr-FR"/>
        </w:rPr>
      </w:pPr>
      <w:r w:rsidRPr="0097404C">
        <w:rPr>
          <w:rFonts w:asciiTheme="majorBidi" w:hAnsiTheme="majorBidi" w:cstheme="majorBidi"/>
          <w:b/>
          <w:bCs/>
          <w:sz w:val="24"/>
          <w:szCs w:val="24"/>
          <w:lang w:eastAsia="fr-FR"/>
        </w:rPr>
        <w:t>Ouvrages sur le théâtre en Belgique et sur Ghelderode</w:t>
      </w:r>
    </w:p>
    <w:p w:rsidR="00316218" w:rsidRPr="00615689" w:rsidRDefault="00316218" w:rsidP="009D69A3">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bCs/>
          <w:sz w:val="24"/>
          <w:szCs w:val="24"/>
        </w:rPr>
        <w:t xml:space="preserve">BLANCART-CASSOU, J., </w:t>
      </w:r>
      <w:r w:rsidRPr="00615689">
        <w:rPr>
          <w:rFonts w:asciiTheme="majorBidi" w:hAnsiTheme="majorBidi" w:cstheme="majorBidi"/>
          <w:bCs/>
          <w:i/>
          <w:iCs/>
          <w:sz w:val="24"/>
          <w:szCs w:val="24"/>
        </w:rPr>
        <w:t xml:space="preserve">Ghelderode conteur. De l’angoisse au rire </w:t>
      </w:r>
      <w:r w:rsidRPr="00615689">
        <w:rPr>
          <w:rFonts w:asciiTheme="majorBidi" w:hAnsiTheme="majorBidi" w:cstheme="majorBidi"/>
          <w:bCs/>
          <w:sz w:val="24"/>
          <w:szCs w:val="24"/>
        </w:rPr>
        <w:t xml:space="preserve">(Préface de Jean-Yves Guérin), </w:t>
      </w:r>
      <w:r w:rsidR="009D69A3" w:rsidRPr="00615689">
        <w:rPr>
          <w:rFonts w:asciiTheme="majorBidi" w:hAnsiTheme="majorBidi" w:cstheme="majorBidi"/>
          <w:bCs/>
          <w:sz w:val="24"/>
          <w:szCs w:val="24"/>
        </w:rPr>
        <w:t>Honoré Champion</w:t>
      </w:r>
      <w:r w:rsidR="009D69A3">
        <w:rPr>
          <w:rFonts w:asciiTheme="majorBidi" w:hAnsiTheme="majorBidi" w:cstheme="majorBidi"/>
          <w:bCs/>
          <w:sz w:val="24"/>
          <w:szCs w:val="24"/>
        </w:rPr>
        <w:t xml:space="preserve">, </w:t>
      </w:r>
      <w:r w:rsidRPr="00615689">
        <w:rPr>
          <w:rFonts w:asciiTheme="majorBidi" w:hAnsiTheme="majorBidi" w:cstheme="majorBidi"/>
          <w:bCs/>
          <w:sz w:val="24"/>
          <w:szCs w:val="24"/>
        </w:rPr>
        <w:t>Paris, coll. Littérature de notre siècle, 2003.</w:t>
      </w:r>
    </w:p>
    <w:p w:rsidR="00501C60" w:rsidRPr="00615689" w:rsidRDefault="00316218" w:rsidP="009D69A3">
      <w:pPr>
        <w:pStyle w:val="Notedebasdepage"/>
        <w:tabs>
          <w:tab w:val="left" w:pos="6854"/>
          <w:tab w:val="left" w:pos="7145"/>
        </w:tabs>
        <w:spacing w:line="360" w:lineRule="auto"/>
        <w:jc w:val="both"/>
        <w:rPr>
          <w:rFonts w:asciiTheme="majorBidi" w:hAnsiTheme="majorBidi" w:cstheme="majorBidi"/>
          <w:sz w:val="24"/>
          <w:szCs w:val="24"/>
        </w:rPr>
      </w:pPr>
      <w:r w:rsidRPr="0097404C">
        <w:rPr>
          <w:rFonts w:asciiTheme="majorBidi" w:hAnsiTheme="majorBidi" w:cstheme="majorBidi"/>
          <w:bCs/>
          <w:sz w:val="24"/>
          <w:szCs w:val="24"/>
          <w:u w:val="single"/>
        </w:rPr>
        <w:t xml:space="preserve">                                          </w:t>
      </w:r>
      <w:r w:rsidRPr="00615689">
        <w:rPr>
          <w:rFonts w:asciiTheme="majorBidi" w:hAnsiTheme="majorBidi" w:cstheme="majorBidi"/>
          <w:bCs/>
          <w:sz w:val="24"/>
          <w:szCs w:val="24"/>
        </w:rPr>
        <w:t xml:space="preserve">, </w:t>
      </w:r>
      <w:r w:rsidRPr="00615689">
        <w:rPr>
          <w:rFonts w:asciiTheme="majorBidi" w:hAnsiTheme="majorBidi" w:cstheme="majorBidi"/>
          <w:i/>
          <w:iCs/>
          <w:sz w:val="24"/>
          <w:szCs w:val="24"/>
        </w:rPr>
        <w:t>Le rire de Michel de Ghelderode</w:t>
      </w:r>
      <w:r w:rsidRPr="00615689">
        <w:rPr>
          <w:rFonts w:asciiTheme="majorBidi" w:hAnsiTheme="majorBidi" w:cstheme="majorBidi"/>
          <w:sz w:val="24"/>
          <w:szCs w:val="24"/>
        </w:rPr>
        <w:t xml:space="preserve">, </w:t>
      </w:r>
      <w:r w:rsidR="009D69A3" w:rsidRPr="00615689">
        <w:rPr>
          <w:rFonts w:asciiTheme="majorBidi" w:hAnsiTheme="majorBidi" w:cstheme="majorBidi"/>
          <w:sz w:val="24"/>
          <w:szCs w:val="24"/>
        </w:rPr>
        <w:t>Klincksieck</w:t>
      </w:r>
      <w:r w:rsidR="009D69A3">
        <w:rPr>
          <w:rFonts w:asciiTheme="majorBidi" w:hAnsiTheme="majorBidi" w:cstheme="majorBidi"/>
          <w:sz w:val="24"/>
          <w:szCs w:val="24"/>
        </w:rPr>
        <w:t xml:space="preserve">, </w:t>
      </w:r>
      <w:r w:rsidRPr="00615689">
        <w:rPr>
          <w:rFonts w:asciiTheme="majorBidi" w:hAnsiTheme="majorBidi" w:cstheme="majorBidi"/>
          <w:sz w:val="24"/>
          <w:szCs w:val="24"/>
        </w:rPr>
        <w:t>France, 1987.</w:t>
      </w:r>
      <w:r w:rsidRPr="00615689">
        <w:rPr>
          <w:rFonts w:asciiTheme="majorBidi" w:hAnsiTheme="majorBidi" w:cstheme="majorBidi"/>
          <w:sz w:val="24"/>
          <w:szCs w:val="24"/>
        </w:rPr>
        <w:tab/>
      </w:r>
    </w:p>
    <w:p w:rsidR="00316218" w:rsidRPr="00615689" w:rsidRDefault="00316218" w:rsidP="00994EEC">
      <w:pPr>
        <w:pStyle w:val="Notedebasdepage"/>
        <w:tabs>
          <w:tab w:val="left" w:pos="709"/>
          <w:tab w:val="left" w:pos="7145"/>
        </w:tabs>
        <w:spacing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BEYEN, R., </w:t>
      </w:r>
      <w:r w:rsidRPr="00615689">
        <w:rPr>
          <w:rFonts w:asciiTheme="majorBidi" w:hAnsiTheme="majorBidi" w:cstheme="majorBidi"/>
          <w:i/>
          <w:iCs/>
          <w:sz w:val="24"/>
          <w:szCs w:val="24"/>
        </w:rPr>
        <w:t>Michel de Ghelderode ou la hantise du masque, essai de biographie critique,</w:t>
      </w:r>
      <w:r w:rsidRPr="00615689">
        <w:rPr>
          <w:rFonts w:asciiTheme="majorBidi" w:hAnsiTheme="majorBidi" w:cstheme="majorBidi"/>
          <w:sz w:val="24"/>
          <w:szCs w:val="24"/>
        </w:rPr>
        <w:t xml:space="preserve"> </w:t>
      </w:r>
      <w:r w:rsidR="00994EEC" w:rsidRPr="00615689">
        <w:rPr>
          <w:rFonts w:asciiTheme="majorBidi" w:hAnsiTheme="majorBidi" w:cstheme="majorBidi"/>
          <w:sz w:val="24"/>
          <w:szCs w:val="24"/>
        </w:rPr>
        <w:t>Palais des Académies</w:t>
      </w:r>
      <w:r w:rsidR="00994EEC">
        <w:rPr>
          <w:rFonts w:asciiTheme="majorBidi" w:hAnsiTheme="majorBidi" w:cstheme="majorBidi"/>
          <w:sz w:val="24"/>
          <w:szCs w:val="24"/>
        </w:rPr>
        <w:t xml:space="preserve">, </w:t>
      </w:r>
      <w:r w:rsidRPr="00615689">
        <w:rPr>
          <w:rFonts w:asciiTheme="majorBidi" w:hAnsiTheme="majorBidi" w:cstheme="majorBidi"/>
          <w:sz w:val="24"/>
          <w:szCs w:val="24"/>
        </w:rPr>
        <w:t>Bruxelles, 1971.</w:t>
      </w:r>
    </w:p>
    <w:p w:rsidR="00316218" w:rsidRPr="00615689" w:rsidRDefault="00501C60" w:rsidP="0097404C">
      <w:pPr>
        <w:pStyle w:val="Notedebasdepage"/>
        <w:tabs>
          <w:tab w:val="left" w:pos="6854"/>
          <w:tab w:val="left" w:pos="7145"/>
        </w:tabs>
        <w:spacing w:line="360" w:lineRule="auto"/>
        <w:jc w:val="both"/>
        <w:rPr>
          <w:rFonts w:asciiTheme="majorBidi" w:hAnsiTheme="majorBidi" w:cstheme="majorBidi"/>
          <w:sz w:val="24"/>
          <w:szCs w:val="24"/>
        </w:rPr>
      </w:pPr>
      <w:r w:rsidRPr="0097404C">
        <w:rPr>
          <w:rFonts w:asciiTheme="majorBidi" w:hAnsiTheme="majorBidi" w:cstheme="majorBidi"/>
          <w:sz w:val="24"/>
          <w:szCs w:val="24"/>
          <w:u w:val="single"/>
        </w:rPr>
        <w:t xml:space="preserve">     </w:t>
      </w:r>
      <w:r w:rsidR="0097404C" w:rsidRPr="0097404C">
        <w:rPr>
          <w:rFonts w:asciiTheme="majorBidi" w:hAnsiTheme="majorBidi" w:cstheme="majorBidi"/>
          <w:sz w:val="24"/>
          <w:szCs w:val="24"/>
          <w:u w:val="single"/>
        </w:rPr>
        <w:t xml:space="preserve">         </w:t>
      </w:r>
      <w:r w:rsidRPr="0097404C">
        <w:rPr>
          <w:rFonts w:asciiTheme="majorBidi" w:hAnsiTheme="majorBidi" w:cstheme="majorBidi"/>
          <w:sz w:val="24"/>
          <w:szCs w:val="24"/>
          <w:u w:val="single"/>
        </w:rPr>
        <w:t xml:space="preserve">     </w:t>
      </w:r>
      <w:r w:rsidR="0097404C">
        <w:rPr>
          <w:rFonts w:asciiTheme="majorBidi" w:hAnsiTheme="majorBidi" w:cstheme="majorBidi"/>
          <w:sz w:val="24"/>
          <w:szCs w:val="24"/>
        </w:rPr>
        <w:t xml:space="preserve">, </w:t>
      </w:r>
      <w:r w:rsidR="00316218" w:rsidRPr="00615689">
        <w:rPr>
          <w:rFonts w:asciiTheme="majorBidi" w:hAnsiTheme="majorBidi" w:cstheme="majorBidi"/>
          <w:sz w:val="24"/>
          <w:szCs w:val="24"/>
        </w:rPr>
        <w:t xml:space="preserve">« Michel de Ghelderode entre deux chaises », in </w:t>
      </w:r>
      <w:r w:rsidR="00316218" w:rsidRPr="00615689">
        <w:rPr>
          <w:rFonts w:asciiTheme="majorBidi" w:hAnsiTheme="majorBidi" w:cstheme="majorBidi"/>
          <w:i/>
          <w:sz w:val="24"/>
          <w:szCs w:val="24"/>
        </w:rPr>
        <w:t>Romaneske</w:t>
      </w:r>
      <w:r w:rsidR="00316218" w:rsidRPr="00615689">
        <w:rPr>
          <w:rFonts w:asciiTheme="majorBidi" w:hAnsiTheme="majorBidi" w:cstheme="majorBidi"/>
          <w:sz w:val="24"/>
          <w:szCs w:val="24"/>
        </w:rPr>
        <w:t xml:space="preserve"> N°33, juin 2008.</w:t>
      </w:r>
    </w:p>
    <w:p w:rsidR="00316218" w:rsidRPr="00615689" w:rsidRDefault="00316218" w:rsidP="00994EEC">
      <w:pPr>
        <w:pStyle w:val="Notedebasdepage"/>
        <w:tabs>
          <w:tab w:val="left" w:pos="6854"/>
          <w:tab w:val="left" w:pos="7145"/>
        </w:tabs>
        <w:spacing w:line="360" w:lineRule="auto"/>
        <w:jc w:val="both"/>
        <w:rPr>
          <w:rFonts w:asciiTheme="majorBidi" w:hAnsiTheme="majorBidi" w:cstheme="majorBidi"/>
          <w:sz w:val="24"/>
          <w:szCs w:val="24"/>
          <w:lang w:eastAsia="fr-FR"/>
        </w:rPr>
      </w:pPr>
      <w:r w:rsidRPr="0097404C">
        <w:rPr>
          <w:rFonts w:asciiTheme="majorBidi" w:hAnsiTheme="majorBidi" w:cstheme="majorBidi"/>
          <w:sz w:val="24"/>
          <w:szCs w:val="24"/>
          <w:u w:val="single"/>
        </w:rPr>
        <w:t xml:space="preserve">                 </w:t>
      </w:r>
      <w:r w:rsidRPr="00615689">
        <w:rPr>
          <w:rFonts w:asciiTheme="majorBidi" w:hAnsiTheme="majorBidi" w:cstheme="majorBidi"/>
          <w:sz w:val="24"/>
          <w:szCs w:val="24"/>
        </w:rPr>
        <w:t xml:space="preserve"> ,</w:t>
      </w:r>
      <w:r w:rsidRPr="00615689">
        <w:rPr>
          <w:rFonts w:asciiTheme="majorBidi" w:hAnsiTheme="majorBidi" w:cstheme="majorBidi"/>
          <w:sz w:val="24"/>
          <w:szCs w:val="24"/>
          <w:lang w:eastAsia="fr-FR"/>
        </w:rPr>
        <w:t xml:space="preserve"> </w:t>
      </w:r>
      <w:r w:rsidRPr="00615689">
        <w:rPr>
          <w:rFonts w:asciiTheme="majorBidi" w:hAnsiTheme="majorBidi" w:cstheme="majorBidi"/>
          <w:i/>
          <w:iCs/>
          <w:sz w:val="24"/>
          <w:szCs w:val="24"/>
          <w:lang w:eastAsia="fr-FR"/>
        </w:rPr>
        <w:t>Ghelderode</w:t>
      </w:r>
      <w:r w:rsidRPr="00615689">
        <w:rPr>
          <w:rFonts w:asciiTheme="majorBidi" w:hAnsiTheme="majorBidi" w:cstheme="majorBidi"/>
          <w:sz w:val="24"/>
          <w:szCs w:val="24"/>
          <w:lang w:eastAsia="fr-FR"/>
        </w:rPr>
        <w:t xml:space="preserve">, </w:t>
      </w:r>
      <w:r w:rsidR="00994EEC" w:rsidRPr="00615689">
        <w:rPr>
          <w:rFonts w:asciiTheme="majorBidi" w:hAnsiTheme="majorBidi" w:cstheme="majorBidi"/>
          <w:sz w:val="24"/>
          <w:szCs w:val="24"/>
          <w:lang w:eastAsia="fr-FR"/>
        </w:rPr>
        <w:t>Seghers</w:t>
      </w:r>
      <w:r w:rsidR="00994EEC">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Paris, 1974.</w:t>
      </w:r>
    </w:p>
    <w:p w:rsidR="00316218" w:rsidRPr="00615689" w:rsidRDefault="00316218" w:rsidP="00994EEC">
      <w:pPr>
        <w:pStyle w:val="Notedebasdepage"/>
        <w:tabs>
          <w:tab w:val="left" w:pos="6854"/>
          <w:tab w:val="left" w:pos="7145"/>
        </w:tabs>
        <w:spacing w:line="360" w:lineRule="auto"/>
        <w:jc w:val="both"/>
        <w:rPr>
          <w:rFonts w:asciiTheme="majorBidi" w:hAnsiTheme="majorBidi" w:cstheme="majorBidi"/>
          <w:sz w:val="24"/>
          <w:szCs w:val="24"/>
        </w:rPr>
      </w:pPr>
      <w:r w:rsidRPr="0097404C">
        <w:rPr>
          <w:rFonts w:asciiTheme="majorBidi" w:hAnsiTheme="majorBidi" w:cstheme="majorBidi"/>
          <w:sz w:val="24"/>
          <w:szCs w:val="24"/>
          <w:u w:val="single"/>
        </w:rPr>
        <w:t xml:space="preserve">                 </w:t>
      </w:r>
      <w:r w:rsidRPr="00615689">
        <w:rPr>
          <w:rFonts w:asciiTheme="majorBidi" w:hAnsiTheme="majorBidi" w:cstheme="majorBidi"/>
          <w:sz w:val="24"/>
          <w:szCs w:val="24"/>
        </w:rPr>
        <w:t xml:space="preserve">  , </w:t>
      </w:r>
      <w:r w:rsidRPr="00615689">
        <w:rPr>
          <w:rFonts w:asciiTheme="majorBidi" w:hAnsiTheme="majorBidi" w:cstheme="majorBidi"/>
          <w:i/>
          <w:iCs/>
          <w:sz w:val="24"/>
          <w:szCs w:val="24"/>
        </w:rPr>
        <w:t>Bibliographie de Michel de Ghelderode</w:t>
      </w:r>
      <w:r w:rsidRPr="00615689">
        <w:rPr>
          <w:rFonts w:asciiTheme="majorBidi" w:hAnsiTheme="majorBidi" w:cstheme="majorBidi"/>
          <w:sz w:val="24"/>
          <w:szCs w:val="24"/>
        </w:rPr>
        <w:t xml:space="preserve">, </w:t>
      </w:r>
      <w:r w:rsidR="00994EEC" w:rsidRPr="00615689">
        <w:rPr>
          <w:rFonts w:asciiTheme="majorBidi" w:hAnsiTheme="majorBidi" w:cstheme="majorBidi"/>
          <w:sz w:val="24"/>
          <w:szCs w:val="24"/>
        </w:rPr>
        <w:t>Académie royale de Langue et de Littérature françaises</w:t>
      </w:r>
      <w:r w:rsidR="00994EEC">
        <w:rPr>
          <w:rFonts w:asciiTheme="majorBidi" w:hAnsiTheme="majorBidi" w:cstheme="majorBidi"/>
          <w:sz w:val="24"/>
          <w:szCs w:val="24"/>
        </w:rPr>
        <w:t xml:space="preserve">, </w:t>
      </w:r>
      <w:r w:rsidRPr="00615689">
        <w:rPr>
          <w:rFonts w:asciiTheme="majorBidi" w:hAnsiTheme="majorBidi" w:cstheme="majorBidi"/>
          <w:sz w:val="24"/>
          <w:szCs w:val="24"/>
        </w:rPr>
        <w:t>Bruxelles, 1987.</w:t>
      </w:r>
    </w:p>
    <w:p w:rsidR="00316218" w:rsidRPr="00615689" w:rsidRDefault="00316218" w:rsidP="00994EEC">
      <w:pPr>
        <w:pStyle w:val="Notedebasdepage"/>
        <w:tabs>
          <w:tab w:val="left" w:pos="6854"/>
          <w:tab w:val="left" w:pos="7145"/>
        </w:tabs>
        <w:spacing w:line="360" w:lineRule="auto"/>
        <w:jc w:val="both"/>
        <w:rPr>
          <w:rFonts w:asciiTheme="majorBidi" w:hAnsiTheme="majorBidi" w:cstheme="majorBidi"/>
          <w:sz w:val="24"/>
          <w:szCs w:val="24"/>
        </w:rPr>
      </w:pPr>
      <w:r w:rsidRPr="00615689">
        <w:rPr>
          <w:rFonts w:asciiTheme="majorBidi" w:hAnsiTheme="majorBidi" w:cstheme="majorBidi"/>
          <w:sz w:val="24"/>
          <w:szCs w:val="24"/>
          <w:shd w:val="clear" w:color="auto" w:fill="FFFFFF"/>
        </w:rPr>
        <w:t>G. A. Van den Bergh van Eysinga, Paul-Louis Couchoud, Robert Stahl</w:t>
      </w:r>
      <w:r w:rsidRPr="00615689">
        <w:rPr>
          <w:rFonts w:asciiTheme="majorBidi" w:hAnsiTheme="majorBidi" w:cstheme="majorBidi"/>
          <w:sz w:val="24"/>
          <w:szCs w:val="24"/>
        </w:rPr>
        <w:t xml:space="preserve">, </w:t>
      </w:r>
      <w:r w:rsidRPr="00615689">
        <w:rPr>
          <w:rFonts w:asciiTheme="majorBidi" w:hAnsiTheme="majorBidi" w:cstheme="majorBidi"/>
          <w:i/>
          <w:iCs/>
          <w:sz w:val="24"/>
          <w:szCs w:val="24"/>
        </w:rPr>
        <w:t>Premiers écrits du Christianisme</w:t>
      </w:r>
      <w:r w:rsidRPr="00615689">
        <w:rPr>
          <w:rFonts w:asciiTheme="majorBidi" w:hAnsiTheme="majorBidi" w:cstheme="majorBidi"/>
          <w:sz w:val="24"/>
          <w:szCs w:val="24"/>
        </w:rPr>
        <w:t xml:space="preserve">, </w:t>
      </w:r>
      <w:r w:rsidR="00994EEC" w:rsidRPr="00615689">
        <w:rPr>
          <w:rFonts w:asciiTheme="majorBidi" w:hAnsiTheme="majorBidi" w:cstheme="majorBidi"/>
          <w:color w:val="333333"/>
          <w:sz w:val="24"/>
          <w:szCs w:val="24"/>
          <w:shd w:val="clear" w:color="auto" w:fill="FFFFFF"/>
        </w:rPr>
        <w:t>Les Editions Rieder</w:t>
      </w:r>
      <w:r w:rsidR="00994EEC">
        <w:rPr>
          <w:rFonts w:asciiTheme="majorBidi" w:hAnsiTheme="majorBidi" w:cstheme="majorBidi"/>
          <w:color w:val="333333"/>
          <w:sz w:val="24"/>
          <w:szCs w:val="24"/>
          <w:shd w:val="clear" w:color="auto" w:fill="FFFFFF"/>
        </w:rPr>
        <w:t xml:space="preserve">, </w:t>
      </w:r>
      <w:r w:rsidRPr="00615689">
        <w:rPr>
          <w:rFonts w:asciiTheme="majorBidi" w:hAnsiTheme="majorBidi" w:cstheme="majorBidi"/>
          <w:sz w:val="24"/>
          <w:szCs w:val="24"/>
        </w:rPr>
        <w:t>Paris, 1930.</w:t>
      </w:r>
    </w:p>
    <w:p w:rsidR="00316218" w:rsidRPr="00615689" w:rsidRDefault="00316218" w:rsidP="0097404C">
      <w:pPr>
        <w:pStyle w:val="Notedebasdepage"/>
        <w:tabs>
          <w:tab w:val="left" w:pos="6854"/>
          <w:tab w:val="left" w:pos="7145"/>
        </w:tabs>
        <w:spacing w:line="360" w:lineRule="auto"/>
        <w:jc w:val="both"/>
        <w:rPr>
          <w:rFonts w:asciiTheme="majorBidi" w:hAnsiTheme="majorBidi" w:cstheme="majorBidi"/>
          <w:sz w:val="24"/>
          <w:szCs w:val="24"/>
        </w:rPr>
      </w:pPr>
      <w:r w:rsidRPr="00615689">
        <w:rPr>
          <w:rStyle w:val="FontStyle71"/>
          <w:rFonts w:asciiTheme="majorBidi" w:hAnsiTheme="majorBidi" w:cstheme="majorBidi"/>
          <w:iCs/>
          <w:sz w:val="24"/>
          <w:szCs w:val="24"/>
        </w:rPr>
        <w:t xml:space="preserve">CNUDDE, H., « Rêver la mort avec Michel de Ghelderode », in </w:t>
      </w:r>
      <w:r w:rsidRPr="00615689">
        <w:rPr>
          <w:rStyle w:val="FontStyle71"/>
          <w:rFonts w:asciiTheme="majorBidi" w:hAnsiTheme="majorBidi" w:cstheme="majorBidi"/>
          <w:i/>
          <w:iCs/>
          <w:sz w:val="24"/>
          <w:szCs w:val="24"/>
        </w:rPr>
        <w:t>La Revue Nouvelle</w:t>
      </w:r>
      <w:r w:rsidRPr="00615689">
        <w:rPr>
          <w:rStyle w:val="FontStyle71"/>
          <w:rFonts w:asciiTheme="majorBidi" w:hAnsiTheme="majorBidi" w:cstheme="majorBidi"/>
          <w:iCs/>
          <w:sz w:val="24"/>
          <w:szCs w:val="24"/>
        </w:rPr>
        <w:t>, n°12, Décembre 2000.</w:t>
      </w:r>
    </w:p>
    <w:p w:rsidR="00316218" w:rsidRPr="00615689" w:rsidRDefault="00316218" w:rsidP="0097404C">
      <w:pPr>
        <w:pStyle w:val="Notedebasdepage"/>
        <w:tabs>
          <w:tab w:val="left" w:pos="6854"/>
          <w:tab w:val="left" w:pos="7145"/>
        </w:tabs>
        <w:spacing w:line="360" w:lineRule="auto"/>
        <w:jc w:val="both"/>
        <w:rPr>
          <w:rFonts w:asciiTheme="majorBidi" w:hAnsiTheme="majorBidi" w:cstheme="majorBidi"/>
          <w:sz w:val="24"/>
          <w:szCs w:val="24"/>
          <w:lang w:val="en-GB"/>
        </w:rPr>
      </w:pPr>
      <w:proofErr w:type="gramStart"/>
      <w:r w:rsidRPr="00615689">
        <w:rPr>
          <w:rFonts w:asciiTheme="majorBidi" w:hAnsiTheme="majorBidi" w:cstheme="majorBidi"/>
          <w:sz w:val="24"/>
          <w:szCs w:val="24"/>
          <w:lang w:val="en-GB"/>
        </w:rPr>
        <w:t xml:space="preserve">FERSCH, P.P., </w:t>
      </w:r>
      <w:r w:rsidRPr="00615689">
        <w:rPr>
          <w:rFonts w:asciiTheme="majorBidi" w:hAnsiTheme="majorBidi" w:cstheme="majorBidi"/>
          <w:i/>
          <w:sz w:val="24"/>
          <w:szCs w:val="24"/>
          <w:lang w:val="en-GB"/>
        </w:rPr>
        <w:t>A study of the grotesque in the plays of Michel de Ghelderode</w:t>
      </w:r>
      <w:r w:rsidR="00994EEC" w:rsidRPr="00615689">
        <w:rPr>
          <w:rFonts w:asciiTheme="majorBidi" w:hAnsiTheme="majorBidi" w:cstheme="majorBidi"/>
          <w:sz w:val="24"/>
          <w:szCs w:val="24"/>
          <w:lang w:val="en-GB"/>
        </w:rPr>
        <w:t>, (thèse</w:t>
      </w:r>
      <w:r w:rsidRPr="00615689">
        <w:rPr>
          <w:rFonts w:asciiTheme="majorBidi" w:hAnsiTheme="majorBidi" w:cstheme="majorBidi"/>
          <w:sz w:val="24"/>
          <w:szCs w:val="24"/>
          <w:lang w:val="en-GB"/>
        </w:rPr>
        <w:t xml:space="preserve"> de doctorat), Ohio University, 1968.</w:t>
      </w:r>
      <w:proofErr w:type="gramEnd"/>
    </w:p>
    <w:p w:rsidR="00316218" w:rsidRPr="0097404C" w:rsidRDefault="00316218" w:rsidP="00994EEC">
      <w:pPr>
        <w:spacing w:after="0" w:line="360" w:lineRule="auto"/>
        <w:jc w:val="both"/>
        <w:rPr>
          <w:rFonts w:asciiTheme="majorBidi" w:hAnsiTheme="majorBidi" w:cstheme="majorBidi"/>
          <w:sz w:val="24"/>
          <w:szCs w:val="24"/>
          <w:lang w:eastAsia="fr-FR"/>
        </w:rPr>
      </w:pPr>
      <w:r w:rsidRPr="0097404C">
        <w:rPr>
          <w:rFonts w:asciiTheme="majorBidi" w:hAnsiTheme="majorBidi" w:cstheme="majorBidi"/>
          <w:sz w:val="24"/>
          <w:szCs w:val="24"/>
          <w:lang w:eastAsia="fr-FR"/>
        </w:rPr>
        <w:t xml:space="preserve">GHELDERODE, M., </w:t>
      </w:r>
      <w:r w:rsidRPr="0097404C">
        <w:rPr>
          <w:rFonts w:asciiTheme="majorBidi" w:hAnsiTheme="majorBidi" w:cstheme="majorBidi"/>
          <w:i/>
          <w:iCs/>
          <w:sz w:val="24"/>
          <w:szCs w:val="24"/>
          <w:lang w:eastAsia="fr-FR"/>
        </w:rPr>
        <w:t>Les Entretiens d’Ostende</w:t>
      </w:r>
      <w:r w:rsidRPr="0097404C">
        <w:rPr>
          <w:rFonts w:asciiTheme="majorBidi" w:hAnsiTheme="majorBidi" w:cstheme="majorBidi"/>
          <w:sz w:val="24"/>
          <w:szCs w:val="24"/>
          <w:lang w:eastAsia="fr-FR"/>
        </w:rPr>
        <w:t xml:space="preserve">, </w:t>
      </w:r>
      <w:r w:rsidR="00994EEC" w:rsidRPr="0097404C">
        <w:rPr>
          <w:rFonts w:asciiTheme="majorBidi" w:hAnsiTheme="majorBidi" w:cstheme="majorBidi"/>
          <w:sz w:val="24"/>
          <w:szCs w:val="24"/>
          <w:lang w:eastAsia="fr-FR"/>
        </w:rPr>
        <w:t>L’Ether Vague</w:t>
      </w:r>
      <w:r w:rsidR="00994EEC">
        <w:rPr>
          <w:rFonts w:asciiTheme="majorBidi" w:hAnsiTheme="majorBidi" w:cstheme="majorBidi"/>
          <w:sz w:val="24"/>
          <w:szCs w:val="24"/>
          <w:lang w:eastAsia="fr-FR"/>
        </w:rPr>
        <w:t xml:space="preserve">, </w:t>
      </w:r>
      <w:r w:rsidRPr="0097404C">
        <w:rPr>
          <w:rFonts w:asciiTheme="majorBidi" w:hAnsiTheme="majorBidi" w:cstheme="majorBidi"/>
          <w:sz w:val="24"/>
          <w:szCs w:val="24"/>
          <w:lang w:eastAsia="fr-FR"/>
        </w:rPr>
        <w:t>Toulouse, 1992.</w:t>
      </w:r>
    </w:p>
    <w:p w:rsidR="00316218" w:rsidRPr="0097404C" w:rsidRDefault="00316218" w:rsidP="00994EEC">
      <w:pPr>
        <w:pStyle w:val="Notedebasdepage"/>
        <w:tabs>
          <w:tab w:val="left" w:pos="6854"/>
          <w:tab w:val="left" w:pos="7145"/>
        </w:tabs>
        <w:spacing w:line="360" w:lineRule="auto"/>
        <w:jc w:val="both"/>
        <w:rPr>
          <w:rFonts w:asciiTheme="majorBidi" w:hAnsiTheme="majorBidi" w:cstheme="majorBidi"/>
          <w:sz w:val="24"/>
          <w:szCs w:val="24"/>
        </w:rPr>
      </w:pPr>
      <w:r w:rsidRPr="0097404C">
        <w:rPr>
          <w:rFonts w:asciiTheme="majorBidi" w:hAnsiTheme="majorBidi" w:cstheme="majorBidi"/>
          <w:sz w:val="24"/>
          <w:szCs w:val="24"/>
          <w:u w:val="single"/>
          <w:lang w:eastAsia="fr-FR"/>
        </w:rPr>
        <w:t xml:space="preserve">                           </w:t>
      </w:r>
      <w:r w:rsidRPr="00615689">
        <w:rPr>
          <w:rFonts w:asciiTheme="majorBidi" w:hAnsiTheme="majorBidi" w:cstheme="majorBidi"/>
          <w:sz w:val="24"/>
          <w:szCs w:val="24"/>
          <w:lang w:eastAsia="fr-FR"/>
        </w:rPr>
        <w:t xml:space="preserve">, </w:t>
      </w:r>
      <w:r w:rsidRPr="00615689">
        <w:rPr>
          <w:rFonts w:asciiTheme="majorBidi" w:hAnsiTheme="majorBidi" w:cstheme="majorBidi"/>
          <w:i/>
          <w:iCs/>
          <w:sz w:val="24"/>
          <w:szCs w:val="24"/>
          <w:lang w:eastAsia="fr-FR"/>
        </w:rPr>
        <w:t>Barabbas – Escurial</w:t>
      </w:r>
      <w:r w:rsidRPr="00615689">
        <w:rPr>
          <w:rFonts w:asciiTheme="majorBidi" w:hAnsiTheme="majorBidi" w:cstheme="majorBidi"/>
          <w:sz w:val="24"/>
          <w:szCs w:val="24"/>
          <w:lang w:eastAsia="fr-FR"/>
        </w:rPr>
        <w:t xml:space="preserve">, </w:t>
      </w:r>
      <w:r w:rsidR="00994EEC" w:rsidRPr="00615689">
        <w:rPr>
          <w:rFonts w:asciiTheme="majorBidi" w:hAnsiTheme="majorBidi" w:cstheme="majorBidi"/>
          <w:sz w:val="24"/>
          <w:szCs w:val="24"/>
          <w:lang w:eastAsia="fr-FR"/>
        </w:rPr>
        <w:t>Labor</w:t>
      </w:r>
      <w:r w:rsidR="00994EEC">
        <w:rPr>
          <w:rFonts w:asciiTheme="majorBidi" w:hAnsiTheme="majorBidi" w:cstheme="majorBidi"/>
          <w:sz w:val="24"/>
          <w:szCs w:val="24"/>
          <w:lang w:eastAsia="fr-FR"/>
        </w:rPr>
        <w:t xml:space="preserve">, </w:t>
      </w:r>
      <w:r w:rsidRPr="00615689">
        <w:rPr>
          <w:rFonts w:asciiTheme="majorBidi" w:hAnsiTheme="majorBidi" w:cstheme="majorBidi"/>
          <w:sz w:val="24"/>
          <w:szCs w:val="24"/>
          <w:lang w:eastAsia="fr-FR"/>
        </w:rPr>
        <w:t>Bruxelles, 1984.</w:t>
      </w:r>
    </w:p>
    <w:p w:rsidR="00316218" w:rsidRPr="00615689" w:rsidRDefault="00316218" w:rsidP="0097404C">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sz w:val="24"/>
          <w:szCs w:val="24"/>
        </w:rPr>
        <w:t xml:space="preserve">HAUBRUGE, P, HANNAERT, P., « Le Barabbas de Michel de Ghelderode à l'abbaye de Villers-la-Ville, Retour d'un héros dans les ruines », </w:t>
      </w:r>
      <w:r w:rsidRPr="00615689">
        <w:rPr>
          <w:rFonts w:asciiTheme="majorBidi" w:hAnsiTheme="majorBidi" w:cstheme="majorBidi"/>
          <w:i/>
          <w:sz w:val="24"/>
          <w:szCs w:val="24"/>
        </w:rPr>
        <w:t>Archives Le Soir Belgique</w:t>
      </w:r>
      <w:r w:rsidRPr="00615689">
        <w:rPr>
          <w:rFonts w:asciiTheme="majorBidi" w:hAnsiTheme="majorBidi" w:cstheme="majorBidi"/>
          <w:sz w:val="24"/>
          <w:szCs w:val="24"/>
        </w:rPr>
        <w:t>, 19 juillet 1996.</w:t>
      </w:r>
    </w:p>
    <w:p w:rsidR="00316218" w:rsidRPr="00615689" w:rsidRDefault="00316218" w:rsidP="0097404C">
      <w:pPr>
        <w:pStyle w:val="Notedebasdepage"/>
        <w:tabs>
          <w:tab w:val="left" w:pos="7145"/>
        </w:tabs>
        <w:spacing w:line="360" w:lineRule="auto"/>
        <w:jc w:val="both"/>
        <w:rPr>
          <w:rFonts w:asciiTheme="majorBidi" w:hAnsiTheme="majorBidi" w:cstheme="majorBidi"/>
          <w:sz w:val="24"/>
          <w:szCs w:val="24"/>
          <w:lang w:eastAsia="fr-FR"/>
        </w:rPr>
      </w:pPr>
      <w:r w:rsidRPr="00615689">
        <w:rPr>
          <w:rFonts w:asciiTheme="majorBidi" w:hAnsiTheme="majorBidi" w:cstheme="majorBidi"/>
          <w:sz w:val="24"/>
          <w:szCs w:val="24"/>
        </w:rPr>
        <w:lastRenderedPageBreak/>
        <w:t>HEGYESI, G.</w:t>
      </w:r>
      <w:r w:rsidRPr="00615689">
        <w:rPr>
          <w:rFonts w:asciiTheme="majorBidi" w:hAnsiTheme="majorBidi" w:cstheme="majorBidi"/>
          <w:sz w:val="24"/>
          <w:szCs w:val="24"/>
          <w:lang w:eastAsia="fr-FR"/>
        </w:rPr>
        <w:t xml:space="preserve">, « L’héritage classique dans l’œuvre de Michel de Ghelderode », in </w:t>
      </w:r>
      <w:r w:rsidRPr="00615689">
        <w:rPr>
          <w:rFonts w:asciiTheme="majorBidi" w:hAnsiTheme="majorBidi" w:cstheme="majorBidi"/>
          <w:i/>
          <w:sz w:val="24"/>
          <w:szCs w:val="24"/>
          <w:lang w:eastAsia="fr-FR"/>
        </w:rPr>
        <w:t>Revue d’Études Françaises</w:t>
      </w:r>
      <w:r w:rsidRPr="00615689">
        <w:rPr>
          <w:rFonts w:asciiTheme="majorBidi" w:hAnsiTheme="majorBidi" w:cstheme="majorBidi"/>
          <w:sz w:val="24"/>
          <w:szCs w:val="24"/>
          <w:lang w:eastAsia="fr-FR"/>
        </w:rPr>
        <w:t>, N</w:t>
      </w:r>
      <w:r w:rsidRPr="00615689">
        <w:rPr>
          <w:rFonts w:asciiTheme="majorBidi" w:hAnsiTheme="majorBidi" w:cstheme="majorBidi"/>
          <w:sz w:val="24"/>
          <w:szCs w:val="24"/>
          <w:vertAlign w:val="superscript"/>
          <w:lang w:eastAsia="fr-FR"/>
        </w:rPr>
        <w:t>o</w:t>
      </w:r>
      <w:r w:rsidRPr="00615689">
        <w:rPr>
          <w:rFonts w:asciiTheme="majorBidi" w:hAnsiTheme="majorBidi" w:cstheme="majorBidi"/>
          <w:sz w:val="24"/>
          <w:szCs w:val="24"/>
          <w:lang w:eastAsia="fr-FR"/>
        </w:rPr>
        <w:t xml:space="preserve"> 12, 2007.</w:t>
      </w:r>
    </w:p>
    <w:p w:rsidR="00316218" w:rsidRPr="0097404C" w:rsidRDefault="00316218" w:rsidP="00D636D8">
      <w:pPr>
        <w:spacing w:after="0" w:line="360" w:lineRule="auto"/>
        <w:jc w:val="both"/>
        <w:rPr>
          <w:rFonts w:asciiTheme="majorBidi" w:eastAsia="Times New Roman" w:hAnsiTheme="majorBidi" w:cstheme="majorBidi"/>
          <w:sz w:val="24"/>
          <w:szCs w:val="24"/>
          <w:lang w:eastAsia="fr-FR"/>
        </w:rPr>
      </w:pPr>
      <w:r w:rsidRPr="0097404C">
        <w:rPr>
          <w:rFonts w:asciiTheme="majorBidi" w:eastAsia="Times New Roman" w:hAnsiTheme="majorBidi" w:cstheme="majorBidi"/>
          <w:sz w:val="24"/>
          <w:szCs w:val="24"/>
          <w:lang w:eastAsia="fr-FR"/>
        </w:rPr>
        <w:t xml:space="preserve">LAGRANGE, M-J., </w:t>
      </w:r>
      <w:r w:rsidRPr="0097404C">
        <w:rPr>
          <w:rFonts w:asciiTheme="majorBidi" w:eastAsia="Times New Roman" w:hAnsiTheme="majorBidi" w:cstheme="majorBidi"/>
          <w:i/>
          <w:iCs/>
          <w:sz w:val="24"/>
          <w:szCs w:val="24"/>
          <w:lang w:eastAsia="fr-FR"/>
        </w:rPr>
        <w:t>Evangile selon S. Luc</w:t>
      </w:r>
      <w:r w:rsidRPr="0097404C">
        <w:rPr>
          <w:rFonts w:asciiTheme="majorBidi" w:eastAsia="Times New Roman" w:hAnsiTheme="majorBidi" w:cstheme="majorBidi"/>
          <w:sz w:val="24"/>
          <w:szCs w:val="24"/>
          <w:lang w:eastAsia="fr-FR"/>
        </w:rPr>
        <w:t xml:space="preserve">, </w:t>
      </w:r>
      <w:r w:rsidR="00D636D8" w:rsidRPr="0097404C">
        <w:rPr>
          <w:rFonts w:asciiTheme="majorBidi" w:eastAsia="Times New Roman" w:hAnsiTheme="majorBidi" w:cstheme="majorBidi"/>
          <w:sz w:val="24"/>
          <w:szCs w:val="24"/>
          <w:lang w:eastAsia="fr-FR"/>
        </w:rPr>
        <w:t>Victor Lecoffre</w:t>
      </w:r>
      <w:r w:rsidR="00D636D8">
        <w:rPr>
          <w:rFonts w:asciiTheme="majorBidi" w:eastAsia="Times New Roman" w:hAnsiTheme="majorBidi" w:cstheme="majorBidi"/>
          <w:sz w:val="24"/>
          <w:szCs w:val="24"/>
          <w:lang w:eastAsia="fr-FR"/>
        </w:rPr>
        <w:t xml:space="preserve">, </w:t>
      </w:r>
      <w:r w:rsidRPr="0097404C">
        <w:rPr>
          <w:rFonts w:asciiTheme="majorBidi" w:eastAsia="Times New Roman" w:hAnsiTheme="majorBidi" w:cstheme="majorBidi"/>
          <w:sz w:val="24"/>
          <w:szCs w:val="24"/>
          <w:lang w:eastAsia="fr-FR"/>
        </w:rPr>
        <w:t>Paris, 1921.</w:t>
      </w:r>
    </w:p>
    <w:p w:rsidR="00316218" w:rsidRPr="0097404C" w:rsidRDefault="00316218" w:rsidP="00D636D8">
      <w:pPr>
        <w:spacing w:after="0" w:line="360" w:lineRule="auto"/>
        <w:jc w:val="both"/>
        <w:rPr>
          <w:rFonts w:asciiTheme="majorBidi" w:eastAsia="Times New Roman" w:hAnsiTheme="majorBidi" w:cstheme="majorBidi"/>
          <w:sz w:val="24"/>
          <w:szCs w:val="24"/>
          <w:lang w:eastAsia="fr-FR"/>
        </w:rPr>
      </w:pPr>
      <w:r w:rsidRPr="0097404C">
        <w:rPr>
          <w:rFonts w:asciiTheme="majorBidi" w:eastAsia="Times New Roman" w:hAnsiTheme="majorBidi" w:cstheme="majorBidi"/>
          <w:sz w:val="24"/>
          <w:szCs w:val="24"/>
          <w:u w:val="single"/>
          <w:lang w:eastAsia="fr-FR"/>
        </w:rPr>
        <w:t xml:space="preserve">                            </w:t>
      </w:r>
      <w:r w:rsidRPr="0097404C">
        <w:rPr>
          <w:rFonts w:asciiTheme="majorBidi" w:eastAsia="Times New Roman" w:hAnsiTheme="majorBidi" w:cstheme="majorBidi"/>
          <w:sz w:val="24"/>
          <w:szCs w:val="24"/>
          <w:lang w:eastAsia="fr-FR"/>
        </w:rPr>
        <w:t xml:space="preserve">, </w:t>
      </w:r>
      <w:r w:rsidRPr="0097404C">
        <w:rPr>
          <w:rFonts w:asciiTheme="majorBidi" w:eastAsia="Times New Roman" w:hAnsiTheme="majorBidi" w:cstheme="majorBidi"/>
          <w:i/>
          <w:iCs/>
          <w:sz w:val="24"/>
          <w:szCs w:val="24"/>
          <w:lang w:eastAsia="fr-FR"/>
        </w:rPr>
        <w:t xml:space="preserve">Quelques </w:t>
      </w:r>
      <w:r w:rsidRPr="0097404C">
        <w:rPr>
          <w:rFonts w:asciiTheme="majorBidi" w:eastAsia="Times New Roman" w:hAnsiTheme="majorBidi" w:cstheme="majorBidi"/>
          <w:sz w:val="24"/>
          <w:szCs w:val="24"/>
          <w:lang w:eastAsia="fr-FR"/>
        </w:rPr>
        <w:t xml:space="preserve">remarques </w:t>
      </w:r>
      <w:r w:rsidRPr="0097404C">
        <w:rPr>
          <w:rFonts w:asciiTheme="majorBidi" w:eastAsia="Times New Roman" w:hAnsiTheme="majorBidi" w:cstheme="majorBidi"/>
          <w:i/>
          <w:iCs/>
          <w:sz w:val="24"/>
          <w:szCs w:val="24"/>
          <w:lang w:eastAsia="fr-FR"/>
        </w:rPr>
        <w:t>sur l'Orpheus</w:t>
      </w:r>
      <w:r w:rsidRPr="0097404C">
        <w:rPr>
          <w:rFonts w:asciiTheme="majorBidi" w:eastAsia="Times New Roman" w:hAnsiTheme="majorBidi" w:cstheme="majorBidi"/>
          <w:sz w:val="24"/>
          <w:szCs w:val="24"/>
          <w:lang w:eastAsia="fr-FR"/>
        </w:rPr>
        <w:t xml:space="preserve">, </w:t>
      </w:r>
      <w:r w:rsidR="00D636D8" w:rsidRPr="0097404C">
        <w:rPr>
          <w:rFonts w:asciiTheme="majorBidi" w:eastAsia="Times New Roman" w:hAnsiTheme="majorBidi" w:cstheme="majorBidi"/>
          <w:sz w:val="24"/>
          <w:szCs w:val="24"/>
          <w:lang w:eastAsia="fr-FR"/>
        </w:rPr>
        <w:t>Victor Lecoffre</w:t>
      </w:r>
      <w:r w:rsidR="00D636D8">
        <w:rPr>
          <w:rFonts w:asciiTheme="majorBidi" w:eastAsia="Times New Roman" w:hAnsiTheme="majorBidi" w:cstheme="majorBidi"/>
          <w:sz w:val="24"/>
          <w:szCs w:val="24"/>
          <w:lang w:eastAsia="fr-FR"/>
        </w:rPr>
        <w:t xml:space="preserve">, </w:t>
      </w:r>
      <w:r w:rsidRPr="0097404C">
        <w:rPr>
          <w:rFonts w:asciiTheme="majorBidi" w:eastAsia="Times New Roman" w:hAnsiTheme="majorBidi" w:cstheme="majorBidi"/>
          <w:sz w:val="24"/>
          <w:szCs w:val="24"/>
          <w:lang w:eastAsia="fr-FR"/>
        </w:rPr>
        <w:t>Paris, 1910.</w:t>
      </w:r>
    </w:p>
    <w:p w:rsidR="00316218" w:rsidRPr="0097404C" w:rsidRDefault="00316218" w:rsidP="0097404C">
      <w:pPr>
        <w:spacing w:after="0" w:line="360" w:lineRule="auto"/>
        <w:jc w:val="both"/>
        <w:rPr>
          <w:rFonts w:asciiTheme="majorBidi" w:hAnsiTheme="majorBidi" w:cstheme="majorBidi"/>
          <w:b/>
          <w:bCs/>
          <w:sz w:val="24"/>
          <w:szCs w:val="24"/>
          <w:lang w:eastAsia="fr-FR"/>
        </w:rPr>
      </w:pPr>
      <w:r w:rsidRPr="0097404C">
        <w:rPr>
          <w:rFonts w:asciiTheme="majorBidi" w:hAnsiTheme="majorBidi" w:cstheme="majorBidi"/>
          <w:sz w:val="24"/>
          <w:szCs w:val="24"/>
        </w:rPr>
        <w:t xml:space="preserve">NEUHUYS, P., « Lettre d'Anvers. Une représentation du 'Vlaamsche Volkstooneel' », in </w:t>
      </w:r>
      <w:r w:rsidRPr="0097404C">
        <w:rPr>
          <w:rFonts w:asciiTheme="majorBidi" w:hAnsiTheme="majorBidi" w:cstheme="majorBidi"/>
          <w:i/>
          <w:iCs/>
          <w:sz w:val="24"/>
          <w:szCs w:val="24"/>
        </w:rPr>
        <w:t>La Renaissance d'Occident</w:t>
      </w:r>
      <w:r w:rsidRPr="0097404C">
        <w:rPr>
          <w:rFonts w:asciiTheme="majorBidi" w:hAnsiTheme="majorBidi" w:cstheme="majorBidi"/>
          <w:sz w:val="24"/>
          <w:szCs w:val="24"/>
        </w:rPr>
        <w:t>, avril 1929.</w:t>
      </w:r>
    </w:p>
    <w:p w:rsidR="00316218" w:rsidRPr="00615689" w:rsidRDefault="00316218" w:rsidP="0097404C">
      <w:pPr>
        <w:pStyle w:val="Notedebasdepage"/>
        <w:spacing w:line="360" w:lineRule="auto"/>
        <w:jc w:val="both"/>
        <w:rPr>
          <w:rFonts w:asciiTheme="majorBidi" w:hAnsiTheme="majorBidi" w:cstheme="majorBidi"/>
          <w:sz w:val="24"/>
          <w:szCs w:val="24"/>
        </w:rPr>
      </w:pPr>
      <w:r w:rsidRPr="00615689">
        <w:rPr>
          <w:rFonts w:asciiTheme="majorBidi" w:hAnsiTheme="majorBidi" w:cstheme="majorBidi"/>
          <w:bCs/>
          <w:sz w:val="24"/>
          <w:szCs w:val="24"/>
        </w:rPr>
        <w:t>OST</w:t>
      </w:r>
      <w:r w:rsidRPr="00615689">
        <w:rPr>
          <w:rFonts w:asciiTheme="majorBidi" w:hAnsiTheme="majorBidi" w:cstheme="majorBidi"/>
          <w:sz w:val="24"/>
          <w:szCs w:val="24"/>
        </w:rPr>
        <w:t xml:space="preserve">, </w:t>
      </w:r>
      <w:r w:rsidRPr="00615689">
        <w:rPr>
          <w:rFonts w:asciiTheme="majorBidi" w:hAnsiTheme="majorBidi" w:cstheme="majorBidi"/>
          <w:bCs/>
          <w:sz w:val="24"/>
          <w:szCs w:val="24"/>
        </w:rPr>
        <w:t xml:space="preserve">I., </w:t>
      </w:r>
      <w:r w:rsidRPr="00615689">
        <w:rPr>
          <w:rFonts w:asciiTheme="majorBidi" w:hAnsiTheme="majorBidi" w:cstheme="majorBidi"/>
          <w:sz w:val="24"/>
          <w:szCs w:val="24"/>
        </w:rPr>
        <w:t xml:space="preserve">« Ghelderode (Michel de), </w:t>
      </w:r>
      <w:r w:rsidRPr="00615689">
        <w:rPr>
          <w:rFonts w:asciiTheme="majorBidi" w:hAnsiTheme="majorBidi" w:cstheme="majorBidi"/>
          <w:i/>
          <w:iCs/>
          <w:sz w:val="24"/>
          <w:szCs w:val="24"/>
        </w:rPr>
        <w:t>La balade du grand Macabre</w:t>
      </w:r>
      <w:r w:rsidRPr="00615689">
        <w:rPr>
          <w:rFonts w:asciiTheme="majorBidi" w:hAnsiTheme="majorBidi" w:cstheme="majorBidi"/>
          <w:sz w:val="24"/>
          <w:szCs w:val="24"/>
        </w:rPr>
        <w:t xml:space="preserve">. Blancart-Cassou (Jacqueline) (éd.) »,  in </w:t>
      </w:r>
      <w:r w:rsidRPr="00615689">
        <w:rPr>
          <w:rFonts w:asciiTheme="majorBidi" w:hAnsiTheme="majorBidi" w:cstheme="majorBidi"/>
          <w:i/>
          <w:iCs/>
          <w:sz w:val="24"/>
          <w:szCs w:val="24"/>
        </w:rPr>
        <w:t xml:space="preserve">Textyles </w:t>
      </w:r>
      <w:r w:rsidRPr="00615689">
        <w:rPr>
          <w:rFonts w:asciiTheme="majorBidi" w:hAnsiTheme="majorBidi" w:cstheme="majorBidi"/>
          <w:sz w:val="24"/>
          <w:szCs w:val="24"/>
        </w:rPr>
        <w:t>n</w:t>
      </w:r>
      <w:r w:rsidRPr="00615689">
        <w:rPr>
          <w:rFonts w:asciiTheme="majorBidi" w:hAnsiTheme="majorBidi" w:cstheme="majorBidi"/>
          <w:sz w:val="24"/>
          <w:szCs w:val="24"/>
          <w:vertAlign w:val="superscript"/>
        </w:rPr>
        <w:t>0</w:t>
      </w:r>
      <w:r w:rsidRPr="00615689">
        <w:rPr>
          <w:rFonts w:asciiTheme="majorBidi" w:hAnsiTheme="majorBidi" w:cstheme="majorBidi"/>
          <w:sz w:val="24"/>
          <w:szCs w:val="24"/>
        </w:rPr>
        <w:t xml:space="preserve"> 23, 2003. </w:t>
      </w:r>
    </w:p>
    <w:p w:rsidR="00316218" w:rsidRPr="00615689" w:rsidRDefault="00316218" w:rsidP="0097404C">
      <w:pPr>
        <w:pStyle w:val="Notedebasdepage"/>
        <w:spacing w:line="360" w:lineRule="auto"/>
        <w:jc w:val="both"/>
        <w:rPr>
          <w:rFonts w:asciiTheme="majorBidi" w:hAnsiTheme="majorBidi" w:cstheme="majorBidi"/>
          <w:sz w:val="24"/>
          <w:szCs w:val="24"/>
        </w:rPr>
      </w:pPr>
      <w:r w:rsidRPr="0097404C">
        <w:rPr>
          <w:rFonts w:asciiTheme="majorBidi" w:hAnsiTheme="majorBidi" w:cstheme="majorBidi"/>
          <w:sz w:val="24"/>
          <w:szCs w:val="24"/>
          <w:u w:val="single"/>
        </w:rPr>
        <w:t xml:space="preserve">           </w:t>
      </w:r>
      <w:r w:rsidRPr="00615689">
        <w:rPr>
          <w:rFonts w:asciiTheme="majorBidi" w:hAnsiTheme="majorBidi" w:cstheme="majorBidi"/>
          <w:sz w:val="24"/>
          <w:szCs w:val="24"/>
        </w:rPr>
        <w:t xml:space="preserve">, « Du clown au tragédien : le grotesque dans le théâtre de Michel de Ghelderode», in </w:t>
      </w:r>
      <w:r w:rsidRPr="00615689">
        <w:rPr>
          <w:rFonts w:asciiTheme="majorBidi" w:hAnsiTheme="majorBidi" w:cstheme="majorBidi"/>
          <w:i/>
          <w:iCs/>
          <w:sz w:val="24"/>
          <w:szCs w:val="24"/>
        </w:rPr>
        <w:t>extyles</w:t>
      </w:r>
      <w:r w:rsidRPr="00615689">
        <w:rPr>
          <w:rFonts w:asciiTheme="majorBidi" w:hAnsiTheme="majorBidi" w:cstheme="majorBidi"/>
          <w:sz w:val="24"/>
          <w:szCs w:val="24"/>
        </w:rPr>
        <w:t xml:space="preserve"> [En ligne], n</w:t>
      </w:r>
      <w:r w:rsidRPr="00615689">
        <w:rPr>
          <w:rFonts w:asciiTheme="majorBidi" w:hAnsiTheme="majorBidi" w:cstheme="majorBidi"/>
          <w:sz w:val="24"/>
          <w:szCs w:val="24"/>
          <w:vertAlign w:val="superscript"/>
        </w:rPr>
        <w:t>0</w:t>
      </w:r>
      <w:r w:rsidRPr="00615689">
        <w:rPr>
          <w:rFonts w:asciiTheme="majorBidi" w:hAnsiTheme="majorBidi" w:cstheme="majorBidi"/>
          <w:sz w:val="24"/>
          <w:szCs w:val="24"/>
        </w:rPr>
        <w:t>24, 2004.</w:t>
      </w:r>
    </w:p>
    <w:p w:rsidR="00316218" w:rsidRPr="0097404C" w:rsidRDefault="00316218" w:rsidP="00D636D8">
      <w:pPr>
        <w:autoSpaceDE w:val="0"/>
        <w:autoSpaceDN w:val="0"/>
        <w:adjustRightInd w:val="0"/>
        <w:spacing w:after="0" w:line="360" w:lineRule="auto"/>
        <w:jc w:val="both"/>
        <w:rPr>
          <w:rFonts w:asciiTheme="majorBidi" w:hAnsiTheme="majorBidi" w:cstheme="majorBidi"/>
          <w:sz w:val="24"/>
          <w:szCs w:val="24"/>
        </w:rPr>
      </w:pPr>
      <w:r w:rsidRPr="0097404C">
        <w:rPr>
          <w:rFonts w:asciiTheme="majorBidi" w:hAnsiTheme="majorBidi" w:cstheme="majorBidi"/>
          <w:sz w:val="24"/>
          <w:szCs w:val="24"/>
          <w:lang w:eastAsia="fr-FR"/>
        </w:rPr>
        <w:t xml:space="preserve">OTTEN, M.,  </w:t>
      </w:r>
      <w:r w:rsidRPr="0097404C">
        <w:rPr>
          <w:rFonts w:asciiTheme="majorBidi" w:hAnsiTheme="majorBidi" w:cstheme="majorBidi"/>
          <w:i/>
          <w:iCs/>
          <w:sz w:val="24"/>
          <w:szCs w:val="24"/>
          <w:lang w:eastAsia="fr-FR"/>
        </w:rPr>
        <w:t>Le sacrificiel dans Barabbas</w:t>
      </w:r>
      <w:r w:rsidRPr="0097404C">
        <w:rPr>
          <w:rFonts w:asciiTheme="majorBidi" w:hAnsiTheme="majorBidi" w:cstheme="majorBidi"/>
          <w:sz w:val="24"/>
          <w:szCs w:val="24"/>
          <w:lang w:eastAsia="fr-FR"/>
        </w:rPr>
        <w:t xml:space="preserve">, in </w:t>
      </w:r>
      <w:r w:rsidRPr="0097404C">
        <w:rPr>
          <w:rFonts w:asciiTheme="majorBidi" w:hAnsiTheme="majorBidi" w:cstheme="majorBidi"/>
          <w:i/>
          <w:iCs/>
          <w:sz w:val="24"/>
          <w:szCs w:val="24"/>
          <w:lang w:eastAsia="fr-FR"/>
        </w:rPr>
        <w:t>Michel de Ghelderode, dramaturge et conteur</w:t>
      </w:r>
      <w:r w:rsidRPr="0097404C">
        <w:rPr>
          <w:rFonts w:asciiTheme="majorBidi" w:hAnsiTheme="majorBidi" w:cstheme="majorBidi"/>
          <w:sz w:val="24"/>
          <w:szCs w:val="24"/>
          <w:lang w:eastAsia="fr-FR"/>
        </w:rPr>
        <w:t xml:space="preserve">, </w:t>
      </w:r>
      <w:r w:rsidR="00D636D8" w:rsidRPr="0097404C">
        <w:rPr>
          <w:rFonts w:asciiTheme="majorBidi" w:hAnsiTheme="majorBidi" w:cstheme="majorBidi"/>
          <w:sz w:val="24"/>
          <w:szCs w:val="24"/>
          <w:lang w:eastAsia="fr-FR"/>
        </w:rPr>
        <w:t>l’Université de Bruxelles</w:t>
      </w:r>
      <w:r w:rsidR="00D636D8">
        <w:rPr>
          <w:rFonts w:asciiTheme="majorBidi" w:hAnsiTheme="majorBidi" w:cstheme="majorBidi"/>
          <w:sz w:val="24"/>
          <w:szCs w:val="24"/>
          <w:lang w:eastAsia="fr-FR"/>
        </w:rPr>
        <w:t xml:space="preserve">, </w:t>
      </w:r>
      <w:r w:rsidRPr="0097404C">
        <w:rPr>
          <w:rFonts w:asciiTheme="majorBidi" w:hAnsiTheme="majorBidi" w:cstheme="majorBidi"/>
          <w:sz w:val="24"/>
          <w:szCs w:val="24"/>
          <w:lang w:eastAsia="fr-FR"/>
        </w:rPr>
        <w:t>Bruxelles, 1983.</w:t>
      </w:r>
    </w:p>
    <w:p w:rsidR="00316218" w:rsidRPr="0097404C" w:rsidRDefault="00316218" w:rsidP="0097404C">
      <w:pPr>
        <w:pStyle w:val="Notedebasdepage"/>
        <w:spacing w:line="360" w:lineRule="auto"/>
        <w:jc w:val="both"/>
        <w:rPr>
          <w:rFonts w:asciiTheme="majorBidi" w:hAnsiTheme="majorBidi" w:cstheme="majorBidi"/>
          <w:sz w:val="24"/>
          <w:szCs w:val="24"/>
        </w:rPr>
      </w:pPr>
      <w:r w:rsidRPr="0097404C">
        <w:rPr>
          <w:rFonts w:asciiTheme="majorBidi" w:hAnsiTheme="majorBidi" w:cstheme="majorBidi"/>
          <w:bCs/>
          <w:sz w:val="24"/>
          <w:szCs w:val="24"/>
        </w:rPr>
        <w:t>RONDOU</w:t>
      </w:r>
      <w:r w:rsidRPr="0097404C">
        <w:rPr>
          <w:rFonts w:asciiTheme="majorBidi" w:hAnsiTheme="majorBidi" w:cstheme="majorBidi"/>
          <w:sz w:val="24"/>
          <w:szCs w:val="24"/>
        </w:rPr>
        <w:t>, C.</w:t>
      </w:r>
      <w:r w:rsidRPr="0097404C">
        <w:rPr>
          <w:rFonts w:asciiTheme="majorBidi" w:hAnsiTheme="majorBidi" w:cstheme="majorBidi"/>
          <w:bCs/>
          <w:sz w:val="24"/>
          <w:szCs w:val="24"/>
        </w:rPr>
        <w:t xml:space="preserve">, </w:t>
      </w:r>
      <w:r w:rsidRPr="0097404C">
        <w:rPr>
          <w:rFonts w:asciiTheme="majorBidi" w:hAnsiTheme="majorBidi" w:cstheme="majorBidi"/>
          <w:sz w:val="24"/>
          <w:szCs w:val="24"/>
        </w:rPr>
        <w:t xml:space="preserve">« Renouvellement du personnage de sainte Marie-Madeleine dans le théâtre de Michel de Ghelderode », in </w:t>
      </w:r>
      <w:r w:rsidRPr="0097404C">
        <w:rPr>
          <w:rFonts w:asciiTheme="majorBidi" w:hAnsiTheme="majorBidi" w:cstheme="majorBidi"/>
          <w:i/>
          <w:iCs/>
          <w:sz w:val="24"/>
          <w:szCs w:val="24"/>
        </w:rPr>
        <w:t xml:space="preserve">Textyles </w:t>
      </w:r>
      <w:r w:rsidRPr="0097404C">
        <w:rPr>
          <w:rFonts w:asciiTheme="majorBidi" w:hAnsiTheme="majorBidi" w:cstheme="majorBidi"/>
          <w:sz w:val="24"/>
          <w:szCs w:val="24"/>
        </w:rPr>
        <w:t>n</w:t>
      </w:r>
      <w:r w:rsidRPr="0097404C">
        <w:rPr>
          <w:rFonts w:asciiTheme="majorBidi" w:hAnsiTheme="majorBidi" w:cstheme="majorBidi"/>
          <w:sz w:val="24"/>
          <w:szCs w:val="24"/>
          <w:vertAlign w:val="superscript"/>
        </w:rPr>
        <w:t>0</w:t>
      </w:r>
      <w:r w:rsidRPr="0097404C">
        <w:rPr>
          <w:rFonts w:asciiTheme="majorBidi" w:hAnsiTheme="majorBidi" w:cstheme="majorBidi"/>
          <w:sz w:val="24"/>
          <w:szCs w:val="24"/>
        </w:rPr>
        <w:t xml:space="preserve"> 36-37, 2010.</w:t>
      </w:r>
    </w:p>
    <w:p w:rsidR="00316218" w:rsidRPr="0097404C" w:rsidRDefault="00316218" w:rsidP="0097404C">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 xml:space="preserve">STEVO, Jean, « Michel de Ghelderode, Prince des Lettres Belgique en Occident », in </w:t>
      </w:r>
      <w:r w:rsidRPr="0097404C">
        <w:rPr>
          <w:rFonts w:asciiTheme="majorBidi" w:hAnsiTheme="majorBidi" w:cstheme="majorBidi"/>
          <w:i/>
          <w:sz w:val="24"/>
          <w:szCs w:val="24"/>
        </w:rPr>
        <w:t>Le Courrier de Bruges</w:t>
      </w:r>
      <w:r w:rsidRPr="0097404C">
        <w:rPr>
          <w:rFonts w:asciiTheme="majorBidi" w:hAnsiTheme="majorBidi" w:cstheme="majorBidi"/>
          <w:sz w:val="24"/>
          <w:szCs w:val="24"/>
        </w:rPr>
        <w:t xml:space="preserve"> du 24 juillet 1954.</w:t>
      </w:r>
    </w:p>
    <w:p w:rsidR="00316218" w:rsidRPr="0097404C" w:rsidRDefault="00D27910" w:rsidP="0097404C">
      <w:pPr>
        <w:pStyle w:val="Notedebasdepage"/>
        <w:spacing w:line="360" w:lineRule="auto"/>
        <w:jc w:val="both"/>
        <w:rPr>
          <w:rFonts w:asciiTheme="majorBidi" w:hAnsiTheme="majorBidi" w:cstheme="majorBidi"/>
          <w:sz w:val="24"/>
          <w:szCs w:val="24"/>
        </w:rPr>
      </w:pPr>
      <w:hyperlink r:id="rId105" w:tooltip="Patrice Thierry" w:history="1">
        <w:r w:rsidR="00316218" w:rsidRPr="0097404C">
          <w:rPr>
            <w:rFonts w:asciiTheme="majorBidi" w:hAnsiTheme="majorBidi" w:cstheme="majorBidi"/>
            <w:sz w:val="24"/>
            <w:szCs w:val="24"/>
          </w:rPr>
          <w:t>THIERRY</w:t>
        </w:r>
      </w:hyperlink>
      <w:r w:rsidR="00316218" w:rsidRPr="0097404C">
        <w:rPr>
          <w:rFonts w:asciiTheme="majorBidi" w:hAnsiTheme="majorBidi" w:cstheme="majorBidi"/>
          <w:sz w:val="24"/>
          <w:szCs w:val="24"/>
        </w:rPr>
        <w:t xml:space="preserve">, P.,  </w:t>
      </w:r>
      <w:r w:rsidR="00316218" w:rsidRPr="0097404C">
        <w:rPr>
          <w:rFonts w:asciiTheme="majorBidi" w:hAnsiTheme="majorBidi" w:cstheme="majorBidi"/>
          <w:i/>
          <w:iCs/>
          <w:sz w:val="24"/>
          <w:szCs w:val="24"/>
        </w:rPr>
        <w:t>Les Entretiens d'Ostende</w:t>
      </w:r>
      <w:r w:rsidR="00316218" w:rsidRPr="0097404C">
        <w:rPr>
          <w:rFonts w:asciiTheme="majorBidi" w:hAnsiTheme="majorBidi" w:cstheme="majorBidi"/>
          <w:sz w:val="24"/>
          <w:szCs w:val="24"/>
        </w:rPr>
        <w:t>, série d'entretiens, L'Arche, 1956 &amp; L'Ether Vague, 1992.</w:t>
      </w:r>
    </w:p>
    <w:p w:rsidR="00316218" w:rsidRPr="0097404C" w:rsidRDefault="00316218" w:rsidP="0097404C">
      <w:pPr>
        <w:spacing w:after="0" w:line="360" w:lineRule="auto"/>
        <w:jc w:val="both"/>
        <w:rPr>
          <w:rFonts w:asciiTheme="majorBidi" w:hAnsiTheme="majorBidi" w:cstheme="majorBidi"/>
          <w:sz w:val="24"/>
          <w:szCs w:val="24"/>
        </w:rPr>
      </w:pPr>
      <w:r w:rsidRPr="0097404C">
        <w:rPr>
          <w:rFonts w:asciiTheme="majorBidi" w:hAnsiTheme="majorBidi" w:cstheme="majorBidi"/>
          <w:sz w:val="24"/>
          <w:szCs w:val="24"/>
        </w:rPr>
        <w:t>VANDEGANS, A.,  « Ghelderode et Hugo, Le Mystère de la Passion de Notre Seigneur Jésus-Christ, Barabbas et La Fin de Satan », séance du 20 septembre 1986.</w:t>
      </w:r>
    </w:p>
    <w:p w:rsidR="00316218" w:rsidRPr="0097404C" w:rsidRDefault="00316218" w:rsidP="0097404C">
      <w:pPr>
        <w:spacing w:after="0" w:line="360" w:lineRule="auto"/>
        <w:jc w:val="both"/>
        <w:rPr>
          <w:rFonts w:asciiTheme="majorBidi" w:hAnsiTheme="majorBidi" w:cstheme="majorBidi"/>
          <w:b/>
          <w:bCs/>
          <w:sz w:val="24"/>
          <w:szCs w:val="24"/>
          <w:lang w:eastAsia="fr-FR"/>
        </w:rPr>
      </w:pPr>
      <w:r w:rsidRPr="0097404C">
        <w:rPr>
          <w:rFonts w:asciiTheme="majorBidi" w:hAnsiTheme="majorBidi" w:cstheme="majorBidi"/>
          <w:bCs/>
          <w:sz w:val="24"/>
          <w:szCs w:val="24"/>
        </w:rPr>
        <w:t>VAN LIER</w:t>
      </w:r>
      <w:r w:rsidRPr="0097404C">
        <w:rPr>
          <w:rFonts w:asciiTheme="majorBidi" w:hAnsiTheme="majorBidi" w:cstheme="majorBidi"/>
          <w:sz w:val="24"/>
          <w:szCs w:val="24"/>
        </w:rPr>
        <w:t xml:space="preserve">, </w:t>
      </w:r>
      <w:r w:rsidRPr="0097404C">
        <w:rPr>
          <w:rFonts w:asciiTheme="majorBidi" w:hAnsiTheme="majorBidi" w:cstheme="majorBidi"/>
          <w:bCs/>
          <w:sz w:val="24"/>
          <w:szCs w:val="24"/>
        </w:rPr>
        <w:t>H., « </w:t>
      </w:r>
      <w:r w:rsidRPr="0097404C">
        <w:rPr>
          <w:rFonts w:asciiTheme="majorBidi" w:hAnsiTheme="majorBidi" w:cstheme="majorBidi"/>
          <w:sz w:val="24"/>
          <w:szCs w:val="24"/>
        </w:rPr>
        <w:t xml:space="preserve">Le bruxellois, ce sémiologue né : </w:t>
      </w:r>
      <w:r w:rsidRPr="0097404C">
        <w:rPr>
          <w:rStyle w:val="titrelivre"/>
          <w:rFonts w:asciiTheme="majorBidi" w:hAnsiTheme="majorBidi" w:cstheme="majorBidi"/>
          <w:bCs/>
          <w:sz w:val="24"/>
          <w:szCs w:val="24"/>
        </w:rPr>
        <w:t xml:space="preserve">une </w:t>
      </w:r>
      <w:r w:rsidR="00BE1E32" w:rsidRPr="0097404C">
        <w:rPr>
          <w:rStyle w:val="titrelivre"/>
          <w:rFonts w:asciiTheme="majorBidi" w:hAnsiTheme="majorBidi" w:cstheme="majorBidi"/>
          <w:bCs/>
          <w:sz w:val="24"/>
          <w:szCs w:val="24"/>
        </w:rPr>
        <w:t>sémiotique</w:t>
      </w:r>
      <w:r w:rsidRPr="0097404C">
        <w:rPr>
          <w:rStyle w:val="titrelivre"/>
          <w:rFonts w:asciiTheme="majorBidi" w:hAnsiTheme="majorBidi" w:cstheme="majorBidi"/>
          <w:bCs/>
          <w:sz w:val="24"/>
          <w:szCs w:val="24"/>
        </w:rPr>
        <w:t xml:space="preserve"> bruitée, basale et bourrue »,</w:t>
      </w:r>
      <w:r w:rsidRPr="0097404C">
        <w:rPr>
          <w:rFonts w:asciiTheme="majorBidi" w:hAnsiTheme="majorBidi" w:cstheme="majorBidi"/>
          <w:sz w:val="24"/>
          <w:szCs w:val="24"/>
        </w:rPr>
        <w:t xml:space="preserve"> </w:t>
      </w:r>
      <w:r w:rsidRPr="0097404C">
        <w:rPr>
          <w:rFonts w:asciiTheme="majorBidi" w:hAnsiTheme="majorBidi" w:cstheme="majorBidi"/>
          <w:bCs/>
          <w:sz w:val="24"/>
          <w:szCs w:val="24"/>
        </w:rPr>
        <w:t xml:space="preserve">in </w:t>
      </w:r>
      <w:r w:rsidRPr="0097404C">
        <w:rPr>
          <w:rFonts w:asciiTheme="majorBidi" w:hAnsiTheme="majorBidi" w:cstheme="majorBidi"/>
          <w:bCs/>
          <w:i/>
          <w:iCs/>
          <w:sz w:val="24"/>
          <w:szCs w:val="24"/>
        </w:rPr>
        <w:t>La Revue Nouvelle</w:t>
      </w:r>
      <w:r w:rsidRPr="0097404C">
        <w:rPr>
          <w:rFonts w:asciiTheme="majorBidi" w:hAnsiTheme="majorBidi" w:cstheme="majorBidi"/>
          <w:bCs/>
          <w:sz w:val="24"/>
          <w:szCs w:val="24"/>
        </w:rPr>
        <w:t>, 1968.</w:t>
      </w:r>
      <w:r w:rsidRPr="0097404C">
        <w:rPr>
          <w:rFonts w:asciiTheme="majorBidi" w:hAnsiTheme="majorBidi" w:cstheme="majorBidi"/>
          <w:b/>
          <w:bCs/>
          <w:sz w:val="24"/>
          <w:szCs w:val="24"/>
          <w:lang w:eastAsia="fr-FR"/>
        </w:rPr>
        <w:t xml:space="preserve"> </w:t>
      </w:r>
    </w:p>
    <w:p w:rsidR="007C36B0" w:rsidRDefault="007C36B0" w:rsidP="00D01B71">
      <w:pPr>
        <w:spacing w:after="0" w:line="360" w:lineRule="auto"/>
        <w:jc w:val="both"/>
        <w:rPr>
          <w:rFonts w:asciiTheme="majorBidi" w:hAnsiTheme="majorBidi" w:cstheme="majorBidi"/>
          <w:b/>
          <w:bCs/>
          <w:sz w:val="24"/>
          <w:szCs w:val="24"/>
          <w:lang w:eastAsia="fr-FR"/>
        </w:rPr>
      </w:pPr>
    </w:p>
    <w:p w:rsidR="0091765B" w:rsidRPr="00D01B71" w:rsidRDefault="0091765B" w:rsidP="00D01B71">
      <w:pPr>
        <w:spacing w:after="0" w:line="360" w:lineRule="auto"/>
        <w:jc w:val="both"/>
        <w:rPr>
          <w:rFonts w:asciiTheme="majorBidi" w:hAnsiTheme="majorBidi" w:cstheme="majorBidi"/>
          <w:b/>
          <w:bCs/>
          <w:sz w:val="24"/>
          <w:szCs w:val="24"/>
          <w:lang w:eastAsia="fr-FR"/>
        </w:rPr>
      </w:pPr>
      <w:r w:rsidRPr="00D01B71">
        <w:rPr>
          <w:rFonts w:asciiTheme="majorBidi" w:hAnsiTheme="majorBidi" w:cstheme="majorBidi"/>
          <w:b/>
          <w:bCs/>
          <w:sz w:val="24"/>
          <w:szCs w:val="24"/>
          <w:lang w:eastAsia="fr-FR"/>
        </w:rPr>
        <w:t>Ouvrages sur l’Algérie, le théâtre algérien et Kaki</w:t>
      </w:r>
    </w:p>
    <w:p w:rsidR="0091765B" w:rsidRPr="00D01B71" w:rsidRDefault="0091765B" w:rsidP="00D636D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ACHOUR, Ch (sous la dir)</w:t>
      </w:r>
      <w:proofErr w:type="gramStart"/>
      <w:r w:rsidRPr="00D01B71">
        <w:rPr>
          <w:rFonts w:asciiTheme="majorBidi" w:hAnsiTheme="majorBidi" w:cstheme="majorBidi"/>
          <w:sz w:val="24"/>
          <w:szCs w:val="24"/>
        </w:rPr>
        <w:t>.,</w:t>
      </w:r>
      <w:proofErr w:type="gramEnd"/>
      <w:r w:rsidRPr="00D01B71">
        <w:rPr>
          <w:rFonts w:asciiTheme="majorBidi" w:hAnsiTheme="majorBidi" w:cstheme="majorBidi"/>
          <w:sz w:val="24"/>
          <w:szCs w:val="24"/>
        </w:rPr>
        <w:t xml:space="preserve"> </w:t>
      </w:r>
      <w:r w:rsidRPr="00D01B71">
        <w:rPr>
          <w:rFonts w:asciiTheme="majorBidi" w:hAnsiTheme="majorBidi" w:cstheme="majorBidi"/>
          <w:i/>
          <w:iCs/>
          <w:sz w:val="24"/>
          <w:szCs w:val="24"/>
        </w:rPr>
        <w:t>Dictionnaire des œuvres algériennes en langue française</w:t>
      </w:r>
      <w:r w:rsidRPr="00D01B71">
        <w:rPr>
          <w:rFonts w:asciiTheme="majorBidi" w:hAnsiTheme="majorBidi" w:cstheme="majorBidi"/>
          <w:sz w:val="24"/>
          <w:szCs w:val="24"/>
        </w:rPr>
        <w:t xml:space="preserve">, </w:t>
      </w:r>
      <w:r w:rsidR="00D636D8" w:rsidRPr="00D01B71">
        <w:rPr>
          <w:rFonts w:asciiTheme="majorBidi" w:hAnsiTheme="majorBidi" w:cstheme="majorBidi"/>
          <w:sz w:val="24"/>
          <w:szCs w:val="24"/>
        </w:rPr>
        <w:t>L’Harmattan</w:t>
      </w:r>
      <w:r w:rsidR="00D636D8">
        <w:rPr>
          <w:rFonts w:asciiTheme="majorBidi" w:hAnsiTheme="majorBidi" w:cstheme="majorBidi"/>
          <w:sz w:val="24"/>
          <w:szCs w:val="24"/>
        </w:rPr>
        <w:t xml:space="preserve">, </w:t>
      </w:r>
      <w:r w:rsidRPr="00D01B71">
        <w:rPr>
          <w:rFonts w:asciiTheme="majorBidi" w:hAnsiTheme="majorBidi" w:cstheme="majorBidi"/>
          <w:sz w:val="24"/>
          <w:szCs w:val="24"/>
        </w:rPr>
        <w:t>Paris, 1990.</w:t>
      </w:r>
    </w:p>
    <w:p w:rsidR="0091765B" w:rsidRPr="00D01B71" w:rsidRDefault="0091765B" w:rsidP="00D636D8">
      <w:pPr>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lang w:eastAsia="fr-FR"/>
        </w:rPr>
        <w:t>AKLA ARSANE, A</w:t>
      </w:r>
      <w:proofErr w:type="gramStart"/>
      <w:r w:rsidRPr="00D01B71">
        <w:rPr>
          <w:rFonts w:asciiTheme="majorBidi" w:hAnsiTheme="majorBidi" w:cstheme="majorBidi"/>
          <w:sz w:val="24"/>
          <w:szCs w:val="24"/>
          <w:lang w:eastAsia="fr-FR"/>
        </w:rPr>
        <w:t>,.</w:t>
      </w:r>
      <w:proofErr w:type="gramEnd"/>
      <w:r w:rsidRPr="00D01B71">
        <w:rPr>
          <w:rFonts w:asciiTheme="majorBidi" w:hAnsiTheme="majorBidi" w:cstheme="majorBidi"/>
          <w:sz w:val="24"/>
          <w:szCs w:val="24"/>
          <w:lang w:eastAsia="fr-FR"/>
        </w:rPr>
        <w:t xml:space="preserve">  </w:t>
      </w:r>
      <w:r w:rsidRPr="00D01B71">
        <w:rPr>
          <w:rFonts w:asciiTheme="majorBidi" w:hAnsiTheme="majorBidi" w:cstheme="majorBidi"/>
          <w:i/>
          <w:iCs/>
          <w:sz w:val="24"/>
          <w:szCs w:val="24"/>
          <w:lang w:eastAsia="fr-FR"/>
        </w:rPr>
        <w:t xml:space="preserve">Les phénomènes théâtraux chez les Arabes, </w:t>
      </w:r>
      <w:r w:rsidRPr="00D01B71">
        <w:rPr>
          <w:rFonts w:asciiTheme="majorBidi" w:hAnsiTheme="majorBidi" w:cstheme="majorBidi"/>
          <w:sz w:val="24"/>
          <w:szCs w:val="24"/>
          <w:lang w:eastAsia="fr-FR"/>
        </w:rPr>
        <w:t xml:space="preserve"> Publication de l’Union des Ecrivains Arabes</w:t>
      </w:r>
      <w:r w:rsidR="00D636D8">
        <w:rPr>
          <w:rFonts w:asciiTheme="majorBidi" w:hAnsiTheme="majorBidi" w:cstheme="majorBidi"/>
          <w:sz w:val="24"/>
          <w:szCs w:val="24"/>
          <w:lang w:eastAsia="fr-FR"/>
        </w:rPr>
        <w:t xml:space="preserve">, </w:t>
      </w:r>
      <w:r w:rsidRPr="00D01B71">
        <w:rPr>
          <w:rFonts w:asciiTheme="majorBidi" w:hAnsiTheme="majorBidi" w:cstheme="majorBidi"/>
          <w:sz w:val="24"/>
          <w:szCs w:val="24"/>
          <w:lang w:eastAsia="fr-FR"/>
        </w:rPr>
        <w:t>Guelma, 1985.</w:t>
      </w:r>
    </w:p>
    <w:p w:rsidR="0091765B" w:rsidRPr="00D01B71" w:rsidRDefault="0091765B" w:rsidP="00D01B71">
      <w:pPr>
        <w:spacing w:after="0" w:line="360" w:lineRule="auto"/>
        <w:jc w:val="both"/>
        <w:rPr>
          <w:rFonts w:asciiTheme="majorBidi" w:hAnsiTheme="majorBidi" w:cstheme="majorBidi"/>
          <w:i/>
          <w:iCs/>
          <w:sz w:val="24"/>
          <w:szCs w:val="24"/>
          <w:lang w:eastAsia="fr-FR"/>
        </w:rPr>
      </w:pPr>
      <w:r w:rsidRPr="00D01B71">
        <w:rPr>
          <w:rFonts w:asciiTheme="majorBidi" w:hAnsiTheme="majorBidi" w:cstheme="majorBidi"/>
          <w:sz w:val="24"/>
          <w:szCs w:val="24"/>
          <w:lang w:eastAsia="fr-FR"/>
        </w:rPr>
        <w:t>ALLALOU, S. A. S.,</w:t>
      </w:r>
      <w:r w:rsidRPr="00D01B71">
        <w:rPr>
          <w:rFonts w:asciiTheme="majorBidi" w:hAnsiTheme="majorBidi" w:cstheme="majorBidi"/>
          <w:i/>
          <w:iCs/>
          <w:sz w:val="24"/>
          <w:szCs w:val="24"/>
          <w:lang w:eastAsia="fr-FR"/>
        </w:rPr>
        <w:t xml:space="preserve"> L’aurore du théâtre algérien (1926-1932), </w:t>
      </w:r>
      <w:r w:rsidRPr="00D01B71">
        <w:rPr>
          <w:rFonts w:asciiTheme="majorBidi" w:hAnsiTheme="majorBidi" w:cstheme="majorBidi"/>
          <w:sz w:val="24"/>
          <w:szCs w:val="24"/>
          <w:lang w:eastAsia="fr-FR"/>
        </w:rPr>
        <w:t xml:space="preserve">Université d’Oran Cahiers du C.D.S.H N° 9 1982. </w:t>
      </w:r>
    </w:p>
    <w:p w:rsidR="0091765B" w:rsidRPr="00D01B71" w:rsidRDefault="0091765B" w:rsidP="00D01B71">
      <w:pPr>
        <w:spacing w:after="0" w:line="360" w:lineRule="auto"/>
        <w:jc w:val="both"/>
        <w:rPr>
          <w:rFonts w:asciiTheme="majorBidi" w:hAnsiTheme="majorBidi" w:cstheme="majorBidi"/>
          <w:sz w:val="24"/>
          <w:szCs w:val="24"/>
          <w:shd w:val="clear" w:color="auto" w:fill="FFFFFF"/>
        </w:rPr>
      </w:pPr>
      <w:r w:rsidRPr="00D01B71">
        <w:rPr>
          <w:rFonts w:asciiTheme="majorBidi" w:hAnsiTheme="majorBidi" w:cstheme="majorBidi"/>
          <w:sz w:val="24"/>
          <w:szCs w:val="24"/>
        </w:rPr>
        <w:lastRenderedPageBreak/>
        <w:t xml:space="preserve">ARNAUD, J., </w:t>
      </w:r>
      <w:r w:rsidRPr="00D01B71">
        <w:rPr>
          <w:rStyle w:val="Accentuation"/>
          <w:rFonts w:asciiTheme="majorBidi" w:hAnsiTheme="majorBidi" w:cstheme="majorBidi"/>
          <w:sz w:val="24"/>
          <w:szCs w:val="24"/>
          <w:shd w:val="clear" w:color="auto" w:fill="FFFFFF"/>
        </w:rPr>
        <w:t>Recherches</w:t>
      </w:r>
      <w:r w:rsidRPr="00D01B71">
        <w:rPr>
          <w:rStyle w:val="apple-converted-space"/>
          <w:rFonts w:asciiTheme="majorBidi" w:hAnsiTheme="majorBidi" w:cstheme="majorBidi"/>
          <w:sz w:val="24"/>
          <w:szCs w:val="24"/>
          <w:shd w:val="clear" w:color="auto" w:fill="FFFFFF"/>
        </w:rPr>
        <w:t> </w:t>
      </w:r>
      <w:r w:rsidRPr="00D01B71">
        <w:rPr>
          <w:rFonts w:asciiTheme="majorBidi" w:hAnsiTheme="majorBidi" w:cstheme="majorBidi"/>
          <w:sz w:val="24"/>
          <w:szCs w:val="24"/>
          <w:shd w:val="clear" w:color="auto" w:fill="FFFFFF"/>
        </w:rPr>
        <w:t>sur la</w:t>
      </w:r>
      <w:r w:rsidRPr="00D01B71">
        <w:rPr>
          <w:rStyle w:val="apple-converted-space"/>
          <w:rFonts w:asciiTheme="majorBidi" w:hAnsiTheme="majorBidi" w:cstheme="majorBidi"/>
          <w:sz w:val="24"/>
          <w:szCs w:val="24"/>
          <w:shd w:val="clear" w:color="auto" w:fill="FFFFFF"/>
        </w:rPr>
        <w:t> </w:t>
      </w:r>
      <w:r w:rsidRPr="00D01B71">
        <w:rPr>
          <w:rStyle w:val="Accentuation"/>
          <w:rFonts w:asciiTheme="majorBidi" w:hAnsiTheme="majorBidi" w:cstheme="majorBidi"/>
          <w:sz w:val="24"/>
          <w:szCs w:val="24"/>
          <w:shd w:val="clear" w:color="auto" w:fill="FFFFFF"/>
        </w:rPr>
        <w:t>littérature maghrébine</w:t>
      </w:r>
      <w:r w:rsidRPr="00D01B71">
        <w:rPr>
          <w:rStyle w:val="apple-converted-space"/>
          <w:rFonts w:asciiTheme="majorBidi" w:hAnsiTheme="majorBidi" w:cstheme="majorBidi"/>
          <w:sz w:val="24"/>
          <w:szCs w:val="24"/>
          <w:shd w:val="clear" w:color="auto" w:fill="FFFFFF"/>
        </w:rPr>
        <w:t> </w:t>
      </w:r>
      <w:r w:rsidRPr="00D01B71">
        <w:rPr>
          <w:rFonts w:asciiTheme="majorBidi" w:hAnsiTheme="majorBidi" w:cstheme="majorBidi"/>
          <w:sz w:val="24"/>
          <w:szCs w:val="24"/>
          <w:shd w:val="clear" w:color="auto" w:fill="FFFFFF"/>
        </w:rPr>
        <w:t>de</w:t>
      </w:r>
      <w:r w:rsidRPr="00D01B71">
        <w:rPr>
          <w:rStyle w:val="apple-converted-space"/>
          <w:rFonts w:asciiTheme="majorBidi" w:hAnsiTheme="majorBidi" w:cstheme="majorBidi"/>
          <w:sz w:val="24"/>
          <w:szCs w:val="24"/>
          <w:shd w:val="clear" w:color="auto" w:fill="FFFFFF"/>
        </w:rPr>
        <w:t> </w:t>
      </w:r>
      <w:r w:rsidRPr="00D01B71">
        <w:rPr>
          <w:rStyle w:val="Accentuation"/>
          <w:rFonts w:asciiTheme="majorBidi" w:hAnsiTheme="majorBidi" w:cstheme="majorBidi"/>
          <w:sz w:val="24"/>
          <w:szCs w:val="24"/>
          <w:shd w:val="clear" w:color="auto" w:fill="FFFFFF"/>
        </w:rPr>
        <w:t>langue</w:t>
      </w:r>
      <w:r w:rsidRPr="00D01B71">
        <w:rPr>
          <w:rStyle w:val="apple-converted-space"/>
          <w:rFonts w:asciiTheme="majorBidi" w:hAnsiTheme="majorBidi" w:cstheme="majorBidi"/>
          <w:sz w:val="24"/>
          <w:szCs w:val="24"/>
          <w:shd w:val="clear" w:color="auto" w:fill="FFFFFF"/>
        </w:rPr>
        <w:t> </w:t>
      </w:r>
      <w:r w:rsidRPr="00D01B71">
        <w:rPr>
          <w:rStyle w:val="Accentuation"/>
          <w:rFonts w:asciiTheme="majorBidi" w:hAnsiTheme="majorBidi" w:cstheme="majorBidi"/>
          <w:sz w:val="24"/>
          <w:szCs w:val="24"/>
          <w:shd w:val="clear" w:color="auto" w:fill="FFFFFF"/>
        </w:rPr>
        <w:t xml:space="preserve">française, </w:t>
      </w:r>
      <w:r w:rsidRPr="00D01B71">
        <w:rPr>
          <w:rFonts w:asciiTheme="majorBidi" w:hAnsiTheme="majorBidi" w:cstheme="majorBidi"/>
          <w:sz w:val="24"/>
          <w:szCs w:val="24"/>
          <w:shd w:val="clear" w:color="auto" w:fill="FFFFFF"/>
        </w:rPr>
        <w:t>Le</w:t>
      </w:r>
      <w:r w:rsidRPr="00D01B71">
        <w:rPr>
          <w:rStyle w:val="apple-converted-space"/>
          <w:rFonts w:asciiTheme="majorBidi" w:hAnsiTheme="majorBidi" w:cstheme="majorBidi"/>
          <w:sz w:val="24"/>
          <w:szCs w:val="24"/>
          <w:shd w:val="clear" w:color="auto" w:fill="FFFFFF"/>
        </w:rPr>
        <w:t> </w:t>
      </w:r>
      <w:r w:rsidRPr="00D01B71">
        <w:rPr>
          <w:rStyle w:val="Accentuation"/>
          <w:rFonts w:asciiTheme="majorBidi" w:hAnsiTheme="majorBidi" w:cstheme="majorBidi"/>
          <w:sz w:val="24"/>
          <w:szCs w:val="24"/>
          <w:shd w:val="clear" w:color="auto" w:fill="FFFFFF"/>
        </w:rPr>
        <w:t>cas</w:t>
      </w:r>
      <w:r w:rsidRPr="00D01B71">
        <w:rPr>
          <w:rStyle w:val="apple-converted-space"/>
          <w:rFonts w:asciiTheme="majorBidi" w:hAnsiTheme="majorBidi" w:cstheme="majorBidi"/>
          <w:sz w:val="24"/>
          <w:szCs w:val="24"/>
          <w:shd w:val="clear" w:color="auto" w:fill="FFFFFF"/>
        </w:rPr>
        <w:t> </w:t>
      </w:r>
      <w:r w:rsidRPr="00D01B71">
        <w:rPr>
          <w:rFonts w:asciiTheme="majorBidi" w:hAnsiTheme="majorBidi" w:cstheme="majorBidi"/>
          <w:sz w:val="24"/>
          <w:szCs w:val="24"/>
          <w:shd w:val="clear" w:color="auto" w:fill="FFFFFF"/>
        </w:rPr>
        <w:t>de</w:t>
      </w:r>
      <w:r w:rsidRPr="00D01B71">
        <w:rPr>
          <w:rStyle w:val="apple-converted-space"/>
          <w:rFonts w:asciiTheme="majorBidi" w:hAnsiTheme="majorBidi" w:cstheme="majorBidi"/>
          <w:sz w:val="24"/>
          <w:szCs w:val="24"/>
          <w:shd w:val="clear" w:color="auto" w:fill="FFFFFF"/>
        </w:rPr>
        <w:t> </w:t>
      </w:r>
      <w:r w:rsidRPr="00D01B71">
        <w:rPr>
          <w:rStyle w:val="Accentuation"/>
          <w:rFonts w:asciiTheme="majorBidi" w:hAnsiTheme="majorBidi" w:cstheme="majorBidi"/>
          <w:sz w:val="24"/>
          <w:szCs w:val="24"/>
          <w:shd w:val="clear" w:color="auto" w:fill="FFFFFF"/>
        </w:rPr>
        <w:t>Kateb Yacine</w:t>
      </w:r>
      <w:r w:rsidRPr="00D01B71">
        <w:rPr>
          <w:rFonts w:asciiTheme="majorBidi" w:hAnsiTheme="majorBidi" w:cstheme="majorBidi"/>
          <w:sz w:val="24"/>
          <w:szCs w:val="24"/>
          <w:shd w:val="clear" w:color="auto" w:fill="FFFFFF"/>
        </w:rPr>
        <w:t xml:space="preserve">. </w:t>
      </w:r>
      <w:r w:rsidRPr="00D01B71">
        <w:rPr>
          <w:rStyle w:val="Accentuation"/>
          <w:rFonts w:asciiTheme="majorBidi" w:hAnsiTheme="majorBidi" w:cstheme="majorBidi"/>
          <w:i w:val="0"/>
          <w:iCs w:val="0"/>
          <w:sz w:val="24"/>
          <w:szCs w:val="24"/>
          <w:shd w:val="clear" w:color="auto" w:fill="FFFFFF"/>
        </w:rPr>
        <w:t>Université Paris</w:t>
      </w:r>
      <w:r w:rsidRPr="00D01B71">
        <w:rPr>
          <w:rFonts w:asciiTheme="majorBidi" w:hAnsiTheme="majorBidi" w:cstheme="majorBidi"/>
          <w:sz w:val="24"/>
          <w:szCs w:val="24"/>
          <w:shd w:val="clear" w:color="auto" w:fill="FFFFFF"/>
        </w:rPr>
        <w:t>-</w:t>
      </w:r>
      <w:r w:rsidRPr="00D01B71">
        <w:rPr>
          <w:rStyle w:val="Accentuation"/>
          <w:rFonts w:asciiTheme="majorBidi" w:hAnsiTheme="majorBidi" w:cstheme="majorBidi"/>
          <w:i w:val="0"/>
          <w:iCs w:val="0"/>
          <w:sz w:val="24"/>
          <w:szCs w:val="24"/>
          <w:shd w:val="clear" w:color="auto" w:fill="FFFFFF"/>
        </w:rPr>
        <w:t>III</w:t>
      </w:r>
      <w:r w:rsidRPr="00D01B71">
        <w:rPr>
          <w:rFonts w:asciiTheme="majorBidi" w:hAnsiTheme="majorBidi" w:cstheme="majorBidi"/>
          <w:sz w:val="24"/>
          <w:szCs w:val="24"/>
          <w:shd w:val="clear" w:color="auto" w:fill="FFFFFF"/>
        </w:rPr>
        <w:t>,</w:t>
      </w:r>
      <w:r w:rsidRPr="00D01B71">
        <w:rPr>
          <w:rStyle w:val="apple-converted-space"/>
          <w:rFonts w:asciiTheme="majorBidi" w:hAnsiTheme="majorBidi" w:cstheme="majorBidi"/>
          <w:sz w:val="24"/>
          <w:szCs w:val="24"/>
          <w:shd w:val="clear" w:color="auto" w:fill="FFFFFF"/>
        </w:rPr>
        <w:t> </w:t>
      </w:r>
      <w:r w:rsidRPr="00D01B71">
        <w:rPr>
          <w:rStyle w:val="Accentuation"/>
          <w:rFonts w:asciiTheme="majorBidi" w:hAnsiTheme="majorBidi" w:cstheme="majorBidi"/>
          <w:i w:val="0"/>
          <w:iCs w:val="0"/>
          <w:sz w:val="24"/>
          <w:szCs w:val="24"/>
          <w:shd w:val="clear" w:color="auto" w:fill="FFFFFF"/>
        </w:rPr>
        <w:t>1978</w:t>
      </w:r>
      <w:r w:rsidRPr="00D01B71">
        <w:rPr>
          <w:rFonts w:asciiTheme="majorBidi" w:hAnsiTheme="majorBidi" w:cstheme="majorBidi"/>
          <w:sz w:val="24"/>
          <w:szCs w:val="24"/>
          <w:shd w:val="clear" w:color="auto" w:fill="FFFFFF"/>
        </w:rPr>
        <w:t>, 1171 p. (</w:t>
      </w:r>
      <w:r w:rsidRPr="00D01B71">
        <w:rPr>
          <w:rFonts w:asciiTheme="majorBidi" w:hAnsiTheme="majorBidi" w:cstheme="majorBidi"/>
          <w:i/>
          <w:iCs/>
          <w:sz w:val="24"/>
          <w:szCs w:val="24"/>
          <w:shd w:val="clear" w:color="auto" w:fill="FFFFFF"/>
        </w:rPr>
        <w:t>Thèse de doctorat d'Etat</w:t>
      </w:r>
      <w:r w:rsidRPr="00D01B71">
        <w:rPr>
          <w:rFonts w:asciiTheme="majorBidi" w:hAnsiTheme="majorBidi" w:cstheme="majorBidi"/>
          <w:sz w:val="24"/>
          <w:szCs w:val="24"/>
          <w:shd w:val="clear" w:color="auto" w:fill="FFFFFF"/>
        </w:rPr>
        <w:t>).</w:t>
      </w:r>
    </w:p>
    <w:p w:rsidR="0091765B" w:rsidRPr="00D01B71" w:rsidRDefault="0091765B" w:rsidP="00B60AE3">
      <w:pPr>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lang w:eastAsia="fr-FR"/>
        </w:rPr>
        <w:t xml:space="preserve">AZIZA, M., </w:t>
      </w:r>
      <w:r w:rsidRPr="00D01B71">
        <w:rPr>
          <w:rFonts w:asciiTheme="majorBidi" w:hAnsiTheme="majorBidi" w:cstheme="majorBidi"/>
          <w:i/>
          <w:iCs/>
          <w:sz w:val="24"/>
          <w:szCs w:val="24"/>
          <w:lang w:eastAsia="fr-FR"/>
        </w:rPr>
        <w:t xml:space="preserve">Le théâtre et l’Islam, </w:t>
      </w:r>
      <w:r w:rsidR="00B60AE3" w:rsidRPr="00D01B71">
        <w:rPr>
          <w:rFonts w:asciiTheme="majorBidi" w:hAnsiTheme="majorBidi" w:cstheme="majorBidi"/>
          <w:sz w:val="24"/>
          <w:szCs w:val="24"/>
          <w:lang w:eastAsia="fr-FR"/>
        </w:rPr>
        <w:t>SNED</w:t>
      </w:r>
      <w:r w:rsidR="00B60AE3">
        <w:rPr>
          <w:rFonts w:asciiTheme="majorBidi" w:hAnsiTheme="majorBidi" w:cstheme="majorBidi"/>
          <w:sz w:val="24"/>
          <w:szCs w:val="24"/>
          <w:lang w:eastAsia="fr-FR"/>
        </w:rPr>
        <w:t xml:space="preserve">, </w:t>
      </w:r>
      <w:r w:rsidRPr="00D01B71">
        <w:rPr>
          <w:rFonts w:asciiTheme="majorBidi" w:hAnsiTheme="majorBidi" w:cstheme="majorBidi"/>
          <w:sz w:val="24"/>
          <w:szCs w:val="24"/>
          <w:lang w:eastAsia="fr-FR"/>
        </w:rPr>
        <w:t>Alger, 1970.</w:t>
      </w:r>
    </w:p>
    <w:p w:rsidR="0091765B" w:rsidRPr="00D01B71" w:rsidRDefault="0091765B" w:rsidP="00B60AE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u w:val="single"/>
          <w:lang w:eastAsia="fr-FR"/>
        </w:rPr>
        <w:t xml:space="preserve">              </w:t>
      </w:r>
      <w:r w:rsidRPr="00D01B71">
        <w:rPr>
          <w:rFonts w:asciiTheme="majorBidi" w:hAnsiTheme="majorBidi" w:cstheme="majorBidi"/>
          <w:sz w:val="24"/>
          <w:szCs w:val="24"/>
          <w:lang w:eastAsia="fr-FR"/>
        </w:rPr>
        <w:t xml:space="preserve">, </w:t>
      </w:r>
      <w:r w:rsidRPr="00D01B71">
        <w:rPr>
          <w:rFonts w:asciiTheme="majorBidi" w:hAnsiTheme="majorBidi" w:cstheme="majorBidi"/>
          <w:i/>
          <w:iCs/>
          <w:sz w:val="24"/>
          <w:szCs w:val="24"/>
        </w:rPr>
        <w:t>Regards sur le théâtre arabe contemporain</w:t>
      </w:r>
      <w:r w:rsidRPr="00D01B71">
        <w:rPr>
          <w:rFonts w:asciiTheme="majorBidi" w:hAnsiTheme="majorBidi" w:cstheme="majorBidi"/>
          <w:sz w:val="24"/>
          <w:szCs w:val="24"/>
        </w:rPr>
        <w:t xml:space="preserve">, </w:t>
      </w:r>
      <w:r w:rsidR="00B60AE3" w:rsidRPr="00D01B71">
        <w:rPr>
          <w:rFonts w:asciiTheme="majorBidi" w:hAnsiTheme="majorBidi" w:cstheme="majorBidi"/>
          <w:sz w:val="24"/>
          <w:szCs w:val="24"/>
        </w:rPr>
        <w:t>Maison Tunisienne de l’Édition</w:t>
      </w:r>
      <w:r w:rsidR="00B60AE3">
        <w:rPr>
          <w:rFonts w:asciiTheme="majorBidi" w:hAnsiTheme="majorBidi" w:cstheme="majorBidi"/>
          <w:sz w:val="24"/>
          <w:szCs w:val="24"/>
        </w:rPr>
        <w:t xml:space="preserve">, </w:t>
      </w:r>
      <w:r w:rsidRPr="00D01B71">
        <w:rPr>
          <w:rFonts w:asciiTheme="majorBidi" w:hAnsiTheme="majorBidi" w:cstheme="majorBidi"/>
          <w:sz w:val="24"/>
          <w:szCs w:val="24"/>
        </w:rPr>
        <w:t>Tunis</w:t>
      </w:r>
      <w:r w:rsidR="00B60AE3">
        <w:rPr>
          <w:rFonts w:asciiTheme="majorBidi" w:hAnsiTheme="majorBidi" w:cstheme="majorBidi"/>
          <w:sz w:val="24"/>
          <w:szCs w:val="24"/>
        </w:rPr>
        <w:t xml:space="preserve">, </w:t>
      </w:r>
      <w:r w:rsidRPr="00D01B71">
        <w:rPr>
          <w:rFonts w:asciiTheme="majorBidi" w:hAnsiTheme="majorBidi" w:cstheme="majorBidi"/>
          <w:sz w:val="24"/>
          <w:szCs w:val="24"/>
        </w:rPr>
        <w:t>(Préface de Jacques Berque), 1970.</w:t>
      </w:r>
    </w:p>
    <w:p w:rsidR="0091765B" w:rsidRPr="00D01B71" w:rsidRDefault="0091765B" w:rsidP="00E2198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Aziza</w:t>
      </w:r>
      <w:r w:rsidR="00D01B71">
        <w:rPr>
          <w:rFonts w:asciiTheme="majorBidi" w:hAnsiTheme="majorBidi" w:cstheme="majorBidi"/>
          <w:sz w:val="24"/>
          <w:szCs w:val="24"/>
        </w:rPr>
        <w:t xml:space="preserve">, </w:t>
      </w:r>
      <w:r w:rsidRPr="00D01B71">
        <w:rPr>
          <w:rFonts w:asciiTheme="majorBidi" w:hAnsiTheme="majorBidi" w:cstheme="majorBidi"/>
          <w:sz w:val="24"/>
          <w:szCs w:val="24"/>
        </w:rPr>
        <w:t>M</w:t>
      </w:r>
      <w:r w:rsidR="00D01B71">
        <w:rPr>
          <w:rFonts w:asciiTheme="majorBidi" w:hAnsiTheme="majorBidi" w:cstheme="majorBidi"/>
          <w:sz w:val="24"/>
          <w:szCs w:val="24"/>
        </w:rPr>
        <w:t xml:space="preserve"> </w:t>
      </w:r>
      <w:r w:rsidRPr="00D01B71">
        <w:rPr>
          <w:rFonts w:asciiTheme="majorBidi" w:hAnsiTheme="majorBidi" w:cstheme="majorBidi"/>
          <w:sz w:val="24"/>
          <w:szCs w:val="24"/>
        </w:rPr>
        <w:t>(</w:t>
      </w:r>
      <w:r w:rsidRPr="00D01B71">
        <w:rPr>
          <w:rFonts w:asciiTheme="majorBidi" w:hAnsiTheme="majorBidi" w:cstheme="majorBidi"/>
          <w:i/>
          <w:iCs/>
          <w:sz w:val="24"/>
          <w:szCs w:val="24"/>
        </w:rPr>
        <w:t>et al</w:t>
      </w:r>
      <w:r w:rsidRPr="00D01B71">
        <w:rPr>
          <w:rFonts w:asciiTheme="majorBidi" w:hAnsiTheme="majorBidi" w:cstheme="majorBidi"/>
          <w:sz w:val="24"/>
          <w:szCs w:val="24"/>
        </w:rPr>
        <w:t>)</w:t>
      </w:r>
      <w:proofErr w:type="gramStart"/>
      <w:r w:rsidRPr="00D01B71">
        <w:rPr>
          <w:rFonts w:asciiTheme="majorBidi" w:hAnsiTheme="majorBidi" w:cstheme="majorBidi"/>
          <w:sz w:val="24"/>
          <w:szCs w:val="24"/>
        </w:rPr>
        <w:t>.,</w:t>
      </w:r>
      <w:proofErr w:type="gramEnd"/>
      <w:r w:rsidRPr="00D01B71">
        <w:rPr>
          <w:rFonts w:asciiTheme="majorBidi" w:hAnsiTheme="majorBidi" w:cstheme="majorBidi"/>
          <w:sz w:val="24"/>
          <w:szCs w:val="24"/>
        </w:rPr>
        <w:t xml:space="preserve"> </w:t>
      </w:r>
      <w:r w:rsidRPr="00D01B71">
        <w:rPr>
          <w:rFonts w:asciiTheme="majorBidi" w:hAnsiTheme="majorBidi" w:cstheme="majorBidi"/>
          <w:i/>
          <w:iCs/>
          <w:sz w:val="24"/>
          <w:szCs w:val="24"/>
        </w:rPr>
        <w:t>Dictionnaire des caractères et types littéraires</w:t>
      </w:r>
      <w:r w:rsidRPr="00D01B71">
        <w:rPr>
          <w:rFonts w:asciiTheme="majorBidi" w:hAnsiTheme="majorBidi" w:cstheme="majorBidi"/>
          <w:sz w:val="24"/>
          <w:szCs w:val="24"/>
        </w:rPr>
        <w:t xml:space="preserve">, </w:t>
      </w:r>
      <w:r w:rsidR="00E21986" w:rsidRPr="00D01B71">
        <w:rPr>
          <w:rFonts w:asciiTheme="majorBidi" w:hAnsiTheme="majorBidi" w:cstheme="majorBidi"/>
          <w:sz w:val="24"/>
          <w:szCs w:val="24"/>
        </w:rPr>
        <w:t>Nathan</w:t>
      </w:r>
      <w:r w:rsidR="00E21986">
        <w:rPr>
          <w:rFonts w:asciiTheme="majorBidi" w:hAnsiTheme="majorBidi" w:cstheme="majorBidi"/>
          <w:sz w:val="24"/>
          <w:szCs w:val="24"/>
        </w:rPr>
        <w:t xml:space="preserve">, </w:t>
      </w:r>
      <w:r w:rsidRPr="00D01B71">
        <w:rPr>
          <w:rFonts w:asciiTheme="majorBidi" w:hAnsiTheme="majorBidi" w:cstheme="majorBidi"/>
          <w:sz w:val="24"/>
          <w:szCs w:val="24"/>
        </w:rPr>
        <w:t>Paris, 1978.</w:t>
      </w:r>
    </w:p>
    <w:p w:rsidR="0091765B" w:rsidRPr="00D01B71" w:rsidRDefault="0091765B" w:rsidP="00DC5D5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 xml:space="preserve">BAFFET, R., </w:t>
      </w:r>
      <w:r w:rsidRPr="00D01B71">
        <w:rPr>
          <w:rFonts w:asciiTheme="majorBidi" w:hAnsiTheme="majorBidi" w:cstheme="majorBidi"/>
          <w:i/>
          <w:iCs/>
          <w:sz w:val="24"/>
          <w:szCs w:val="24"/>
        </w:rPr>
        <w:t>Tradition théâtrale et modernité en Algérie</w:t>
      </w:r>
      <w:r w:rsidRPr="00D01B71">
        <w:rPr>
          <w:rFonts w:asciiTheme="majorBidi" w:hAnsiTheme="majorBidi" w:cstheme="majorBidi"/>
          <w:sz w:val="24"/>
          <w:szCs w:val="24"/>
        </w:rPr>
        <w:t xml:space="preserve">, </w:t>
      </w:r>
      <w:r w:rsidR="00DC5D52" w:rsidRPr="00D01B71">
        <w:rPr>
          <w:rFonts w:asciiTheme="majorBidi" w:hAnsiTheme="majorBidi" w:cstheme="majorBidi"/>
          <w:sz w:val="24"/>
          <w:szCs w:val="24"/>
        </w:rPr>
        <w:t>L’Harmattan</w:t>
      </w:r>
      <w:r w:rsidR="00DC5D52">
        <w:rPr>
          <w:rFonts w:asciiTheme="majorBidi" w:hAnsiTheme="majorBidi" w:cstheme="majorBidi"/>
          <w:sz w:val="24"/>
          <w:szCs w:val="24"/>
        </w:rPr>
        <w:t xml:space="preserve">, </w:t>
      </w:r>
      <w:r w:rsidRPr="00D01B71">
        <w:rPr>
          <w:rFonts w:asciiTheme="majorBidi" w:hAnsiTheme="majorBidi" w:cstheme="majorBidi"/>
          <w:sz w:val="24"/>
          <w:szCs w:val="24"/>
        </w:rPr>
        <w:t>Paris, 1985.</w:t>
      </w:r>
    </w:p>
    <w:p w:rsidR="0091765B" w:rsidRPr="00D01B71" w:rsidRDefault="0091765B" w:rsidP="00DC5D5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 xml:space="preserve">BENACHOUR, B., </w:t>
      </w:r>
      <w:r w:rsidRPr="00D01B71">
        <w:rPr>
          <w:rFonts w:asciiTheme="majorBidi" w:hAnsiTheme="majorBidi" w:cstheme="majorBidi"/>
          <w:i/>
          <w:iCs/>
          <w:sz w:val="24"/>
          <w:szCs w:val="24"/>
        </w:rPr>
        <w:t>Le Théâtre algérien, une histoire d’étapes</w:t>
      </w:r>
      <w:r w:rsidRPr="00D01B71">
        <w:rPr>
          <w:rFonts w:asciiTheme="majorBidi" w:hAnsiTheme="majorBidi" w:cstheme="majorBidi"/>
          <w:sz w:val="24"/>
          <w:szCs w:val="24"/>
        </w:rPr>
        <w:t xml:space="preserve">, </w:t>
      </w:r>
      <w:r w:rsidR="00DC5D52" w:rsidRPr="00D01B71">
        <w:rPr>
          <w:rFonts w:asciiTheme="majorBidi" w:hAnsiTheme="majorBidi" w:cstheme="majorBidi"/>
          <w:sz w:val="24"/>
          <w:szCs w:val="24"/>
        </w:rPr>
        <w:t>Dar el Gharb</w:t>
      </w:r>
      <w:r w:rsidR="00DC5D52">
        <w:rPr>
          <w:rFonts w:asciiTheme="majorBidi" w:hAnsiTheme="majorBidi" w:cstheme="majorBidi"/>
          <w:sz w:val="24"/>
          <w:szCs w:val="24"/>
        </w:rPr>
        <w:t xml:space="preserve">, </w:t>
      </w:r>
      <w:r w:rsidRPr="00D01B71">
        <w:rPr>
          <w:rFonts w:asciiTheme="majorBidi" w:hAnsiTheme="majorBidi" w:cstheme="majorBidi"/>
          <w:sz w:val="24"/>
          <w:szCs w:val="24"/>
        </w:rPr>
        <w:t>Oran, 2005.</w:t>
      </w:r>
    </w:p>
    <w:p w:rsidR="0091765B" w:rsidRPr="00D01B71" w:rsidRDefault="0091765B" w:rsidP="00D01B7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 xml:space="preserve">BOUCHENTOUF -SIAGH, Z., </w:t>
      </w:r>
      <w:r w:rsidRPr="00D01B71">
        <w:rPr>
          <w:rFonts w:asciiTheme="majorBidi" w:hAnsiTheme="majorBidi" w:cstheme="majorBidi"/>
          <w:i/>
          <w:iCs/>
          <w:sz w:val="24"/>
          <w:szCs w:val="24"/>
        </w:rPr>
        <w:t>Les usages linguistiques dans le théâtre amateur algérien : 1978-1981</w:t>
      </w:r>
      <w:r w:rsidRPr="00D01B71">
        <w:rPr>
          <w:rFonts w:asciiTheme="majorBidi" w:hAnsiTheme="majorBidi" w:cstheme="majorBidi"/>
          <w:sz w:val="24"/>
          <w:szCs w:val="24"/>
        </w:rPr>
        <w:t xml:space="preserve"> (thèse de troisième cycle), Université Paris V, 1984</w:t>
      </w:r>
    </w:p>
    <w:p w:rsidR="0091765B" w:rsidRPr="00D01B71" w:rsidRDefault="0091765B" w:rsidP="0020012E">
      <w:pPr>
        <w:spacing w:after="0" w:line="360" w:lineRule="auto"/>
        <w:jc w:val="both"/>
        <w:rPr>
          <w:rFonts w:asciiTheme="majorBidi" w:hAnsiTheme="majorBidi" w:cstheme="majorBidi"/>
          <w:i/>
          <w:iCs/>
          <w:sz w:val="24"/>
          <w:szCs w:val="24"/>
          <w:lang w:eastAsia="fr-FR"/>
        </w:rPr>
      </w:pPr>
      <w:r w:rsidRPr="00D01B71">
        <w:rPr>
          <w:rFonts w:asciiTheme="majorBidi" w:hAnsiTheme="majorBidi" w:cstheme="majorBidi"/>
          <w:sz w:val="24"/>
          <w:szCs w:val="24"/>
          <w:lang w:eastAsia="fr-FR"/>
        </w:rPr>
        <w:t>CHENIKI, A.,</w:t>
      </w:r>
      <w:r w:rsidRPr="00D01B71">
        <w:rPr>
          <w:rFonts w:asciiTheme="majorBidi" w:hAnsiTheme="majorBidi" w:cstheme="majorBidi"/>
          <w:i/>
          <w:iCs/>
          <w:sz w:val="24"/>
          <w:szCs w:val="24"/>
          <w:lang w:eastAsia="fr-FR"/>
        </w:rPr>
        <w:t xml:space="preserve"> Le théâtre en Algérie : histoire et enjeux, </w:t>
      </w:r>
      <w:proofErr w:type="gramStart"/>
      <w:r w:rsidR="0020012E" w:rsidRPr="00D01B71">
        <w:rPr>
          <w:rFonts w:asciiTheme="majorBidi" w:hAnsiTheme="majorBidi" w:cstheme="majorBidi"/>
          <w:sz w:val="24"/>
          <w:szCs w:val="24"/>
          <w:lang w:eastAsia="fr-FR"/>
        </w:rPr>
        <w:t xml:space="preserve">Edisud </w:t>
      </w:r>
      <w:r w:rsidR="0020012E">
        <w:rPr>
          <w:rFonts w:asciiTheme="majorBidi" w:hAnsiTheme="majorBidi" w:cstheme="majorBidi"/>
          <w:sz w:val="24"/>
          <w:szCs w:val="24"/>
          <w:lang w:eastAsia="fr-FR"/>
        </w:rPr>
        <w:t>,</w:t>
      </w:r>
      <w:proofErr w:type="gramEnd"/>
      <w:r w:rsidR="0020012E">
        <w:rPr>
          <w:rFonts w:asciiTheme="majorBidi" w:hAnsiTheme="majorBidi" w:cstheme="majorBidi"/>
          <w:sz w:val="24"/>
          <w:szCs w:val="24"/>
          <w:lang w:eastAsia="fr-FR"/>
        </w:rPr>
        <w:t xml:space="preserve"> </w:t>
      </w:r>
      <w:r w:rsidRPr="00D01B71">
        <w:rPr>
          <w:rFonts w:asciiTheme="majorBidi" w:hAnsiTheme="majorBidi" w:cstheme="majorBidi"/>
          <w:sz w:val="24"/>
          <w:szCs w:val="24"/>
          <w:lang w:eastAsia="fr-FR"/>
        </w:rPr>
        <w:t>Aix en Provence, 2002.</w:t>
      </w:r>
    </w:p>
    <w:p w:rsidR="0091765B" w:rsidRPr="00D01B71" w:rsidRDefault="0091765B" w:rsidP="00DA4AD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u w:val="single"/>
          <w:lang w:eastAsia="fr-FR"/>
        </w:rPr>
        <w:t xml:space="preserve">                   </w:t>
      </w:r>
      <w:r w:rsidRPr="00D01B71">
        <w:rPr>
          <w:rFonts w:asciiTheme="majorBidi" w:hAnsiTheme="majorBidi" w:cstheme="majorBidi"/>
          <w:sz w:val="24"/>
          <w:szCs w:val="24"/>
          <w:lang w:eastAsia="fr-FR"/>
        </w:rPr>
        <w:t xml:space="preserve">, </w:t>
      </w:r>
      <w:r w:rsidRPr="00D01B71">
        <w:rPr>
          <w:rFonts w:asciiTheme="majorBidi" w:hAnsiTheme="majorBidi" w:cstheme="majorBidi"/>
          <w:i/>
          <w:sz w:val="24"/>
          <w:szCs w:val="24"/>
          <w:lang w:eastAsia="fr-FR"/>
        </w:rPr>
        <w:t>Les vérités du théâtre en Algérie</w:t>
      </w:r>
      <w:r w:rsidRPr="00D01B71">
        <w:rPr>
          <w:rFonts w:asciiTheme="majorBidi" w:hAnsiTheme="majorBidi" w:cstheme="majorBidi"/>
          <w:sz w:val="24"/>
          <w:szCs w:val="24"/>
          <w:lang w:eastAsia="fr-FR"/>
        </w:rPr>
        <w:t xml:space="preserve">, </w:t>
      </w:r>
      <w:r w:rsidR="00DA4AD2" w:rsidRPr="00D01B71">
        <w:rPr>
          <w:rFonts w:asciiTheme="majorBidi" w:hAnsiTheme="majorBidi" w:cstheme="majorBidi"/>
          <w:sz w:val="24"/>
          <w:szCs w:val="24"/>
          <w:lang w:eastAsia="fr-FR"/>
        </w:rPr>
        <w:t>Dar el Gharb</w:t>
      </w:r>
      <w:r w:rsidR="00DA4AD2">
        <w:rPr>
          <w:rFonts w:asciiTheme="majorBidi" w:hAnsiTheme="majorBidi" w:cstheme="majorBidi"/>
          <w:sz w:val="24"/>
          <w:szCs w:val="24"/>
          <w:lang w:eastAsia="fr-FR"/>
        </w:rPr>
        <w:t xml:space="preserve">, </w:t>
      </w:r>
      <w:r w:rsidRPr="00D01B71">
        <w:rPr>
          <w:rFonts w:asciiTheme="majorBidi" w:hAnsiTheme="majorBidi" w:cstheme="majorBidi"/>
          <w:sz w:val="24"/>
          <w:szCs w:val="24"/>
          <w:lang w:eastAsia="fr-FR"/>
        </w:rPr>
        <w:t>Oran, 2006.</w:t>
      </w:r>
    </w:p>
    <w:p w:rsidR="0091765B" w:rsidRPr="00D01B71" w:rsidRDefault="0091765B" w:rsidP="002342B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bCs/>
          <w:sz w:val="24"/>
          <w:szCs w:val="24"/>
        </w:rPr>
      </w:pPr>
      <w:r w:rsidRPr="00D01B71">
        <w:rPr>
          <w:rFonts w:asciiTheme="majorBidi" w:hAnsiTheme="majorBidi" w:cstheme="majorBidi"/>
          <w:bCs/>
          <w:iCs/>
          <w:sz w:val="24"/>
          <w:szCs w:val="24"/>
          <w:u w:val="single"/>
        </w:rPr>
        <w:t xml:space="preserve">                   </w:t>
      </w:r>
      <w:r w:rsidRPr="00D01B71">
        <w:rPr>
          <w:rFonts w:asciiTheme="majorBidi" w:hAnsiTheme="majorBidi" w:cstheme="majorBidi"/>
          <w:bCs/>
          <w:sz w:val="24"/>
          <w:szCs w:val="24"/>
        </w:rPr>
        <w:t>, « Le théâtre algérien : dédoublement et parole syncrétique », in BONN, Ch (sous la dir)</w:t>
      </w:r>
      <w:proofErr w:type="gramStart"/>
      <w:r w:rsidRPr="00D01B71">
        <w:rPr>
          <w:rFonts w:asciiTheme="majorBidi" w:hAnsiTheme="majorBidi" w:cstheme="majorBidi"/>
          <w:bCs/>
          <w:sz w:val="24"/>
          <w:szCs w:val="24"/>
        </w:rPr>
        <w:t>.,</w:t>
      </w:r>
      <w:proofErr w:type="gramEnd"/>
      <w:r w:rsidRPr="00D01B71">
        <w:rPr>
          <w:rFonts w:asciiTheme="majorBidi" w:hAnsiTheme="majorBidi" w:cstheme="majorBidi"/>
          <w:bCs/>
          <w:sz w:val="24"/>
          <w:szCs w:val="24"/>
        </w:rPr>
        <w:t xml:space="preserve"> </w:t>
      </w:r>
      <w:r w:rsidRPr="00D01B71">
        <w:rPr>
          <w:rFonts w:asciiTheme="majorBidi" w:hAnsiTheme="majorBidi" w:cstheme="majorBidi"/>
          <w:bCs/>
          <w:i/>
          <w:sz w:val="24"/>
          <w:szCs w:val="24"/>
        </w:rPr>
        <w:t>Echanges et mutations des modèles littéraires entre Europe et Algérie, Tome 2 des Actes du colloque « Paroles déplacées»</w:t>
      </w:r>
      <w:r w:rsidRPr="00D01B71">
        <w:rPr>
          <w:rFonts w:asciiTheme="majorBidi" w:hAnsiTheme="majorBidi" w:cstheme="majorBidi"/>
          <w:bCs/>
          <w:sz w:val="24"/>
          <w:szCs w:val="24"/>
        </w:rPr>
        <w:t xml:space="preserve">, </w:t>
      </w:r>
      <w:r w:rsidR="002342B4" w:rsidRPr="00D01B71">
        <w:rPr>
          <w:rFonts w:asciiTheme="majorBidi" w:hAnsiTheme="majorBidi" w:cstheme="majorBidi"/>
          <w:bCs/>
          <w:sz w:val="24"/>
          <w:szCs w:val="24"/>
        </w:rPr>
        <w:t>L’harmattan</w:t>
      </w:r>
      <w:r w:rsidR="002342B4">
        <w:rPr>
          <w:rFonts w:asciiTheme="majorBidi" w:hAnsiTheme="majorBidi" w:cstheme="majorBidi"/>
          <w:bCs/>
          <w:sz w:val="24"/>
          <w:szCs w:val="24"/>
        </w:rPr>
        <w:t xml:space="preserve">, </w:t>
      </w:r>
      <w:r w:rsidRPr="00D01B71">
        <w:rPr>
          <w:rFonts w:asciiTheme="majorBidi" w:hAnsiTheme="majorBidi" w:cstheme="majorBidi"/>
          <w:bCs/>
          <w:sz w:val="24"/>
          <w:szCs w:val="24"/>
        </w:rPr>
        <w:t>Paris, 2003.</w:t>
      </w:r>
    </w:p>
    <w:p w:rsidR="0091765B" w:rsidRPr="00D01B71" w:rsidRDefault="0091765B" w:rsidP="00D01B7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u w:val="single"/>
        </w:rPr>
        <w:t xml:space="preserve">               </w:t>
      </w:r>
      <w:r w:rsidRPr="00D01B71">
        <w:rPr>
          <w:rFonts w:asciiTheme="majorBidi" w:hAnsiTheme="majorBidi" w:cstheme="majorBidi"/>
          <w:sz w:val="24"/>
          <w:szCs w:val="24"/>
        </w:rPr>
        <w:t xml:space="preserve">, </w:t>
      </w:r>
      <w:r w:rsidRPr="00D01B71">
        <w:rPr>
          <w:rFonts w:asciiTheme="majorBidi" w:hAnsiTheme="majorBidi" w:cstheme="majorBidi"/>
          <w:i/>
          <w:sz w:val="24"/>
          <w:szCs w:val="24"/>
        </w:rPr>
        <w:t>Théâtre algérien, Itinéraires et tendances</w:t>
      </w:r>
      <w:r w:rsidRPr="00D01B71">
        <w:rPr>
          <w:rFonts w:asciiTheme="majorBidi" w:hAnsiTheme="majorBidi" w:cstheme="majorBidi"/>
          <w:iCs/>
          <w:sz w:val="24"/>
          <w:szCs w:val="24"/>
        </w:rPr>
        <w:t xml:space="preserve"> (thèse de doctorat)</w:t>
      </w:r>
      <w:r w:rsidRPr="00D01B71">
        <w:rPr>
          <w:rFonts w:asciiTheme="majorBidi" w:hAnsiTheme="majorBidi" w:cstheme="majorBidi"/>
          <w:sz w:val="24"/>
          <w:szCs w:val="24"/>
        </w:rPr>
        <w:t>, Université de Paris IV, 1993.</w:t>
      </w:r>
    </w:p>
    <w:p w:rsidR="0091765B" w:rsidRPr="00D01B71" w:rsidRDefault="0091765B" w:rsidP="00D01B7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u w:val="single"/>
        </w:rPr>
        <w:t xml:space="preserve">              </w:t>
      </w:r>
      <w:r w:rsidRPr="00D01B71">
        <w:rPr>
          <w:rFonts w:asciiTheme="majorBidi" w:hAnsiTheme="majorBidi" w:cstheme="majorBidi"/>
          <w:sz w:val="24"/>
          <w:szCs w:val="24"/>
        </w:rPr>
        <w:t>, « </w:t>
      </w:r>
      <w:hyperlink r:id="rId106" w:history="1">
        <w:r w:rsidRPr="00D01B71">
          <w:rPr>
            <w:rFonts w:asciiTheme="majorBidi" w:hAnsiTheme="majorBidi" w:cstheme="majorBidi"/>
            <w:sz w:val="24"/>
            <w:szCs w:val="24"/>
          </w:rPr>
          <w:t>Kaki, le génial porteur d’eau du théâtre</w:t>
        </w:r>
      </w:hyperlink>
      <w:r w:rsidRPr="00D01B71">
        <w:rPr>
          <w:rFonts w:asciiTheme="majorBidi" w:hAnsiTheme="majorBidi" w:cstheme="majorBidi"/>
          <w:sz w:val="24"/>
          <w:szCs w:val="24"/>
        </w:rPr>
        <w:t xml:space="preserve"> », in </w:t>
      </w:r>
      <w:r w:rsidRPr="00D01B71">
        <w:rPr>
          <w:rFonts w:asciiTheme="majorBidi" w:hAnsiTheme="majorBidi" w:cstheme="majorBidi"/>
          <w:i/>
          <w:sz w:val="24"/>
          <w:szCs w:val="24"/>
        </w:rPr>
        <w:t xml:space="preserve">Le Soir d’Algérie </w:t>
      </w:r>
      <w:r w:rsidRPr="00D01B71">
        <w:rPr>
          <w:rFonts w:asciiTheme="majorBidi" w:hAnsiTheme="majorBidi" w:cstheme="majorBidi"/>
          <w:iCs/>
          <w:sz w:val="24"/>
          <w:szCs w:val="24"/>
        </w:rPr>
        <w:t>(Rubrique Culture)</w:t>
      </w:r>
      <w:r w:rsidRPr="00D01B71">
        <w:rPr>
          <w:rFonts w:asciiTheme="majorBidi" w:hAnsiTheme="majorBidi" w:cstheme="majorBidi"/>
          <w:sz w:val="24"/>
          <w:szCs w:val="24"/>
        </w:rPr>
        <w:t>, 6 mai 2011.</w:t>
      </w:r>
    </w:p>
    <w:p w:rsidR="0091765B" w:rsidRPr="00D01B71" w:rsidRDefault="0091765B" w:rsidP="008E371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 xml:space="preserve">CHEURFI, A., </w:t>
      </w:r>
      <w:r w:rsidRPr="00D01B71">
        <w:rPr>
          <w:rFonts w:asciiTheme="majorBidi" w:hAnsiTheme="majorBidi" w:cstheme="majorBidi"/>
          <w:i/>
          <w:iCs/>
          <w:sz w:val="24"/>
          <w:szCs w:val="24"/>
        </w:rPr>
        <w:t>Écrivains Algériens, Dictionnaire Bibliographique</w:t>
      </w:r>
      <w:r w:rsidRPr="00D01B71">
        <w:rPr>
          <w:rFonts w:asciiTheme="majorBidi" w:hAnsiTheme="majorBidi" w:cstheme="majorBidi"/>
          <w:sz w:val="24"/>
          <w:szCs w:val="24"/>
        </w:rPr>
        <w:t xml:space="preserve">, </w:t>
      </w:r>
      <w:r w:rsidR="008E3717" w:rsidRPr="00D01B71">
        <w:rPr>
          <w:rFonts w:asciiTheme="majorBidi" w:hAnsiTheme="majorBidi" w:cstheme="majorBidi"/>
          <w:sz w:val="24"/>
          <w:szCs w:val="24"/>
        </w:rPr>
        <w:t>Casbah</w:t>
      </w:r>
      <w:r w:rsidR="008E3717">
        <w:rPr>
          <w:rFonts w:asciiTheme="majorBidi" w:hAnsiTheme="majorBidi" w:cstheme="majorBidi"/>
          <w:sz w:val="24"/>
          <w:szCs w:val="24"/>
        </w:rPr>
        <w:t xml:space="preserve">, </w:t>
      </w:r>
      <w:r w:rsidRPr="00D01B71">
        <w:rPr>
          <w:rFonts w:asciiTheme="majorBidi" w:hAnsiTheme="majorBidi" w:cstheme="majorBidi"/>
          <w:sz w:val="24"/>
          <w:szCs w:val="24"/>
        </w:rPr>
        <w:t>Alger, 2002.</w:t>
      </w:r>
    </w:p>
    <w:p w:rsidR="0091765B" w:rsidRPr="00D01B71" w:rsidRDefault="0091765B" w:rsidP="00DC158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 xml:space="preserve">DEJEUX, J., </w:t>
      </w:r>
      <w:r w:rsidRPr="00D01B71">
        <w:rPr>
          <w:rFonts w:asciiTheme="majorBidi" w:hAnsiTheme="majorBidi" w:cstheme="majorBidi"/>
          <w:i/>
          <w:iCs/>
          <w:sz w:val="24"/>
          <w:szCs w:val="24"/>
        </w:rPr>
        <w:t>Dictionnaire des auteurs maghrébins de langue française</w:t>
      </w:r>
      <w:r w:rsidRPr="00D01B71">
        <w:rPr>
          <w:rFonts w:asciiTheme="majorBidi" w:hAnsiTheme="majorBidi" w:cstheme="majorBidi"/>
          <w:sz w:val="24"/>
          <w:szCs w:val="24"/>
        </w:rPr>
        <w:t xml:space="preserve">, </w:t>
      </w:r>
      <w:r w:rsidR="00DC158A" w:rsidRPr="00D01B71">
        <w:rPr>
          <w:rFonts w:asciiTheme="majorBidi" w:hAnsiTheme="majorBidi" w:cstheme="majorBidi"/>
          <w:sz w:val="24"/>
          <w:szCs w:val="24"/>
        </w:rPr>
        <w:t>Karthala</w:t>
      </w:r>
      <w:r w:rsidR="00DC158A">
        <w:rPr>
          <w:rFonts w:asciiTheme="majorBidi" w:hAnsiTheme="majorBidi" w:cstheme="majorBidi"/>
          <w:sz w:val="24"/>
          <w:szCs w:val="24"/>
        </w:rPr>
        <w:t xml:space="preserve">, </w:t>
      </w:r>
      <w:r w:rsidRPr="00D01B71">
        <w:rPr>
          <w:rFonts w:asciiTheme="majorBidi" w:hAnsiTheme="majorBidi" w:cstheme="majorBidi"/>
          <w:sz w:val="24"/>
          <w:szCs w:val="24"/>
        </w:rPr>
        <w:t>Paris, 1984.</w:t>
      </w:r>
    </w:p>
    <w:p w:rsidR="0091765B" w:rsidRPr="00D01B71" w:rsidRDefault="0091765B" w:rsidP="00DC158A">
      <w:pPr>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lang w:eastAsia="fr-FR"/>
        </w:rPr>
        <w:t>DILMI, F., S</w:t>
      </w:r>
      <w:r w:rsidRPr="00D01B71">
        <w:rPr>
          <w:rFonts w:asciiTheme="majorBidi" w:hAnsiTheme="majorBidi" w:cstheme="majorBidi"/>
          <w:i/>
          <w:iCs/>
          <w:sz w:val="24"/>
          <w:szCs w:val="24"/>
          <w:lang w:eastAsia="fr-FR"/>
        </w:rPr>
        <w:t>tructures et fonctions</w:t>
      </w:r>
      <w:r w:rsidRPr="00D01B71">
        <w:rPr>
          <w:rFonts w:asciiTheme="majorBidi" w:hAnsiTheme="majorBidi" w:cstheme="majorBidi"/>
          <w:sz w:val="24"/>
          <w:szCs w:val="24"/>
          <w:lang w:eastAsia="fr-FR"/>
        </w:rPr>
        <w:t xml:space="preserve"> </w:t>
      </w:r>
      <w:r w:rsidRPr="00D01B71">
        <w:rPr>
          <w:rFonts w:asciiTheme="majorBidi" w:hAnsiTheme="majorBidi" w:cstheme="majorBidi"/>
          <w:i/>
          <w:iCs/>
          <w:sz w:val="24"/>
          <w:szCs w:val="24"/>
          <w:lang w:eastAsia="fr-FR"/>
        </w:rPr>
        <w:t xml:space="preserve">du texte. Approche sémiotique de Legoual </w:t>
      </w:r>
      <w:proofErr w:type="gramStart"/>
      <w:r w:rsidRPr="00D01B71">
        <w:rPr>
          <w:rFonts w:asciiTheme="majorBidi" w:hAnsiTheme="majorBidi" w:cstheme="majorBidi"/>
          <w:i/>
          <w:iCs/>
          <w:sz w:val="24"/>
          <w:szCs w:val="24"/>
          <w:lang w:eastAsia="fr-FR"/>
        </w:rPr>
        <w:t>de Abdelkader</w:t>
      </w:r>
      <w:proofErr w:type="gramEnd"/>
      <w:r w:rsidRPr="00D01B71">
        <w:rPr>
          <w:rFonts w:asciiTheme="majorBidi" w:hAnsiTheme="majorBidi" w:cstheme="majorBidi"/>
          <w:i/>
          <w:iCs/>
          <w:sz w:val="24"/>
          <w:szCs w:val="24"/>
          <w:lang w:eastAsia="fr-FR"/>
        </w:rPr>
        <w:t xml:space="preserve"> Alloula, </w:t>
      </w:r>
      <w:r w:rsidR="00DC158A" w:rsidRPr="00D01B71">
        <w:rPr>
          <w:rFonts w:asciiTheme="majorBidi" w:hAnsiTheme="majorBidi" w:cstheme="majorBidi"/>
          <w:sz w:val="24"/>
          <w:szCs w:val="24"/>
          <w:lang w:eastAsia="fr-FR"/>
        </w:rPr>
        <w:t>Dar Kanaân</w:t>
      </w:r>
      <w:r w:rsidR="00DC158A">
        <w:rPr>
          <w:rFonts w:asciiTheme="majorBidi" w:hAnsiTheme="majorBidi" w:cstheme="majorBidi"/>
          <w:sz w:val="24"/>
          <w:szCs w:val="24"/>
          <w:lang w:eastAsia="fr-FR"/>
        </w:rPr>
        <w:t xml:space="preserve">, </w:t>
      </w:r>
      <w:r w:rsidRPr="00D01B71">
        <w:rPr>
          <w:rFonts w:asciiTheme="majorBidi" w:hAnsiTheme="majorBidi" w:cstheme="majorBidi"/>
          <w:sz w:val="24"/>
          <w:szCs w:val="24"/>
          <w:lang w:eastAsia="fr-FR"/>
        </w:rPr>
        <w:t>Damas, 2005.</w:t>
      </w:r>
    </w:p>
    <w:p w:rsidR="0091765B" w:rsidRPr="00D01B71" w:rsidRDefault="0091765B" w:rsidP="00D01B71">
      <w:pPr>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lang w:eastAsia="fr-FR"/>
        </w:rPr>
        <w:t xml:space="preserve">DUREAU, M. A., </w:t>
      </w:r>
      <w:r w:rsidRPr="00D01B71">
        <w:rPr>
          <w:rFonts w:asciiTheme="majorBidi" w:hAnsiTheme="majorBidi" w:cstheme="majorBidi"/>
          <w:sz w:val="24"/>
          <w:szCs w:val="24"/>
        </w:rPr>
        <w:t xml:space="preserve">«  Algérie  (histoire des guerres des romains, des byzantins, et des vandales - accompagnée d’examen sur les moyens employés anciennement </w:t>
      </w:r>
      <w:r w:rsidRPr="00D01B71">
        <w:rPr>
          <w:rFonts w:asciiTheme="majorBidi" w:hAnsiTheme="majorBidi" w:cstheme="majorBidi"/>
          <w:sz w:val="24"/>
          <w:szCs w:val="24"/>
        </w:rPr>
        <w:lastRenderedPageBreak/>
        <w:t xml:space="preserve">pour la conquête et la soumission de la portion de l’Afrique septentrionale nommée aujourd’hui l’Algérie) »,  </w:t>
      </w:r>
      <w:r w:rsidRPr="00D01B71">
        <w:rPr>
          <w:rFonts w:asciiTheme="majorBidi" w:hAnsiTheme="majorBidi" w:cstheme="majorBidi"/>
          <w:i/>
          <w:sz w:val="24"/>
          <w:szCs w:val="24"/>
        </w:rPr>
        <w:t>Manuel algérien</w:t>
      </w:r>
      <w:r w:rsidRPr="00D01B71">
        <w:rPr>
          <w:rFonts w:asciiTheme="majorBidi" w:hAnsiTheme="majorBidi" w:cstheme="majorBidi"/>
          <w:sz w:val="24"/>
          <w:szCs w:val="24"/>
        </w:rPr>
        <w:t>,  Paris, 1852.</w:t>
      </w:r>
      <w:r w:rsidRPr="00D01B71">
        <w:rPr>
          <w:rFonts w:asciiTheme="majorBidi" w:hAnsiTheme="majorBidi" w:cstheme="majorBidi"/>
          <w:sz w:val="24"/>
          <w:szCs w:val="24"/>
          <w:lang w:eastAsia="fr-FR"/>
        </w:rPr>
        <w:t xml:space="preserve">  </w:t>
      </w:r>
    </w:p>
    <w:p w:rsidR="0091765B" w:rsidRPr="00D01B71" w:rsidRDefault="0091765B" w:rsidP="00DC158A">
      <w:pPr>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rPr>
        <w:t>FINBURGH, C., « </w:t>
      </w:r>
      <w:r w:rsidRPr="00D01B71">
        <w:rPr>
          <w:rFonts w:asciiTheme="majorBidi" w:hAnsiTheme="majorBidi" w:cstheme="majorBidi"/>
          <w:bCs/>
          <w:sz w:val="24"/>
          <w:szCs w:val="24"/>
        </w:rPr>
        <w:t xml:space="preserve">Mohamed prends ta valise de Kateb Yacine : un ʺthéâtre engagéʺ non-didactique ? » in BONN, Ch., </w:t>
      </w:r>
      <w:r w:rsidRPr="00D01B71">
        <w:rPr>
          <w:rFonts w:asciiTheme="majorBidi" w:hAnsiTheme="majorBidi" w:cstheme="majorBidi"/>
          <w:bCs/>
          <w:i/>
          <w:iCs/>
          <w:sz w:val="24"/>
          <w:szCs w:val="24"/>
        </w:rPr>
        <w:t>É</w:t>
      </w:r>
      <w:r w:rsidRPr="00D01B71">
        <w:rPr>
          <w:rFonts w:asciiTheme="majorBidi" w:hAnsiTheme="majorBidi" w:cstheme="majorBidi"/>
          <w:bCs/>
          <w:i/>
          <w:sz w:val="24"/>
          <w:szCs w:val="24"/>
        </w:rPr>
        <w:t>changes et mutations des modèles littéraires entre Europe et Algérie, Tome 2 des Actes du colloque « Paroles déplacées »</w:t>
      </w:r>
      <w:r w:rsidRPr="00D01B71">
        <w:rPr>
          <w:rFonts w:asciiTheme="majorBidi" w:hAnsiTheme="majorBidi" w:cstheme="majorBidi"/>
          <w:bCs/>
          <w:sz w:val="24"/>
          <w:szCs w:val="24"/>
        </w:rPr>
        <w:t xml:space="preserve">, </w:t>
      </w:r>
      <w:r w:rsidR="00DC158A" w:rsidRPr="00D01B71">
        <w:rPr>
          <w:rFonts w:asciiTheme="majorBidi" w:hAnsiTheme="majorBidi" w:cstheme="majorBidi"/>
          <w:bCs/>
          <w:sz w:val="24"/>
          <w:szCs w:val="24"/>
        </w:rPr>
        <w:t>L’harmattan</w:t>
      </w:r>
      <w:r w:rsidR="00DC158A">
        <w:rPr>
          <w:rFonts w:asciiTheme="majorBidi" w:hAnsiTheme="majorBidi" w:cstheme="majorBidi"/>
          <w:bCs/>
          <w:sz w:val="24"/>
          <w:szCs w:val="24"/>
        </w:rPr>
        <w:t xml:space="preserve">, </w:t>
      </w:r>
      <w:r w:rsidRPr="00D01B71">
        <w:rPr>
          <w:rFonts w:asciiTheme="majorBidi" w:hAnsiTheme="majorBidi" w:cstheme="majorBidi"/>
          <w:bCs/>
          <w:sz w:val="24"/>
          <w:szCs w:val="24"/>
        </w:rPr>
        <w:t>Paris, 2003.</w:t>
      </w:r>
    </w:p>
    <w:p w:rsidR="0091765B" w:rsidRPr="00D01B71" w:rsidRDefault="0091765B" w:rsidP="00D01B71">
      <w:pPr>
        <w:spacing w:after="0" w:line="360" w:lineRule="auto"/>
        <w:jc w:val="both"/>
        <w:rPr>
          <w:rFonts w:asciiTheme="majorBidi" w:hAnsiTheme="majorBidi" w:cstheme="majorBidi"/>
          <w:sz w:val="24"/>
          <w:szCs w:val="24"/>
        </w:rPr>
      </w:pPr>
      <w:r w:rsidRPr="00D01B71">
        <w:rPr>
          <w:rFonts w:asciiTheme="majorBidi" w:hAnsiTheme="majorBidi" w:cstheme="majorBidi"/>
          <w:sz w:val="24"/>
          <w:szCs w:val="24"/>
        </w:rPr>
        <w:t xml:space="preserve">GRASSIN, J-M, « Les littératures africaines modernes devant la documentation encyclopédique internationale » in </w:t>
      </w:r>
      <w:r w:rsidRPr="00D01B71">
        <w:rPr>
          <w:rFonts w:asciiTheme="majorBidi" w:hAnsiTheme="majorBidi" w:cstheme="majorBidi"/>
          <w:i/>
          <w:sz w:val="24"/>
          <w:szCs w:val="24"/>
        </w:rPr>
        <w:t xml:space="preserve">Les actes du colloque </w:t>
      </w:r>
      <w:r w:rsidRPr="00D01B71">
        <w:rPr>
          <w:rFonts w:asciiTheme="majorBidi" w:hAnsiTheme="majorBidi" w:cstheme="majorBidi"/>
          <w:sz w:val="24"/>
          <w:szCs w:val="24"/>
        </w:rPr>
        <w:t>intitulé</w:t>
      </w:r>
      <w:r w:rsidRPr="00D01B71">
        <w:rPr>
          <w:rFonts w:asciiTheme="majorBidi" w:hAnsiTheme="majorBidi" w:cstheme="majorBidi"/>
          <w:i/>
          <w:sz w:val="24"/>
          <w:szCs w:val="24"/>
        </w:rPr>
        <w:t xml:space="preserve"> critiques et réception des littératures négro-africaines</w:t>
      </w:r>
      <w:r w:rsidRPr="00D01B71">
        <w:rPr>
          <w:rFonts w:asciiTheme="majorBidi" w:hAnsiTheme="majorBidi" w:cstheme="majorBidi"/>
          <w:sz w:val="24"/>
          <w:szCs w:val="24"/>
        </w:rPr>
        <w:t>, Université Sorbonne, 10-11 mars</w:t>
      </w:r>
      <w:r w:rsidRPr="00D01B71">
        <w:rPr>
          <w:rFonts w:asciiTheme="majorBidi" w:hAnsiTheme="majorBidi" w:cstheme="majorBidi"/>
          <w:i/>
          <w:iCs/>
          <w:sz w:val="24"/>
          <w:szCs w:val="24"/>
          <w:lang w:eastAsia="fr-FR"/>
        </w:rPr>
        <w:t xml:space="preserve">, </w:t>
      </w:r>
      <w:r w:rsidRPr="00D01B71">
        <w:rPr>
          <w:rFonts w:asciiTheme="majorBidi" w:hAnsiTheme="majorBidi" w:cstheme="majorBidi"/>
          <w:sz w:val="24"/>
          <w:szCs w:val="24"/>
        </w:rPr>
        <w:t>1978.</w:t>
      </w:r>
    </w:p>
    <w:p w:rsidR="0091765B" w:rsidRPr="00D01B71" w:rsidRDefault="0091765B" w:rsidP="00973100">
      <w:pPr>
        <w:spacing w:after="0" w:line="360" w:lineRule="auto"/>
        <w:jc w:val="both"/>
        <w:rPr>
          <w:rFonts w:asciiTheme="majorBidi" w:hAnsiTheme="majorBidi" w:cstheme="majorBidi"/>
          <w:i/>
          <w:iCs/>
          <w:sz w:val="24"/>
          <w:szCs w:val="24"/>
          <w:lang w:eastAsia="fr-FR"/>
        </w:rPr>
      </w:pPr>
      <w:r w:rsidRPr="00D01B71">
        <w:rPr>
          <w:rFonts w:asciiTheme="majorBidi" w:hAnsiTheme="majorBidi" w:cstheme="majorBidi"/>
          <w:sz w:val="24"/>
          <w:szCs w:val="24"/>
        </w:rPr>
        <w:t xml:space="preserve">GUERFI, A., </w:t>
      </w:r>
      <w:r w:rsidRPr="00D01B71">
        <w:rPr>
          <w:rFonts w:asciiTheme="majorBidi" w:hAnsiTheme="majorBidi" w:cstheme="majorBidi"/>
          <w:i/>
          <w:sz w:val="24"/>
          <w:szCs w:val="24"/>
        </w:rPr>
        <w:t>Diversité et inter culturalité en Algérie</w:t>
      </w:r>
      <w:r w:rsidRPr="00D01B71">
        <w:rPr>
          <w:rFonts w:asciiTheme="majorBidi" w:hAnsiTheme="majorBidi" w:cstheme="majorBidi"/>
          <w:sz w:val="24"/>
          <w:szCs w:val="24"/>
        </w:rPr>
        <w:t xml:space="preserve">, </w:t>
      </w:r>
      <w:r w:rsidR="00973100" w:rsidRPr="00D01B71">
        <w:rPr>
          <w:rFonts w:asciiTheme="majorBidi" w:hAnsiTheme="majorBidi" w:cstheme="majorBidi"/>
          <w:sz w:val="24"/>
          <w:szCs w:val="24"/>
        </w:rPr>
        <w:t>UNESCO</w:t>
      </w:r>
      <w:r w:rsidR="00973100">
        <w:rPr>
          <w:rFonts w:asciiTheme="majorBidi" w:hAnsiTheme="majorBidi" w:cstheme="majorBidi"/>
          <w:sz w:val="24"/>
          <w:szCs w:val="24"/>
        </w:rPr>
        <w:t xml:space="preserve">, </w:t>
      </w:r>
      <w:r w:rsidRPr="00D01B71">
        <w:rPr>
          <w:rFonts w:asciiTheme="majorBidi" w:hAnsiTheme="majorBidi" w:cstheme="majorBidi"/>
          <w:sz w:val="24"/>
          <w:szCs w:val="24"/>
        </w:rPr>
        <w:t>Rabat, 2009.</w:t>
      </w:r>
      <w:r w:rsidRPr="00D01B71">
        <w:rPr>
          <w:rFonts w:asciiTheme="majorBidi" w:hAnsiTheme="majorBidi" w:cstheme="majorBidi"/>
          <w:sz w:val="24"/>
          <w:szCs w:val="24"/>
          <w:lang w:eastAsia="fr-FR"/>
        </w:rPr>
        <w:t xml:space="preserve"> </w:t>
      </w:r>
    </w:p>
    <w:p w:rsidR="0091765B" w:rsidRPr="00D01B71" w:rsidRDefault="0091765B" w:rsidP="00D01B71">
      <w:pPr>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lang w:eastAsia="fr-FR"/>
        </w:rPr>
        <w:t>HONZL, J., « La mobilité du signe théâtral »</w:t>
      </w:r>
      <w:r w:rsidRPr="00D01B71">
        <w:rPr>
          <w:rFonts w:asciiTheme="majorBidi" w:hAnsiTheme="majorBidi" w:cstheme="majorBidi"/>
          <w:i/>
          <w:iCs/>
          <w:sz w:val="24"/>
          <w:szCs w:val="24"/>
          <w:lang w:eastAsia="fr-FR"/>
        </w:rPr>
        <w:t xml:space="preserve"> </w:t>
      </w:r>
      <w:r w:rsidRPr="00D01B71">
        <w:rPr>
          <w:rFonts w:asciiTheme="majorBidi" w:hAnsiTheme="majorBidi" w:cstheme="majorBidi"/>
          <w:sz w:val="24"/>
          <w:szCs w:val="24"/>
          <w:lang w:eastAsia="fr-FR"/>
        </w:rPr>
        <w:t xml:space="preserve"> in </w:t>
      </w:r>
      <w:r w:rsidRPr="00D01B71">
        <w:rPr>
          <w:rFonts w:asciiTheme="majorBidi" w:hAnsiTheme="majorBidi" w:cstheme="majorBidi"/>
          <w:i/>
          <w:iCs/>
          <w:sz w:val="24"/>
          <w:szCs w:val="24"/>
          <w:lang w:eastAsia="fr-FR"/>
        </w:rPr>
        <w:t>Travail Théâtral N°4</w:t>
      </w:r>
      <w:r w:rsidRPr="00D01B71">
        <w:rPr>
          <w:rFonts w:asciiTheme="majorBidi" w:hAnsiTheme="majorBidi" w:cstheme="majorBidi"/>
          <w:sz w:val="24"/>
          <w:szCs w:val="24"/>
          <w:lang w:eastAsia="fr-FR"/>
        </w:rPr>
        <w:t xml:space="preserve">, Juillet-septembre 1971. </w:t>
      </w:r>
    </w:p>
    <w:p w:rsidR="0091765B" w:rsidRPr="00D01B71" w:rsidRDefault="0091765B" w:rsidP="003021E5">
      <w:pPr>
        <w:spacing w:after="0" w:line="360" w:lineRule="auto"/>
        <w:jc w:val="both"/>
        <w:rPr>
          <w:rFonts w:asciiTheme="majorBidi" w:hAnsiTheme="majorBidi" w:cstheme="majorBidi"/>
          <w:sz w:val="24"/>
          <w:szCs w:val="24"/>
          <w:lang w:eastAsia="fr-FR"/>
        </w:rPr>
      </w:pPr>
      <w:r w:rsidRPr="00D01B71">
        <w:rPr>
          <w:rFonts w:asciiTheme="majorBidi" w:hAnsiTheme="majorBidi" w:cstheme="majorBidi"/>
          <w:sz w:val="24"/>
          <w:szCs w:val="24"/>
        </w:rPr>
        <w:t>KAKI, O.A.</w:t>
      </w:r>
      <w:r w:rsidRPr="00D01B71">
        <w:rPr>
          <w:rFonts w:asciiTheme="majorBidi" w:hAnsiTheme="majorBidi" w:cstheme="majorBidi"/>
          <w:i/>
          <w:sz w:val="24"/>
          <w:szCs w:val="24"/>
        </w:rPr>
        <w:t>, L</w:t>
      </w:r>
      <w:r w:rsidRPr="00D01B71">
        <w:rPr>
          <w:rFonts w:asciiTheme="majorBidi" w:hAnsiTheme="majorBidi" w:cstheme="majorBidi"/>
          <w:bCs/>
          <w:i/>
          <w:iCs/>
          <w:sz w:val="24"/>
          <w:szCs w:val="24"/>
        </w:rPr>
        <w:t xml:space="preserve">e porteur d'eau et les marabouts, </w:t>
      </w:r>
      <w:r w:rsidRPr="00D01B71">
        <w:rPr>
          <w:rFonts w:asciiTheme="majorBidi" w:hAnsiTheme="majorBidi" w:cstheme="majorBidi"/>
          <w:bCs/>
          <w:iCs/>
          <w:sz w:val="24"/>
          <w:szCs w:val="24"/>
        </w:rPr>
        <w:t xml:space="preserve">1965, Trad. Messaoud Benyoucef, </w:t>
      </w:r>
      <w:r w:rsidR="003021E5" w:rsidRPr="00D01B71">
        <w:rPr>
          <w:rFonts w:asciiTheme="majorBidi" w:hAnsiTheme="majorBidi" w:cstheme="majorBidi"/>
          <w:bCs/>
          <w:iCs/>
          <w:sz w:val="24"/>
          <w:szCs w:val="24"/>
        </w:rPr>
        <w:t>MAISON ANTOINE VITEZ</w:t>
      </w:r>
      <w:r w:rsidR="003021E5">
        <w:rPr>
          <w:rFonts w:asciiTheme="majorBidi" w:hAnsiTheme="majorBidi" w:cstheme="majorBidi"/>
          <w:bCs/>
          <w:iCs/>
          <w:sz w:val="24"/>
          <w:szCs w:val="24"/>
        </w:rPr>
        <w:t xml:space="preserve">, </w:t>
      </w:r>
      <w:r w:rsidRPr="00D01B71">
        <w:rPr>
          <w:rFonts w:asciiTheme="majorBidi" w:hAnsiTheme="majorBidi" w:cstheme="majorBidi"/>
          <w:sz w:val="24"/>
          <w:szCs w:val="24"/>
        </w:rPr>
        <w:t>Montpellier</w:t>
      </w:r>
      <w:r w:rsidRPr="00D01B71">
        <w:rPr>
          <w:rFonts w:asciiTheme="majorBidi" w:hAnsiTheme="majorBidi" w:cstheme="majorBidi"/>
          <w:bCs/>
          <w:iCs/>
          <w:sz w:val="24"/>
          <w:szCs w:val="24"/>
        </w:rPr>
        <w:t xml:space="preserve">, </w:t>
      </w:r>
      <w:r w:rsidRPr="00D01B71">
        <w:rPr>
          <w:rFonts w:asciiTheme="majorBidi" w:hAnsiTheme="majorBidi" w:cstheme="majorBidi"/>
          <w:sz w:val="24"/>
          <w:szCs w:val="24"/>
        </w:rPr>
        <w:t>Centre international de la traduction théâtrale, Trad.2003</w:t>
      </w:r>
      <w:r w:rsidRPr="00D01B71">
        <w:rPr>
          <w:rFonts w:asciiTheme="majorBidi" w:hAnsiTheme="majorBidi" w:cstheme="majorBidi"/>
          <w:bCs/>
          <w:iCs/>
          <w:sz w:val="24"/>
          <w:szCs w:val="24"/>
        </w:rPr>
        <w:t>.</w:t>
      </w:r>
    </w:p>
    <w:p w:rsidR="0091765B" w:rsidRPr="00D01B71" w:rsidRDefault="0091765B" w:rsidP="00CF5417">
      <w:pPr>
        <w:autoSpaceDE w:val="0"/>
        <w:autoSpaceDN w:val="0"/>
        <w:adjustRightInd w:val="0"/>
        <w:spacing w:after="0" w:line="360" w:lineRule="auto"/>
        <w:jc w:val="both"/>
        <w:rPr>
          <w:rFonts w:asciiTheme="majorBidi" w:hAnsiTheme="majorBidi" w:cstheme="majorBidi"/>
          <w:i/>
          <w:iCs/>
          <w:sz w:val="24"/>
          <w:szCs w:val="24"/>
          <w:lang w:eastAsia="fr-FR"/>
        </w:rPr>
      </w:pPr>
      <w:r w:rsidRPr="00D01B71">
        <w:rPr>
          <w:rFonts w:asciiTheme="majorBidi" w:hAnsiTheme="majorBidi" w:cstheme="majorBidi"/>
          <w:sz w:val="24"/>
          <w:szCs w:val="24"/>
          <w:lang w:eastAsia="fr-FR"/>
        </w:rPr>
        <w:t xml:space="preserve">KATEB, Y., « Le Théâtre n’est pas sorcier », in </w:t>
      </w:r>
      <w:r w:rsidRPr="00D01B71">
        <w:rPr>
          <w:rFonts w:asciiTheme="majorBidi" w:hAnsiTheme="majorBidi" w:cstheme="majorBidi"/>
          <w:i/>
          <w:iCs/>
          <w:sz w:val="24"/>
          <w:szCs w:val="24"/>
          <w:lang w:eastAsia="fr-FR"/>
        </w:rPr>
        <w:t xml:space="preserve">Le Poète comme un boxeur : Entretiens 1958-1989 (Boxeur), </w:t>
      </w:r>
      <w:r w:rsidR="00CF5417" w:rsidRPr="00D01B71">
        <w:rPr>
          <w:rFonts w:asciiTheme="majorBidi" w:hAnsiTheme="majorBidi" w:cstheme="majorBidi"/>
          <w:sz w:val="24"/>
          <w:szCs w:val="24"/>
          <w:lang w:eastAsia="fr-FR"/>
        </w:rPr>
        <w:t>Seuil</w:t>
      </w:r>
      <w:r w:rsidR="00CF5417">
        <w:rPr>
          <w:rFonts w:asciiTheme="majorBidi" w:hAnsiTheme="majorBidi" w:cstheme="majorBidi"/>
          <w:sz w:val="24"/>
          <w:szCs w:val="24"/>
          <w:lang w:eastAsia="fr-FR"/>
        </w:rPr>
        <w:t xml:space="preserve">, </w:t>
      </w:r>
      <w:r w:rsidRPr="00D01B71">
        <w:rPr>
          <w:rFonts w:asciiTheme="majorBidi" w:hAnsiTheme="majorBidi" w:cstheme="majorBidi"/>
          <w:sz w:val="24"/>
          <w:szCs w:val="24"/>
          <w:lang w:eastAsia="fr-FR"/>
        </w:rPr>
        <w:t>Paris, 1994.</w:t>
      </w:r>
      <w:r w:rsidRPr="00D01B71">
        <w:rPr>
          <w:rFonts w:asciiTheme="majorBidi" w:hAnsiTheme="majorBidi" w:cstheme="majorBidi"/>
          <w:sz w:val="24"/>
          <w:szCs w:val="24"/>
        </w:rPr>
        <w:t xml:space="preserve">   </w:t>
      </w:r>
    </w:p>
    <w:p w:rsidR="0091765B" w:rsidRPr="002E38E3" w:rsidRDefault="0091765B" w:rsidP="002E38E3">
      <w:pPr>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lang w:eastAsia="fr-FR"/>
        </w:rPr>
        <w:t>KERBRAT-ORECCHIONI, C., « Pour une approche pragmatique du  dialogue théâtral</w:t>
      </w:r>
      <w:r w:rsidRPr="002E38E3">
        <w:rPr>
          <w:rFonts w:asciiTheme="majorBidi" w:hAnsiTheme="majorBidi" w:cstheme="majorBidi"/>
          <w:i/>
          <w:iCs/>
          <w:sz w:val="24"/>
          <w:szCs w:val="24"/>
          <w:lang w:eastAsia="fr-FR"/>
        </w:rPr>
        <w:t> »</w:t>
      </w:r>
      <w:r w:rsidRPr="002E38E3">
        <w:rPr>
          <w:rFonts w:asciiTheme="majorBidi" w:hAnsiTheme="majorBidi" w:cstheme="majorBidi"/>
          <w:sz w:val="24"/>
          <w:szCs w:val="24"/>
          <w:lang w:eastAsia="fr-FR"/>
        </w:rPr>
        <w:t>, in</w:t>
      </w:r>
      <w:r w:rsidRPr="002E38E3">
        <w:rPr>
          <w:rFonts w:asciiTheme="majorBidi" w:hAnsiTheme="majorBidi" w:cstheme="majorBidi"/>
          <w:i/>
          <w:iCs/>
          <w:sz w:val="24"/>
          <w:szCs w:val="24"/>
          <w:lang w:eastAsia="fr-FR"/>
        </w:rPr>
        <w:t xml:space="preserve"> Pratiques  N° 41</w:t>
      </w:r>
      <w:r w:rsidRPr="002E38E3">
        <w:rPr>
          <w:rFonts w:asciiTheme="majorBidi" w:hAnsiTheme="majorBidi" w:cstheme="majorBidi"/>
          <w:sz w:val="24"/>
          <w:szCs w:val="24"/>
          <w:lang w:eastAsia="fr-FR"/>
        </w:rPr>
        <w:t>, mars 1984</w:t>
      </w:r>
    </w:p>
    <w:p w:rsidR="0091765B" w:rsidRPr="002E38E3" w:rsidRDefault="0091765B" w:rsidP="002E38E3">
      <w:pPr>
        <w:autoSpaceDE w:val="0"/>
        <w:autoSpaceDN w:val="0"/>
        <w:adjustRightInd w:val="0"/>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rPr>
        <w:t>LACHERAF, M.,  « </w:t>
      </w:r>
      <w:r w:rsidRPr="002E38E3">
        <w:rPr>
          <w:rFonts w:asciiTheme="majorBidi" w:hAnsiTheme="majorBidi" w:cstheme="majorBidi"/>
          <w:bCs/>
          <w:iCs/>
          <w:sz w:val="24"/>
          <w:szCs w:val="24"/>
        </w:rPr>
        <w:t>Un cadre général pour un essai d’application de certains phénomènes culturels liés à l’histoire et à la société</w:t>
      </w:r>
      <w:r w:rsidRPr="002E38E3">
        <w:rPr>
          <w:rFonts w:asciiTheme="majorBidi" w:hAnsiTheme="majorBidi" w:cstheme="majorBidi"/>
          <w:bCs/>
          <w:i/>
          <w:iCs/>
          <w:sz w:val="24"/>
          <w:szCs w:val="24"/>
        </w:rPr>
        <w:t> »</w:t>
      </w:r>
      <w:r w:rsidRPr="002E38E3">
        <w:rPr>
          <w:rFonts w:asciiTheme="majorBidi" w:hAnsiTheme="majorBidi" w:cstheme="majorBidi"/>
          <w:sz w:val="24"/>
          <w:szCs w:val="24"/>
        </w:rPr>
        <w:t xml:space="preserve">, in </w:t>
      </w:r>
      <w:r w:rsidRPr="002E38E3">
        <w:rPr>
          <w:rFonts w:asciiTheme="majorBidi" w:hAnsiTheme="majorBidi" w:cstheme="majorBidi"/>
          <w:bCs/>
          <w:i/>
          <w:sz w:val="24"/>
          <w:szCs w:val="24"/>
        </w:rPr>
        <w:t xml:space="preserve">Algérie-Actualité </w:t>
      </w:r>
      <w:r w:rsidRPr="002E38E3">
        <w:rPr>
          <w:rFonts w:asciiTheme="majorBidi" w:hAnsiTheme="majorBidi" w:cstheme="majorBidi"/>
          <w:i/>
          <w:iCs/>
          <w:sz w:val="24"/>
          <w:szCs w:val="24"/>
        </w:rPr>
        <w:t>N°813</w:t>
      </w:r>
      <w:r w:rsidRPr="002E38E3">
        <w:rPr>
          <w:rFonts w:asciiTheme="majorBidi" w:hAnsiTheme="majorBidi" w:cstheme="majorBidi"/>
          <w:sz w:val="24"/>
          <w:szCs w:val="24"/>
        </w:rPr>
        <w:t xml:space="preserve"> du 14 mai 1981.</w:t>
      </w:r>
    </w:p>
    <w:p w:rsidR="0091765B" w:rsidRPr="002E38E3" w:rsidRDefault="0091765B" w:rsidP="002E38E3">
      <w:pPr>
        <w:autoSpaceDE w:val="0"/>
        <w:autoSpaceDN w:val="0"/>
        <w:adjustRightInd w:val="0"/>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lang w:eastAsia="fr-FR"/>
        </w:rPr>
        <w:t xml:space="preserve">LAKHDAR BARKA, S.M., « La chanson de geste sur la scène ou expérience de OA Kaki, étude et recherche sur la littérature maghrébine », </w:t>
      </w:r>
      <w:r w:rsidRPr="002E38E3">
        <w:rPr>
          <w:rFonts w:asciiTheme="majorBidi" w:hAnsiTheme="majorBidi" w:cstheme="majorBidi"/>
          <w:i/>
          <w:iCs/>
          <w:sz w:val="24"/>
          <w:szCs w:val="24"/>
          <w:lang w:eastAsia="fr-FR"/>
        </w:rPr>
        <w:t>Document de travail n°5</w:t>
      </w:r>
      <w:r w:rsidRPr="002E38E3">
        <w:rPr>
          <w:rFonts w:asciiTheme="majorBidi" w:hAnsiTheme="majorBidi" w:cstheme="majorBidi"/>
          <w:sz w:val="24"/>
          <w:szCs w:val="24"/>
          <w:lang w:eastAsia="fr-FR"/>
        </w:rPr>
        <w:t>, Université d'Oran, 1981.</w:t>
      </w:r>
    </w:p>
    <w:p w:rsidR="0091765B" w:rsidRPr="002E38E3" w:rsidRDefault="0091765B" w:rsidP="002E38E3">
      <w:pPr>
        <w:autoSpaceDE w:val="0"/>
        <w:autoSpaceDN w:val="0"/>
        <w:adjustRightInd w:val="0"/>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lang w:eastAsia="fr-FR"/>
        </w:rPr>
        <w:t xml:space="preserve">MITRANI, D., « Mohamed prends ta valise », in  </w:t>
      </w:r>
      <w:r w:rsidRPr="002E38E3">
        <w:rPr>
          <w:rFonts w:asciiTheme="majorBidi" w:hAnsiTheme="majorBidi" w:cstheme="majorBidi"/>
          <w:i/>
          <w:iCs/>
          <w:sz w:val="24"/>
          <w:szCs w:val="24"/>
          <w:lang w:eastAsia="fr-FR"/>
        </w:rPr>
        <w:t>L’Unité, Hebdomadaire socialiste</w:t>
      </w:r>
      <w:r w:rsidRPr="002E38E3">
        <w:rPr>
          <w:rFonts w:asciiTheme="majorBidi" w:hAnsiTheme="majorBidi" w:cstheme="majorBidi"/>
          <w:sz w:val="24"/>
          <w:szCs w:val="24"/>
          <w:lang w:eastAsia="fr-FR"/>
        </w:rPr>
        <w:t>, 3 mars 1972.</w:t>
      </w:r>
    </w:p>
    <w:p w:rsidR="0091765B" w:rsidRPr="002E38E3" w:rsidRDefault="0091765B" w:rsidP="00651434">
      <w:pPr>
        <w:autoSpaceDE w:val="0"/>
        <w:autoSpaceDN w:val="0"/>
        <w:adjustRightInd w:val="0"/>
        <w:spacing w:after="0" w:line="360" w:lineRule="auto"/>
        <w:jc w:val="both"/>
        <w:rPr>
          <w:rFonts w:asciiTheme="majorBidi" w:hAnsiTheme="majorBidi" w:cstheme="majorBidi"/>
          <w:i/>
          <w:sz w:val="24"/>
          <w:szCs w:val="24"/>
          <w:lang w:eastAsia="fr-FR"/>
        </w:rPr>
      </w:pPr>
      <w:r w:rsidRPr="002E38E3">
        <w:rPr>
          <w:rFonts w:asciiTheme="majorBidi" w:hAnsiTheme="majorBidi" w:cstheme="majorBidi"/>
          <w:sz w:val="24"/>
          <w:szCs w:val="24"/>
          <w:lang w:eastAsia="fr-FR"/>
        </w:rPr>
        <w:t xml:space="preserve">MOSTEFA, A et BENCHEHIDA,  M., </w:t>
      </w:r>
      <w:r w:rsidRPr="002E38E3">
        <w:rPr>
          <w:rFonts w:asciiTheme="majorBidi" w:hAnsiTheme="majorBidi" w:cstheme="majorBidi"/>
          <w:i/>
          <w:sz w:val="24"/>
          <w:szCs w:val="24"/>
          <w:lang w:eastAsia="fr-FR"/>
        </w:rPr>
        <w:t xml:space="preserve">Kaki : Ould Abderrahmane Abdelkader, le dramaturge de l’essentiel, </w:t>
      </w:r>
      <w:r w:rsidR="00651434" w:rsidRPr="002E38E3">
        <w:rPr>
          <w:rFonts w:asciiTheme="majorBidi" w:hAnsiTheme="majorBidi" w:cstheme="majorBidi"/>
          <w:color w:val="000000"/>
          <w:sz w:val="24"/>
          <w:szCs w:val="24"/>
        </w:rPr>
        <w:t>Alpha</w:t>
      </w:r>
      <w:r w:rsidR="00651434">
        <w:rPr>
          <w:rFonts w:asciiTheme="majorBidi" w:hAnsiTheme="majorBidi" w:cstheme="majorBidi"/>
          <w:color w:val="000000"/>
          <w:sz w:val="24"/>
          <w:szCs w:val="24"/>
        </w:rPr>
        <w:t xml:space="preserve">, </w:t>
      </w:r>
      <w:r w:rsidRPr="002E38E3">
        <w:rPr>
          <w:rFonts w:asciiTheme="majorBidi" w:hAnsiTheme="majorBidi" w:cstheme="majorBidi"/>
          <w:iCs/>
          <w:sz w:val="24"/>
          <w:szCs w:val="24"/>
          <w:lang w:eastAsia="fr-FR"/>
        </w:rPr>
        <w:t>Alger</w:t>
      </w:r>
      <w:r w:rsidRPr="002E38E3">
        <w:rPr>
          <w:rFonts w:asciiTheme="majorBidi" w:hAnsiTheme="majorBidi" w:cstheme="majorBidi"/>
          <w:color w:val="000000"/>
          <w:sz w:val="24"/>
          <w:szCs w:val="24"/>
        </w:rPr>
        <w:t>,</w:t>
      </w:r>
      <w:r w:rsidRPr="002E38E3">
        <w:rPr>
          <w:rFonts w:asciiTheme="majorBidi" w:hAnsiTheme="majorBidi" w:cstheme="majorBidi"/>
          <w:i/>
          <w:sz w:val="24"/>
          <w:szCs w:val="24"/>
          <w:lang w:eastAsia="fr-FR"/>
        </w:rPr>
        <w:t xml:space="preserve"> </w:t>
      </w:r>
      <w:r w:rsidRPr="002E38E3">
        <w:rPr>
          <w:rFonts w:asciiTheme="majorBidi" w:hAnsiTheme="majorBidi" w:cstheme="majorBidi"/>
          <w:sz w:val="24"/>
          <w:szCs w:val="24"/>
          <w:lang w:eastAsia="fr-FR"/>
        </w:rPr>
        <w:t>2006.</w:t>
      </w:r>
    </w:p>
    <w:p w:rsidR="0091765B" w:rsidRPr="002E38E3" w:rsidRDefault="0091765B" w:rsidP="002E38E3">
      <w:pPr>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rPr>
        <w:t xml:space="preserve">NOUSCHI, André., « En Algérie : portrait social de la colonisation [P. Bourdieu, A. Darbel, J. P. Rivet, C. Seibel, Travail et travailleurs en Algérie.] » in </w:t>
      </w:r>
      <w:r w:rsidRPr="002E38E3">
        <w:rPr>
          <w:rFonts w:asciiTheme="majorBidi" w:hAnsiTheme="majorBidi" w:cstheme="majorBidi"/>
          <w:i/>
          <w:iCs/>
          <w:sz w:val="24"/>
          <w:szCs w:val="24"/>
        </w:rPr>
        <w:t>Annales. Économies, Sociétés, Civilisations. 20</w:t>
      </w:r>
      <w:r w:rsidRPr="002E38E3">
        <w:rPr>
          <w:rFonts w:asciiTheme="majorBidi" w:hAnsiTheme="majorBidi" w:cstheme="majorBidi"/>
          <w:i/>
          <w:iCs/>
          <w:sz w:val="24"/>
          <w:szCs w:val="24"/>
          <w:vertAlign w:val="superscript"/>
        </w:rPr>
        <w:t>e</w:t>
      </w:r>
      <w:r w:rsidRPr="002E38E3">
        <w:rPr>
          <w:rFonts w:asciiTheme="majorBidi" w:hAnsiTheme="majorBidi" w:cstheme="majorBidi"/>
          <w:i/>
          <w:iCs/>
          <w:sz w:val="24"/>
          <w:szCs w:val="24"/>
        </w:rPr>
        <w:t xml:space="preserve"> année, N</w:t>
      </w:r>
      <w:r w:rsidRPr="002E38E3">
        <w:rPr>
          <w:rFonts w:asciiTheme="majorBidi" w:hAnsiTheme="majorBidi" w:cstheme="majorBidi"/>
          <w:i/>
          <w:iCs/>
          <w:sz w:val="24"/>
          <w:szCs w:val="24"/>
          <w:vertAlign w:val="superscript"/>
        </w:rPr>
        <w:t>0</w:t>
      </w:r>
      <w:r w:rsidRPr="002E38E3">
        <w:rPr>
          <w:rFonts w:asciiTheme="majorBidi" w:hAnsiTheme="majorBidi" w:cstheme="majorBidi"/>
          <w:i/>
          <w:iCs/>
          <w:sz w:val="24"/>
          <w:szCs w:val="24"/>
        </w:rPr>
        <w:t xml:space="preserve"> 6</w:t>
      </w:r>
      <w:r w:rsidRPr="002E38E3">
        <w:rPr>
          <w:rFonts w:asciiTheme="majorBidi" w:hAnsiTheme="majorBidi" w:cstheme="majorBidi"/>
          <w:sz w:val="24"/>
          <w:szCs w:val="24"/>
        </w:rPr>
        <w:t xml:space="preserve">, 1965. </w:t>
      </w:r>
    </w:p>
    <w:p w:rsidR="0091765B" w:rsidRPr="002E38E3" w:rsidRDefault="0091765B" w:rsidP="002E38E3">
      <w:pPr>
        <w:spacing w:after="0" w:line="360" w:lineRule="auto"/>
        <w:jc w:val="both"/>
        <w:rPr>
          <w:rFonts w:asciiTheme="majorBidi" w:hAnsiTheme="majorBidi" w:cstheme="majorBidi"/>
          <w:sz w:val="24"/>
          <w:szCs w:val="24"/>
        </w:rPr>
      </w:pPr>
      <w:r w:rsidRPr="002E38E3">
        <w:rPr>
          <w:rFonts w:asciiTheme="majorBidi" w:hAnsiTheme="majorBidi" w:cstheme="majorBidi"/>
          <w:sz w:val="24"/>
          <w:szCs w:val="24"/>
        </w:rPr>
        <w:lastRenderedPageBreak/>
        <w:t xml:space="preserve">OUARDI, B.,  </w:t>
      </w:r>
      <w:r w:rsidRPr="002E38E3">
        <w:rPr>
          <w:rFonts w:asciiTheme="majorBidi" w:hAnsiTheme="majorBidi" w:cstheme="majorBidi"/>
          <w:i/>
          <w:sz w:val="24"/>
          <w:szCs w:val="24"/>
        </w:rPr>
        <w:t>Écriture, théâtre et engagement dans le théâtre d’Henri kréa et Noureddine Aba</w:t>
      </w:r>
      <w:r w:rsidRPr="002E38E3">
        <w:rPr>
          <w:rFonts w:asciiTheme="majorBidi" w:hAnsiTheme="majorBidi" w:cstheme="majorBidi"/>
          <w:iCs/>
          <w:sz w:val="24"/>
          <w:szCs w:val="24"/>
        </w:rPr>
        <w:t xml:space="preserve"> (t</w:t>
      </w:r>
      <w:r w:rsidRPr="002E38E3">
        <w:rPr>
          <w:rFonts w:asciiTheme="majorBidi" w:hAnsiTheme="majorBidi" w:cstheme="majorBidi"/>
          <w:sz w:val="24"/>
          <w:szCs w:val="24"/>
        </w:rPr>
        <w:t xml:space="preserve">hèse de Doctorat), Université d’Oran, 2009.   </w:t>
      </w:r>
    </w:p>
    <w:p w:rsidR="0091765B" w:rsidRPr="002E38E3" w:rsidRDefault="0091765B" w:rsidP="002E38E3">
      <w:pPr>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lang w:eastAsia="fr-FR"/>
        </w:rPr>
        <w:t xml:space="preserve">PETIT, J.A., « La conversation au théâtre » in </w:t>
      </w:r>
      <w:r w:rsidRPr="002E38E3">
        <w:rPr>
          <w:rFonts w:asciiTheme="majorBidi" w:hAnsiTheme="majorBidi" w:cstheme="majorBidi"/>
          <w:i/>
          <w:iCs/>
          <w:sz w:val="24"/>
          <w:szCs w:val="24"/>
          <w:lang w:eastAsia="fr-FR"/>
        </w:rPr>
        <w:t>Pratiques N°41</w:t>
      </w:r>
      <w:r w:rsidRPr="002E38E3">
        <w:rPr>
          <w:rFonts w:asciiTheme="majorBidi" w:hAnsiTheme="majorBidi" w:cstheme="majorBidi"/>
          <w:sz w:val="24"/>
          <w:szCs w:val="24"/>
          <w:lang w:eastAsia="fr-FR"/>
        </w:rPr>
        <w:t>, mars 1984.</w:t>
      </w:r>
    </w:p>
    <w:p w:rsidR="0091765B" w:rsidRPr="002E38E3" w:rsidRDefault="0091765B" w:rsidP="004C79E0">
      <w:pPr>
        <w:autoSpaceDE w:val="0"/>
        <w:autoSpaceDN w:val="0"/>
        <w:adjustRightInd w:val="0"/>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rPr>
        <w:t xml:space="preserve">RACHID HADDAD, Y., </w:t>
      </w:r>
      <w:r w:rsidRPr="002E38E3">
        <w:rPr>
          <w:rFonts w:asciiTheme="majorBidi" w:hAnsiTheme="majorBidi" w:cstheme="majorBidi"/>
          <w:bCs/>
          <w:i/>
          <w:iCs/>
          <w:sz w:val="24"/>
          <w:szCs w:val="24"/>
        </w:rPr>
        <w:t>Art du conteur, art de l’acteur</w:t>
      </w:r>
      <w:r w:rsidRPr="002E38E3">
        <w:rPr>
          <w:rFonts w:asciiTheme="majorBidi" w:hAnsiTheme="majorBidi" w:cstheme="majorBidi"/>
          <w:sz w:val="24"/>
          <w:szCs w:val="24"/>
        </w:rPr>
        <w:t>, Cahier Théâtre Louvain, 1982.</w:t>
      </w:r>
    </w:p>
    <w:p w:rsidR="0091765B" w:rsidRPr="002E38E3" w:rsidRDefault="0091765B" w:rsidP="008A41E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heme="majorBidi" w:hAnsiTheme="majorBidi" w:cstheme="majorBidi"/>
          <w:sz w:val="24"/>
          <w:szCs w:val="24"/>
        </w:rPr>
      </w:pPr>
      <w:r w:rsidRPr="002E38E3">
        <w:rPr>
          <w:rFonts w:asciiTheme="majorBidi" w:hAnsiTheme="majorBidi" w:cstheme="majorBidi"/>
          <w:sz w:val="24"/>
          <w:szCs w:val="24"/>
        </w:rPr>
        <w:t xml:space="preserve">ROTH, A., </w:t>
      </w:r>
      <w:r w:rsidRPr="002E38E3">
        <w:rPr>
          <w:rFonts w:asciiTheme="majorBidi" w:hAnsiTheme="majorBidi" w:cstheme="majorBidi"/>
          <w:i/>
          <w:iCs/>
          <w:sz w:val="24"/>
          <w:szCs w:val="24"/>
        </w:rPr>
        <w:t>Le Théâtre algérien</w:t>
      </w:r>
      <w:r w:rsidRPr="002E38E3">
        <w:rPr>
          <w:rFonts w:asciiTheme="majorBidi" w:hAnsiTheme="majorBidi" w:cstheme="majorBidi"/>
          <w:sz w:val="24"/>
          <w:szCs w:val="24"/>
        </w:rPr>
        <w:t xml:space="preserve">, </w:t>
      </w:r>
      <w:r w:rsidR="008A41ED" w:rsidRPr="002E38E3">
        <w:rPr>
          <w:rFonts w:asciiTheme="majorBidi" w:hAnsiTheme="majorBidi" w:cstheme="majorBidi"/>
          <w:sz w:val="24"/>
          <w:szCs w:val="24"/>
        </w:rPr>
        <w:t>Masper</w:t>
      </w:r>
      <w:r w:rsidR="008A41ED">
        <w:rPr>
          <w:rFonts w:asciiTheme="majorBidi" w:hAnsiTheme="majorBidi" w:cstheme="majorBidi"/>
          <w:sz w:val="24"/>
          <w:szCs w:val="24"/>
        </w:rPr>
        <w:t xml:space="preserve">o, </w:t>
      </w:r>
      <w:r w:rsidRPr="002E38E3">
        <w:rPr>
          <w:rFonts w:asciiTheme="majorBidi" w:hAnsiTheme="majorBidi" w:cstheme="majorBidi"/>
          <w:sz w:val="24"/>
          <w:szCs w:val="24"/>
        </w:rPr>
        <w:t>Paris, 1967.</w:t>
      </w:r>
    </w:p>
    <w:p w:rsidR="0091765B" w:rsidRPr="002E38E3" w:rsidRDefault="0091765B" w:rsidP="00660AEA">
      <w:pPr>
        <w:spacing w:after="0" w:line="360" w:lineRule="auto"/>
        <w:jc w:val="both"/>
        <w:rPr>
          <w:rFonts w:asciiTheme="majorBidi" w:hAnsiTheme="majorBidi" w:cstheme="majorBidi"/>
          <w:sz w:val="24"/>
          <w:szCs w:val="24"/>
        </w:rPr>
      </w:pPr>
      <w:r w:rsidRPr="002E38E3">
        <w:rPr>
          <w:rFonts w:asciiTheme="majorBidi" w:hAnsiTheme="majorBidi" w:cstheme="majorBidi"/>
          <w:sz w:val="24"/>
          <w:szCs w:val="24"/>
        </w:rPr>
        <w:t xml:space="preserve">SIMON, J., </w:t>
      </w:r>
      <w:r w:rsidRPr="002E38E3">
        <w:rPr>
          <w:rFonts w:asciiTheme="majorBidi" w:hAnsiTheme="majorBidi" w:cstheme="majorBidi"/>
          <w:i/>
          <w:iCs/>
          <w:sz w:val="24"/>
          <w:szCs w:val="24"/>
        </w:rPr>
        <w:t>Algérie : le passé, l'Algérie française, la révolution (1954-1958)</w:t>
      </w:r>
      <w:r w:rsidRPr="002E38E3">
        <w:rPr>
          <w:rFonts w:asciiTheme="majorBidi" w:hAnsiTheme="majorBidi" w:cstheme="majorBidi"/>
          <w:sz w:val="24"/>
          <w:szCs w:val="24"/>
        </w:rPr>
        <w:t>,</w:t>
      </w:r>
      <w:r w:rsidRPr="002E38E3">
        <w:rPr>
          <w:rFonts w:asciiTheme="majorBidi" w:hAnsiTheme="majorBidi" w:cstheme="majorBidi"/>
          <w:color w:val="FF0000"/>
          <w:sz w:val="24"/>
          <w:szCs w:val="24"/>
        </w:rPr>
        <w:t xml:space="preserve"> </w:t>
      </w:r>
      <w:hyperlink r:id="rId107" w:history="1">
        <w:r w:rsidR="00660AEA" w:rsidRPr="002E38E3">
          <w:rPr>
            <w:rStyle w:val="Lienhypertexte"/>
            <w:rFonts w:asciiTheme="majorBidi" w:hAnsiTheme="majorBidi" w:cstheme="majorBidi"/>
            <w:color w:val="auto"/>
            <w:sz w:val="24"/>
            <w:szCs w:val="24"/>
            <w:u w:val="none"/>
          </w:rPr>
          <w:t>L'Harmattan</w:t>
        </w:r>
      </w:hyperlink>
      <w:r w:rsidR="00660AEA">
        <w:rPr>
          <w:rFonts w:asciiTheme="majorBidi" w:hAnsiTheme="majorBidi" w:cstheme="majorBidi"/>
          <w:sz w:val="24"/>
          <w:szCs w:val="24"/>
        </w:rPr>
        <w:t xml:space="preserve">, </w:t>
      </w:r>
      <w:r w:rsidRPr="002E38E3">
        <w:rPr>
          <w:rFonts w:asciiTheme="majorBidi" w:hAnsiTheme="majorBidi" w:cstheme="majorBidi"/>
          <w:sz w:val="24"/>
          <w:szCs w:val="24"/>
        </w:rPr>
        <w:t>Paris, 2007.</w:t>
      </w:r>
    </w:p>
    <w:p w:rsidR="0091765B" w:rsidRPr="002E38E3" w:rsidRDefault="0091765B" w:rsidP="00660AEA">
      <w:pPr>
        <w:spacing w:after="0" w:line="360" w:lineRule="auto"/>
        <w:jc w:val="both"/>
        <w:rPr>
          <w:rFonts w:asciiTheme="majorBidi" w:hAnsiTheme="majorBidi" w:cstheme="majorBidi"/>
          <w:sz w:val="24"/>
          <w:szCs w:val="24"/>
          <w:lang w:eastAsia="fr-FR"/>
        </w:rPr>
      </w:pPr>
      <w:r w:rsidRPr="002E38E3">
        <w:rPr>
          <w:rFonts w:asciiTheme="majorBidi" w:hAnsiTheme="majorBidi" w:cstheme="majorBidi"/>
          <w:sz w:val="24"/>
          <w:szCs w:val="24"/>
        </w:rPr>
        <w:t>VERMEREN, P., « Les Maghrébins sont des Arabes » in</w:t>
      </w:r>
      <w:r w:rsidRPr="002E38E3">
        <w:rPr>
          <w:rFonts w:asciiTheme="majorBidi" w:hAnsiTheme="majorBidi" w:cstheme="majorBidi"/>
          <w:i/>
          <w:iCs/>
          <w:sz w:val="24"/>
          <w:szCs w:val="24"/>
        </w:rPr>
        <w:t xml:space="preserve"> Idées Reçues sur le monde arabe</w:t>
      </w:r>
      <w:r w:rsidRPr="002E38E3">
        <w:rPr>
          <w:rFonts w:asciiTheme="majorBidi" w:hAnsiTheme="majorBidi" w:cstheme="majorBidi"/>
          <w:sz w:val="24"/>
          <w:szCs w:val="24"/>
        </w:rPr>
        <w:t xml:space="preserve">, </w:t>
      </w:r>
      <w:r w:rsidR="00660AEA" w:rsidRPr="002E38E3">
        <w:rPr>
          <w:rFonts w:asciiTheme="majorBidi" w:hAnsiTheme="majorBidi" w:cstheme="majorBidi"/>
          <w:sz w:val="24"/>
          <w:szCs w:val="24"/>
        </w:rPr>
        <w:t>Le Cavalier Bleus</w:t>
      </w:r>
      <w:r w:rsidR="00660AEA">
        <w:rPr>
          <w:rFonts w:asciiTheme="majorBidi" w:hAnsiTheme="majorBidi" w:cstheme="majorBidi"/>
          <w:sz w:val="24"/>
          <w:szCs w:val="24"/>
        </w:rPr>
        <w:t xml:space="preserve">, </w:t>
      </w:r>
      <w:r w:rsidRPr="002E38E3">
        <w:rPr>
          <w:rFonts w:asciiTheme="majorBidi" w:hAnsiTheme="majorBidi" w:cstheme="majorBidi"/>
          <w:sz w:val="24"/>
          <w:szCs w:val="24"/>
        </w:rPr>
        <w:t>Paris, 2012</w:t>
      </w:r>
      <w:r w:rsidRPr="002E38E3">
        <w:rPr>
          <w:rFonts w:asciiTheme="majorBidi" w:hAnsiTheme="majorBidi" w:cstheme="majorBidi"/>
          <w:sz w:val="24"/>
          <w:szCs w:val="24"/>
          <w:lang w:eastAsia="fr-FR"/>
        </w:rPr>
        <w:t>.</w:t>
      </w:r>
    </w:p>
    <w:p w:rsidR="0091765B" w:rsidRPr="00615689" w:rsidRDefault="0091765B" w:rsidP="00615689">
      <w:pPr>
        <w:spacing w:after="0" w:line="360" w:lineRule="auto"/>
        <w:jc w:val="both"/>
        <w:rPr>
          <w:rFonts w:asciiTheme="majorBidi" w:hAnsiTheme="majorBidi" w:cstheme="majorBidi"/>
          <w:sz w:val="24"/>
          <w:szCs w:val="24"/>
          <w:lang w:eastAsia="fr-FR"/>
        </w:rPr>
      </w:pPr>
    </w:p>
    <w:p w:rsidR="009E2850" w:rsidRDefault="009E2850" w:rsidP="009E2850">
      <w:pPr>
        <w:rPr>
          <w:lang w:eastAsia="fr-FR"/>
        </w:rPr>
      </w:pPr>
    </w:p>
    <w:p w:rsidR="009E2850" w:rsidRPr="009E2850" w:rsidRDefault="009E2850" w:rsidP="009E2850">
      <w:pPr>
        <w:rPr>
          <w:lang w:eastAsia="fr-FR"/>
        </w:rPr>
      </w:pPr>
    </w:p>
    <w:p w:rsidR="009E2850" w:rsidRDefault="009E2850" w:rsidP="009E2850">
      <w:pPr>
        <w:rPr>
          <w:lang w:eastAsia="fr-FR"/>
        </w:rPr>
      </w:pPr>
    </w:p>
    <w:p w:rsidR="009E2850" w:rsidRDefault="009E2850"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Default="00587201" w:rsidP="009E2850">
      <w:pPr>
        <w:rPr>
          <w:lang w:eastAsia="fr-FR"/>
        </w:rPr>
      </w:pPr>
    </w:p>
    <w:p w:rsidR="00587201" w:rsidRPr="009E2850" w:rsidRDefault="00587201" w:rsidP="009E2850">
      <w:pPr>
        <w:rPr>
          <w:lang w:eastAsia="fr-FR"/>
        </w:rPr>
      </w:pPr>
    </w:p>
    <w:p w:rsidR="009E2850" w:rsidRPr="009E2850" w:rsidRDefault="009E2850" w:rsidP="009E2850">
      <w:pPr>
        <w:rPr>
          <w:lang w:eastAsia="fr-FR"/>
        </w:rPr>
      </w:pPr>
    </w:p>
    <w:p w:rsidR="002E38E3" w:rsidRPr="002E38E3" w:rsidRDefault="002E38E3" w:rsidP="009E2850">
      <w:pPr>
        <w:pStyle w:val="Titre1"/>
        <w:pBdr>
          <w:bottom w:val="single" w:sz="6" w:space="0" w:color="auto"/>
        </w:pBdr>
        <w:bidi w:val="0"/>
        <w:spacing w:before="0"/>
        <w:jc w:val="both"/>
        <w:rPr>
          <w:rFonts w:ascii="Times New Roman" w:hAnsi="Times New Roman"/>
          <w:b/>
          <w:bCs w:val="0"/>
          <w:color w:val="auto"/>
          <w:sz w:val="24"/>
          <w:szCs w:val="24"/>
          <w:lang w:val="fr-FR" w:eastAsia="fr-FR"/>
        </w:rPr>
      </w:pPr>
      <w:bookmarkStart w:id="180" w:name="_Toc471484547"/>
      <w:r w:rsidRPr="002E38E3">
        <w:rPr>
          <w:rFonts w:ascii="Times New Roman" w:hAnsi="Times New Roman"/>
          <w:b/>
          <w:bCs w:val="0"/>
          <w:color w:val="auto"/>
          <w:sz w:val="24"/>
          <w:szCs w:val="24"/>
          <w:lang w:val="fr-FR" w:eastAsia="fr-FR"/>
        </w:rPr>
        <w:lastRenderedPageBreak/>
        <w:t>ANNEXES</w:t>
      </w:r>
      <w:bookmarkEnd w:id="180"/>
    </w:p>
    <w:p w:rsidR="002E38E3" w:rsidRDefault="002E38E3" w:rsidP="002E38E3">
      <w:pPr>
        <w:pStyle w:val="Titre1"/>
        <w:pBdr>
          <w:bottom w:val="single" w:sz="6" w:space="0" w:color="auto"/>
        </w:pBdr>
        <w:bidi w:val="0"/>
        <w:spacing w:before="0"/>
        <w:jc w:val="both"/>
        <w:rPr>
          <w:rFonts w:ascii="Times New Roman" w:hAnsi="Times New Roman"/>
          <w:b/>
          <w:bCs w:val="0"/>
          <w:color w:val="auto"/>
          <w:sz w:val="24"/>
          <w:szCs w:val="24"/>
          <w:lang w:val="fr-FR" w:eastAsia="fr-FR"/>
        </w:rPr>
      </w:pPr>
    </w:p>
    <w:p w:rsidR="006A4EED" w:rsidRPr="002E38E3" w:rsidRDefault="006A4EED" w:rsidP="00820478">
      <w:pPr>
        <w:pStyle w:val="Titre3"/>
        <w:pBdr>
          <w:bottom w:val="single" w:sz="6" w:space="1" w:color="auto"/>
        </w:pBdr>
        <w:spacing w:before="0" w:after="0" w:line="360" w:lineRule="auto"/>
        <w:jc w:val="both"/>
        <w:rPr>
          <w:rFonts w:ascii="Times New Roman" w:hAnsi="Times New Roman" w:cs="Times New Roman"/>
          <w:sz w:val="24"/>
          <w:szCs w:val="24"/>
        </w:rPr>
      </w:pPr>
      <w:bookmarkStart w:id="181" w:name="_Toc471484548"/>
      <w:r w:rsidRPr="002E38E3">
        <w:rPr>
          <w:rFonts w:ascii="Times New Roman" w:hAnsi="Times New Roman" w:cs="Times New Roman"/>
          <w:sz w:val="24"/>
          <w:szCs w:val="24"/>
        </w:rPr>
        <w:t>Annexe 1</w:t>
      </w:r>
      <w:r w:rsidR="00820478">
        <w:rPr>
          <w:rFonts w:ascii="Times New Roman" w:hAnsi="Times New Roman" w:cs="Times New Roman"/>
          <w:sz w:val="24"/>
          <w:szCs w:val="24"/>
        </w:rPr>
        <w:t> :</w:t>
      </w:r>
      <w:r w:rsidRPr="002E38E3">
        <w:rPr>
          <w:rFonts w:ascii="Times New Roman" w:hAnsi="Times New Roman" w:cs="Times New Roman"/>
          <w:sz w:val="24"/>
          <w:szCs w:val="24"/>
        </w:rPr>
        <w:t xml:space="preserve"> Interprétation la plus récente de « El guerrab oua salihine » de Kaki (2015)</w:t>
      </w:r>
      <w:bookmarkEnd w:id="181"/>
    </w:p>
    <w:p w:rsidR="006A4EED" w:rsidRPr="002E38E3" w:rsidRDefault="006A4EED" w:rsidP="002E38E3">
      <w:pPr>
        <w:pStyle w:val="Titre4"/>
        <w:spacing w:before="0" w:after="0" w:line="360" w:lineRule="auto"/>
        <w:ind w:left="0"/>
        <w:jc w:val="both"/>
        <w:rPr>
          <w:rFonts w:ascii="Times New Roman" w:hAnsi="Times New Roman"/>
          <w:szCs w:val="24"/>
        </w:rPr>
      </w:pPr>
      <w:bookmarkStart w:id="182" w:name="_Toc439228307"/>
      <w:bookmarkStart w:id="183" w:name="_Toc454660172"/>
      <w:bookmarkStart w:id="184" w:name="_Toc471484549"/>
      <w:r w:rsidRPr="002E38E3">
        <w:rPr>
          <w:rFonts w:ascii="Times New Roman" w:eastAsia="Calibri" w:hAnsi="Times New Roman"/>
          <w:bCs w:val="0"/>
          <w:i w:val="0"/>
          <w:szCs w:val="24"/>
          <w:lang w:eastAsia="fr-FR"/>
        </w:rPr>
        <w:t xml:space="preserve">Culture -  </w:t>
      </w:r>
      <w:r w:rsidRPr="002E38E3">
        <w:rPr>
          <w:rFonts w:ascii="Times New Roman" w:hAnsi="Times New Roman"/>
          <w:szCs w:val="24"/>
        </w:rPr>
        <w:t>Constantine 2015</w:t>
      </w:r>
      <w:bookmarkEnd w:id="182"/>
      <w:bookmarkEnd w:id="183"/>
      <w:bookmarkEnd w:id="184"/>
      <w:r w:rsidRPr="002E38E3">
        <w:rPr>
          <w:rFonts w:ascii="Times New Roman" w:hAnsi="Times New Roman"/>
          <w:szCs w:val="24"/>
        </w:rPr>
        <w:t xml:space="preserve"> </w:t>
      </w:r>
    </w:p>
    <w:p w:rsidR="006A4EED" w:rsidRPr="002E38E3" w:rsidRDefault="006A4EED" w:rsidP="002E38E3">
      <w:pPr>
        <w:pStyle w:val="Titre3"/>
        <w:spacing w:before="0" w:after="0" w:line="360" w:lineRule="auto"/>
        <w:jc w:val="both"/>
        <w:rPr>
          <w:rFonts w:ascii="Times New Roman" w:hAnsi="Times New Roman" w:cs="Times New Roman"/>
          <w:sz w:val="24"/>
          <w:szCs w:val="24"/>
        </w:rPr>
      </w:pPr>
      <w:bookmarkStart w:id="185" w:name="_Toc439228308"/>
      <w:bookmarkStart w:id="186" w:name="_Toc454660173"/>
      <w:bookmarkStart w:id="187" w:name="_Toc471484550"/>
      <w:r w:rsidRPr="002E38E3">
        <w:rPr>
          <w:rFonts w:ascii="Times New Roman" w:hAnsi="Times New Roman" w:cs="Times New Roman"/>
          <w:sz w:val="24"/>
          <w:szCs w:val="24"/>
        </w:rPr>
        <w:t>« El guerrab oua salihine », un appel au renoncement à la paresse</w:t>
      </w:r>
      <w:bookmarkEnd w:id="185"/>
      <w:bookmarkEnd w:id="186"/>
      <w:bookmarkEnd w:id="187"/>
      <w:r w:rsidRPr="002E38E3">
        <w:rPr>
          <w:rFonts w:ascii="Times New Roman" w:hAnsi="Times New Roman" w:cs="Times New Roman"/>
          <w:sz w:val="24"/>
          <w:szCs w:val="24"/>
        </w:rPr>
        <w:t xml:space="preserve"> </w:t>
      </w:r>
    </w:p>
    <w:p w:rsidR="006A4EED" w:rsidRPr="002E38E3" w:rsidRDefault="006A4EED" w:rsidP="002E38E3">
      <w:pPr>
        <w:pStyle w:val="Titre6"/>
        <w:spacing w:before="0" w:after="0" w:line="360" w:lineRule="auto"/>
        <w:jc w:val="both"/>
        <w:rPr>
          <w:i w:val="0"/>
          <w:iCs/>
          <w:sz w:val="24"/>
          <w:szCs w:val="24"/>
        </w:rPr>
      </w:pPr>
      <w:r w:rsidRPr="002E38E3">
        <w:rPr>
          <w:i w:val="0"/>
          <w:iCs/>
          <w:sz w:val="24"/>
          <w:szCs w:val="24"/>
        </w:rPr>
        <w:t xml:space="preserve">Publié le 18 octobre 2015      </w:t>
      </w:r>
      <w:r w:rsidRPr="00820478">
        <w:rPr>
          <w:sz w:val="24"/>
          <w:szCs w:val="24"/>
        </w:rPr>
        <w:t>Horizons  - Quotidien National d’Information</w:t>
      </w:r>
    </w:p>
    <w:p w:rsidR="006A4EED" w:rsidRPr="003B00C8" w:rsidRDefault="00417BAB" w:rsidP="006A4EED">
      <w:pPr>
        <w:rPr>
          <w:rStyle w:val="lev"/>
          <w:rFonts w:ascii="Times New Roman" w:hAnsi="Times New Roman"/>
        </w:rPr>
      </w:pPr>
      <w:r>
        <w:rPr>
          <w:rFonts w:ascii="Times New Roman" w:hAnsi="Times New Roman"/>
          <w:noProof/>
          <w:lang w:eastAsia="fr-FR"/>
        </w:rPr>
        <w:drawing>
          <wp:inline distT="0" distB="0" distL="0" distR="0">
            <wp:extent cx="4972050" cy="3524250"/>
            <wp:effectExtent l="19050" t="0" r="0" b="0"/>
            <wp:docPr id="2" name="Image 2" descr="http://www2.horizons-dz.com/local/cache-vignettes/L200xH150/arton73906-514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http://www2.horizons-dz.com/local/cache-vignettes/L200xH150/arton73906-5149b.jpg"/>
                    <pic:cNvPicPr>
                      <a:picLocks noChangeAspect="1" noChangeArrowheads="1"/>
                    </pic:cNvPicPr>
                  </pic:nvPicPr>
                  <pic:blipFill>
                    <a:blip r:embed="rId108" cstate="print"/>
                    <a:srcRect/>
                    <a:stretch>
                      <a:fillRect/>
                    </a:stretch>
                  </pic:blipFill>
                  <pic:spPr bwMode="auto">
                    <a:xfrm>
                      <a:off x="0" y="0"/>
                      <a:ext cx="4972050" cy="3524250"/>
                    </a:xfrm>
                    <a:prstGeom prst="rect">
                      <a:avLst/>
                    </a:prstGeom>
                    <a:noFill/>
                    <a:ln w="9525">
                      <a:noFill/>
                      <a:miter lim="800000"/>
                      <a:headEnd/>
                      <a:tailEnd/>
                    </a:ln>
                  </pic:spPr>
                </pic:pic>
              </a:graphicData>
            </a:graphic>
          </wp:inline>
        </w:drawing>
      </w:r>
    </w:p>
    <w:p w:rsidR="006A4EED" w:rsidRPr="003B00C8" w:rsidRDefault="006A4EED" w:rsidP="00820478">
      <w:pPr>
        <w:pStyle w:val="NormalWeb"/>
        <w:spacing w:before="0" w:beforeAutospacing="0" w:after="0" w:afterAutospacing="0" w:line="360" w:lineRule="auto"/>
        <w:ind w:firstLine="284"/>
        <w:jc w:val="both"/>
      </w:pPr>
      <w:r w:rsidRPr="003B00C8">
        <w:rPr>
          <w:b/>
          <w:bCs/>
        </w:rPr>
        <w:t>La dernière mouture d’« El guerrab oua salihine » (le porteur d’eau et les marabouts), présentée dernièrement à Constantine par le Théâtre régional d’El Eulma est, selon son metteur en scène, Nabil Bensekka, « un appel au renoncement à la paresse et l’encouragement du travail pour une société productive. »</w:t>
      </w:r>
    </w:p>
    <w:p w:rsidR="006A4EED" w:rsidRPr="003B00C8" w:rsidRDefault="006A4EED" w:rsidP="00820478">
      <w:pPr>
        <w:pStyle w:val="NormalWeb"/>
        <w:spacing w:before="0" w:beforeAutospacing="0" w:after="0" w:afterAutospacing="0" w:line="360" w:lineRule="auto"/>
        <w:ind w:firstLine="284"/>
        <w:jc w:val="both"/>
      </w:pPr>
      <w:r w:rsidRPr="003B00C8">
        <w:t xml:space="preserve">Ecrite par le regretté Ould Abderrahmane Kaki, la pièce El Guerrab Oua Salihine, dont le texte original a été « mis à jour », a incité, 90 minutes durant, le public nombreux dans la salle du Théâtre régional de Constantine (TRC), à réfléchir aux valeurs sociales, à l´avenir mais surtout à la manière de gérer la vie. Au lever de rideau, les spectateurs sont transportés dans le petit village de Sidi Dahane dont la population vit dans une profonde misère tout en souffrant d’une </w:t>
      </w:r>
      <w:r w:rsidRPr="003B00C8">
        <w:lastRenderedPageBreak/>
        <w:t>faillite sociale et culturelle. Par désespoir, Sid-Ali, el guerrab (le porteur d’eau), implore les saints.</w:t>
      </w:r>
    </w:p>
    <w:p w:rsidR="006A4EED" w:rsidRPr="003B00C8" w:rsidRDefault="00820478" w:rsidP="00820478">
      <w:pPr>
        <w:pStyle w:val="NormalWeb"/>
        <w:spacing w:before="0" w:beforeAutospacing="0" w:after="0" w:afterAutospacing="0" w:line="360" w:lineRule="auto"/>
        <w:ind w:firstLine="284"/>
        <w:jc w:val="both"/>
      </w:pPr>
      <w:r>
        <w:t xml:space="preserve">À </w:t>
      </w:r>
      <w:r w:rsidR="006A4EED" w:rsidRPr="003B00C8">
        <w:t>sa stupéfaction, trois marabouts apparaissent : Sidi Abdelkader Djillali, Sidi Boumediène et Sidi Abderrahmane. Ereintés par leur long voyage, ils demandent à Sid-Ali de leur trouver un gîte pour la nuit auprès des habitants du hameau. Tout le monde refuse prétextant leur pauvreté, sauf Saliha, qui exerce le plus vieux métier du monde et qui n’hésite pas à sacrifier son seul bien, sa chèvre, pour bien accueillir ses invités. Pour la remercier, les saints (awlia salihine) lui donnent de l’argent et prient Dieu de sauver cette communauté en détresse. Saliha décide alors de faire construire trois zaouias et d’organiser quotidiennement des « waâdas » au profit des villageois. D’une scène à l’autre, les habitants de Sidi Dahane courent après l’argent et les intérêts. La passivité, la négligence et la paresse se répandent. Tout est bon pour escroquer les personnes superstitieuses. Saliha prend la résolution d´intervenir pour redresser la situation. Elle usurpe (mais pour la bonne cause) l’identité de son cousin Salim qui vit à l’étranger et fait comprendre aux villageois que sans le travail, ce don du ciel finira bien par s’épuiser un jour. Jouée en arabe dialectal, servie par des sonorités ponctuées de temps à autre de chants et de danses, ainsi que par des jeux de lumière, la pièce a été interprétée par des comédiens, très applaudis par le public, à l’instar de Moussa Lakrout (El Guerrab) et Saliha Idja (Saliha), ainsi que d’autres jeunes acteurs comme Farès Boussaâda, Djamel Guechi et Houria Bahloul qui ont réussi à capter l’attention des spectateurs dès les premières scènes.</w:t>
      </w:r>
    </w:p>
    <w:p w:rsidR="006A4EED" w:rsidRPr="003B00C8" w:rsidRDefault="006A4EED" w:rsidP="00820478">
      <w:pPr>
        <w:pStyle w:val="NormalWeb"/>
        <w:spacing w:before="0" w:beforeAutospacing="0" w:after="0" w:afterAutospacing="0" w:line="360" w:lineRule="auto"/>
        <w:ind w:firstLine="284"/>
        <w:jc w:val="both"/>
      </w:pPr>
      <w:r w:rsidRPr="003B00C8">
        <w:t>Après le spectacle, le metteur en scène a précisé à l’APS qu’il s’agit là de sa toute première expérience dans le théâtre professionnel. Il n’a pas caché son émotion devant l’excellent accueil du public constantinois. Il a également loué « l’interprétation remarquable » des 21 comédiens dont plusieurs montent sur les planches pour la première fois. Cette œuvre, montée pour la première fois en 1966 par Ould Abderrahmane Kaki, qui a adapté « La bonne âme de Se Tchouan », est considérée comme l’œuvre majeure du défunt dramaturge algérien (1935-1995).</w:t>
      </w:r>
    </w:p>
    <w:p w:rsidR="006A4EED" w:rsidRDefault="006A4EED" w:rsidP="00820478">
      <w:pPr>
        <w:pStyle w:val="NormalWeb"/>
        <w:spacing w:before="0" w:beforeAutospacing="0" w:after="0" w:afterAutospacing="0" w:line="360" w:lineRule="auto"/>
        <w:ind w:firstLine="284"/>
        <w:jc w:val="center"/>
        <w:rPr>
          <w:rStyle w:val="lev"/>
        </w:rPr>
      </w:pPr>
      <w:r w:rsidRPr="003B00C8">
        <w:rPr>
          <w:rStyle w:val="lev"/>
        </w:rPr>
        <w:t>APS</w:t>
      </w:r>
    </w:p>
    <w:p w:rsidR="00820478" w:rsidRDefault="00820478" w:rsidP="00820478">
      <w:pPr>
        <w:pStyle w:val="NormalWeb"/>
        <w:spacing w:before="0" w:beforeAutospacing="0" w:after="0" w:afterAutospacing="0" w:line="360" w:lineRule="auto"/>
        <w:ind w:firstLine="284"/>
        <w:jc w:val="center"/>
        <w:rPr>
          <w:rStyle w:val="lev"/>
        </w:rPr>
      </w:pPr>
    </w:p>
    <w:p w:rsidR="00820478" w:rsidRDefault="00820478" w:rsidP="00820478">
      <w:pPr>
        <w:pStyle w:val="NormalWeb"/>
        <w:spacing w:before="0" w:beforeAutospacing="0" w:after="0" w:afterAutospacing="0" w:line="360" w:lineRule="auto"/>
        <w:ind w:firstLine="284"/>
        <w:jc w:val="center"/>
        <w:rPr>
          <w:rStyle w:val="lev"/>
        </w:rPr>
      </w:pPr>
    </w:p>
    <w:p w:rsidR="00820478" w:rsidRDefault="00820478" w:rsidP="00820478">
      <w:pPr>
        <w:pStyle w:val="NormalWeb"/>
        <w:spacing w:before="0" w:beforeAutospacing="0" w:after="0" w:afterAutospacing="0" w:line="360" w:lineRule="auto"/>
        <w:ind w:firstLine="284"/>
        <w:jc w:val="center"/>
        <w:rPr>
          <w:rStyle w:val="lev"/>
        </w:rPr>
      </w:pPr>
    </w:p>
    <w:p w:rsidR="006A4EED" w:rsidRPr="00820478" w:rsidRDefault="006A4EED" w:rsidP="00820478">
      <w:pPr>
        <w:pStyle w:val="Titre3"/>
        <w:pBdr>
          <w:bottom w:val="single" w:sz="6" w:space="1" w:color="auto"/>
        </w:pBdr>
        <w:spacing w:before="0" w:after="0" w:line="360" w:lineRule="auto"/>
        <w:jc w:val="both"/>
        <w:rPr>
          <w:rFonts w:ascii="Times New Roman" w:hAnsi="Times New Roman" w:cs="Times New Roman"/>
          <w:sz w:val="24"/>
          <w:szCs w:val="24"/>
        </w:rPr>
      </w:pPr>
      <w:bookmarkStart w:id="188" w:name="_Toc471484551"/>
      <w:r w:rsidRPr="00820478">
        <w:rPr>
          <w:rFonts w:ascii="Times New Roman" w:hAnsi="Times New Roman" w:cs="Times New Roman"/>
          <w:sz w:val="24"/>
          <w:szCs w:val="24"/>
        </w:rPr>
        <w:lastRenderedPageBreak/>
        <w:t>Annexe 2</w:t>
      </w:r>
      <w:r w:rsidR="00820478">
        <w:rPr>
          <w:rFonts w:ascii="Times New Roman" w:hAnsi="Times New Roman" w:cs="Times New Roman"/>
          <w:sz w:val="24"/>
          <w:szCs w:val="24"/>
        </w:rPr>
        <w:t> :</w:t>
      </w:r>
      <w:r w:rsidRPr="00820478">
        <w:rPr>
          <w:rFonts w:ascii="Times New Roman" w:hAnsi="Times New Roman" w:cs="Times New Roman"/>
          <w:sz w:val="24"/>
          <w:szCs w:val="24"/>
        </w:rPr>
        <w:t xml:space="preserve"> Portrait de Kaki (2012)</w:t>
      </w:r>
      <w:bookmarkEnd w:id="188"/>
    </w:p>
    <w:p w:rsidR="006A4EED" w:rsidRPr="003B00C8" w:rsidRDefault="006A4EED" w:rsidP="006A4EED">
      <w:pPr>
        <w:tabs>
          <w:tab w:val="left" w:pos="1423"/>
        </w:tabs>
        <w:spacing w:after="0"/>
        <w:rPr>
          <w:rFonts w:ascii="Times New Roman" w:hAnsi="Times New Roman"/>
          <w:lang w:eastAsia="fr-FR"/>
        </w:rPr>
      </w:pPr>
    </w:p>
    <w:p w:rsidR="006A4EED" w:rsidRPr="003B00C8" w:rsidRDefault="006A4EED" w:rsidP="006A4EED">
      <w:pPr>
        <w:tabs>
          <w:tab w:val="left" w:pos="1423"/>
        </w:tabs>
        <w:spacing w:after="0"/>
        <w:rPr>
          <w:rFonts w:ascii="Times New Roman" w:hAnsi="Times New Roman"/>
          <w:lang w:eastAsia="fr-FR"/>
        </w:rPr>
      </w:pPr>
    </w:p>
    <w:p w:rsidR="006A4EED" w:rsidRPr="003B00C8" w:rsidRDefault="00417BAB" w:rsidP="006A4EED">
      <w:pPr>
        <w:tabs>
          <w:tab w:val="left" w:pos="1423"/>
        </w:tabs>
        <w:spacing w:after="0"/>
        <w:rPr>
          <w:rFonts w:ascii="Times New Roman" w:hAnsi="Times New Roman"/>
          <w:lang w:eastAsia="fr-FR"/>
        </w:rPr>
      </w:pPr>
      <w:r>
        <w:rPr>
          <w:rFonts w:ascii="Times New Roman" w:hAnsi="Times New Roman"/>
          <w:noProof/>
          <w:lang w:eastAsia="fr-FR"/>
        </w:rPr>
        <w:drawing>
          <wp:inline distT="0" distB="0" distL="0" distR="0">
            <wp:extent cx="4572000" cy="6096000"/>
            <wp:effectExtent l="19050" t="0" r="0" b="0"/>
            <wp:docPr id="3" name="Image 4" descr="http://1.bp.blogspot.com/-hUQ47ywwisQ/UKjZ5-KFG6I/AAAAAAAAAP0/RYX6e8jfSr4/s640/ka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http://1.bp.blogspot.com/-hUQ47ywwisQ/UKjZ5-KFG6I/AAAAAAAAAP0/RYX6e8jfSr4/s640/kaki.jpg"/>
                    <pic:cNvPicPr>
                      <a:picLocks noChangeAspect="1" noChangeArrowheads="1"/>
                    </pic:cNvPicPr>
                  </pic:nvPicPr>
                  <pic:blipFill>
                    <a:blip r:embed="rId109" cstate="print"/>
                    <a:srcRect/>
                    <a:stretch>
                      <a:fillRect/>
                    </a:stretch>
                  </pic:blipFill>
                  <pic:spPr bwMode="auto">
                    <a:xfrm>
                      <a:off x="0" y="0"/>
                      <a:ext cx="4572000" cy="6096000"/>
                    </a:xfrm>
                    <a:prstGeom prst="rect">
                      <a:avLst/>
                    </a:prstGeom>
                    <a:noFill/>
                    <a:ln w="9525">
                      <a:noFill/>
                      <a:miter lim="800000"/>
                      <a:headEnd/>
                      <a:tailEnd/>
                    </a:ln>
                  </pic:spPr>
                </pic:pic>
              </a:graphicData>
            </a:graphic>
          </wp:inline>
        </w:drawing>
      </w:r>
    </w:p>
    <w:p w:rsidR="006A4EED" w:rsidRPr="008B30CA" w:rsidRDefault="006A4EED" w:rsidP="00820478">
      <w:pPr>
        <w:tabs>
          <w:tab w:val="left" w:pos="1423"/>
        </w:tabs>
        <w:spacing w:after="0" w:line="360" w:lineRule="auto"/>
        <w:jc w:val="both"/>
        <w:rPr>
          <w:rFonts w:asciiTheme="majorBidi" w:hAnsiTheme="majorBidi" w:cstheme="majorBidi"/>
          <w:sz w:val="24"/>
          <w:szCs w:val="24"/>
          <w:lang w:eastAsia="fr-FR"/>
        </w:rPr>
      </w:pPr>
      <w:r w:rsidRPr="008B30CA">
        <w:rPr>
          <w:rFonts w:asciiTheme="majorBidi" w:hAnsiTheme="majorBidi" w:cstheme="majorBidi"/>
          <w:sz w:val="24"/>
          <w:szCs w:val="24"/>
          <w:lang w:eastAsia="fr-FR"/>
        </w:rPr>
        <w:t xml:space="preserve">Tiré de </w:t>
      </w:r>
      <w:hyperlink r:id="rId110" w:history="1">
        <w:r w:rsidRPr="008B30CA">
          <w:rPr>
            <w:rStyle w:val="Lienhypertexte"/>
            <w:rFonts w:asciiTheme="majorBidi" w:hAnsiTheme="majorBidi" w:cstheme="majorBidi"/>
            <w:color w:val="auto"/>
            <w:sz w:val="24"/>
            <w:szCs w:val="24"/>
            <w:u w:val="none"/>
            <w:lang w:eastAsia="fr-FR"/>
          </w:rPr>
          <w:t>http://braniya.blogspot.com/</w:t>
        </w:r>
      </w:hyperlink>
    </w:p>
    <w:p w:rsidR="006A4EED" w:rsidRPr="008B30CA" w:rsidRDefault="006A4EED" w:rsidP="00820478">
      <w:pPr>
        <w:tabs>
          <w:tab w:val="left" w:pos="1423"/>
        </w:tabs>
        <w:spacing w:after="0" w:line="360" w:lineRule="auto"/>
        <w:jc w:val="both"/>
        <w:rPr>
          <w:rFonts w:asciiTheme="majorBidi" w:hAnsiTheme="majorBidi" w:cstheme="majorBidi"/>
          <w:sz w:val="24"/>
          <w:szCs w:val="24"/>
          <w:lang w:eastAsia="fr-FR"/>
        </w:rPr>
      </w:pPr>
      <w:r w:rsidRPr="008B30CA">
        <w:rPr>
          <w:rFonts w:asciiTheme="majorBidi" w:hAnsiTheme="majorBidi" w:cstheme="majorBidi"/>
          <w:sz w:val="24"/>
          <w:szCs w:val="24"/>
          <w:lang w:eastAsia="fr-FR"/>
        </w:rPr>
        <w:t xml:space="preserve">Illustration de l’Article  de </w:t>
      </w:r>
      <w:hyperlink r:id="rId111" w:tooltip="author profile" w:history="1">
        <w:r w:rsidRPr="008B30CA">
          <w:rPr>
            <w:rStyle w:val="Lienhypertexte"/>
            <w:rFonts w:asciiTheme="majorBidi" w:hAnsiTheme="majorBidi" w:cstheme="majorBidi"/>
            <w:color w:val="auto"/>
            <w:sz w:val="24"/>
            <w:szCs w:val="24"/>
            <w:u w:val="none"/>
          </w:rPr>
          <w:t>Messaoud Benyoucef</w:t>
        </w:r>
      </w:hyperlink>
      <w:r w:rsidRPr="008B30CA">
        <w:rPr>
          <w:rStyle w:val="fn"/>
          <w:rFonts w:asciiTheme="majorBidi" w:hAnsiTheme="majorBidi" w:cstheme="majorBidi"/>
          <w:sz w:val="24"/>
          <w:szCs w:val="24"/>
        </w:rPr>
        <w:t xml:space="preserve"> </w:t>
      </w:r>
      <w:r w:rsidRPr="008B30CA">
        <w:rPr>
          <w:rFonts w:asciiTheme="majorBidi" w:hAnsiTheme="majorBidi" w:cstheme="majorBidi"/>
          <w:sz w:val="24"/>
          <w:szCs w:val="24"/>
          <w:lang w:eastAsia="fr-FR"/>
        </w:rPr>
        <w:t>du vendredi 29 juin</w:t>
      </w:r>
    </w:p>
    <w:bookmarkStart w:id="189" w:name="5803294105479527410"/>
    <w:bookmarkEnd w:id="189"/>
    <w:p w:rsidR="006A4EED" w:rsidRPr="008B30CA" w:rsidRDefault="00D27910" w:rsidP="00820478">
      <w:pPr>
        <w:tabs>
          <w:tab w:val="left" w:pos="1423"/>
        </w:tabs>
        <w:spacing w:after="0" w:line="360" w:lineRule="auto"/>
        <w:jc w:val="both"/>
        <w:rPr>
          <w:rFonts w:asciiTheme="majorBidi" w:hAnsiTheme="majorBidi" w:cstheme="majorBidi"/>
          <w:sz w:val="24"/>
          <w:szCs w:val="24"/>
          <w:lang w:eastAsia="fr-FR"/>
        </w:rPr>
      </w:pPr>
      <w:r w:rsidRPr="008B30CA">
        <w:rPr>
          <w:rFonts w:asciiTheme="majorBidi" w:hAnsiTheme="majorBidi" w:cstheme="majorBidi"/>
          <w:sz w:val="24"/>
          <w:szCs w:val="24"/>
          <w:lang w:eastAsia="fr-FR"/>
        </w:rPr>
        <w:fldChar w:fldCharType="begin"/>
      </w:r>
      <w:r w:rsidR="006A4EED" w:rsidRPr="008B30CA">
        <w:rPr>
          <w:rFonts w:asciiTheme="majorBidi" w:hAnsiTheme="majorBidi" w:cstheme="majorBidi"/>
          <w:sz w:val="24"/>
          <w:szCs w:val="24"/>
          <w:lang w:eastAsia="fr-FR"/>
        </w:rPr>
        <w:instrText xml:space="preserve"> HYPERLINK "http://braniya.blogspot.com/2012/06/celui-par-qui-le-theatre-est-arrive_29.html" </w:instrText>
      </w:r>
      <w:r w:rsidRPr="008B30CA">
        <w:rPr>
          <w:rFonts w:asciiTheme="majorBidi" w:hAnsiTheme="majorBidi" w:cstheme="majorBidi"/>
          <w:sz w:val="24"/>
          <w:szCs w:val="24"/>
          <w:lang w:eastAsia="fr-FR"/>
        </w:rPr>
        <w:fldChar w:fldCharType="separate"/>
      </w:r>
      <w:r w:rsidR="006A4EED" w:rsidRPr="008B30CA">
        <w:rPr>
          <w:rFonts w:asciiTheme="majorBidi" w:hAnsiTheme="majorBidi" w:cstheme="majorBidi"/>
          <w:sz w:val="24"/>
          <w:szCs w:val="24"/>
          <w:lang w:eastAsia="fr-FR"/>
        </w:rPr>
        <w:t>CELUI PAR QUI LE THÉÂTRE EST ARRIVÉ : HOMMAGE A KAKI</w:t>
      </w:r>
      <w:r w:rsidRPr="008B30CA">
        <w:rPr>
          <w:rFonts w:asciiTheme="majorBidi" w:hAnsiTheme="majorBidi" w:cstheme="majorBidi"/>
          <w:sz w:val="24"/>
          <w:szCs w:val="24"/>
          <w:lang w:eastAsia="fr-FR"/>
        </w:rPr>
        <w:fldChar w:fldCharType="end"/>
      </w:r>
      <w:r w:rsidR="006A4EED" w:rsidRPr="008B30CA">
        <w:rPr>
          <w:rFonts w:asciiTheme="majorBidi" w:hAnsiTheme="majorBidi" w:cstheme="majorBidi"/>
          <w:sz w:val="24"/>
          <w:szCs w:val="24"/>
          <w:lang w:eastAsia="fr-FR"/>
        </w:rPr>
        <w:t xml:space="preserve"> </w:t>
      </w:r>
    </w:p>
    <w:p w:rsidR="006A4EED" w:rsidRPr="00820478" w:rsidRDefault="006A4EED" w:rsidP="00820478">
      <w:pPr>
        <w:tabs>
          <w:tab w:val="left" w:pos="1423"/>
        </w:tabs>
        <w:spacing w:after="0" w:line="360" w:lineRule="auto"/>
        <w:jc w:val="both"/>
        <w:rPr>
          <w:rFonts w:asciiTheme="majorBidi" w:hAnsiTheme="majorBidi" w:cstheme="majorBidi"/>
          <w:sz w:val="24"/>
          <w:szCs w:val="24"/>
          <w:lang w:eastAsia="fr-FR"/>
        </w:rPr>
      </w:pPr>
    </w:p>
    <w:p w:rsidR="006A4EED" w:rsidRPr="003B00C8" w:rsidRDefault="006A4EED" w:rsidP="006A4EED">
      <w:pPr>
        <w:tabs>
          <w:tab w:val="left" w:pos="1423"/>
        </w:tabs>
        <w:spacing w:after="0"/>
        <w:rPr>
          <w:rFonts w:ascii="Times New Roman" w:hAnsi="Times New Roman"/>
          <w:lang w:eastAsia="fr-FR"/>
        </w:rPr>
      </w:pPr>
    </w:p>
    <w:p w:rsidR="006A4EED" w:rsidRPr="003B00C8" w:rsidRDefault="006A4EED" w:rsidP="006A4EED">
      <w:pPr>
        <w:tabs>
          <w:tab w:val="left" w:pos="1423"/>
        </w:tabs>
        <w:spacing w:after="0"/>
        <w:rPr>
          <w:rFonts w:ascii="Times New Roman" w:hAnsi="Times New Roman"/>
          <w:lang w:eastAsia="fr-FR"/>
        </w:rPr>
      </w:pPr>
    </w:p>
    <w:p w:rsidR="006A4EED" w:rsidRPr="003B00C8" w:rsidRDefault="006A4EED" w:rsidP="006A4EED">
      <w:pPr>
        <w:tabs>
          <w:tab w:val="left" w:pos="1423"/>
        </w:tabs>
        <w:spacing w:after="0"/>
        <w:rPr>
          <w:rFonts w:ascii="Times New Roman" w:hAnsi="Times New Roman"/>
          <w:lang w:eastAsia="fr-FR"/>
        </w:rPr>
      </w:pPr>
    </w:p>
    <w:p w:rsidR="006A4EED" w:rsidRPr="00820478" w:rsidRDefault="006A4EED" w:rsidP="00820478">
      <w:pPr>
        <w:pStyle w:val="Titre3"/>
        <w:pBdr>
          <w:bottom w:val="single" w:sz="6" w:space="1" w:color="auto"/>
        </w:pBdr>
        <w:spacing w:before="0" w:after="0" w:line="360" w:lineRule="auto"/>
        <w:jc w:val="both"/>
        <w:rPr>
          <w:rFonts w:ascii="Times New Roman" w:hAnsi="Times New Roman" w:cs="Times New Roman"/>
          <w:sz w:val="24"/>
          <w:szCs w:val="24"/>
        </w:rPr>
      </w:pPr>
      <w:bookmarkStart w:id="190" w:name="_Toc471484552"/>
      <w:r w:rsidRPr="00820478">
        <w:rPr>
          <w:rFonts w:ascii="Times New Roman" w:hAnsi="Times New Roman" w:cs="Times New Roman"/>
          <w:sz w:val="24"/>
          <w:szCs w:val="24"/>
        </w:rPr>
        <w:lastRenderedPageBreak/>
        <w:t>Annexe 3</w:t>
      </w:r>
      <w:r w:rsidR="00820478">
        <w:rPr>
          <w:rFonts w:ascii="Times New Roman" w:hAnsi="Times New Roman" w:cs="Times New Roman"/>
          <w:sz w:val="24"/>
          <w:szCs w:val="24"/>
        </w:rPr>
        <w:t xml:space="preserve"> : </w:t>
      </w:r>
      <w:r w:rsidRPr="00820478">
        <w:rPr>
          <w:rFonts w:ascii="Times New Roman" w:hAnsi="Times New Roman" w:cs="Times New Roman"/>
          <w:sz w:val="24"/>
          <w:szCs w:val="24"/>
        </w:rPr>
        <w:t>Ghelderode – Encyclopedia Universalis</w:t>
      </w:r>
      <w:bookmarkEnd w:id="190"/>
    </w:p>
    <w:p w:rsidR="006A4EED" w:rsidRPr="003B00C8" w:rsidRDefault="006A4EED" w:rsidP="006A4EED">
      <w:pPr>
        <w:tabs>
          <w:tab w:val="left" w:pos="1423"/>
        </w:tabs>
        <w:spacing w:after="0"/>
        <w:rPr>
          <w:rFonts w:ascii="Times New Roman" w:hAnsi="Times New Roman"/>
          <w:lang w:eastAsia="fr-FR"/>
        </w:rPr>
      </w:pPr>
    </w:p>
    <w:p w:rsidR="006A4EED" w:rsidRPr="003B00C8" w:rsidRDefault="006A4EED" w:rsidP="001E6F4E">
      <w:pPr>
        <w:pBdr>
          <w:bottom w:val="single" w:sz="6" w:space="1" w:color="auto"/>
        </w:pBdr>
        <w:spacing w:after="0" w:line="360" w:lineRule="auto"/>
        <w:jc w:val="both"/>
        <w:rPr>
          <w:rFonts w:ascii="Times New Roman" w:hAnsi="Times New Roman"/>
          <w:sz w:val="24"/>
          <w:szCs w:val="24"/>
          <w:lang w:eastAsia="fr-FR"/>
        </w:rPr>
      </w:pPr>
      <w:bookmarkStart w:id="191" w:name="_Toc439228311"/>
      <w:r w:rsidRPr="003B00C8">
        <w:rPr>
          <w:rFonts w:ascii="Times New Roman" w:hAnsi="Times New Roman"/>
          <w:sz w:val="24"/>
          <w:szCs w:val="24"/>
          <w:lang w:eastAsia="fr-FR"/>
        </w:rPr>
        <w:t>GHELDERODE MICHEL DE (1898-1962)</w:t>
      </w:r>
      <w:bookmarkEnd w:id="191"/>
    </w:p>
    <w:p w:rsidR="00587201" w:rsidRPr="00587201" w:rsidRDefault="006A4EED" w:rsidP="00587201">
      <w:pPr>
        <w:jc w:val="both"/>
        <w:rPr>
          <w:rFonts w:ascii="Times New Roman" w:hAnsi="Times New Roman"/>
          <w:sz w:val="12"/>
          <w:szCs w:val="12"/>
          <w:lang w:eastAsia="fr-FR"/>
        </w:rPr>
      </w:pPr>
      <w:r w:rsidRPr="003B00C8">
        <w:rPr>
          <w:rFonts w:ascii="Times New Roman" w:hAnsi="Times New Roman"/>
          <w:sz w:val="24"/>
          <w:szCs w:val="24"/>
          <w:lang w:eastAsia="fr-FR"/>
        </w:rPr>
        <w:t xml:space="preserve"> </w:t>
      </w:r>
    </w:p>
    <w:p w:rsidR="006A4EED" w:rsidRPr="001E6F4E" w:rsidRDefault="00587201" w:rsidP="00587201">
      <w:pPr>
        <w:jc w:val="both"/>
        <w:rPr>
          <w:rFonts w:asciiTheme="majorBidi" w:hAnsiTheme="majorBidi" w:cstheme="majorBidi"/>
          <w:sz w:val="24"/>
          <w:szCs w:val="24"/>
          <w:lang w:eastAsia="fr-FR"/>
        </w:rPr>
      </w:pPr>
      <w:r>
        <w:rPr>
          <w:rFonts w:ascii="Times New Roman" w:hAnsi="Times New Roman"/>
          <w:sz w:val="24"/>
          <w:szCs w:val="24"/>
          <w:lang w:eastAsia="fr-FR"/>
        </w:rPr>
        <w:t xml:space="preserve">   </w:t>
      </w:r>
      <w:r w:rsidR="006A4EED" w:rsidRPr="001E6F4E">
        <w:rPr>
          <w:rFonts w:asciiTheme="majorBidi" w:hAnsiTheme="majorBidi" w:cstheme="majorBidi"/>
          <w:sz w:val="24"/>
          <w:szCs w:val="24"/>
        </w:rPr>
        <w:t xml:space="preserve">Auteur dramatique belge, Michel de Ghelderode (pseudonyme puis patronyme d'Adhemar Adolphe Louis Martens) ne jouit pas d'une gloire aussi grande que celle de son compatriote </w:t>
      </w:r>
      <w:hyperlink r:id="rId112" w:tooltip="FERNAND CROMMELYNCK" w:history="1">
        <w:r w:rsidR="006A4EED" w:rsidRPr="001E6F4E">
          <w:rPr>
            <w:rStyle w:val="Lienhypertexte"/>
            <w:rFonts w:asciiTheme="majorBidi" w:hAnsiTheme="majorBidi" w:cstheme="majorBidi"/>
            <w:color w:val="auto"/>
            <w:sz w:val="24"/>
            <w:szCs w:val="24"/>
            <w:u w:val="none"/>
          </w:rPr>
          <w:t>Crommelynck</w:t>
        </w:r>
      </w:hyperlink>
      <w:r w:rsidR="006A4EED" w:rsidRPr="001E6F4E">
        <w:rPr>
          <w:rFonts w:asciiTheme="majorBidi" w:hAnsiTheme="majorBidi" w:cstheme="majorBidi"/>
          <w:sz w:val="24"/>
          <w:szCs w:val="24"/>
        </w:rPr>
        <w:t xml:space="preserve">. Pourtant son œuvre est sans doute au moins aussi importante. Ghelderode a écrit sa première pièce à vingt ans : </w:t>
      </w:r>
      <w:r w:rsidR="006A4EED" w:rsidRPr="001E6F4E">
        <w:rPr>
          <w:rStyle w:val="Accentuation"/>
          <w:rFonts w:asciiTheme="majorBidi" w:hAnsiTheme="majorBidi" w:cstheme="majorBidi"/>
          <w:sz w:val="24"/>
          <w:szCs w:val="24"/>
        </w:rPr>
        <w:t>La Mort regarde à la fenêtre</w:t>
      </w:r>
      <w:r w:rsidR="006A4EED" w:rsidRPr="001E6F4E">
        <w:rPr>
          <w:rFonts w:asciiTheme="majorBidi" w:hAnsiTheme="majorBidi" w:cstheme="majorBidi"/>
          <w:sz w:val="24"/>
          <w:szCs w:val="24"/>
        </w:rPr>
        <w:t xml:space="preserve"> (1918). Il a beaucoup écrit dans les années vingt, et ses pièces, traduites en flamand pour la circonstance, ont longtemps figuré au répertoire du Théâtre populaire flamand de Johan de Meester. Ce n'est que bien plus tard qu'il fut connu dans sa langue originale et en France même, grâce à des metteurs en scène parisiens tels que André Reybaz qui le « découvrirent » tardivement, à partir de la fin des années 1940.</w:t>
      </w:r>
    </w:p>
    <w:p w:rsidR="006A4EED" w:rsidRPr="001E6F4E" w:rsidRDefault="006A4EED" w:rsidP="001E6F4E">
      <w:pPr>
        <w:pStyle w:val="NormalWeb"/>
        <w:spacing w:before="0" w:beforeAutospacing="0" w:after="0" w:afterAutospacing="0" w:line="360" w:lineRule="auto"/>
        <w:ind w:firstLine="284"/>
        <w:jc w:val="both"/>
        <w:rPr>
          <w:rFonts w:asciiTheme="majorBidi" w:hAnsiTheme="majorBidi" w:cstheme="majorBidi"/>
        </w:rPr>
      </w:pPr>
      <w:r w:rsidRPr="001E6F4E">
        <w:rPr>
          <w:rFonts w:asciiTheme="majorBidi" w:hAnsiTheme="majorBidi" w:cstheme="majorBidi"/>
        </w:rPr>
        <w:t xml:space="preserve">Bouffonneries grimaçantes et mystères à résonances modernes, les pièces de Ghelderode acclimatent pour notre scène un </w:t>
      </w:r>
      <w:r w:rsidRPr="001E6F4E">
        <w:rPr>
          <w:rStyle w:val="pc"/>
          <w:rFonts w:asciiTheme="majorBidi" w:hAnsiTheme="majorBidi" w:cstheme="majorBidi"/>
        </w:rPr>
        <w:t>xvi</w:t>
      </w:r>
      <w:r w:rsidRPr="001E6F4E">
        <w:rPr>
          <w:rFonts w:asciiTheme="majorBidi" w:hAnsiTheme="majorBidi" w:cstheme="majorBidi"/>
          <w:vertAlign w:val="superscript"/>
        </w:rPr>
        <w:t>e</w:t>
      </w:r>
      <w:r w:rsidRPr="001E6F4E">
        <w:rPr>
          <w:rFonts w:asciiTheme="majorBidi" w:hAnsiTheme="majorBidi" w:cstheme="majorBidi"/>
        </w:rPr>
        <w:t xml:space="preserve"> siècle de convention. Certaines de ces œuvres ont même été écrites pour un spectacle de marionnettes. Truculent, sombre, tragique, Ghelderode emploie une écriture bousculée, un rythme heurté et déconcertant. Burlesque parfois jusqu'à l'outrance, il retrempe aux sources populaires ses thèmes inspirés d'une culture classique. Parmi ses œuvres significatives citons encore </w:t>
      </w:r>
      <w:r w:rsidRPr="001E6F4E">
        <w:rPr>
          <w:rStyle w:val="Accentuation"/>
          <w:rFonts w:asciiTheme="majorBidi" w:hAnsiTheme="majorBidi" w:cstheme="majorBidi"/>
        </w:rPr>
        <w:t>Barrabas</w:t>
      </w:r>
      <w:r w:rsidRPr="001E6F4E">
        <w:rPr>
          <w:rFonts w:asciiTheme="majorBidi" w:hAnsiTheme="majorBidi" w:cstheme="majorBidi"/>
        </w:rPr>
        <w:t xml:space="preserve"> (1928), </w:t>
      </w:r>
      <w:r w:rsidRPr="001E6F4E">
        <w:rPr>
          <w:rStyle w:val="Accentuation"/>
          <w:rFonts w:asciiTheme="majorBidi" w:hAnsiTheme="majorBidi" w:cstheme="majorBidi"/>
        </w:rPr>
        <w:t>Mademoiselle Jaïre</w:t>
      </w:r>
      <w:r w:rsidRPr="001E6F4E">
        <w:rPr>
          <w:rFonts w:asciiTheme="majorBidi" w:hAnsiTheme="majorBidi" w:cstheme="majorBidi"/>
        </w:rPr>
        <w:t xml:space="preserve"> (1949), </w:t>
      </w:r>
      <w:r w:rsidRPr="001E6F4E">
        <w:rPr>
          <w:rStyle w:val="Accentuation"/>
          <w:rFonts w:asciiTheme="majorBidi" w:hAnsiTheme="majorBidi" w:cstheme="majorBidi"/>
        </w:rPr>
        <w:t>La Mort du docteur Faust</w:t>
      </w:r>
      <w:r w:rsidRPr="001E6F4E">
        <w:rPr>
          <w:rFonts w:asciiTheme="majorBidi" w:hAnsiTheme="majorBidi" w:cstheme="majorBidi"/>
        </w:rPr>
        <w:t xml:space="preserve"> (1928),</w:t>
      </w:r>
      <w:r w:rsidRPr="001E6F4E">
        <w:rPr>
          <w:rStyle w:val="Accentuation"/>
          <w:rFonts w:asciiTheme="majorBidi" w:hAnsiTheme="majorBidi" w:cstheme="majorBidi"/>
        </w:rPr>
        <w:t xml:space="preserve"> Sire Halewyn</w:t>
      </w:r>
      <w:r w:rsidRPr="001E6F4E">
        <w:rPr>
          <w:rFonts w:asciiTheme="majorBidi" w:hAnsiTheme="majorBidi" w:cstheme="majorBidi"/>
        </w:rPr>
        <w:t xml:space="preserve"> (1934), </w:t>
      </w:r>
      <w:r w:rsidRPr="001E6F4E">
        <w:rPr>
          <w:rStyle w:val="Accentuation"/>
          <w:rFonts w:asciiTheme="majorBidi" w:hAnsiTheme="majorBidi" w:cstheme="majorBidi"/>
        </w:rPr>
        <w:t>La Ballade du Grand Macabre</w:t>
      </w:r>
      <w:r w:rsidRPr="001E6F4E">
        <w:rPr>
          <w:rFonts w:asciiTheme="majorBidi" w:hAnsiTheme="majorBidi" w:cstheme="majorBidi"/>
        </w:rPr>
        <w:t xml:space="preserve"> (1934), </w:t>
      </w:r>
      <w:r w:rsidRPr="001E6F4E">
        <w:rPr>
          <w:rStyle w:val="Accentuation"/>
          <w:rFonts w:asciiTheme="majorBidi" w:hAnsiTheme="majorBidi" w:cstheme="majorBidi"/>
        </w:rPr>
        <w:t>Hop Signor !</w:t>
      </w:r>
      <w:r w:rsidRPr="001E6F4E">
        <w:rPr>
          <w:rFonts w:asciiTheme="majorBidi" w:hAnsiTheme="majorBidi" w:cstheme="majorBidi"/>
        </w:rPr>
        <w:t xml:space="preserve"> (1936) et </w:t>
      </w:r>
      <w:r w:rsidRPr="001E6F4E">
        <w:rPr>
          <w:rStyle w:val="Accentuation"/>
          <w:rFonts w:asciiTheme="majorBidi" w:hAnsiTheme="majorBidi" w:cstheme="majorBidi"/>
        </w:rPr>
        <w:t>Sortie de l'acteur</w:t>
      </w:r>
      <w:r w:rsidRPr="001E6F4E">
        <w:rPr>
          <w:rFonts w:asciiTheme="majorBidi" w:hAnsiTheme="majorBidi" w:cstheme="majorBidi"/>
        </w:rPr>
        <w:t xml:space="preserve">, sa dernière pièce, qui fut jouée en 1963, un an après sa mort. L'essentiel de l'œuvre de Ghelderode a été rassemblé dans son </w:t>
      </w:r>
      <w:r w:rsidRPr="001E6F4E">
        <w:rPr>
          <w:rStyle w:val="Accentuation"/>
          <w:rFonts w:asciiTheme="majorBidi" w:hAnsiTheme="majorBidi" w:cstheme="majorBidi"/>
        </w:rPr>
        <w:t>Théâtre</w:t>
      </w:r>
      <w:r w:rsidRPr="001E6F4E">
        <w:rPr>
          <w:rFonts w:asciiTheme="majorBidi" w:hAnsiTheme="majorBidi" w:cstheme="majorBidi"/>
        </w:rPr>
        <w:t xml:space="preserve"> en cinq volumes (1950-1957). Ghelderode s'est rarement aventuré hors du genre théâtral. Il a pourtant publié un recueil de contes, </w:t>
      </w:r>
      <w:r w:rsidRPr="001E6F4E">
        <w:rPr>
          <w:rStyle w:val="Accentuation"/>
          <w:rFonts w:asciiTheme="majorBidi" w:hAnsiTheme="majorBidi" w:cstheme="majorBidi"/>
        </w:rPr>
        <w:t>Sortilèges</w:t>
      </w:r>
      <w:r w:rsidRPr="001E6F4E">
        <w:rPr>
          <w:rFonts w:asciiTheme="majorBidi" w:hAnsiTheme="majorBidi" w:cstheme="majorBidi"/>
        </w:rPr>
        <w:t xml:space="preserve"> (1941), et il a raconté ses débuts difficiles dans les </w:t>
      </w:r>
      <w:r w:rsidRPr="001E6F4E">
        <w:rPr>
          <w:rStyle w:val="Accentuation"/>
          <w:rFonts w:asciiTheme="majorBidi" w:hAnsiTheme="majorBidi" w:cstheme="majorBidi"/>
        </w:rPr>
        <w:t>Entretiens d'Ostende</w:t>
      </w:r>
      <w:r w:rsidRPr="001E6F4E">
        <w:rPr>
          <w:rFonts w:asciiTheme="majorBidi" w:hAnsiTheme="majorBidi" w:cstheme="majorBidi"/>
        </w:rPr>
        <w:t xml:space="preserve"> au cours d'un dialogue radiophonique qui a été publié en 1956.</w:t>
      </w:r>
    </w:p>
    <w:p w:rsidR="006A4EED" w:rsidRPr="001E6F4E" w:rsidRDefault="006A4EED" w:rsidP="001E6F4E">
      <w:pPr>
        <w:pStyle w:val="NormalWeb"/>
        <w:spacing w:before="0" w:beforeAutospacing="0" w:after="0" w:afterAutospacing="0" w:line="360" w:lineRule="auto"/>
        <w:ind w:firstLine="284"/>
        <w:jc w:val="both"/>
        <w:rPr>
          <w:rFonts w:asciiTheme="majorBidi" w:hAnsiTheme="majorBidi" w:cstheme="majorBidi"/>
        </w:rPr>
      </w:pPr>
      <w:r w:rsidRPr="001E6F4E">
        <w:rPr>
          <w:rFonts w:asciiTheme="majorBidi" w:hAnsiTheme="majorBidi" w:cstheme="majorBidi"/>
        </w:rPr>
        <w:t xml:space="preserve">On a parfois considéré Michel de Ghelderode comme un précurseur </w:t>
      </w:r>
      <w:proofErr w:type="gramStart"/>
      <w:r w:rsidRPr="001E6F4E">
        <w:rPr>
          <w:rFonts w:asciiTheme="majorBidi" w:hAnsiTheme="majorBidi" w:cstheme="majorBidi"/>
        </w:rPr>
        <w:t>de Ionesco</w:t>
      </w:r>
      <w:proofErr w:type="gramEnd"/>
      <w:r w:rsidRPr="001E6F4E">
        <w:rPr>
          <w:rFonts w:asciiTheme="majorBidi" w:hAnsiTheme="majorBidi" w:cstheme="majorBidi"/>
        </w:rPr>
        <w:t xml:space="preserve"> et de Beckett. C'est que son théâtre tragique et outré, trivial jusqu'à la caricature, situé au carrefour du théâtre élizabéthain et de l'expressionnisme, s'inscrit dans la même perspective et ouvre la voie au théâtre moderne</w:t>
      </w:r>
      <w:r w:rsidR="001E6F4E">
        <w:rPr>
          <w:rFonts w:asciiTheme="majorBidi" w:hAnsiTheme="majorBidi" w:cstheme="majorBidi"/>
        </w:rPr>
        <w:t>.</w:t>
      </w:r>
    </w:p>
    <w:p w:rsidR="006A4EED" w:rsidRPr="001E6F4E" w:rsidRDefault="006A4EED" w:rsidP="001E6F4E">
      <w:pPr>
        <w:tabs>
          <w:tab w:val="left" w:pos="1423"/>
        </w:tabs>
        <w:spacing w:after="0" w:line="240" w:lineRule="auto"/>
        <w:jc w:val="center"/>
        <w:rPr>
          <w:rFonts w:asciiTheme="majorBidi" w:hAnsiTheme="majorBidi" w:cstheme="majorBidi"/>
          <w:sz w:val="20"/>
          <w:szCs w:val="20"/>
          <w:lang w:eastAsia="fr-FR"/>
        </w:rPr>
      </w:pPr>
      <w:r w:rsidRPr="001E6F4E">
        <w:rPr>
          <w:rFonts w:asciiTheme="majorBidi" w:hAnsiTheme="majorBidi" w:cstheme="majorBidi"/>
          <w:sz w:val="20"/>
          <w:szCs w:val="20"/>
          <w:lang w:eastAsia="fr-FR"/>
        </w:rPr>
        <w:t>Par Marc Bloch</w:t>
      </w:r>
    </w:p>
    <w:p w:rsidR="006A4EED" w:rsidRPr="001E6F4E" w:rsidRDefault="006A4EED" w:rsidP="001E6F4E">
      <w:pPr>
        <w:tabs>
          <w:tab w:val="left" w:pos="1423"/>
        </w:tabs>
        <w:spacing w:after="0" w:line="240" w:lineRule="auto"/>
        <w:jc w:val="center"/>
        <w:rPr>
          <w:rFonts w:asciiTheme="majorBidi" w:hAnsiTheme="majorBidi" w:cstheme="majorBidi"/>
          <w:sz w:val="20"/>
          <w:szCs w:val="20"/>
          <w:lang w:eastAsia="fr-FR"/>
        </w:rPr>
      </w:pPr>
    </w:p>
    <w:p w:rsidR="006A4EED" w:rsidRPr="0009311F" w:rsidRDefault="006A4EED" w:rsidP="001E6F4E">
      <w:pPr>
        <w:tabs>
          <w:tab w:val="left" w:pos="1423"/>
        </w:tabs>
        <w:spacing w:after="0" w:line="240" w:lineRule="auto"/>
        <w:jc w:val="center"/>
        <w:rPr>
          <w:rFonts w:asciiTheme="majorBidi" w:hAnsiTheme="majorBidi" w:cstheme="majorBidi"/>
          <w:sz w:val="20"/>
          <w:szCs w:val="20"/>
          <w:lang w:eastAsia="fr-FR"/>
        </w:rPr>
      </w:pPr>
      <w:r w:rsidRPr="001E6F4E">
        <w:rPr>
          <w:rFonts w:asciiTheme="majorBidi" w:hAnsiTheme="majorBidi" w:cstheme="majorBidi"/>
          <w:sz w:val="20"/>
          <w:szCs w:val="20"/>
        </w:rPr>
        <w:t>Marc BLOCH, « </w:t>
      </w:r>
      <w:r w:rsidRPr="001E6F4E">
        <w:rPr>
          <w:rStyle w:val="rg"/>
          <w:rFonts w:asciiTheme="majorBidi" w:hAnsiTheme="majorBidi" w:cstheme="majorBidi"/>
          <w:sz w:val="20"/>
          <w:szCs w:val="20"/>
        </w:rPr>
        <w:t xml:space="preserve">GHELDERODE </w:t>
      </w:r>
      <w:r w:rsidRPr="001E6F4E">
        <w:rPr>
          <w:rStyle w:val="pc"/>
          <w:rFonts w:asciiTheme="majorBidi" w:hAnsiTheme="majorBidi" w:cstheme="majorBidi"/>
          <w:sz w:val="20"/>
          <w:szCs w:val="20"/>
        </w:rPr>
        <w:t xml:space="preserve">MICHEL DE </w:t>
      </w:r>
      <w:r w:rsidRPr="001E6F4E">
        <w:rPr>
          <w:rFonts w:asciiTheme="majorBidi" w:hAnsiTheme="majorBidi" w:cstheme="majorBidi"/>
          <w:sz w:val="20"/>
          <w:szCs w:val="20"/>
        </w:rPr>
        <w:t xml:space="preserve">- </w:t>
      </w:r>
      <w:r w:rsidRPr="001E6F4E">
        <w:rPr>
          <w:rStyle w:val="titresub"/>
          <w:rFonts w:asciiTheme="majorBidi" w:hAnsiTheme="majorBidi" w:cstheme="majorBidi"/>
          <w:sz w:val="20"/>
          <w:szCs w:val="20"/>
        </w:rPr>
        <w:t>(1898-1962)</w:t>
      </w:r>
      <w:r w:rsidRPr="001E6F4E">
        <w:rPr>
          <w:rFonts w:asciiTheme="majorBidi" w:hAnsiTheme="majorBidi" w:cstheme="majorBidi"/>
          <w:sz w:val="20"/>
          <w:szCs w:val="20"/>
        </w:rPr>
        <w:t xml:space="preserve">  », </w:t>
      </w:r>
      <w:r w:rsidRPr="001E6F4E">
        <w:rPr>
          <w:rStyle w:val="Accentuation"/>
          <w:rFonts w:asciiTheme="majorBidi" w:hAnsiTheme="majorBidi" w:cstheme="majorBidi"/>
          <w:sz w:val="20"/>
          <w:szCs w:val="20"/>
        </w:rPr>
        <w:t>Encyclopædia Universalis</w:t>
      </w:r>
      <w:r w:rsidRPr="001E6F4E">
        <w:rPr>
          <w:rFonts w:asciiTheme="majorBidi" w:hAnsiTheme="majorBidi" w:cstheme="majorBidi"/>
          <w:sz w:val="20"/>
          <w:szCs w:val="20"/>
        </w:rPr>
        <w:t xml:space="preserve"> [en ligne], consulté le 30 décembre 2015. </w:t>
      </w:r>
      <w:r w:rsidRPr="0009311F">
        <w:rPr>
          <w:rFonts w:asciiTheme="majorBidi" w:hAnsiTheme="majorBidi" w:cstheme="majorBidi"/>
          <w:sz w:val="20"/>
          <w:szCs w:val="20"/>
        </w:rPr>
        <w:t>URL : http://www.universalis.fr/encyclopedie/michel-de-ghelderode</w:t>
      </w:r>
    </w:p>
    <w:p w:rsidR="006A4EED" w:rsidRPr="0059412D" w:rsidRDefault="0091765B" w:rsidP="0059412D">
      <w:pPr>
        <w:pStyle w:val="Titre3"/>
        <w:pBdr>
          <w:bottom w:val="single" w:sz="6" w:space="1" w:color="auto"/>
        </w:pBdr>
        <w:spacing w:before="0" w:after="0" w:line="360" w:lineRule="auto"/>
        <w:jc w:val="both"/>
        <w:rPr>
          <w:rFonts w:ascii="Times New Roman" w:hAnsi="Times New Roman" w:cs="Times New Roman"/>
          <w:sz w:val="24"/>
          <w:szCs w:val="24"/>
        </w:rPr>
      </w:pPr>
      <w:bookmarkStart w:id="192" w:name="_Toc471484553"/>
      <w:r w:rsidRPr="0059412D">
        <w:rPr>
          <w:rFonts w:ascii="Times New Roman" w:hAnsi="Times New Roman" w:cs="Times New Roman"/>
          <w:sz w:val="24"/>
          <w:szCs w:val="24"/>
        </w:rPr>
        <w:lastRenderedPageBreak/>
        <w:t>Annexe 4</w:t>
      </w:r>
      <w:r w:rsidR="0059412D" w:rsidRPr="0059412D">
        <w:rPr>
          <w:rFonts w:ascii="Times New Roman" w:hAnsi="Times New Roman" w:cs="Times New Roman"/>
          <w:sz w:val="24"/>
          <w:szCs w:val="24"/>
        </w:rPr>
        <w:t>:</w:t>
      </w:r>
      <w:r w:rsidR="006A4EED" w:rsidRPr="0059412D">
        <w:rPr>
          <w:rFonts w:ascii="Times New Roman" w:hAnsi="Times New Roman" w:cs="Times New Roman"/>
          <w:sz w:val="24"/>
          <w:szCs w:val="24"/>
        </w:rPr>
        <w:t xml:space="preserve"> Masque de Barrabas – Pour Barrabas de Ghelderode (compagnie belge)</w:t>
      </w:r>
      <w:bookmarkEnd w:id="192"/>
    </w:p>
    <w:p w:rsidR="006A4EED" w:rsidRPr="003B00C8" w:rsidRDefault="00D27910" w:rsidP="006A4EED">
      <w:pPr>
        <w:tabs>
          <w:tab w:val="left" w:pos="1423"/>
        </w:tabs>
        <w:spacing w:after="0"/>
        <w:rPr>
          <w:rStyle w:val="Lienhypertexte"/>
          <w:lang w:eastAsia="fr-FR"/>
        </w:rPr>
      </w:pPr>
      <w:r w:rsidRPr="003B00C8">
        <w:rPr>
          <w:rFonts w:ascii="Times New Roman" w:hAnsi="Times New Roman"/>
          <w:lang w:eastAsia="fr-FR"/>
        </w:rPr>
        <w:fldChar w:fldCharType="begin"/>
      </w:r>
      <w:r w:rsidR="006A4EED" w:rsidRPr="003B00C8">
        <w:rPr>
          <w:rFonts w:ascii="Times New Roman" w:hAnsi="Times New Roman"/>
          <w:lang w:eastAsia="fr-FR"/>
        </w:rPr>
        <w:instrText xml:space="preserve"> HYPERLINK "http://www.photo-arago.fr/C.aspx?VP3=CMS3&amp;VF=GPPO26_3_VForm&amp;ERIDS=2C6NU0OBY4CR:2C6NU0OBSIV4:2C6NU0OBM3RQ:2C6NU0O0GWB3:2C6NU0O3JYZH" </w:instrText>
      </w:r>
      <w:r w:rsidRPr="003B00C8">
        <w:rPr>
          <w:rFonts w:ascii="Times New Roman" w:hAnsi="Times New Roman"/>
          <w:lang w:eastAsia="fr-FR"/>
        </w:rPr>
        <w:fldChar w:fldCharType="separate"/>
      </w:r>
    </w:p>
    <w:p w:rsidR="006A4EED" w:rsidRPr="0059412D" w:rsidRDefault="00D27910" w:rsidP="0059412D">
      <w:pPr>
        <w:spacing w:after="0" w:line="360" w:lineRule="auto"/>
        <w:rPr>
          <w:rFonts w:asciiTheme="majorBidi" w:hAnsiTheme="majorBidi" w:cstheme="majorBidi"/>
          <w:sz w:val="24"/>
          <w:szCs w:val="24"/>
        </w:rPr>
      </w:pPr>
      <w:r w:rsidRPr="003B00C8">
        <w:rPr>
          <w:rFonts w:ascii="Times New Roman" w:hAnsi="Times New Roman"/>
          <w:lang w:eastAsia="fr-FR"/>
        </w:rPr>
        <w:fldChar w:fldCharType="end"/>
      </w:r>
      <w:r w:rsidR="006A4EED" w:rsidRPr="0059412D">
        <w:rPr>
          <w:rStyle w:val="lbl"/>
          <w:rFonts w:asciiTheme="majorBidi" w:hAnsiTheme="majorBidi" w:cstheme="majorBidi"/>
          <w:sz w:val="24"/>
          <w:szCs w:val="24"/>
        </w:rPr>
        <w:t>Date de prise de vue</w:t>
      </w:r>
      <w:r w:rsidR="006A4EED" w:rsidRPr="0059412D">
        <w:rPr>
          <w:rFonts w:asciiTheme="majorBidi" w:hAnsiTheme="majorBidi" w:cstheme="majorBidi"/>
          <w:sz w:val="24"/>
          <w:szCs w:val="24"/>
        </w:rPr>
        <w:t xml:space="preserve"> : </w:t>
      </w:r>
      <w:r w:rsidR="006A4EED" w:rsidRPr="0059412D">
        <w:rPr>
          <w:rStyle w:val="lbl"/>
          <w:rFonts w:asciiTheme="majorBidi" w:hAnsiTheme="majorBidi" w:cstheme="majorBidi"/>
          <w:sz w:val="24"/>
          <w:szCs w:val="24"/>
        </w:rPr>
        <w:t>1956</w:t>
      </w:r>
      <w:r w:rsidR="006A4EED" w:rsidRPr="0059412D">
        <w:rPr>
          <w:rFonts w:asciiTheme="majorBidi" w:hAnsiTheme="majorBidi" w:cstheme="majorBidi"/>
          <w:sz w:val="24"/>
          <w:szCs w:val="24"/>
        </w:rPr>
        <w:br/>
      </w:r>
      <w:r w:rsidR="006A4EED" w:rsidRPr="0059412D">
        <w:rPr>
          <w:rStyle w:val="lbl"/>
          <w:rFonts w:asciiTheme="majorBidi" w:hAnsiTheme="majorBidi" w:cstheme="majorBidi"/>
          <w:sz w:val="24"/>
          <w:szCs w:val="24"/>
        </w:rPr>
        <w:t>Période</w:t>
      </w:r>
      <w:r w:rsidR="006A4EED" w:rsidRPr="0059412D">
        <w:rPr>
          <w:rFonts w:asciiTheme="majorBidi" w:hAnsiTheme="majorBidi" w:cstheme="majorBidi"/>
          <w:sz w:val="24"/>
          <w:szCs w:val="24"/>
        </w:rPr>
        <w:t xml:space="preserve"> : </w:t>
      </w:r>
      <w:hyperlink r:id="rId113" w:history="1">
        <w:r w:rsidR="006A4EED" w:rsidRPr="0059412D">
          <w:rPr>
            <w:rStyle w:val="Lienhypertexte"/>
            <w:rFonts w:asciiTheme="majorBidi" w:hAnsiTheme="majorBidi" w:cstheme="majorBidi"/>
            <w:color w:val="auto"/>
            <w:sz w:val="24"/>
            <w:szCs w:val="24"/>
            <w:u w:val="none"/>
          </w:rPr>
          <w:t>20</w:t>
        </w:r>
        <w:r w:rsidR="006A4EED" w:rsidRPr="0059412D">
          <w:rPr>
            <w:rStyle w:val="Lienhypertexte"/>
            <w:rFonts w:asciiTheme="majorBidi" w:hAnsiTheme="majorBidi" w:cstheme="majorBidi"/>
            <w:color w:val="auto"/>
            <w:sz w:val="24"/>
            <w:szCs w:val="24"/>
            <w:u w:val="none"/>
            <w:vertAlign w:val="superscript"/>
          </w:rPr>
          <w:t>e</w:t>
        </w:r>
        <w:r w:rsidR="006A4EED" w:rsidRPr="0059412D">
          <w:rPr>
            <w:rStyle w:val="Lienhypertexte"/>
            <w:rFonts w:asciiTheme="majorBidi" w:hAnsiTheme="majorBidi" w:cstheme="majorBidi"/>
            <w:color w:val="auto"/>
            <w:sz w:val="24"/>
            <w:szCs w:val="24"/>
            <w:u w:val="none"/>
          </w:rPr>
          <w:t xml:space="preserve"> siècle</w:t>
        </w:r>
      </w:hyperlink>
      <w:r w:rsidR="006A4EED" w:rsidRPr="0059412D">
        <w:rPr>
          <w:rFonts w:asciiTheme="majorBidi" w:hAnsiTheme="majorBidi" w:cstheme="majorBidi"/>
          <w:sz w:val="24"/>
          <w:szCs w:val="24"/>
        </w:rPr>
        <w:br/>
      </w:r>
      <w:r w:rsidR="006A4EED" w:rsidRPr="0059412D">
        <w:rPr>
          <w:rStyle w:val="lbl"/>
          <w:rFonts w:asciiTheme="majorBidi" w:hAnsiTheme="majorBidi" w:cstheme="majorBidi"/>
          <w:sz w:val="24"/>
          <w:szCs w:val="24"/>
        </w:rPr>
        <w:t>Droits d'auteur</w:t>
      </w:r>
      <w:r w:rsidR="006A4EED" w:rsidRPr="0059412D">
        <w:rPr>
          <w:rFonts w:asciiTheme="majorBidi" w:hAnsiTheme="majorBidi" w:cstheme="majorBidi"/>
          <w:sz w:val="24"/>
          <w:szCs w:val="24"/>
        </w:rPr>
        <w:t xml:space="preserve"> : </w:t>
      </w:r>
      <w:r w:rsidR="006A4EED" w:rsidRPr="0059412D">
        <w:rPr>
          <w:rStyle w:val="lbl"/>
          <w:rFonts w:asciiTheme="majorBidi" w:hAnsiTheme="majorBidi" w:cstheme="majorBidi"/>
          <w:sz w:val="24"/>
          <w:szCs w:val="24"/>
        </w:rPr>
        <w:t>(C) RMN-Grand Palais - Gestion droit d'auteur</w:t>
      </w:r>
      <w:r w:rsidR="006A4EED" w:rsidRPr="0059412D">
        <w:rPr>
          <w:rStyle w:val="lbl"/>
          <w:rFonts w:asciiTheme="majorBidi" w:hAnsiTheme="majorBidi" w:cstheme="majorBidi"/>
          <w:sz w:val="24"/>
          <w:szCs w:val="24"/>
        </w:rPr>
        <w:br/>
      </w:r>
      <w:r w:rsidR="006A4EED" w:rsidRPr="0059412D">
        <w:rPr>
          <w:rFonts w:asciiTheme="majorBidi" w:hAnsiTheme="majorBidi" w:cstheme="majorBidi"/>
          <w:sz w:val="24"/>
          <w:szCs w:val="24"/>
        </w:rPr>
        <w:t>Dimensions : Hauteur : 0.4 m    Largeur : 0.3 m</w:t>
      </w:r>
    </w:p>
    <w:p w:rsidR="006A4EED" w:rsidRPr="003B00C8" w:rsidRDefault="006A4EED" w:rsidP="006A4EED">
      <w:pPr>
        <w:tabs>
          <w:tab w:val="left" w:pos="1423"/>
        </w:tabs>
        <w:spacing w:after="0"/>
        <w:rPr>
          <w:rFonts w:ascii="Times New Roman" w:hAnsi="Times New Roman"/>
          <w:lang w:eastAsia="fr-FR"/>
        </w:rPr>
      </w:pPr>
    </w:p>
    <w:p w:rsidR="006A4EED" w:rsidRPr="003B00C8" w:rsidRDefault="00417BAB" w:rsidP="006A4EED">
      <w:pPr>
        <w:spacing w:after="0" w:line="240" w:lineRule="auto"/>
        <w:rPr>
          <w:rFonts w:ascii="Times New Roman" w:eastAsia="Times New Roman" w:hAnsi="Times New Roman"/>
          <w:sz w:val="24"/>
          <w:szCs w:val="24"/>
          <w:lang w:eastAsia="fr-FR"/>
        </w:rPr>
      </w:pPr>
      <w:r>
        <w:rPr>
          <w:rFonts w:ascii="Times New Roman" w:eastAsia="Times New Roman" w:hAnsi="Times New Roman"/>
          <w:noProof/>
          <w:sz w:val="24"/>
          <w:szCs w:val="24"/>
          <w:lang w:eastAsia="fr-FR"/>
        </w:rPr>
        <w:drawing>
          <wp:inline distT="0" distB="0" distL="0" distR="0">
            <wp:extent cx="4343400" cy="5762625"/>
            <wp:effectExtent l="19050" t="0" r="0" b="0"/>
            <wp:docPr id="4" name="a3.1.3.2.1:Image_img" descr="Masque de Barrabas pour Barrabas de Michel de Ghelderode (compagnie bel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3.1.3.2.1:Image_img" descr="Masque de Barrabas pour Barrabas de Michel de Ghelderode (compagnie belge) "/>
                    <pic:cNvPicPr>
                      <a:picLocks noChangeAspect="1" noChangeArrowheads="1"/>
                    </pic:cNvPicPr>
                  </pic:nvPicPr>
                  <pic:blipFill>
                    <a:blip r:embed="rId114" cstate="print"/>
                    <a:srcRect/>
                    <a:stretch>
                      <a:fillRect/>
                    </a:stretch>
                  </pic:blipFill>
                  <pic:spPr bwMode="auto">
                    <a:xfrm>
                      <a:off x="0" y="0"/>
                      <a:ext cx="4343400" cy="5762625"/>
                    </a:xfrm>
                    <a:prstGeom prst="rect">
                      <a:avLst/>
                    </a:prstGeom>
                    <a:noFill/>
                    <a:ln w="9525">
                      <a:noFill/>
                      <a:miter lim="800000"/>
                      <a:headEnd/>
                      <a:tailEnd/>
                    </a:ln>
                  </pic:spPr>
                </pic:pic>
              </a:graphicData>
            </a:graphic>
          </wp:inline>
        </w:drawing>
      </w:r>
    </w:p>
    <w:p w:rsidR="006A4EED" w:rsidRPr="003B00C8" w:rsidRDefault="006A4EED" w:rsidP="006A4EED">
      <w:pPr>
        <w:spacing w:after="0" w:line="240" w:lineRule="auto"/>
        <w:rPr>
          <w:rFonts w:ascii="Times New Roman" w:eastAsia="Times New Roman" w:hAnsi="Times New Roman"/>
          <w:sz w:val="24"/>
          <w:szCs w:val="24"/>
          <w:lang w:eastAsia="fr-FR"/>
        </w:rPr>
      </w:pPr>
    </w:p>
    <w:p w:rsidR="006A4EED" w:rsidRPr="003B00C8" w:rsidRDefault="006A4EED" w:rsidP="006A4EED">
      <w:pPr>
        <w:spacing w:after="0" w:line="240" w:lineRule="auto"/>
        <w:rPr>
          <w:rFonts w:ascii="Times New Roman" w:eastAsia="Times New Roman" w:hAnsi="Times New Roman"/>
          <w:sz w:val="24"/>
          <w:szCs w:val="24"/>
          <w:lang w:eastAsia="fr-FR"/>
        </w:rPr>
      </w:pPr>
    </w:p>
    <w:p w:rsidR="006A4EED" w:rsidRPr="003B00C8" w:rsidRDefault="006A4EED" w:rsidP="006A4EED">
      <w:pPr>
        <w:spacing w:after="0" w:line="240" w:lineRule="auto"/>
        <w:rPr>
          <w:rFonts w:ascii="Times New Roman" w:eastAsia="Times New Roman" w:hAnsi="Times New Roman"/>
          <w:sz w:val="24"/>
          <w:szCs w:val="24"/>
          <w:lang w:eastAsia="fr-FR"/>
        </w:rPr>
      </w:pPr>
    </w:p>
    <w:p w:rsidR="006A4EED" w:rsidRDefault="006A4EED" w:rsidP="006A4EED">
      <w:pPr>
        <w:spacing w:after="0" w:line="240" w:lineRule="auto"/>
        <w:rPr>
          <w:rFonts w:ascii="Times New Roman" w:eastAsia="Times New Roman" w:hAnsi="Times New Roman"/>
          <w:sz w:val="24"/>
          <w:szCs w:val="24"/>
          <w:lang w:eastAsia="fr-FR"/>
        </w:rPr>
      </w:pPr>
    </w:p>
    <w:p w:rsidR="0091765B" w:rsidRPr="003B00C8" w:rsidRDefault="0091765B" w:rsidP="006A4EED">
      <w:pPr>
        <w:spacing w:after="0" w:line="240" w:lineRule="auto"/>
        <w:rPr>
          <w:rFonts w:ascii="Times New Roman" w:eastAsia="Times New Roman" w:hAnsi="Times New Roman"/>
          <w:sz w:val="24"/>
          <w:szCs w:val="24"/>
          <w:lang w:eastAsia="fr-FR"/>
        </w:rPr>
      </w:pPr>
    </w:p>
    <w:p w:rsidR="006A4EED" w:rsidRPr="0059412D" w:rsidRDefault="006A4EED" w:rsidP="0059412D">
      <w:pPr>
        <w:pStyle w:val="Titre3"/>
        <w:pBdr>
          <w:bottom w:val="single" w:sz="6" w:space="1" w:color="auto"/>
        </w:pBdr>
        <w:spacing w:before="0" w:after="0" w:line="360" w:lineRule="auto"/>
        <w:jc w:val="both"/>
        <w:rPr>
          <w:rFonts w:ascii="Times New Roman" w:hAnsi="Times New Roman" w:cs="Times New Roman"/>
          <w:sz w:val="24"/>
          <w:szCs w:val="24"/>
        </w:rPr>
      </w:pPr>
      <w:bookmarkStart w:id="193" w:name="_Toc471484554"/>
      <w:r w:rsidRPr="0059412D">
        <w:rPr>
          <w:rFonts w:ascii="Times New Roman" w:hAnsi="Times New Roman" w:cs="Times New Roman"/>
          <w:sz w:val="24"/>
          <w:szCs w:val="24"/>
        </w:rPr>
        <w:lastRenderedPageBreak/>
        <w:t>Annexe  5</w:t>
      </w:r>
      <w:r w:rsidR="0059412D" w:rsidRPr="0059412D">
        <w:rPr>
          <w:rFonts w:ascii="Times New Roman" w:hAnsi="Times New Roman" w:cs="Times New Roman"/>
          <w:sz w:val="24"/>
          <w:szCs w:val="24"/>
        </w:rPr>
        <w:t> : Barrabas</w:t>
      </w:r>
      <w:r w:rsidRPr="0059412D">
        <w:rPr>
          <w:rFonts w:ascii="Times New Roman" w:hAnsi="Times New Roman" w:cs="Times New Roman"/>
          <w:sz w:val="24"/>
          <w:szCs w:val="24"/>
        </w:rPr>
        <w:t xml:space="preserve"> </w:t>
      </w:r>
      <w:r w:rsidR="0059412D">
        <w:rPr>
          <w:rFonts w:ascii="Times New Roman" w:hAnsi="Times New Roman" w:cs="Times New Roman"/>
          <w:sz w:val="24"/>
          <w:szCs w:val="24"/>
        </w:rPr>
        <w:t>-</w:t>
      </w:r>
      <w:r w:rsidR="00BE13D9" w:rsidRPr="0059412D">
        <w:rPr>
          <w:rFonts w:ascii="Times New Roman" w:hAnsi="Times New Roman" w:cs="Times New Roman"/>
          <w:sz w:val="24"/>
          <w:szCs w:val="24"/>
        </w:rPr>
        <w:t>Texte de Michel De Ghelderode : photographie / Roger Pic</w:t>
      </w:r>
      <w:bookmarkEnd w:id="193"/>
    </w:p>
    <w:p w:rsidR="006A4EED" w:rsidRPr="003B00C8" w:rsidRDefault="006A4EED" w:rsidP="006A4EED">
      <w:pPr>
        <w:spacing w:after="0" w:line="240" w:lineRule="auto"/>
        <w:rPr>
          <w:rFonts w:ascii="Times New Roman" w:eastAsia="Times New Roman" w:hAnsi="Times New Roman"/>
          <w:sz w:val="24"/>
          <w:szCs w:val="24"/>
          <w:lang w:eastAsia="fr-FR"/>
        </w:rPr>
      </w:pPr>
    </w:p>
    <w:p w:rsidR="006A4EED" w:rsidRPr="003B00C8" w:rsidRDefault="006A4EED" w:rsidP="006A4EED">
      <w:pPr>
        <w:spacing w:after="0" w:line="240" w:lineRule="auto"/>
        <w:rPr>
          <w:rFonts w:ascii="Times New Roman" w:hAnsi="Times New Roman"/>
          <w:noProof/>
          <w:lang w:eastAsia="fr-FR"/>
        </w:rPr>
      </w:pPr>
    </w:p>
    <w:p w:rsidR="006A4EED" w:rsidRDefault="00417BAB" w:rsidP="006A4EED">
      <w:pPr>
        <w:spacing w:after="0" w:line="240" w:lineRule="auto"/>
        <w:rPr>
          <w:rFonts w:ascii="Times New Roman" w:eastAsia="Times New Roman" w:hAnsi="Times New Roman"/>
          <w:sz w:val="24"/>
          <w:szCs w:val="24"/>
          <w:lang w:eastAsia="fr-FR"/>
        </w:rPr>
      </w:pPr>
      <w:r>
        <w:rPr>
          <w:rFonts w:ascii="Times New Roman" w:hAnsi="Times New Roman"/>
          <w:b/>
          <w:bCs/>
          <w:noProof/>
          <w:lang w:eastAsia="fr-FR"/>
        </w:rPr>
        <w:drawing>
          <wp:inline distT="0" distB="0" distL="0" distR="0">
            <wp:extent cx="4633717" cy="4632385"/>
            <wp:effectExtent l="19050" t="0" r="0" b="0"/>
            <wp:docPr id="5" name="Image 9" descr="[Barabbas, texte de Michel De Ghelderode : photographies / Roger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Barabbas, texte de Michel De Ghelderode : photographies / Roger Pic]"/>
                    <pic:cNvPicPr>
                      <a:picLocks noChangeAspect="1" noChangeArrowheads="1"/>
                    </pic:cNvPicPr>
                  </pic:nvPicPr>
                  <pic:blipFill>
                    <a:blip r:embed="rId115" cstate="print"/>
                    <a:srcRect/>
                    <a:stretch>
                      <a:fillRect/>
                    </a:stretch>
                  </pic:blipFill>
                  <pic:spPr bwMode="auto">
                    <a:xfrm>
                      <a:off x="0" y="0"/>
                      <a:ext cx="4630481" cy="4629150"/>
                    </a:xfrm>
                    <a:prstGeom prst="rect">
                      <a:avLst/>
                    </a:prstGeom>
                    <a:noFill/>
                    <a:ln w="9525">
                      <a:noFill/>
                      <a:miter lim="800000"/>
                      <a:headEnd/>
                      <a:tailEnd/>
                    </a:ln>
                  </pic:spPr>
                </pic:pic>
              </a:graphicData>
            </a:graphic>
          </wp:inline>
        </w:drawing>
      </w:r>
    </w:p>
    <w:p w:rsidR="0091765B" w:rsidRPr="00BE13D9" w:rsidRDefault="0091765B" w:rsidP="00BE13D9">
      <w:pPr>
        <w:spacing w:after="0" w:line="240" w:lineRule="auto"/>
        <w:jc w:val="center"/>
        <w:rPr>
          <w:rFonts w:ascii="Times New Roman" w:eastAsia="Times New Roman" w:hAnsi="Times New Roman"/>
          <w:sz w:val="28"/>
          <w:szCs w:val="28"/>
          <w:lang w:eastAsia="fr-FR"/>
        </w:rPr>
      </w:pPr>
    </w:p>
    <w:p w:rsidR="0091765B" w:rsidRPr="0059412D" w:rsidRDefault="00BE13D9" w:rsidP="00F65BD5">
      <w:pPr>
        <w:spacing w:after="0" w:line="360" w:lineRule="auto"/>
        <w:jc w:val="center"/>
        <w:rPr>
          <w:rFonts w:ascii="Times New Roman" w:eastAsia="Times New Roman" w:hAnsi="Times New Roman"/>
          <w:b/>
          <w:bCs/>
          <w:sz w:val="28"/>
          <w:szCs w:val="28"/>
          <w:lang w:eastAsia="fr-FR"/>
        </w:rPr>
      </w:pPr>
      <w:r w:rsidRPr="0059412D">
        <w:rPr>
          <w:rFonts w:ascii="Times New Roman" w:hAnsi="Times New Roman"/>
          <w:b/>
          <w:bCs/>
          <w:sz w:val="24"/>
          <w:szCs w:val="24"/>
        </w:rPr>
        <w:t>Collections Gallica – Bibliothèque Nationale de France</w:t>
      </w: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91765B" w:rsidRDefault="0091765B" w:rsidP="006A4EED">
      <w:pPr>
        <w:spacing w:after="0" w:line="240" w:lineRule="auto"/>
        <w:rPr>
          <w:rFonts w:ascii="Times New Roman" w:eastAsia="Times New Roman" w:hAnsi="Times New Roman"/>
          <w:sz w:val="24"/>
          <w:szCs w:val="24"/>
          <w:lang w:eastAsia="fr-FR"/>
        </w:rPr>
      </w:pPr>
    </w:p>
    <w:p w:rsidR="005B0E24" w:rsidRPr="0059412D" w:rsidRDefault="0091765B" w:rsidP="0059412D">
      <w:pPr>
        <w:spacing w:after="0" w:line="360" w:lineRule="auto"/>
        <w:jc w:val="both"/>
        <w:rPr>
          <w:rFonts w:ascii="Times New Roman" w:hAnsi="Times New Roman"/>
          <w:b/>
          <w:bCs/>
          <w:sz w:val="24"/>
          <w:szCs w:val="24"/>
        </w:rPr>
      </w:pPr>
      <w:r w:rsidRPr="0059412D">
        <w:rPr>
          <w:rFonts w:ascii="Times New Roman" w:hAnsi="Times New Roman"/>
          <w:b/>
          <w:bCs/>
          <w:sz w:val="24"/>
          <w:szCs w:val="24"/>
        </w:rPr>
        <w:t>Annexe</w:t>
      </w:r>
      <w:r w:rsidR="0059412D">
        <w:rPr>
          <w:rFonts w:ascii="Times New Roman" w:hAnsi="Times New Roman"/>
          <w:b/>
          <w:bCs/>
          <w:sz w:val="24"/>
          <w:szCs w:val="24"/>
        </w:rPr>
        <w:t xml:space="preserve"> </w:t>
      </w:r>
      <w:r w:rsidRPr="0059412D">
        <w:rPr>
          <w:rFonts w:ascii="Times New Roman" w:hAnsi="Times New Roman"/>
          <w:b/>
          <w:bCs/>
          <w:sz w:val="24"/>
          <w:szCs w:val="24"/>
        </w:rPr>
        <w:t>6</w:t>
      </w:r>
      <w:r w:rsidR="0059412D">
        <w:rPr>
          <w:rFonts w:ascii="Times New Roman" w:hAnsi="Times New Roman"/>
          <w:b/>
          <w:bCs/>
          <w:sz w:val="24"/>
          <w:szCs w:val="24"/>
        </w:rPr>
        <w:t xml:space="preserve"> : </w:t>
      </w:r>
      <w:r w:rsidR="005B0E24" w:rsidRPr="0059412D">
        <w:rPr>
          <w:rFonts w:ascii="Times New Roman" w:hAnsi="Times New Roman"/>
          <w:b/>
          <w:bCs/>
          <w:sz w:val="24"/>
          <w:szCs w:val="24"/>
        </w:rPr>
        <w:t>Couverture, première page de la pièce : Barabbas de Michel De Ghelderode</w:t>
      </w:r>
    </w:p>
    <w:p w:rsidR="0091765B" w:rsidRPr="003B00C8" w:rsidRDefault="0091765B" w:rsidP="00BE13D9">
      <w:pPr>
        <w:pStyle w:val="Titre3"/>
        <w:pBdr>
          <w:bottom w:val="single" w:sz="6" w:space="1" w:color="auto"/>
        </w:pBdr>
        <w:spacing w:before="0" w:after="0"/>
        <w:rPr>
          <w:rFonts w:ascii="Times New Roman" w:hAnsi="Times New Roman" w:cs="Times New Roman"/>
          <w:sz w:val="22"/>
          <w:szCs w:val="22"/>
        </w:rPr>
      </w:pPr>
    </w:p>
    <w:p w:rsidR="0091765B" w:rsidRPr="003B00C8" w:rsidRDefault="0091765B" w:rsidP="0091765B">
      <w:pPr>
        <w:spacing w:after="0" w:line="240" w:lineRule="auto"/>
        <w:rPr>
          <w:rFonts w:ascii="Times New Roman" w:eastAsia="Times New Roman" w:hAnsi="Times New Roman"/>
          <w:sz w:val="24"/>
          <w:szCs w:val="24"/>
          <w:lang w:eastAsia="fr-FR"/>
        </w:rPr>
      </w:pPr>
    </w:p>
    <w:p w:rsidR="0091765B" w:rsidRPr="003B00C8" w:rsidRDefault="0091765B" w:rsidP="006A4EED">
      <w:pPr>
        <w:spacing w:after="0" w:line="240" w:lineRule="auto"/>
        <w:rPr>
          <w:rFonts w:ascii="Times New Roman" w:eastAsia="Times New Roman" w:hAnsi="Times New Roman"/>
          <w:sz w:val="24"/>
          <w:szCs w:val="24"/>
          <w:lang w:eastAsia="fr-FR"/>
        </w:rPr>
      </w:pPr>
    </w:p>
    <w:p w:rsidR="006A4EED" w:rsidRPr="003B00C8" w:rsidRDefault="00417BAB" w:rsidP="005B0E24">
      <w:pPr>
        <w:spacing w:after="0" w:line="240" w:lineRule="auto"/>
        <w:jc w:val="center"/>
        <w:rPr>
          <w:rFonts w:ascii="Times New Roman" w:eastAsia="Times New Roman" w:hAnsi="Times New Roman"/>
          <w:sz w:val="24"/>
          <w:szCs w:val="24"/>
          <w:lang w:eastAsia="fr-FR"/>
        </w:rPr>
      </w:pPr>
      <w:r>
        <w:rPr>
          <w:rFonts w:ascii="Times New Roman" w:hAnsi="Times New Roman"/>
          <w:noProof/>
          <w:lang w:eastAsia="fr-FR"/>
        </w:rPr>
        <w:drawing>
          <wp:inline distT="0" distB="0" distL="0" distR="0">
            <wp:extent cx="4152900" cy="4991100"/>
            <wp:effectExtent l="19050" t="0" r="0" b="0"/>
            <wp:docPr id="6" name="Image 4" descr="https://encrypted-tbn2.gstatic.com/images?q=tbn:ANd9GcRV_j45nj-uVzeD5TMZ9qAotsLGG9ralcg6LC2ZYHTxvNCzF2v8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https://encrypted-tbn2.gstatic.com/images?q=tbn:ANd9GcRV_j45nj-uVzeD5TMZ9qAotsLGG9ralcg6LC2ZYHTxvNCzF2v8Ww"/>
                    <pic:cNvPicPr>
                      <a:picLocks noChangeAspect="1" noChangeArrowheads="1"/>
                    </pic:cNvPicPr>
                  </pic:nvPicPr>
                  <pic:blipFill>
                    <a:blip r:embed="rId116" cstate="print"/>
                    <a:srcRect/>
                    <a:stretch>
                      <a:fillRect/>
                    </a:stretch>
                  </pic:blipFill>
                  <pic:spPr bwMode="auto">
                    <a:xfrm>
                      <a:off x="0" y="0"/>
                      <a:ext cx="4152900" cy="4991100"/>
                    </a:xfrm>
                    <a:prstGeom prst="rect">
                      <a:avLst/>
                    </a:prstGeom>
                    <a:noFill/>
                    <a:ln w="9525">
                      <a:noFill/>
                      <a:miter lim="800000"/>
                      <a:headEnd/>
                      <a:tailEnd/>
                    </a:ln>
                  </pic:spPr>
                </pic:pic>
              </a:graphicData>
            </a:graphic>
          </wp:inline>
        </w:drawing>
      </w:r>
    </w:p>
    <w:p w:rsidR="006A4EED" w:rsidRPr="003B00C8" w:rsidRDefault="006A4EED" w:rsidP="006A4EED">
      <w:pPr>
        <w:tabs>
          <w:tab w:val="left" w:pos="1423"/>
        </w:tabs>
        <w:spacing w:after="0"/>
        <w:rPr>
          <w:rFonts w:ascii="Times New Roman" w:hAnsi="Times New Roman"/>
          <w:lang w:eastAsia="fr-FR"/>
        </w:rPr>
      </w:pPr>
    </w:p>
    <w:p w:rsidR="0068360B" w:rsidRPr="00F65BD5" w:rsidRDefault="005B0E24" w:rsidP="00F65BD5">
      <w:pPr>
        <w:spacing w:after="0" w:line="360" w:lineRule="auto"/>
        <w:jc w:val="center"/>
        <w:rPr>
          <w:b/>
          <w:bCs/>
        </w:rPr>
      </w:pPr>
      <w:r w:rsidRPr="00F65BD5">
        <w:rPr>
          <w:rFonts w:ascii="Times New Roman" w:hAnsi="Times New Roman"/>
          <w:b/>
          <w:bCs/>
          <w:sz w:val="24"/>
          <w:szCs w:val="24"/>
        </w:rPr>
        <w:t>Source : Edition Babel</w:t>
      </w:r>
    </w:p>
    <w:p w:rsidR="00D96992" w:rsidRDefault="00D96992"/>
    <w:p w:rsidR="00D96992" w:rsidRDefault="00D96992"/>
    <w:p w:rsidR="005B0E24" w:rsidRDefault="005B0E24"/>
    <w:p w:rsidR="005B0E24" w:rsidRDefault="005B0E24"/>
    <w:p w:rsidR="00D96992" w:rsidRDefault="00D96992"/>
    <w:p w:rsidR="00624E6D" w:rsidRDefault="00624E6D"/>
    <w:p w:rsidR="00624E6D" w:rsidRPr="00F65BD5" w:rsidRDefault="00624E6D" w:rsidP="00F65BD5">
      <w:pPr>
        <w:spacing w:after="0" w:line="360" w:lineRule="auto"/>
        <w:jc w:val="both"/>
        <w:rPr>
          <w:sz w:val="24"/>
          <w:szCs w:val="24"/>
        </w:rPr>
      </w:pPr>
      <w:r w:rsidRPr="00F65BD5">
        <w:rPr>
          <w:rFonts w:ascii="Times New Roman" w:hAnsi="Times New Roman"/>
          <w:b/>
          <w:bCs/>
          <w:sz w:val="24"/>
          <w:szCs w:val="24"/>
        </w:rPr>
        <w:lastRenderedPageBreak/>
        <w:t>Annexe</w:t>
      </w:r>
      <w:r w:rsidR="00F65BD5">
        <w:rPr>
          <w:rFonts w:ascii="Times New Roman" w:hAnsi="Times New Roman"/>
          <w:b/>
          <w:bCs/>
          <w:sz w:val="24"/>
          <w:szCs w:val="24"/>
        </w:rPr>
        <w:t xml:space="preserve"> </w:t>
      </w:r>
      <w:r w:rsidRPr="00F65BD5">
        <w:rPr>
          <w:rFonts w:ascii="Times New Roman" w:hAnsi="Times New Roman"/>
          <w:b/>
          <w:bCs/>
          <w:sz w:val="24"/>
          <w:szCs w:val="24"/>
        </w:rPr>
        <w:t>7</w:t>
      </w:r>
      <w:r w:rsidR="00F65BD5">
        <w:rPr>
          <w:rFonts w:ascii="Times New Roman" w:hAnsi="Times New Roman"/>
          <w:b/>
          <w:bCs/>
          <w:sz w:val="24"/>
          <w:szCs w:val="24"/>
        </w:rPr>
        <w:t xml:space="preserve"> : </w:t>
      </w:r>
      <w:r w:rsidRPr="00F65BD5">
        <w:rPr>
          <w:rFonts w:ascii="Times New Roman" w:hAnsi="Times New Roman"/>
          <w:b/>
          <w:bCs/>
          <w:sz w:val="24"/>
          <w:szCs w:val="24"/>
        </w:rPr>
        <w:t xml:space="preserve">Couverture, première page de la pièce : </w:t>
      </w:r>
      <w:r w:rsidRPr="00F65BD5">
        <w:rPr>
          <w:rFonts w:ascii="Times New Roman" w:hAnsi="Times New Roman"/>
          <w:b/>
          <w:bCs/>
          <w:i/>
          <w:iCs/>
          <w:sz w:val="24"/>
          <w:szCs w:val="24"/>
        </w:rPr>
        <w:t>Le Porteur d’eau et les Marabouts</w:t>
      </w:r>
      <w:r w:rsidRPr="00F65BD5">
        <w:rPr>
          <w:rFonts w:ascii="Times New Roman" w:hAnsi="Times New Roman"/>
          <w:b/>
          <w:bCs/>
          <w:sz w:val="24"/>
          <w:szCs w:val="24"/>
        </w:rPr>
        <w:t xml:space="preserve"> </w:t>
      </w:r>
      <w:proofErr w:type="gramStart"/>
      <w:r w:rsidRPr="00F65BD5">
        <w:rPr>
          <w:rFonts w:ascii="Times New Roman" w:hAnsi="Times New Roman"/>
          <w:b/>
          <w:bCs/>
          <w:sz w:val="24"/>
          <w:szCs w:val="24"/>
        </w:rPr>
        <w:t>de O.A</w:t>
      </w:r>
      <w:proofErr w:type="gramEnd"/>
      <w:r w:rsidRPr="00F65BD5">
        <w:rPr>
          <w:rFonts w:ascii="Times New Roman" w:hAnsi="Times New Roman"/>
          <w:b/>
          <w:bCs/>
          <w:sz w:val="24"/>
          <w:szCs w:val="24"/>
        </w:rPr>
        <w:t>. KAKI</w:t>
      </w:r>
    </w:p>
    <w:p w:rsidR="00624E6D" w:rsidRDefault="00624E6D" w:rsidP="00D96992">
      <w:pPr>
        <w:pStyle w:val="Titre3"/>
        <w:pBdr>
          <w:bottom w:val="single" w:sz="6" w:space="1" w:color="auto"/>
        </w:pBdr>
        <w:spacing w:before="0" w:after="0"/>
        <w:rPr>
          <w:rFonts w:ascii="Times New Roman" w:hAnsi="Times New Roman" w:cs="Times New Roman"/>
          <w:sz w:val="4"/>
          <w:szCs w:val="4"/>
        </w:rPr>
      </w:pPr>
    </w:p>
    <w:p w:rsidR="00624E6D" w:rsidRPr="00624E6D" w:rsidRDefault="00417BAB" w:rsidP="00624E6D">
      <w:pPr>
        <w:rPr>
          <w:lang w:eastAsia="fr-FR"/>
        </w:rPr>
      </w:pPr>
      <w:r>
        <w:rPr>
          <w:noProof/>
          <w:lang w:eastAsia="fr-FR"/>
        </w:rPr>
        <w:drawing>
          <wp:inline distT="0" distB="0" distL="0" distR="0">
            <wp:extent cx="4768610" cy="7142671"/>
            <wp:effectExtent l="19050" t="0" r="0" b="0"/>
            <wp:docPr id="7" name="Image 5" descr="page 1 du Porteut d'eau et les Marabouts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page 1 du Porteut d'eau et les Marabouts .png"/>
                    <pic:cNvPicPr>
                      <a:picLocks noChangeAspect="1" noChangeArrowheads="1"/>
                    </pic:cNvPicPr>
                  </pic:nvPicPr>
                  <pic:blipFill>
                    <a:blip r:embed="rId117" cstate="print"/>
                    <a:srcRect/>
                    <a:stretch>
                      <a:fillRect/>
                    </a:stretch>
                  </pic:blipFill>
                  <pic:spPr bwMode="auto">
                    <a:xfrm>
                      <a:off x="0" y="0"/>
                      <a:ext cx="4774365" cy="7151291"/>
                    </a:xfrm>
                    <a:prstGeom prst="rect">
                      <a:avLst/>
                    </a:prstGeom>
                    <a:noFill/>
                    <a:ln w="9525">
                      <a:noFill/>
                      <a:miter lim="800000"/>
                      <a:headEnd/>
                      <a:tailEnd/>
                    </a:ln>
                  </pic:spPr>
                </pic:pic>
              </a:graphicData>
            </a:graphic>
          </wp:inline>
        </w:drawing>
      </w:r>
    </w:p>
    <w:p w:rsidR="0018143B" w:rsidRDefault="0018143B" w:rsidP="003003AA">
      <w:pPr>
        <w:pStyle w:val="Titre3"/>
        <w:pBdr>
          <w:bottom w:val="single" w:sz="6" w:space="0" w:color="auto"/>
        </w:pBdr>
        <w:spacing w:before="0" w:after="0"/>
        <w:rPr>
          <w:rFonts w:ascii="Times New Roman" w:hAnsi="Times New Roman" w:cs="Times New Roman"/>
          <w:sz w:val="22"/>
          <w:szCs w:val="22"/>
        </w:rPr>
      </w:pPr>
    </w:p>
    <w:p w:rsidR="003003AA" w:rsidRPr="003003AA" w:rsidRDefault="003003AA" w:rsidP="003003AA">
      <w:pPr>
        <w:rPr>
          <w:lang w:eastAsia="fr-FR"/>
        </w:rPr>
      </w:pPr>
    </w:p>
    <w:p w:rsidR="00D96992" w:rsidRPr="00274A57" w:rsidRDefault="00D96992" w:rsidP="00274A57">
      <w:pPr>
        <w:pStyle w:val="Titre3"/>
        <w:pBdr>
          <w:bottom w:val="single" w:sz="6" w:space="1" w:color="auto"/>
        </w:pBdr>
        <w:spacing w:before="0" w:after="0" w:line="360" w:lineRule="auto"/>
        <w:jc w:val="both"/>
        <w:rPr>
          <w:rFonts w:ascii="Times New Roman" w:hAnsi="Times New Roman" w:cs="Times New Roman"/>
          <w:sz w:val="24"/>
          <w:szCs w:val="24"/>
        </w:rPr>
      </w:pPr>
      <w:bookmarkStart w:id="194" w:name="_Toc471484555"/>
      <w:r w:rsidRPr="00274A57">
        <w:rPr>
          <w:rFonts w:ascii="Times New Roman" w:hAnsi="Times New Roman" w:cs="Times New Roman"/>
          <w:sz w:val="24"/>
          <w:szCs w:val="24"/>
        </w:rPr>
        <w:lastRenderedPageBreak/>
        <w:t>Annexe</w:t>
      </w:r>
      <w:r w:rsidR="00274A57">
        <w:rPr>
          <w:rFonts w:ascii="Times New Roman" w:hAnsi="Times New Roman" w:cs="Times New Roman"/>
          <w:sz w:val="24"/>
          <w:szCs w:val="24"/>
        </w:rPr>
        <w:t xml:space="preserve">  </w:t>
      </w:r>
      <w:r w:rsidR="00624E6D" w:rsidRPr="00274A57">
        <w:rPr>
          <w:rFonts w:ascii="Times New Roman" w:hAnsi="Times New Roman" w:cs="Times New Roman"/>
          <w:sz w:val="24"/>
          <w:szCs w:val="24"/>
        </w:rPr>
        <w:t>8</w:t>
      </w:r>
      <w:r w:rsidR="00274A57">
        <w:rPr>
          <w:rFonts w:ascii="Times New Roman" w:hAnsi="Times New Roman" w:cs="Times New Roman"/>
          <w:sz w:val="24"/>
          <w:szCs w:val="24"/>
        </w:rPr>
        <w:t xml:space="preserve"> : </w:t>
      </w:r>
      <w:r w:rsidRPr="00274A57">
        <w:rPr>
          <w:rFonts w:ascii="Times New Roman" w:hAnsi="Times New Roman" w:cs="Times New Roman"/>
          <w:sz w:val="24"/>
          <w:szCs w:val="24"/>
        </w:rPr>
        <w:t>Gravure de 1910 montrant la foule réclamant la libération de Barabbas</w:t>
      </w:r>
      <w:bookmarkEnd w:id="194"/>
      <w:r w:rsidRPr="00274A57">
        <w:rPr>
          <w:rFonts w:ascii="Times New Roman" w:hAnsi="Times New Roman" w:cs="Times New Roman"/>
          <w:sz w:val="24"/>
          <w:szCs w:val="24"/>
        </w:rPr>
        <w:t xml:space="preserve"> </w:t>
      </w:r>
    </w:p>
    <w:p w:rsidR="00D96992" w:rsidRPr="00D96992" w:rsidRDefault="00D96992" w:rsidP="00D96992">
      <w:pPr>
        <w:rPr>
          <w:lang w:eastAsia="fr-FR"/>
        </w:rPr>
      </w:pPr>
    </w:p>
    <w:p w:rsidR="00D96992" w:rsidRPr="003B00C8" w:rsidRDefault="00D96992" w:rsidP="00D96992">
      <w:pPr>
        <w:spacing w:after="0" w:line="240" w:lineRule="auto"/>
        <w:rPr>
          <w:rFonts w:ascii="Times New Roman" w:eastAsia="Times New Roman" w:hAnsi="Times New Roman"/>
          <w:sz w:val="24"/>
          <w:szCs w:val="24"/>
          <w:lang w:eastAsia="fr-FR"/>
        </w:rPr>
      </w:pPr>
    </w:p>
    <w:p w:rsidR="00D96992" w:rsidRDefault="00417BAB">
      <w:r>
        <w:rPr>
          <w:noProof/>
          <w:lang w:eastAsia="fr-FR"/>
        </w:rPr>
        <w:drawing>
          <wp:inline distT="0" distB="0" distL="0" distR="0">
            <wp:extent cx="5543550" cy="4610100"/>
            <wp:effectExtent l="19050" t="0" r="0" b="0"/>
            <wp:docPr id="8" name="Image 5" descr="http://bibleencyclopedia.com/picturesjpeg/barabbas-colo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http://bibleencyclopedia.com/picturesjpeg/barabbas-colored.jpg"/>
                    <pic:cNvPicPr>
                      <a:picLocks noChangeAspect="1" noChangeArrowheads="1"/>
                    </pic:cNvPicPr>
                  </pic:nvPicPr>
                  <pic:blipFill>
                    <a:blip r:embed="rId118" cstate="print"/>
                    <a:srcRect/>
                    <a:stretch>
                      <a:fillRect/>
                    </a:stretch>
                  </pic:blipFill>
                  <pic:spPr bwMode="auto">
                    <a:xfrm>
                      <a:off x="0" y="0"/>
                      <a:ext cx="5543550" cy="4610100"/>
                    </a:xfrm>
                    <a:prstGeom prst="rect">
                      <a:avLst/>
                    </a:prstGeom>
                    <a:noFill/>
                    <a:ln w="9525">
                      <a:noFill/>
                      <a:miter lim="800000"/>
                      <a:headEnd/>
                      <a:tailEnd/>
                    </a:ln>
                  </pic:spPr>
                </pic:pic>
              </a:graphicData>
            </a:graphic>
          </wp:inline>
        </w:drawing>
      </w:r>
    </w:p>
    <w:p w:rsidR="002D0657" w:rsidRPr="009146AF" w:rsidRDefault="002D0657" w:rsidP="009146AF">
      <w:pPr>
        <w:spacing w:after="0" w:line="360" w:lineRule="auto"/>
        <w:jc w:val="center"/>
        <w:rPr>
          <w:rFonts w:asciiTheme="majorBidi" w:hAnsiTheme="majorBidi" w:cstheme="majorBidi"/>
          <w:b/>
          <w:bCs/>
          <w:sz w:val="24"/>
          <w:szCs w:val="24"/>
          <w:shd w:val="clear" w:color="auto" w:fill="F1F1F1"/>
        </w:rPr>
      </w:pPr>
      <w:r w:rsidRPr="009146AF">
        <w:rPr>
          <w:rFonts w:asciiTheme="majorBidi" w:hAnsiTheme="majorBidi" w:cstheme="majorBidi"/>
          <w:b/>
          <w:bCs/>
          <w:sz w:val="24"/>
          <w:szCs w:val="24"/>
          <w:shd w:val="clear" w:color="auto" w:fill="F1F1F1"/>
        </w:rPr>
        <w:t>Libérez « </w:t>
      </w:r>
      <w:r w:rsidRPr="009146AF">
        <w:rPr>
          <w:rFonts w:asciiTheme="majorBidi" w:hAnsiTheme="majorBidi" w:cstheme="majorBidi"/>
          <w:b/>
          <w:bCs/>
          <w:i/>
          <w:iCs/>
          <w:sz w:val="24"/>
          <w:szCs w:val="24"/>
          <w:shd w:val="clear" w:color="auto" w:fill="F1F1F1"/>
        </w:rPr>
        <w:t>Barabbas le prisonnier</w:t>
      </w:r>
      <w:r w:rsidRPr="009146AF">
        <w:rPr>
          <w:rFonts w:asciiTheme="majorBidi" w:hAnsiTheme="majorBidi" w:cstheme="majorBidi"/>
          <w:b/>
          <w:bCs/>
          <w:sz w:val="24"/>
          <w:szCs w:val="24"/>
          <w:shd w:val="clear" w:color="auto" w:fill="F1F1F1"/>
        </w:rPr>
        <w:t> », gravure de 1910</w:t>
      </w:r>
    </w:p>
    <w:p w:rsidR="002D0657" w:rsidRPr="002D0657" w:rsidRDefault="002D0657" w:rsidP="009146AF">
      <w:pPr>
        <w:spacing w:after="0" w:line="360" w:lineRule="auto"/>
        <w:jc w:val="center"/>
        <w:rPr>
          <w:rFonts w:ascii="Times New Roman" w:hAnsi="Times New Roman"/>
          <w:b/>
          <w:bCs/>
          <w:sz w:val="24"/>
          <w:szCs w:val="24"/>
          <w:shd w:val="clear" w:color="auto" w:fill="F1F1F1"/>
        </w:rPr>
      </w:pPr>
      <w:r w:rsidRPr="009146AF">
        <w:rPr>
          <w:rFonts w:asciiTheme="majorBidi" w:hAnsiTheme="majorBidi" w:cstheme="majorBidi"/>
          <w:b/>
          <w:bCs/>
          <w:sz w:val="24"/>
          <w:szCs w:val="24"/>
        </w:rPr>
        <w:t xml:space="preserve">Source : </w:t>
      </w:r>
      <w:hyperlink r:id="rId119" w:tgtFrame="_blank" w:history="1">
        <w:r w:rsidRPr="009146AF">
          <w:rPr>
            <w:rStyle w:val="ircho"/>
            <w:rFonts w:asciiTheme="majorBidi" w:hAnsiTheme="majorBidi" w:cstheme="majorBidi"/>
            <w:b/>
            <w:bCs/>
            <w:sz w:val="24"/>
            <w:szCs w:val="24"/>
            <w:shd w:val="clear" w:color="auto" w:fill="F1F1F1"/>
          </w:rPr>
          <w:t>bibleencyclopedia.com</w:t>
        </w:r>
      </w:hyperlink>
    </w:p>
    <w:p w:rsidR="002D0657" w:rsidRDefault="002D0657"/>
    <w:p w:rsidR="002D0657" w:rsidRDefault="002D0657"/>
    <w:p w:rsidR="002D0657" w:rsidRDefault="002D0657"/>
    <w:p w:rsidR="002D0657" w:rsidRDefault="002D0657"/>
    <w:p w:rsidR="002D0657" w:rsidRDefault="002D0657"/>
    <w:p w:rsidR="002D0657" w:rsidRDefault="002D0657"/>
    <w:p w:rsidR="002D0657" w:rsidRDefault="002D0657"/>
    <w:p w:rsidR="00D87474" w:rsidRPr="009146AF" w:rsidRDefault="00D87474" w:rsidP="009146AF">
      <w:pPr>
        <w:pStyle w:val="Titre3"/>
        <w:pBdr>
          <w:bottom w:val="single" w:sz="6" w:space="1" w:color="auto"/>
        </w:pBdr>
        <w:spacing w:before="0" w:after="0" w:line="360" w:lineRule="auto"/>
        <w:jc w:val="both"/>
        <w:rPr>
          <w:rFonts w:ascii="Times New Roman" w:hAnsi="Times New Roman" w:cs="Times New Roman"/>
          <w:sz w:val="24"/>
          <w:szCs w:val="24"/>
        </w:rPr>
      </w:pPr>
      <w:bookmarkStart w:id="195" w:name="_Toc471484556"/>
      <w:bookmarkStart w:id="196" w:name="_Toc449044198"/>
      <w:r w:rsidRPr="009146AF">
        <w:rPr>
          <w:rFonts w:ascii="Times New Roman" w:hAnsi="Times New Roman" w:cs="Times New Roman"/>
          <w:sz w:val="24"/>
          <w:szCs w:val="24"/>
        </w:rPr>
        <w:lastRenderedPageBreak/>
        <w:t xml:space="preserve">Annexe  </w:t>
      </w:r>
      <w:r w:rsidR="00624E6D" w:rsidRPr="009146AF">
        <w:rPr>
          <w:rFonts w:ascii="Times New Roman" w:hAnsi="Times New Roman" w:cs="Times New Roman"/>
          <w:sz w:val="24"/>
          <w:szCs w:val="24"/>
        </w:rPr>
        <w:t>9</w:t>
      </w:r>
      <w:r w:rsidR="009146AF">
        <w:rPr>
          <w:rFonts w:ascii="Times New Roman" w:hAnsi="Times New Roman" w:cs="Times New Roman"/>
          <w:sz w:val="24"/>
          <w:szCs w:val="24"/>
        </w:rPr>
        <w:t> </w:t>
      </w:r>
      <w:r w:rsidR="00203CE9">
        <w:rPr>
          <w:rFonts w:ascii="Times New Roman" w:hAnsi="Times New Roman" w:cs="Times New Roman"/>
          <w:sz w:val="24"/>
          <w:szCs w:val="24"/>
        </w:rPr>
        <w:t xml:space="preserve">: </w:t>
      </w:r>
      <w:r w:rsidR="00203CE9" w:rsidRPr="009146AF">
        <w:rPr>
          <w:rFonts w:ascii="Times New Roman" w:hAnsi="Times New Roman" w:cs="Times New Roman"/>
          <w:sz w:val="24"/>
          <w:szCs w:val="24"/>
        </w:rPr>
        <w:t>Michel</w:t>
      </w:r>
      <w:r w:rsidRPr="009146AF">
        <w:rPr>
          <w:rFonts w:ascii="Times New Roman" w:hAnsi="Times New Roman" w:cs="Times New Roman"/>
          <w:sz w:val="24"/>
          <w:szCs w:val="24"/>
        </w:rPr>
        <w:t xml:space="preserve"> De Ghelderode sous le crucifix</w:t>
      </w:r>
      <w:bookmarkEnd w:id="195"/>
    </w:p>
    <w:p w:rsidR="00D87474" w:rsidRPr="00D96992" w:rsidRDefault="00D87474" w:rsidP="00D87474">
      <w:pPr>
        <w:rPr>
          <w:lang w:eastAsia="fr-FR"/>
        </w:rPr>
      </w:pPr>
    </w:p>
    <w:p w:rsidR="005B0E24" w:rsidRDefault="00417BAB" w:rsidP="005B0E24">
      <w:pPr>
        <w:jc w:val="center"/>
        <w:rPr>
          <w:rFonts w:ascii="Times New Roman" w:hAnsi="Times New Roman"/>
        </w:rPr>
      </w:pPr>
      <w:r>
        <w:rPr>
          <w:rFonts w:ascii="Times New Roman" w:hAnsi="Times New Roman"/>
          <w:noProof/>
          <w:lang w:eastAsia="fr-FR"/>
        </w:rPr>
        <w:drawing>
          <wp:inline distT="0" distB="0" distL="0" distR="0">
            <wp:extent cx="4391025" cy="4810125"/>
            <wp:effectExtent l="19050" t="0" r="9525" b="0"/>
            <wp:docPr id="9" name="Image 7" descr="https://encrypted-tbn1.gstatic.com/images?q=tbn:ANd9GcRLzEsVbnCUvi4QYOQlGG3E8uhFnWdcfyWwy1pIBREWGdhkc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https://encrypted-tbn1.gstatic.com/images?q=tbn:ANd9GcRLzEsVbnCUvi4QYOQlGG3E8uhFnWdcfyWwy1pIBREWGdhkcED3"/>
                    <pic:cNvPicPr>
                      <a:picLocks noChangeAspect="1" noChangeArrowheads="1"/>
                    </pic:cNvPicPr>
                  </pic:nvPicPr>
                  <pic:blipFill>
                    <a:blip r:embed="rId120" cstate="print"/>
                    <a:srcRect/>
                    <a:stretch>
                      <a:fillRect/>
                    </a:stretch>
                  </pic:blipFill>
                  <pic:spPr bwMode="auto">
                    <a:xfrm>
                      <a:off x="0" y="0"/>
                      <a:ext cx="4391025" cy="4810125"/>
                    </a:xfrm>
                    <a:prstGeom prst="rect">
                      <a:avLst/>
                    </a:prstGeom>
                    <a:noFill/>
                    <a:ln w="9525">
                      <a:noFill/>
                      <a:miter lim="800000"/>
                      <a:headEnd/>
                      <a:tailEnd/>
                    </a:ln>
                  </pic:spPr>
                </pic:pic>
              </a:graphicData>
            </a:graphic>
          </wp:inline>
        </w:drawing>
      </w:r>
    </w:p>
    <w:p w:rsidR="005B0E24" w:rsidRPr="00203CE9" w:rsidRDefault="005B0E24" w:rsidP="00203CE9">
      <w:pPr>
        <w:spacing w:after="0" w:line="360" w:lineRule="auto"/>
        <w:jc w:val="center"/>
        <w:rPr>
          <w:rFonts w:asciiTheme="majorBidi" w:hAnsiTheme="majorBidi" w:cstheme="majorBidi"/>
          <w:b/>
          <w:bCs/>
          <w:sz w:val="24"/>
          <w:szCs w:val="24"/>
        </w:rPr>
      </w:pPr>
      <w:r w:rsidRPr="00203CE9">
        <w:rPr>
          <w:rFonts w:asciiTheme="majorBidi" w:hAnsiTheme="majorBidi" w:cstheme="majorBidi"/>
          <w:b/>
          <w:bCs/>
          <w:sz w:val="24"/>
          <w:szCs w:val="24"/>
        </w:rPr>
        <w:t xml:space="preserve">Source : </w:t>
      </w:r>
      <w:hyperlink r:id="rId121" w:tgtFrame="_blank" w:history="1">
        <w:r w:rsidRPr="00203CE9">
          <w:rPr>
            <w:rStyle w:val="ircho"/>
            <w:rFonts w:asciiTheme="majorBidi" w:hAnsiTheme="majorBidi" w:cstheme="majorBidi"/>
            <w:b/>
            <w:bCs/>
            <w:sz w:val="24"/>
            <w:szCs w:val="24"/>
            <w:shd w:val="clear" w:color="auto" w:fill="F1F1F1"/>
          </w:rPr>
          <w:t>www.aml-cfwb.be</w:t>
        </w:r>
      </w:hyperlink>
    </w:p>
    <w:p w:rsidR="00D87474" w:rsidRPr="005B0E24" w:rsidRDefault="00D87474" w:rsidP="005B0E24">
      <w:pPr>
        <w:jc w:val="center"/>
        <w:rPr>
          <w:rFonts w:ascii="Times New Roman" w:hAnsi="Times New Roman"/>
          <w:b/>
          <w:bCs/>
        </w:rPr>
      </w:pPr>
    </w:p>
    <w:p w:rsidR="0044042B" w:rsidRDefault="0044042B" w:rsidP="00624E6D">
      <w:pPr>
        <w:rPr>
          <w:lang w:eastAsia="fr-FR"/>
        </w:rPr>
      </w:pPr>
    </w:p>
    <w:p w:rsidR="0044042B" w:rsidRDefault="0044042B" w:rsidP="00624E6D">
      <w:pPr>
        <w:rPr>
          <w:lang w:eastAsia="fr-FR"/>
        </w:rPr>
      </w:pPr>
    </w:p>
    <w:p w:rsidR="0044042B" w:rsidRDefault="0044042B" w:rsidP="00624E6D">
      <w:pPr>
        <w:rPr>
          <w:lang w:eastAsia="fr-FR"/>
        </w:rPr>
      </w:pPr>
    </w:p>
    <w:p w:rsidR="0044042B" w:rsidRDefault="0044042B" w:rsidP="00624E6D">
      <w:pPr>
        <w:rPr>
          <w:lang w:eastAsia="fr-FR"/>
        </w:rPr>
      </w:pPr>
    </w:p>
    <w:p w:rsidR="0044042B" w:rsidRDefault="0044042B" w:rsidP="00624E6D">
      <w:pPr>
        <w:rPr>
          <w:lang w:eastAsia="fr-FR"/>
        </w:rPr>
      </w:pPr>
    </w:p>
    <w:p w:rsidR="0044042B" w:rsidRDefault="0044042B" w:rsidP="00624E6D">
      <w:pPr>
        <w:rPr>
          <w:lang w:eastAsia="fr-FR"/>
        </w:rPr>
      </w:pPr>
    </w:p>
    <w:p w:rsidR="0044042B" w:rsidRPr="00624E6D" w:rsidRDefault="0044042B" w:rsidP="00624E6D">
      <w:pPr>
        <w:rPr>
          <w:lang w:eastAsia="fr-FR"/>
        </w:rPr>
      </w:pPr>
    </w:p>
    <w:p w:rsidR="002D0657" w:rsidRPr="005347D4" w:rsidRDefault="002D0657" w:rsidP="00203CE9">
      <w:pPr>
        <w:pStyle w:val="Titre3"/>
        <w:pBdr>
          <w:bottom w:val="single" w:sz="6" w:space="1" w:color="auto"/>
        </w:pBdr>
        <w:spacing w:before="0" w:after="0" w:line="360" w:lineRule="auto"/>
        <w:jc w:val="both"/>
        <w:rPr>
          <w:rFonts w:ascii="Times New Roman" w:hAnsi="Times New Roman" w:cs="Times New Roman"/>
          <w:sz w:val="24"/>
          <w:szCs w:val="24"/>
        </w:rPr>
      </w:pPr>
      <w:bookmarkStart w:id="197" w:name="_Toc471484557"/>
      <w:r w:rsidRPr="005347D4">
        <w:rPr>
          <w:rFonts w:ascii="Times New Roman" w:hAnsi="Times New Roman" w:cs="Times New Roman"/>
          <w:sz w:val="24"/>
          <w:szCs w:val="24"/>
        </w:rPr>
        <w:lastRenderedPageBreak/>
        <w:t xml:space="preserve">Annexe  </w:t>
      </w:r>
      <w:r w:rsidR="00624E6D">
        <w:rPr>
          <w:rFonts w:ascii="Times New Roman" w:hAnsi="Times New Roman" w:cs="Times New Roman"/>
          <w:sz w:val="24"/>
          <w:szCs w:val="24"/>
        </w:rPr>
        <w:t>10</w:t>
      </w:r>
      <w:r w:rsidR="00203CE9">
        <w:rPr>
          <w:rFonts w:ascii="Times New Roman" w:hAnsi="Times New Roman" w:cs="Times New Roman"/>
          <w:sz w:val="24"/>
          <w:szCs w:val="24"/>
        </w:rPr>
        <w:t xml:space="preserve"> : </w:t>
      </w:r>
      <w:r w:rsidR="00203CE9" w:rsidRPr="005347D4">
        <w:rPr>
          <w:rFonts w:ascii="Times New Roman" w:hAnsi="Times New Roman" w:cs="Times New Roman"/>
          <w:sz w:val="24"/>
          <w:szCs w:val="24"/>
        </w:rPr>
        <w:t>Inventaire</w:t>
      </w:r>
      <w:r>
        <w:rPr>
          <w:rFonts w:ascii="Times New Roman" w:hAnsi="Times New Roman" w:cs="Times New Roman"/>
          <w:sz w:val="24"/>
          <w:szCs w:val="24"/>
        </w:rPr>
        <w:t xml:space="preserve"> des tableaux</w:t>
      </w:r>
      <w:bookmarkEnd w:id="196"/>
      <w:bookmarkEnd w:id="197"/>
    </w:p>
    <w:p w:rsidR="002D0657" w:rsidRDefault="002D0657" w:rsidP="002D0657">
      <w:pPr>
        <w:tabs>
          <w:tab w:val="left" w:pos="1423"/>
        </w:tabs>
        <w:spacing w:after="0"/>
        <w:rPr>
          <w:rFonts w:ascii="Times New Roman" w:hAnsi="Times New Roman"/>
          <w:lang w:eastAsia="fr-FR"/>
        </w:rPr>
      </w:pPr>
    </w:p>
    <w:p w:rsidR="002D0657" w:rsidRDefault="002D0657" w:rsidP="002D0657">
      <w:pPr>
        <w:tabs>
          <w:tab w:val="left" w:pos="1423"/>
        </w:tabs>
        <w:spacing w:after="0"/>
        <w:rPr>
          <w:rFonts w:ascii="Times New Roman" w:hAnsi="Times New Roman"/>
          <w:lang w:eastAsia="fr-FR"/>
        </w:rPr>
      </w:pPr>
    </w:p>
    <w:tbl>
      <w:tblPr>
        <w:tblStyle w:val="Grilleclaire-Accent2"/>
        <w:tblpPr w:leftFromText="141" w:rightFromText="141" w:vertAnchor="page" w:horzAnchor="margin" w:tblpY="2922"/>
        <w:tblW w:w="0" w:type="auto"/>
        <w:tblLook w:val="04A0"/>
      </w:tblPr>
      <w:tblGrid>
        <w:gridCol w:w="647"/>
        <w:gridCol w:w="6563"/>
        <w:gridCol w:w="1000"/>
      </w:tblGrid>
      <w:tr w:rsidR="00203CE9" w:rsidTr="00203CE9">
        <w:trPr>
          <w:cnfStyle w:val="100000000000"/>
        </w:trPr>
        <w:tc>
          <w:tcPr>
            <w:cnfStyle w:val="001000000000"/>
            <w:tcW w:w="675" w:type="dxa"/>
            <w:tcBorders>
              <w:top w:val="nil"/>
              <w:left w:val="nil"/>
            </w:tcBorders>
          </w:tcPr>
          <w:p w:rsidR="00203CE9" w:rsidRPr="005C12F3" w:rsidRDefault="00203CE9" w:rsidP="00203CE9">
            <w:pPr>
              <w:tabs>
                <w:tab w:val="left" w:pos="1423"/>
              </w:tabs>
              <w:spacing w:after="0" w:line="240" w:lineRule="auto"/>
              <w:jc w:val="center"/>
              <w:rPr>
                <w:rFonts w:ascii="Times New Roman" w:hAnsi="Times New Roman"/>
                <w:b w:val="0"/>
                <w:bCs w:val="0"/>
                <w:sz w:val="24"/>
                <w:szCs w:val="24"/>
                <w:lang w:eastAsia="fr-FR"/>
              </w:rPr>
            </w:pPr>
            <w:bookmarkStart w:id="198" w:name="_Toc449044199"/>
          </w:p>
        </w:tc>
        <w:tc>
          <w:tcPr>
            <w:tcW w:w="7026" w:type="dxa"/>
          </w:tcPr>
          <w:p w:rsidR="00203CE9" w:rsidRPr="00203CE9" w:rsidRDefault="00203CE9" w:rsidP="00203CE9">
            <w:pPr>
              <w:tabs>
                <w:tab w:val="left" w:pos="1423"/>
              </w:tabs>
              <w:spacing w:after="0" w:line="240" w:lineRule="auto"/>
              <w:jc w:val="center"/>
              <w:cnfStyle w:val="100000000000"/>
              <w:rPr>
                <w:rFonts w:ascii="Times New Roman" w:hAnsi="Times New Roman"/>
                <w:sz w:val="24"/>
                <w:szCs w:val="24"/>
                <w:lang w:eastAsia="fr-FR"/>
              </w:rPr>
            </w:pPr>
            <w:r w:rsidRPr="00203CE9">
              <w:rPr>
                <w:rFonts w:ascii="Times New Roman" w:hAnsi="Times New Roman"/>
                <w:sz w:val="24"/>
                <w:szCs w:val="24"/>
                <w:lang w:eastAsia="fr-FR"/>
              </w:rPr>
              <w:t>Tableaux</w:t>
            </w:r>
          </w:p>
        </w:tc>
        <w:tc>
          <w:tcPr>
            <w:tcW w:w="1018" w:type="dxa"/>
          </w:tcPr>
          <w:p w:rsidR="00203CE9" w:rsidRPr="00203CE9" w:rsidRDefault="00203CE9" w:rsidP="00203CE9">
            <w:pPr>
              <w:tabs>
                <w:tab w:val="left" w:pos="1423"/>
              </w:tabs>
              <w:spacing w:after="0" w:line="240" w:lineRule="auto"/>
              <w:jc w:val="center"/>
              <w:cnfStyle w:val="100000000000"/>
              <w:rPr>
                <w:rFonts w:ascii="Times New Roman" w:hAnsi="Times New Roman"/>
                <w:sz w:val="24"/>
                <w:szCs w:val="24"/>
                <w:lang w:eastAsia="fr-FR"/>
              </w:rPr>
            </w:pPr>
            <w:r w:rsidRPr="00203CE9">
              <w:rPr>
                <w:rFonts w:ascii="Times New Roman" w:hAnsi="Times New Roman"/>
                <w:sz w:val="24"/>
                <w:szCs w:val="24"/>
                <w:lang w:eastAsia="fr-FR"/>
              </w:rPr>
              <w:t>Pages</w:t>
            </w:r>
          </w:p>
        </w:tc>
      </w:tr>
      <w:tr w:rsidR="00203CE9" w:rsidTr="00203CE9">
        <w:trPr>
          <w:cnfStyle w:val="000000100000"/>
        </w:trPr>
        <w:tc>
          <w:tcPr>
            <w:cnfStyle w:val="001000000000"/>
            <w:tcW w:w="675" w:type="dxa"/>
          </w:tcPr>
          <w:p w:rsidR="00203CE9" w:rsidRPr="00203CE9" w:rsidRDefault="00203CE9" w:rsidP="00203CE9">
            <w:pPr>
              <w:spacing w:after="0" w:line="240" w:lineRule="auto"/>
              <w:jc w:val="center"/>
              <w:rPr>
                <w:rFonts w:ascii="Times New Roman" w:eastAsia="Times New Roman" w:hAnsi="Times New Roman"/>
                <w:b w:val="0"/>
                <w:bCs w:val="0"/>
                <w:color w:val="000000"/>
                <w:sz w:val="24"/>
                <w:szCs w:val="24"/>
                <w:lang w:eastAsia="fr-FR"/>
              </w:rPr>
            </w:pPr>
            <w:r>
              <w:rPr>
                <w:rFonts w:ascii="Times New Roman" w:eastAsia="Times New Roman" w:hAnsi="Times New Roman"/>
                <w:b w:val="0"/>
                <w:bCs w:val="0"/>
                <w:color w:val="000000"/>
                <w:sz w:val="24"/>
                <w:szCs w:val="24"/>
                <w:lang w:eastAsia="fr-FR"/>
              </w:rPr>
              <w:t>1</w:t>
            </w:r>
          </w:p>
        </w:tc>
        <w:tc>
          <w:tcPr>
            <w:tcW w:w="7026" w:type="dxa"/>
          </w:tcPr>
          <w:p w:rsidR="00203CE9" w:rsidRPr="005C12F3" w:rsidRDefault="007C36B0" w:rsidP="00203CE9">
            <w:pPr>
              <w:spacing w:after="0" w:line="240" w:lineRule="auto"/>
              <w:jc w:val="both"/>
              <w:cnfStyle w:val="000000100000"/>
              <w:rPr>
                <w:rFonts w:ascii="Times New Roman" w:hAnsi="Times New Roman"/>
                <w:sz w:val="24"/>
                <w:szCs w:val="24"/>
                <w:lang w:eastAsia="fr-FR"/>
              </w:rPr>
            </w:pPr>
            <w:r>
              <w:rPr>
                <w:rFonts w:ascii="Times New Roman" w:eastAsia="Times New Roman" w:hAnsi="Times New Roman"/>
                <w:color w:val="000000"/>
                <w:sz w:val="24"/>
                <w:szCs w:val="24"/>
                <w:lang w:eastAsia="fr-FR"/>
              </w:rPr>
              <w:t>F</w:t>
            </w:r>
            <w:r w:rsidR="00203CE9" w:rsidRPr="005C12F3">
              <w:rPr>
                <w:rFonts w:ascii="Times New Roman" w:eastAsia="Times New Roman" w:hAnsi="Times New Roman"/>
                <w:color w:val="000000"/>
                <w:sz w:val="24"/>
                <w:szCs w:val="24"/>
                <w:lang w:eastAsia="fr-FR"/>
              </w:rPr>
              <w:t>réquence et ordre des personnages dans les trois actes</w:t>
            </w:r>
          </w:p>
        </w:tc>
        <w:tc>
          <w:tcPr>
            <w:tcW w:w="1018" w:type="dxa"/>
          </w:tcPr>
          <w:p w:rsidR="00203CE9" w:rsidRPr="005C12F3" w:rsidRDefault="00203CE9" w:rsidP="007C36B0">
            <w:pPr>
              <w:tabs>
                <w:tab w:val="left" w:pos="1423"/>
              </w:tabs>
              <w:spacing w:after="0" w:line="240" w:lineRule="auto"/>
              <w:jc w:val="center"/>
              <w:cnfStyle w:val="000000100000"/>
              <w:rPr>
                <w:rFonts w:ascii="Times New Roman" w:hAnsi="Times New Roman"/>
                <w:sz w:val="24"/>
                <w:szCs w:val="24"/>
                <w:lang w:eastAsia="fr-FR"/>
              </w:rPr>
            </w:pPr>
            <w:r w:rsidRPr="005C12F3">
              <w:rPr>
                <w:rFonts w:ascii="Times New Roman" w:hAnsi="Times New Roman"/>
                <w:sz w:val="24"/>
                <w:szCs w:val="24"/>
                <w:lang w:eastAsia="fr-FR"/>
              </w:rPr>
              <w:t>14</w:t>
            </w:r>
            <w:r w:rsidR="007C36B0">
              <w:rPr>
                <w:rFonts w:ascii="Times New Roman" w:hAnsi="Times New Roman"/>
                <w:sz w:val="24"/>
                <w:szCs w:val="24"/>
                <w:lang w:eastAsia="fr-FR"/>
              </w:rPr>
              <w:t>1</w:t>
            </w:r>
          </w:p>
        </w:tc>
      </w:tr>
      <w:tr w:rsidR="00203CE9" w:rsidTr="00203CE9">
        <w:trPr>
          <w:cnfStyle w:val="000000010000"/>
        </w:trPr>
        <w:tc>
          <w:tcPr>
            <w:cnfStyle w:val="001000000000"/>
            <w:tcW w:w="675" w:type="dxa"/>
          </w:tcPr>
          <w:p w:rsidR="00203CE9" w:rsidRPr="00203CE9" w:rsidRDefault="00203CE9" w:rsidP="00203CE9">
            <w:pPr>
              <w:tabs>
                <w:tab w:val="left" w:pos="1423"/>
              </w:tabs>
              <w:spacing w:after="0" w:line="240" w:lineRule="auto"/>
              <w:jc w:val="center"/>
              <w:rPr>
                <w:rFonts w:ascii="Times New Roman" w:eastAsia="Times New Roman" w:hAnsi="Times New Roman"/>
                <w:b w:val="0"/>
                <w:bCs w:val="0"/>
                <w:sz w:val="24"/>
                <w:szCs w:val="24"/>
                <w:lang w:eastAsia="fr-FR"/>
              </w:rPr>
            </w:pPr>
            <w:r>
              <w:rPr>
                <w:rFonts w:ascii="Times New Roman" w:eastAsia="Times New Roman" w:hAnsi="Times New Roman"/>
                <w:b w:val="0"/>
                <w:bCs w:val="0"/>
                <w:sz w:val="24"/>
                <w:szCs w:val="24"/>
                <w:lang w:eastAsia="fr-FR"/>
              </w:rPr>
              <w:t>2</w:t>
            </w:r>
          </w:p>
        </w:tc>
        <w:tc>
          <w:tcPr>
            <w:tcW w:w="7026" w:type="dxa"/>
          </w:tcPr>
          <w:p w:rsidR="00203CE9" w:rsidRPr="005C12F3" w:rsidRDefault="007C36B0" w:rsidP="00203CE9">
            <w:pPr>
              <w:tabs>
                <w:tab w:val="left" w:pos="1423"/>
              </w:tabs>
              <w:spacing w:after="0" w:line="240" w:lineRule="auto"/>
              <w:jc w:val="both"/>
              <w:cnfStyle w:val="000000010000"/>
              <w:rPr>
                <w:rFonts w:ascii="Times New Roman" w:hAnsi="Times New Roman"/>
                <w:sz w:val="24"/>
                <w:szCs w:val="24"/>
                <w:lang w:eastAsia="fr-FR"/>
              </w:rPr>
            </w:pPr>
            <w:r>
              <w:rPr>
                <w:rFonts w:ascii="Times New Roman" w:eastAsia="Times New Roman" w:hAnsi="Times New Roman"/>
                <w:sz w:val="24"/>
                <w:szCs w:val="24"/>
                <w:lang w:eastAsia="fr-FR"/>
              </w:rPr>
              <w:t>L</w:t>
            </w:r>
            <w:r w:rsidR="00203CE9" w:rsidRPr="005C12F3">
              <w:rPr>
                <w:rFonts w:ascii="Times New Roman" w:eastAsia="Times New Roman" w:hAnsi="Times New Roman"/>
                <w:sz w:val="24"/>
                <w:szCs w:val="24"/>
                <w:lang w:eastAsia="fr-FR"/>
              </w:rPr>
              <w:t>’usage des temps verbaux</w:t>
            </w:r>
          </w:p>
        </w:tc>
        <w:tc>
          <w:tcPr>
            <w:tcW w:w="1018" w:type="dxa"/>
          </w:tcPr>
          <w:p w:rsidR="00203CE9" w:rsidRPr="005C12F3" w:rsidRDefault="00203CE9" w:rsidP="007C36B0">
            <w:pPr>
              <w:tabs>
                <w:tab w:val="left" w:pos="1423"/>
              </w:tabs>
              <w:spacing w:after="0" w:line="240" w:lineRule="auto"/>
              <w:jc w:val="center"/>
              <w:cnfStyle w:val="000000010000"/>
              <w:rPr>
                <w:rFonts w:ascii="Times New Roman" w:hAnsi="Times New Roman"/>
                <w:sz w:val="24"/>
                <w:szCs w:val="24"/>
                <w:lang w:eastAsia="fr-FR"/>
              </w:rPr>
            </w:pPr>
            <w:r w:rsidRPr="005C12F3">
              <w:rPr>
                <w:rFonts w:ascii="Times New Roman" w:hAnsi="Times New Roman"/>
                <w:sz w:val="24"/>
                <w:szCs w:val="24"/>
                <w:lang w:eastAsia="fr-FR"/>
              </w:rPr>
              <w:t>1</w:t>
            </w:r>
            <w:r w:rsidR="007C36B0">
              <w:rPr>
                <w:rFonts w:ascii="Times New Roman" w:hAnsi="Times New Roman"/>
                <w:sz w:val="24"/>
                <w:szCs w:val="24"/>
                <w:lang w:eastAsia="fr-FR"/>
              </w:rPr>
              <w:t>56</w:t>
            </w:r>
          </w:p>
        </w:tc>
      </w:tr>
      <w:tr w:rsidR="00203CE9" w:rsidTr="00203CE9">
        <w:trPr>
          <w:cnfStyle w:val="000000100000"/>
        </w:trPr>
        <w:tc>
          <w:tcPr>
            <w:cnfStyle w:val="001000000000"/>
            <w:tcW w:w="675"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Pr>
                <w:rFonts w:ascii="Times New Roman" w:hAnsi="Times New Roman"/>
                <w:b w:val="0"/>
                <w:bCs w:val="0"/>
                <w:sz w:val="24"/>
                <w:szCs w:val="24"/>
                <w:lang w:eastAsia="fr-FR"/>
              </w:rPr>
              <w:t>3</w:t>
            </w:r>
          </w:p>
        </w:tc>
        <w:tc>
          <w:tcPr>
            <w:tcW w:w="7026" w:type="dxa"/>
          </w:tcPr>
          <w:p w:rsidR="00203CE9" w:rsidRPr="005C12F3" w:rsidRDefault="007C36B0" w:rsidP="007C36B0">
            <w:pPr>
              <w:tabs>
                <w:tab w:val="left" w:pos="1423"/>
              </w:tabs>
              <w:spacing w:after="0" w:line="240" w:lineRule="auto"/>
              <w:jc w:val="both"/>
              <w:cnfStyle w:val="000000100000"/>
              <w:rPr>
                <w:rFonts w:ascii="Times New Roman" w:hAnsi="Times New Roman"/>
                <w:sz w:val="24"/>
                <w:szCs w:val="24"/>
                <w:lang w:eastAsia="fr-FR"/>
              </w:rPr>
            </w:pPr>
            <w:r>
              <w:rPr>
                <w:rFonts w:ascii="Times New Roman" w:hAnsi="Times New Roman"/>
                <w:sz w:val="24"/>
                <w:szCs w:val="24"/>
                <w:lang w:eastAsia="fr-FR"/>
              </w:rPr>
              <w:t>É</w:t>
            </w:r>
            <w:r w:rsidR="00203CE9" w:rsidRPr="005C12F3">
              <w:rPr>
                <w:rFonts w:ascii="Times New Roman" w:hAnsi="Times New Roman"/>
                <w:sz w:val="24"/>
                <w:szCs w:val="24"/>
                <w:lang w:eastAsia="fr-FR"/>
              </w:rPr>
              <w:t>volution de Barabbas</w:t>
            </w:r>
          </w:p>
        </w:tc>
        <w:tc>
          <w:tcPr>
            <w:tcW w:w="1018" w:type="dxa"/>
          </w:tcPr>
          <w:p w:rsidR="00203CE9" w:rsidRPr="005C12F3" w:rsidRDefault="00203CE9" w:rsidP="007C36B0">
            <w:pPr>
              <w:tabs>
                <w:tab w:val="left" w:pos="1423"/>
              </w:tabs>
              <w:spacing w:after="0" w:line="240" w:lineRule="auto"/>
              <w:jc w:val="center"/>
              <w:cnfStyle w:val="000000100000"/>
              <w:rPr>
                <w:rFonts w:ascii="Times New Roman" w:hAnsi="Times New Roman"/>
                <w:sz w:val="24"/>
                <w:szCs w:val="24"/>
                <w:lang w:eastAsia="fr-FR"/>
              </w:rPr>
            </w:pPr>
            <w:r w:rsidRPr="005C12F3">
              <w:rPr>
                <w:rFonts w:ascii="Times New Roman" w:hAnsi="Times New Roman"/>
                <w:sz w:val="24"/>
                <w:szCs w:val="24"/>
                <w:lang w:eastAsia="fr-FR"/>
              </w:rPr>
              <w:t>1</w:t>
            </w:r>
            <w:r w:rsidR="007C36B0">
              <w:rPr>
                <w:rFonts w:ascii="Times New Roman" w:hAnsi="Times New Roman"/>
                <w:sz w:val="24"/>
                <w:szCs w:val="24"/>
                <w:lang w:eastAsia="fr-FR"/>
              </w:rPr>
              <w:t>78</w:t>
            </w:r>
          </w:p>
        </w:tc>
      </w:tr>
      <w:tr w:rsidR="00203CE9" w:rsidTr="00203CE9">
        <w:trPr>
          <w:cnfStyle w:val="000000010000"/>
        </w:trPr>
        <w:tc>
          <w:tcPr>
            <w:cnfStyle w:val="001000000000"/>
            <w:tcW w:w="675" w:type="dxa"/>
          </w:tcPr>
          <w:p w:rsidR="00203CE9" w:rsidRPr="00203CE9" w:rsidRDefault="00203CE9" w:rsidP="00203CE9">
            <w:pPr>
              <w:tabs>
                <w:tab w:val="left" w:pos="1423"/>
              </w:tabs>
              <w:spacing w:after="0" w:line="240" w:lineRule="auto"/>
              <w:jc w:val="center"/>
              <w:rPr>
                <w:rFonts w:ascii="Times New Roman" w:hAnsi="Times New Roman"/>
                <w:b w:val="0"/>
                <w:bCs w:val="0"/>
                <w:color w:val="000000"/>
                <w:sz w:val="24"/>
                <w:szCs w:val="24"/>
                <w:lang w:eastAsia="fr-FR"/>
              </w:rPr>
            </w:pPr>
            <w:r>
              <w:rPr>
                <w:rFonts w:ascii="Times New Roman" w:hAnsi="Times New Roman"/>
                <w:b w:val="0"/>
                <w:bCs w:val="0"/>
                <w:color w:val="000000"/>
                <w:sz w:val="24"/>
                <w:szCs w:val="24"/>
                <w:lang w:eastAsia="fr-FR"/>
              </w:rPr>
              <w:t>4</w:t>
            </w:r>
          </w:p>
        </w:tc>
        <w:tc>
          <w:tcPr>
            <w:tcW w:w="7026" w:type="dxa"/>
          </w:tcPr>
          <w:p w:rsidR="00203CE9" w:rsidRPr="005C12F3" w:rsidRDefault="00203CE9" w:rsidP="00203CE9">
            <w:pPr>
              <w:tabs>
                <w:tab w:val="left" w:pos="1423"/>
              </w:tabs>
              <w:spacing w:after="0" w:line="240" w:lineRule="auto"/>
              <w:jc w:val="both"/>
              <w:cnfStyle w:val="000000010000"/>
              <w:rPr>
                <w:rFonts w:ascii="Times New Roman" w:hAnsi="Times New Roman"/>
                <w:sz w:val="24"/>
                <w:szCs w:val="24"/>
                <w:lang w:eastAsia="fr-FR"/>
              </w:rPr>
            </w:pPr>
            <w:r w:rsidRPr="005C12F3">
              <w:rPr>
                <w:rFonts w:ascii="Times New Roman" w:hAnsi="Times New Roman"/>
                <w:color w:val="000000"/>
                <w:sz w:val="24"/>
                <w:szCs w:val="24"/>
                <w:lang w:eastAsia="fr-FR"/>
              </w:rPr>
              <w:t>Les personnages selon ordre et fréquence d’apparition</w:t>
            </w:r>
          </w:p>
        </w:tc>
        <w:tc>
          <w:tcPr>
            <w:tcW w:w="1018" w:type="dxa"/>
          </w:tcPr>
          <w:p w:rsidR="00203CE9" w:rsidRPr="005C12F3" w:rsidRDefault="00203CE9" w:rsidP="007C36B0">
            <w:pPr>
              <w:tabs>
                <w:tab w:val="left" w:pos="1423"/>
              </w:tabs>
              <w:spacing w:after="0" w:line="240" w:lineRule="auto"/>
              <w:jc w:val="center"/>
              <w:cnfStyle w:val="000000010000"/>
              <w:rPr>
                <w:rFonts w:ascii="Times New Roman" w:hAnsi="Times New Roman"/>
                <w:sz w:val="24"/>
                <w:szCs w:val="24"/>
                <w:lang w:eastAsia="fr-FR"/>
              </w:rPr>
            </w:pPr>
            <w:r w:rsidRPr="005C12F3">
              <w:rPr>
                <w:rFonts w:ascii="Times New Roman" w:hAnsi="Times New Roman"/>
                <w:sz w:val="24"/>
                <w:szCs w:val="24"/>
                <w:lang w:eastAsia="fr-FR"/>
              </w:rPr>
              <w:t>18</w:t>
            </w:r>
            <w:r w:rsidR="007C36B0">
              <w:rPr>
                <w:rFonts w:ascii="Times New Roman" w:hAnsi="Times New Roman"/>
                <w:sz w:val="24"/>
                <w:szCs w:val="24"/>
                <w:lang w:eastAsia="fr-FR"/>
              </w:rPr>
              <w:t>3</w:t>
            </w:r>
          </w:p>
        </w:tc>
      </w:tr>
    </w:tbl>
    <w:p w:rsidR="00E569F2" w:rsidRDefault="00E569F2" w:rsidP="00624E6D">
      <w:pPr>
        <w:pStyle w:val="Titre3"/>
        <w:pBdr>
          <w:bottom w:val="single" w:sz="6" w:space="1" w:color="auto"/>
        </w:pBdr>
        <w:spacing w:before="0" w:after="0"/>
        <w:jc w:val="both"/>
        <w:rPr>
          <w:rFonts w:ascii="Times New Roman" w:hAnsi="Times New Roman" w:cs="Times New Roman"/>
          <w:sz w:val="24"/>
          <w:szCs w:val="24"/>
        </w:rPr>
      </w:pPr>
    </w:p>
    <w:p w:rsidR="00203CE9" w:rsidRPr="00203CE9" w:rsidRDefault="00203CE9" w:rsidP="00203CE9">
      <w:pPr>
        <w:rPr>
          <w:lang w:eastAsia="fr-FR"/>
        </w:rPr>
      </w:pPr>
    </w:p>
    <w:p w:rsidR="002D0657" w:rsidRPr="005347D4" w:rsidRDefault="002D0657" w:rsidP="004C67F1">
      <w:pPr>
        <w:pStyle w:val="Titre3"/>
        <w:pBdr>
          <w:bottom w:val="single" w:sz="6" w:space="1" w:color="auto"/>
        </w:pBdr>
        <w:spacing w:before="0" w:after="0" w:line="360" w:lineRule="auto"/>
        <w:jc w:val="both"/>
        <w:rPr>
          <w:rFonts w:ascii="Times New Roman" w:hAnsi="Times New Roman" w:cs="Times New Roman"/>
          <w:sz w:val="24"/>
          <w:szCs w:val="24"/>
        </w:rPr>
      </w:pPr>
      <w:bookmarkStart w:id="199" w:name="_Toc471484558"/>
      <w:r w:rsidRPr="005347D4">
        <w:rPr>
          <w:rFonts w:ascii="Times New Roman" w:hAnsi="Times New Roman" w:cs="Times New Roman"/>
          <w:sz w:val="24"/>
          <w:szCs w:val="24"/>
        </w:rPr>
        <w:t xml:space="preserve">Annexe  </w:t>
      </w:r>
      <w:r w:rsidR="005B0E24">
        <w:rPr>
          <w:rFonts w:ascii="Times New Roman" w:hAnsi="Times New Roman" w:cs="Times New Roman"/>
          <w:sz w:val="24"/>
          <w:szCs w:val="24"/>
        </w:rPr>
        <w:t>1</w:t>
      </w:r>
      <w:r w:rsidR="00624E6D">
        <w:rPr>
          <w:rFonts w:ascii="Times New Roman" w:hAnsi="Times New Roman" w:cs="Times New Roman"/>
          <w:sz w:val="24"/>
          <w:szCs w:val="24"/>
        </w:rPr>
        <w:t>1</w:t>
      </w:r>
      <w:r w:rsidR="004C67F1">
        <w:rPr>
          <w:rFonts w:ascii="Times New Roman" w:hAnsi="Times New Roman" w:cs="Times New Roman"/>
          <w:sz w:val="24"/>
          <w:szCs w:val="24"/>
        </w:rPr>
        <w:t> :</w:t>
      </w:r>
      <w:r w:rsidRPr="005347D4">
        <w:rPr>
          <w:rFonts w:ascii="Times New Roman" w:hAnsi="Times New Roman" w:cs="Times New Roman"/>
          <w:sz w:val="24"/>
          <w:szCs w:val="24"/>
        </w:rPr>
        <w:t xml:space="preserve"> </w:t>
      </w:r>
      <w:r>
        <w:rPr>
          <w:rFonts w:ascii="Times New Roman" w:hAnsi="Times New Roman" w:cs="Times New Roman"/>
          <w:sz w:val="24"/>
          <w:szCs w:val="24"/>
        </w:rPr>
        <w:t>Inventaire des schémas</w:t>
      </w:r>
      <w:bookmarkEnd w:id="198"/>
      <w:bookmarkEnd w:id="199"/>
    </w:p>
    <w:p w:rsidR="002D0657" w:rsidRDefault="002D0657" w:rsidP="002D0657">
      <w:pPr>
        <w:tabs>
          <w:tab w:val="left" w:pos="1423"/>
        </w:tabs>
        <w:spacing w:after="0"/>
        <w:rPr>
          <w:rFonts w:ascii="Times New Roman" w:hAnsi="Times New Roman"/>
          <w:lang w:eastAsia="fr-FR"/>
        </w:rPr>
      </w:pPr>
    </w:p>
    <w:tbl>
      <w:tblPr>
        <w:tblStyle w:val="Grilleclaire-Accent2"/>
        <w:tblW w:w="0" w:type="auto"/>
        <w:tblLook w:val="04A0"/>
      </w:tblPr>
      <w:tblGrid>
        <w:gridCol w:w="908"/>
        <w:gridCol w:w="6302"/>
        <w:gridCol w:w="1000"/>
      </w:tblGrid>
      <w:tr w:rsidR="00203CE9" w:rsidTr="00203CE9">
        <w:trPr>
          <w:cnfStyle w:val="100000000000"/>
        </w:trPr>
        <w:tc>
          <w:tcPr>
            <w:cnfStyle w:val="001000000000"/>
            <w:tcW w:w="959" w:type="dxa"/>
            <w:tcBorders>
              <w:top w:val="nil"/>
              <w:left w:val="nil"/>
            </w:tcBorders>
          </w:tcPr>
          <w:p w:rsidR="00203CE9" w:rsidRPr="00203CE9" w:rsidRDefault="00203CE9" w:rsidP="00203CE9">
            <w:pPr>
              <w:tabs>
                <w:tab w:val="left" w:pos="1423"/>
              </w:tabs>
              <w:spacing w:after="0" w:line="240" w:lineRule="auto"/>
              <w:jc w:val="center"/>
              <w:rPr>
                <w:rFonts w:ascii="Times New Roman" w:hAnsi="Times New Roman"/>
                <w:sz w:val="24"/>
                <w:szCs w:val="24"/>
                <w:lang w:eastAsia="fr-FR"/>
              </w:rPr>
            </w:pPr>
          </w:p>
        </w:tc>
        <w:tc>
          <w:tcPr>
            <w:tcW w:w="6742" w:type="dxa"/>
          </w:tcPr>
          <w:p w:rsidR="00203CE9" w:rsidRPr="00203CE9" w:rsidRDefault="00203CE9" w:rsidP="00F43629">
            <w:pPr>
              <w:tabs>
                <w:tab w:val="left" w:pos="1423"/>
              </w:tabs>
              <w:spacing w:after="0" w:line="240" w:lineRule="auto"/>
              <w:jc w:val="center"/>
              <w:cnfStyle w:val="100000000000"/>
              <w:rPr>
                <w:rFonts w:ascii="Times New Roman" w:hAnsi="Times New Roman"/>
                <w:sz w:val="24"/>
                <w:szCs w:val="24"/>
                <w:lang w:eastAsia="fr-FR"/>
              </w:rPr>
            </w:pPr>
            <w:r w:rsidRPr="00203CE9">
              <w:rPr>
                <w:rFonts w:ascii="Times New Roman" w:hAnsi="Times New Roman"/>
                <w:sz w:val="24"/>
                <w:szCs w:val="24"/>
                <w:lang w:eastAsia="fr-FR"/>
              </w:rPr>
              <w:t>Schémas</w:t>
            </w:r>
          </w:p>
        </w:tc>
        <w:tc>
          <w:tcPr>
            <w:tcW w:w="1018" w:type="dxa"/>
          </w:tcPr>
          <w:p w:rsidR="00203CE9" w:rsidRPr="00203CE9" w:rsidRDefault="00203CE9" w:rsidP="00F43629">
            <w:pPr>
              <w:tabs>
                <w:tab w:val="left" w:pos="1423"/>
              </w:tabs>
              <w:spacing w:after="0" w:line="240" w:lineRule="auto"/>
              <w:jc w:val="center"/>
              <w:cnfStyle w:val="100000000000"/>
              <w:rPr>
                <w:rFonts w:ascii="Times New Roman" w:hAnsi="Times New Roman"/>
                <w:sz w:val="24"/>
                <w:szCs w:val="24"/>
                <w:lang w:eastAsia="fr-FR"/>
              </w:rPr>
            </w:pPr>
            <w:r w:rsidRPr="00203CE9">
              <w:rPr>
                <w:rFonts w:ascii="Times New Roman" w:hAnsi="Times New Roman"/>
                <w:sz w:val="24"/>
                <w:szCs w:val="24"/>
                <w:lang w:eastAsia="fr-FR"/>
              </w:rPr>
              <w:t>Pages</w:t>
            </w:r>
          </w:p>
        </w:tc>
      </w:tr>
      <w:tr w:rsidR="00203CE9" w:rsidTr="00203CE9">
        <w:trPr>
          <w:cnfStyle w:val="00000010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1</w:t>
            </w:r>
          </w:p>
        </w:tc>
        <w:tc>
          <w:tcPr>
            <w:tcW w:w="6742" w:type="dxa"/>
          </w:tcPr>
          <w:p w:rsidR="00203CE9" w:rsidRPr="00E569F2" w:rsidRDefault="00203CE9" w:rsidP="00E569F2">
            <w:pPr>
              <w:tabs>
                <w:tab w:val="left" w:pos="1423"/>
              </w:tabs>
              <w:spacing w:after="0" w:line="240" w:lineRule="auto"/>
              <w:jc w:val="both"/>
              <w:cnfStyle w:val="000000100000"/>
              <w:rPr>
                <w:rFonts w:ascii="Times New Roman" w:hAnsi="Times New Roman"/>
                <w:sz w:val="24"/>
                <w:szCs w:val="24"/>
                <w:lang w:eastAsia="fr-FR"/>
              </w:rPr>
            </w:pPr>
            <w:r w:rsidRPr="00E569F2">
              <w:rPr>
                <w:rFonts w:ascii="Times New Roman" w:hAnsi="Times New Roman"/>
                <w:sz w:val="24"/>
                <w:szCs w:val="24"/>
                <w:lang w:eastAsia="fr-FR"/>
              </w:rPr>
              <w:t>Schéma pour l’Actant-Slimane</w:t>
            </w:r>
          </w:p>
        </w:tc>
        <w:tc>
          <w:tcPr>
            <w:tcW w:w="1018" w:type="dxa"/>
          </w:tcPr>
          <w:p w:rsidR="00203CE9" w:rsidRPr="00E569F2" w:rsidRDefault="00203CE9" w:rsidP="00F32A4D">
            <w:pPr>
              <w:tabs>
                <w:tab w:val="left" w:pos="1423"/>
              </w:tabs>
              <w:spacing w:after="0" w:line="240" w:lineRule="auto"/>
              <w:jc w:val="center"/>
              <w:cnfStyle w:val="000000100000"/>
              <w:rPr>
                <w:rFonts w:ascii="Times New Roman" w:hAnsi="Times New Roman"/>
                <w:sz w:val="24"/>
                <w:szCs w:val="24"/>
                <w:lang w:eastAsia="fr-FR"/>
              </w:rPr>
            </w:pPr>
            <w:r w:rsidRPr="00E569F2">
              <w:rPr>
                <w:rFonts w:ascii="Times New Roman" w:hAnsi="Times New Roman"/>
                <w:sz w:val="24"/>
                <w:szCs w:val="24"/>
                <w:lang w:eastAsia="fr-FR"/>
              </w:rPr>
              <w:t>1</w:t>
            </w:r>
            <w:r w:rsidR="00F32A4D">
              <w:rPr>
                <w:rFonts w:ascii="Times New Roman" w:hAnsi="Times New Roman"/>
                <w:sz w:val="24"/>
                <w:szCs w:val="24"/>
                <w:lang w:eastAsia="fr-FR"/>
              </w:rPr>
              <w:t>49</w:t>
            </w:r>
          </w:p>
        </w:tc>
      </w:tr>
      <w:tr w:rsidR="00203CE9" w:rsidTr="00203CE9">
        <w:trPr>
          <w:cnfStyle w:val="00000001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2</w:t>
            </w:r>
          </w:p>
        </w:tc>
        <w:tc>
          <w:tcPr>
            <w:tcW w:w="6742" w:type="dxa"/>
          </w:tcPr>
          <w:p w:rsidR="00203CE9" w:rsidRPr="00E569F2" w:rsidRDefault="00203CE9" w:rsidP="00E569F2">
            <w:pPr>
              <w:tabs>
                <w:tab w:val="left" w:pos="1423"/>
              </w:tabs>
              <w:spacing w:after="0" w:line="240" w:lineRule="auto"/>
              <w:jc w:val="both"/>
              <w:cnfStyle w:val="000000010000"/>
              <w:rPr>
                <w:rFonts w:ascii="Times New Roman" w:hAnsi="Times New Roman"/>
                <w:sz w:val="24"/>
                <w:szCs w:val="24"/>
                <w:lang w:eastAsia="fr-FR"/>
              </w:rPr>
            </w:pPr>
            <w:r w:rsidRPr="00E569F2">
              <w:rPr>
                <w:rFonts w:ascii="Times New Roman" w:hAnsi="Times New Roman"/>
                <w:sz w:val="24"/>
                <w:szCs w:val="24"/>
                <w:lang w:eastAsia="fr-FR"/>
              </w:rPr>
              <w:t>Schéma pour l’Actant-</w:t>
            </w:r>
            <w:r w:rsidRPr="00E569F2">
              <w:rPr>
                <w:rFonts w:ascii="Times New Roman" w:eastAsia="Times New Roman" w:hAnsi="Times New Roman"/>
                <w:sz w:val="24"/>
                <w:szCs w:val="24"/>
                <w:lang w:eastAsia="fr-FR"/>
              </w:rPr>
              <w:t xml:space="preserve"> Les trois marabouts vertueux</w:t>
            </w:r>
          </w:p>
        </w:tc>
        <w:tc>
          <w:tcPr>
            <w:tcW w:w="1018" w:type="dxa"/>
          </w:tcPr>
          <w:p w:rsidR="00203CE9" w:rsidRPr="00E569F2" w:rsidRDefault="00203CE9" w:rsidP="00F32A4D">
            <w:pPr>
              <w:tabs>
                <w:tab w:val="left" w:pos="1423"/>
              </w:tabs>
              <w:spacing w:after="0" w:line="240" w:lineRule="auto"/>
              <w:jc w:val="center"/>
              <w:cnfStyle w:val="000000010000"/>
              <w:rPr>
                <w:rFonts w:ascii="Times New Roman" w:hAnsi="Times New Roman"/>
                <w:sz w:val="24"/>
                <w:szCs w:val="24"/>
                <w:lang w:eastAsia="fr-FR"/>
              </w:rPr>
            </w:pPr>
            <w:r w:rsidRPr="00E569F2">
              <w:rPr>
                <w:rFonts w:ascii="Times New Roman" w:hAnsi="Times New Roman"/>
                <w:sz w:val="24"/>
                <w:szCs w:val="24"/>
                <w:lang w:eastAsia="fr-FR"/>
              </w:rPr>
              <w:t>15</w:t>
            </w:r>
            <w:r w:rsidR="00F32A4D">
              <w:rPr>
                <w:rFonts w:ascii="Times New Roman" w:hAnsi="Times New Roman"/>
                <w:sz w:val="24"/>
                <w:szCs w:val="24"/>
                <w:lang w:eastAsia="fr-FR"/>
              </w:rPr>
              <w:t>0</w:t>
            </w:r>
          </w:p>
        </w:tc>
      </w:tr>
      <w:tr w:rsidR="00203CE9" w:rsidTr="00203CE9">
        <w:trPr>
          <w:cnfStyle w:val="00000010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3</w:t>
            </w:r>
          </w:p>
        </w:tc>
        <w:tc>
          <w:tcPr>
            <w:tcW w:w="6742" w:type="dxa"/>
          </w:tcPr>
          <w:p w:rsidR="00203CE9" w:rsidRPr="00E569F2" w:rsidRDefault="00203CE9" w:rsidP="00E569F2">
            <w:pPr>
              <w:tabs>
                <w:tab w:val="left" w:pos="1423"/>
              </w:tabs>
              <w:spacing w:after="0" w:line="240" w:lineRule="auto"/>
              <w:jc w:val="both"/>
              <w:cnfStyle w:val="000000100000"/>
              <w:rPr>
                <w:rFonts w:ascii="Times New Roman" w:hAnsi="Times New Roman"/>
                <w:sz w:val="24"/>
                <w:szCs w:val="24"/>
                <w:lang w:eastAsia="fr-FR"/>
              </w:rPr>
            </w:pPr>
            <w:r w:rsidRPr="00E569F2">
              <w:rPr>
                <w:rFonts w:ascii="Times New Roman" w:hAnsi="Times New Roman"/>
                <w:sz w:val="24"/>
                <w:szCs w:val="24"/>
                <w:lang w:eastAsia="fr-FR"/>
              </w:rPr>
              <w:t>Schéma pour l’Actant-</w:t>
            </w:r>
            <w:r w:rsidRPr="00E569F2">
              <w:rPr>
                <w:rFonts w:ascii="Times New Roman" w:eastAsia="Times New Roman" w:hAnsi="Times New Roman"/>
                <w:sz w:val="24"/>
                <w:szCs w:val="24"/>
                <w:lang w:eastAsia="fr-FR"/>
              </w:rPr>
              <w:t xml:space="preserve"> </w:t>
            </w:r>
            <w:r w:rsidRPr="00E569F2">
              <w:rPr>
                <w:rFonts w:ascii="Times New Roman" w:eastAsia="Times New Roman" w:hAnsi="Times New Roman"/>
                <w:bCs/>
                <w:sz w:val="24"/>
                <w:szCs w:val="24"/>
                <w:lang w:eastAsia="fr-FR"/>
              </w:rPr>
              <w:t>Halima</w:t>
            </w:r>
          </w:p>
        </w:tc>
        <w:tc>
          <w:tcPr>
            <w:tcW w:w="1018" w:type="dxa"/>
          </w:tcPr>
          <w:p w:rsidR="00203CE9" w:rsidRPr="00E569F2" w:rsidRDefault="00203CE9" w:rsidP="00F32A4D">
            <w:pPr>
              <w:tabs>
                <w:tab w:val="left" w:pos="1423"/>
              </w:tabs>
              <w:spacing w:after="0" w:line="240" w:lineRule="auto"/>
              <w:jc w:val="center"/>
              <w:cnfStyle w:val="000000100000"/>
              <w:rPr>
                <w:rFonts w:ascii="Times New Roman" w:hAnsi="Times New Roman"/>
                <w:sz w:val="24"/>
                <w:szCs w:val="24"/>
                <w:lang w:eastAsia="fr-FR"/>
              </w:rPr>
            </w:pPr>
            <w:r w:rsidRPr="00E569F2">
              <w:rPr>
                <w:rFonts w:ascii="Times New Roman" w:hAnsi="Times New Roman"/>
                <w:sz w:val="24"/>
                <w:szCs w:val="24"/>
                <w:lang w:eastAsia="fr-FR"/>
              </w:rPr>
              <w:t>15</w:t>
            </w:r>
            <w:r w:rsidR="00F32A4D">
              <w:rPr>
                <w:rFonts w:ascii="Times New Roman" w:hAnsi="Times New Roman"/>
                <w:sz w:val="24"/>
                <w:szCs w:val="24"/>
                <w:lang w:eastAsia="fr-FR"/>
              </w:rPr>
              <w:t>1</w:t>
            </w:r>
          </w:p>
        </w:tc>
      </w:tr>
      <w:tr w:rsidR="00203CE9" w:rsidTr="00203CE9">
        <w:trPr>
          <w:cnfStyle w:val="00000001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4</w:t>
            </w:r>
          </w:p>
        </w:tc>
        <w:tc>
          <w:tcPr>
            <w:tcW w:w="6742" w:type="dxa"/>
          </w:tcPr>
          <w:p w:rsidR="00203CE9" w:rsidRPr="00E569F2" w:rsidRDefault="00203CE9" w:rsidP="00E569F2">
            <w:pPr>
              <w:tabs>
                <w:tab w:val="left" w:pos="1423"/>
              </w:tabs>
              <w:spacing w:after="0" w:line="240" w:lineRule="auto"/>
              <w:jc w:val="both"/>
              <w:cnfStyle w:val="000000010000"/>
              <w:rPr>
                <w:rFonts w:ascii="Times New Roman" w:hAnsi="Times New Roman"/>
                <w:sz w:val="24"/>
                <w:szCs w:val="24"/>
                <w:lang w:eastAsia="fr-FR"/>
              </w:rPr>
            </w:pPr>
            <w:r w:rsidRPr="00E569F2">
              <w:rPr>
                <w:rFonts w:ascii="Times New Roman" w:hAnsi="Times New Roman"/>
                <w:sz w:val="24"/>
                <w:szCs w:val="24"/>
                <w:lang w:eastAsia="fr-FR"/>
              </w:rPr>
              <w:t>Schéma pour l’Actant Safi dit Fassi</w:t>
            </w:r>
          </w:p>
        </w:tc>
        <w:tc>
          <w:tcPr>
            <w:tcW w:w="1018" w:type="dxa"/>
          </w:tcPr>
          <w:p w:rsidR="00203CE9" w:rsidRPr="00E569F2" w:rsidRDefault="00203CE9" w:rsidP="00F32A4D">
            <w:pPr>
              <w:tabs>
                <w:tab w:val="left" w:pos="1423"/>
              </w:tabs>
              <w:spacing w:after="0" w:line="240" w:lineRule="auto"/>
              <w:jc w:val="center"/>
              <w:cnfStyle w:val="000000010000"/>
              <w:rPr>
                <w:rFonts w:ascii="Times New Roman" w:hAnsi="Times New Roman"/>
                <w:sz w:val="24"/>
                <w:szCs w:val="24"/>
                <w:lang w:eastAsia="fr-FR"/>
              </w:rPr>
            </w:pPr>
            <w:r w:rsidRPr="00E569F2">
              <w:rPr>
                <w:rFonts w:ascii="Times New Roman" w:hAnsi="Times New Roman"/>
                <w:sz w:val="24"/>
                <w:szCs w:val="24"/>
                <w:lang w:eastAsia="fr-FR"/>
              </w:rPr>
              <w:t>15</w:t>
            </w:r>
            <w:r w:rsidR="00F32A4D">
              <w:rPr>
                <w:rFonts w:ascii="Times New Roman" w:hAnsi="Times New Roman"/>
                <w:sz w:val="24"/>
                <w:szCs w:val="24"/>
                <w:lang w:eastAsia="fr-FR"/>
              </w:rPr>
              <w:t>2</w:t>
            </w:r>
          </w:p>
        </w:tc>
      </w:tr>
      <w:tr w:rsidR="00203CE9" w:rsidTr="00203CE9">
        <w:trPr>
          <w:cnfStyle w:val="00000010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5</w:t>
            </w:r>
          </w:p>
        </w:tc>
        <w:tc>
          <w:tcPr>
            <w:tcW w:w="6742" w:type="dxa"/>
          </w:tcPr>
          <w:p w:rsidR="00203CE9" w:rsidRPr="00E569F2" w:rsidRDefault="00203CE9" w:rsidP="00E569F2">
            <w:pPr>
              <w:tabs>
                <w:tab w:val="left" w:pos="1423"/>
              </w:tabs>
              <w:spacing w:after="0" w:line="240" w:lineRule="auto"/>
              <w:jc w:val="both"/>
              <w:cnfStyle w:val="000000100000"/>
              <w:rPr>
                <w:rFonts w:ascii="Times New Roman" w:hAnsi="Times New Roman"/>
                <w:sz w:val="24"/>
                <w:szCs w:val="24"/>
                <w:lang w:eastAsia="fr-FR"/>
              </w:rPr>
            </w:pPr>
            <w:r w:rsidRPr="00E569F2">
              <w:rPr>
                <w:rFonts w:ascii="Times New Roman" w:hAnsi="Times New Roman"/>
                <w:sz w:val="24"/>
                <w:szCs w:val="24"/>
                <w:lang w:eastAsia="fr-FR"/>
              </w:rPr>
              <w:t>Schéma actanciel globa</w:t>
            </w:r>
            <w:r w:rsidRPr="00E569F2">
              <w:rPr>
                <w:rFonts w:ascii="Times New Roman" w:eastAsia="Times New Roman" w:hAnsi="Times New Roman"/>
                <w:sz w:val="24"/>
                <w:szCs w:val="24"/>
                <w:lang w:eastAsia="fr-FR"/>
              </w:rPr>
              <w:t>l de la pièce</w:t>
            </w:r>
          </w:p>
        </w:tc>
        <w:tc>
          <w:tcPr>
            <w:tcW w:w="1018" w:type="dxa"/>
          </w:tcPr>
          <w:p w:rsidR="00203CE9" w:rsidRPr="00E569F2" w:rsidRDefault="00203CE9" w:rsidP="00F32A4D">
            <w:pPr>
              <w:tabs>
                <w:tab w:val="left" w:pos="1423"/>
              </w:tabs>
              <w:spacing w:after="0" w:line="240" w:lineRule="auto"/>
              <w:jc w:val="center"/>
              <w:cnfStyle w:val="000000100000"/>
              <w:rPr>
                <w:rFonts w:ascii="Times New Roman" w:hAnsi="Times New Roman"/>
                <w:sz w:val="24"/>
                <w:szCs w:val="24"/>
                <w:lang w:eastAsia="fr-FR"/>
              </w:rPr>
            </w:pPr>
            <w:r w:rsidRPr="00E569F2">
              <w:rPr>
                <w:rFonts w:ascii="Times New Roman" w:hAnsi="Times New Roman"/>
                <w:sz w:val="24"/>
                <w:szCs w:val="24"/>
                <w:lang w:eastAsia="fr-FR"/>
              </w:rPr>
              <w:t>15</w:t>
            </w:r>
            <w:r w:rsidR="00F32A4D">
              <w:rPr>
                <w:rFonts w:ascii="Times New Roman" w:hAnsi="Times New Roman"/>
                <w:sz w:val="24"/>
                <w:szCs w:val="24"/>
                <w:lang w:eastAsia="fr-FR"/>
              </w:rPr>
              <w:t>3</w:t>
            </w:r>
          </w:p>
        </w:tc>
      </w:tr>
      <w:tr w:rsidR="00203CE9" w:rsidTr="00203CE9">
        <w:trPr>
          <w:cnfStyle w:val="00000001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6</w:t>
            </w:r>
          </w:p>
        </w:tc>
        <w:tc>
          <w:tcPr>
            <w:tcW w:w="6742" w:type="dxa"/>
          </w:tcPr>
          <w:p w:rsidR="00203CE9" w:rsidRPr="00E569F2" w:rsidRDefault="00203CE9" w:rsidP="00E569F2">
            <w:pPr>
              <w:tabs>
                <w:tab w:val="left" w:pos="1423"/>
              </w:tabs>
              <w:spacing w:after="0" w:line="240" w:lineRule="auto"/>
              <w:jc w:val="both"/>
              <w:cnfStyle w:val="000000010000"/>
              <w:rPr>
                <w:rFonts w:ascii="Times New Roman" w:hAnsi="Times New Roman"/>
                <w:sz w:val="24"/>
                <w:szCs w:val="24"/>
                <w:lang w:eastAsia="fr-FR"/>
              </w:rPr>
            </w:pPr>
            <w:r w:rsidRPr="00E569F2">
              <w:rPr>
                <w:rFonts w:ascii="Times New Roman" w:hAnsi="Times New Roman"/>
                <w:sz w:val="24"/>
                <w:szCs w:val="24"/>
                <w:lang w:eastAsia="fr-FR"/>
              </w:rPr>
              <w:t>schéma de l’évolution de Barabbas</w:t>
            </w:r>
          </w:p>
        </w:tc>
        <w:tc>
          <w:tcPr>
            <w:tcW w:w="1018" w:type="dxa"/>
          </w:tcPr>
          <w:p w:rsidR="00203CE9" w:rsidRPr="00E569F2" w:rsidRDefault="00203CE9" w:rsidP="00F32A4D">
            <w:pPr>
              <w:tabs>
                <w:tab w:val="left" w:pos="1423"/>
              </w:tabs>
              <w:spacing w:after="0" w:line="240" w:lineRule="auto"/>
              <w:jc w:val="center"/>
              <w:cnfStyle w:val="000000010000"/>
              <w:rPr>
                <w:rFonts w:ascii="Times New Roman" w:hAnsi="Times New Roman"/>
                <w:sz w:val="24"/>
                <w:szCs w:val="24"/>
                <w:lang w:eastAsia="fr-FR"/>
              </w:rPr>
            </w:pPr>
            <w:r w:rsidRPr="00E569F2">
              <w:rPr>
                <w:rFonts w:ascii="Times New Roman" w:hAnsi="Times New Roman"/>
                <w:sz w:val="24"/>
                <w:szCs w:val="24"/>
                <w:lang w:eastAsia="fr-FR"/>
              </w:rPr>
              <w:t>1</w:t>
            </w:r>
            <w:r w:rsidR="00F32A4D">
              <w:rPr>
                <w:rFonts w:ascii="Times New Roman" w:hAnsi="Times New Roman"/>
                <w:sz w:val="24"/>
                <w:szCs w:val="24"/>
                <w:lang w:eastAsia="fr-FR"/>
              </w:rPr>
              <w:t>78</w:t>
            </w:r>
          </w:p>
        </w:tc>
      </w:tr>
      <w:tr w:rsidR="00203CE9" w:rsidTr="00203CE9">
        <w:trPr>
          <w:cnfStyle w:val="00000010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7</w:t>
            </w:r>
          </w:p>
        </w:tc>
        <w:tc>
          <w:tcPr>
            <w:tcW w:w="6742" w:type="dxa"/>
          </w:tcPr>
          <w:p w:rsidR="00203CE9" w:rsidRPr="00E569F2" w:rsidRDefault="00203CE9" w:rsidP="00E569F2">
            <w:pPr>
              <w:tabs>
                <w:tab w:val="left" w:pos="1423"/>
              </w:tabs>
              <w:spacing w:after="0" w:line="240" w:lineRule="auto"/>
              <w:jc w:val="both"/>
              <w:cnfStyle w:val="000000100000"/>
              <w:rPr>
                <w:rFonts w:ascii="Times New Roman" w:hAnsi="Times New Roman"/>
                <w:sz w:val="24"/>
                <w:szCs w:val="24"/>
                <w:lang w:eastAsia="fr-FR"/>
              </w:rPr>
            </w:pPr>
            <w:r w:rsidRPr="00E569F2">
              <w:rPr>
                <w:rFonts w:ascii="Times New Roman" w:hAnsi="Times New Roman"/>
                <w:sz w:val="24"/>
                <w:szCs w:val="24"/>
                <w:lang w:eastAsia="fr-FR"/>
              </w:rPr>
              <w:t>schéma actanciel de Barrabas</w:t>
            </w:r>
          </w:p>
        </w:tc>
        <w:tc>
          <w:tcPr>
            <w:tcW w:w="1018" w:type="dxa"/>
          </w:tcPr>
          <w:p w:rsidR="00203CE9" w:rsidRPr="00E569F2" w:rsidRDefault="00203CE9" w:rsidP="00F32A4D">
            <w:pPr>
              <w:tabs>
                <w:tab w:val="left" w:pos="1423"/>
              </w:tabs>
              <w:spacing w:after="0" w:line="240" w:lineRule="auto"/>
              <w:jc w:val="center"/>
              <w:cnfStyle w:val="000000100000"/>
              <w:rPr>
                <w:rFonts w:ascii="Times New Roman" w:hAnsi="Times New Roman"/>
                <w:sz w:val="24"/>
                <w:szCs w:val="24"/>
                <w:lang w:eastAsia="fr-FR"/>
              </w:rPr>
            </w:pPr>
            <w:r w:rsidRPr="00E569F2">
              <w:rPr>
                <w:rFonts w:ascii="Times New Roman" w:hAnsi="Times New Roman"/>
                <w:sz w:val="24"/>
                <w:szCs w:val="24"/>
                <w:lang w:eastAsia="fr-FR"/>
              </w:rPr>
              <w:t>19</w:t>
            </w:r>
            <w:r w:rsidR="00F32A4D">
              <w:rPr>
                <w:rFonts w:ascii="Times New Roman" w:hAnsi="Times New Roman"/>
                <w:sz w:val="24"/>
                <w:szCs w:val="24"/>
                <w:lang w:eastAsia="fr-FR"/>
              </w:rPr>
              <w:t>0</w:t>
            </w:r>
          </w:p>
        </w:tc>
      </w:tr>
      <w:tr w:rsidR="00203CE9" w:rsidTr="00203CE9">
        <w:trPr>
          <w:cnfStyle w:val="000000010000"/>
        </w:trPr>
        <w:tc>
          <w:tcPr>
            <w:cnfStyle w:val="001000000000"/>
            <w:tcW w:w="959" w:type="dxa"/>
          </w:tcPr>
          <w:p w:rsidR="00203CE9" w:rsidRPr="00203CE9" w:rsidRDefault="00203CE9" w:rsidP="00203CE9">
            <w:pPr>
              <w:tabs>
                <w:tab w:val="left" w:pos="1423"/>
              </w:tabs>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8</w:t>
            </w:r>
          </w:p>
        </w:tc>
        <w:tc>
          <w:tcPr>
            <w:tcW w:w="6742" w:type="dxa"/>
          </w:tcPr>
          <w:p w:rsidR="00203CE9" w:rsidRPr="00E569F2" w:rsidRDefault="00203CE9" w:rsidP="00E569F2">
            <w:pPr>
              <w:tabs>
                <w:tab w:val="left" w:pos="1423"/>
              </w:tabs>
              <w:spacing w:after="0" w:line="240" w:lineRule="auto"/>
              <w:jc w:val="both"/>
              <w:cnfStyle w:val="000000010000"/>
              <w:rPr>
                <w:rFonts w:ascii="Times New Roman" w:hAnsi="Times New Roman"/>
                <w:sz w:val="24"/>
                <w:szCs w:val="24"/>
                <w:lang w:eastAsia="fr-FR"/>
              </w:rPr>
            </w:pPr>
            <w:r w:rsidRPr="00E569F2">
              <w:rPr>
                <w:rFonts w:ascii="Times New Roman" w:hAnsi="Times New Roman"/>
                <w:sz w:val="24"/>
                <w:szCs w:val="24"/>
                <w:lang w:eastAsia="fr-FR"/>
              </w:rPr>
              <w:t>Les espaces définis dans chaque acte de la pièce</w:t>
            </w:r>
          </w:p>
        </w:tc>
        <w:tc>
          <w:tcPr>
            <w:tcW w:w="1018" w:type="dxa"/>
          </w:tcPr>
          <w:p w:rsidR="00203CE9" w:rsidRPr="00E569F2" w:rsidRDefault="00203CE9" w:rsidP="00D41F7B">
            <w:pPr>
              <w:tabs>
                <w:tab w:val="left" w:pos="1423"/>
              </w:tabs>
              <w:spacing w:after="0" w:line="240" w:lineRule="auto"/>
              <w:jc w:val="center"/>
              <w:cnfStyle w:val="000000010000"/>
              <w:rPr>
                <w:rFonts w:ascii="Times New Roman" w:hAnsi="Times New Roman"/>
                <w:sz w:val="24"/>
                <w:szCs w:val="24"/>
                <w:lang w:eastAsia="fr-FR"/>
              </w:rPr>
            </w:pPr>
            <w:r w:rsidRPr="00E569F2">
              <w:rPr>
                <w:rFonts w:ascii="Times New Roman" w:hAnsi="Times New Roman"/>
                <w:sz w:val="24"/>
                <w:szCs w:val="24"/>
                <w:lang w:eastAsia="fr-FR"/>
              </w:rPr>
              <w:t>1</w:t>
            </w:r>
            <w:r w:rsidR="00F32A4D">
              <w:rPr>
                <w:rFonts w:ascii="Times New Roman" w:hAnsi="Times New Roman"/>
                <w:sz w:val="24"/>
                <w:szCs w:val="24"/>
                <w:lang w:eastAsia="fr-FR"/>
              </w:rPr>
              <w:t>96</w:t>
            </w:r>
          </w:p>
        </w:tc>
      </w:tr>
      <w:tr w:rsidR="00203CE9" w:rsidTr="00203CE9">
        <w:trPr>
          <w:cnfStyle w:val="000000100000"/>
        </w:trPr>
        <w:tc>
          <w:tcPr>
            <w:cnfStyle w:val="001000000000"/>
            <w:tcW w:w="959" w:type="dxa"/>
          </w:tcPr>
          <w:p w:rsidR="00203CE9" w:rsidRPr="00203CE9" w:rsidRDefault="00203CE9" w:rsidP="00203CE9">
            <w:pPr>
              <w:spacing w:after="0" w:line="240" w:lineRule="auto"/>
              <w:jc w:val="center"/>
              <w:rPr>
                <w:rFonts w:ascii="Times New Roman" w:hAnsi="Times New Roman"/>
                <w:b w:val="0"/>
                <w:bCs w:val="0"/>
                <w:sz w:val="24"/>
                <w:szCs w:val="24"/>
                <w:lang w:eastAsia="fr-FR"/>
              </w:rPr>
            </w:pPr>
            <w:r w:rsidRPr="00203CE9">
              <w:rPr>
                <w:rFonts w:ascii="Times New Roman" w:hAnsi="Times New Roman"/>
                <w:b w:val="0"/>
                <w:bCs w:val="0"/>
                <w:sz w:val="24"/>
                <w:szCs w:val="24"/>
                <w:lang w:eastAsia="fr-FR"/>
              </w:rPr>
              <w:t>9</w:t>
            </w:r>
          </w:p>
        </w:tc>
        <w:tc>
          <w:tcPr>
            <w:tcW w:w="6742" w:type="dxa"/>
          </w:tcPr>
          <w:p w:rsidR="00203CE9" w:rsidRPr="00E569F2" w:rsidRDefault="00203CE9" w:rsidP="00E569F2">
            <w:pPr>
              <w:spacing w:after="0" w:line="240" w:lineRule="auto"/>
              <w:jc w:val="both"/>
              <w:cnfStyle w:val="000000100000"/>
              <w:rPr>
                <w:rFonts w:ascii="Times New Roman" w:hAnsi="Times New Roman"/>
                <w:sz w:val="24"/>
                <w:szCs w:val="24"/>
                <w:lang w:eastAsia="fr-FR"/>
              </w:rPr>
            </w:pPr>
            <w:r w:rsidRPr="00E569F2">
              <w:rPr>
                <w:rFonts w:ascii="Times New Roman" w:hAnsi="Times New Roman"/>
                <w:sz w:val="24"/>
                <w:szCs w:val="24"/>
                <w:lang w:eastAsia="fr-FR"/>
              </w:rPr>
              <w:t>Conception du temps et de l’espace narratologie et dramaturgie</w:t>
            </w:r>
          </w:p>
        </w:tc>
        <w:tc>
          <w:tcPr>
            <w:tcW w:w="1018" w:type="dxa"/>
          </w:tcPr>
          <w:p w:rsidR="00203CE9" w:rsidRPr="00E569F2" w:rsidRDefault="00F32A4D" w:rsidP="00D41F7B">
            <w:pPr>
              <w:tabs>
                <w:tab w:val="left" w:pos="1423"/>
              </w:tabs>
              <w:spacing w:after="0" w:line="240" w:lineRule="auto"/>
              <w:jc w:val="center"/>
              <w:cnfStyle w:val="000000100000"/>
              <w:rPr>
                <w:rFonts w:ascii="Times New Roman" w:hAnsi="Times New Roman"/>
                <w:sz w:val="24"/>
                <w:szCs w:val="24"/>
                <w:lang w:eastAsia="fr-FR"/>
              </w:rPr>
            </w:pPr>
            <w:r>
              <w:rPr>
                <w:rFonts w:ascii="Times New Roman" w:hAnsi="Times New Roman"/>
                <w:sz w:val="24"/>
                <w:szCs w:val="24"/>
                <w:lang w:eastAsia="fr-FR"/>
              </w:rPr>
              <w:t>199</w:t>
            </w:r>
          </w:p>
        </w:tc>
      </w:tr>
    </w:tbl>
    <w:p w:rsidR="002D0657" w:rsidRDefault="002D0657"/>
    <w:p w:rsidR="00996D20" w:rsidRDefault="00996D20"/>
    <w:p w:rsidR="00996D20" w:rsidRDefault="00996D20"/>
    <w:p w:rsidR="00996D20" w:rsidRDefault="00996D20"/>
    <w:p w:rsidR="00996D20" w:rsidRDefault="00996D20"/>
    <w:p w:rsidR="00996D20" w:rsidRDefault="00996D20"/>
    <w:p w:rsidR="00996D20" w:rsidRDefault="00996D20"/>
    <w:p w:rsidR="0044042B" w:rsidRDefault="0044042B" w:rsidP="0044042B">
      <w:pPr>
        <w:tabs>
          <w:tab w:val="left" w:pos="1725"/>
        </w:tabs>
      </w:pPr>
      <w:r>
        <w:tab/>
      </w:r>
      <w:bookmarkStart w:id="200" w:name="_Toc471484559"/>
    </w:p>
    <w:p w:rsidR="0044042B" w:rsidRDefault="0044042B" w:rsidP="0044042B">
      <w:pPr>
        <w:tabs>
          <w:tab w:val="left" w:pos="1725"/>
        </w:tabs>
        <w:rPr>
          <w:rFonts w:asciiTheme="majorBidi" w:hAnsiTheme="majorBidi" w:cstheme="majorBidi"/>
          <w:b/>
          <w:sz w:val="24"/>
          <w:szCs w:val="24"/>
        </w:rPr>
      </w:pPr>
    </w:p>
    <w:p w:rsidR="0044042B" w:rsidRDefault="0044042B" w:rsidP="0044042B">
      <w:pPr>
        <w:pStyle w:val="Titre1"/>
        <w:bidi w:val="0"/>
        <w:spacing w:before="0"/>
        <w:jc w:val="both"/>
        <w:rPr>
          <w:rFonts w:asciiTheme="majorBidi" w:hAnsiTheme="majorBidi" w:cstheme="majorBidi"/>
          <w:b/>
          <w:color w:val="auto"/>
          <w:sz w:val="24"/>
          <w:szCs w:val="24"/>
          <w:lang w:val="fr-FR"/>
        </w:rPr>
      </w:pPr>
    </w:p>
    <w:p w:rsidR="0044042B" w:rsidRDefault="0044042B" w:rsidP="0044042B">
      <w:pPr>
        <w:pStyle w:val="Titre1"/>
        <w:bidi w:val="0"/>
        <w:spacing w:before="0"/>
        <w:jc w:val="both"/>
        <w:rPr>
          <w:rFonts w:asciiTheme="majorBidi" w:hAnsiTheme="majorBidi" w:cstheme="majorBidi"/>
          <w:b/>
          <w:color w:val="auto"/>
          <w:sz w:val="24"/>
          <w:szCs w:val="24"/>
          <w:lang w:val="fr-FR"/>
        </w:rPr>
      </w:pPr>
    </w:p>
    <w:p w:rsidR="00996D20" w:rsidRDefault="00996D20" w:rsidP="0044042B">
      <w:pPr>
        <w:pStyle w:val="Titre1"/>
        <w:bidi w:val="0"/>
        <w:spacing w:before="0"/>
        <w:jc w:val="both"/>
        <w:rPr>
          <w:rFonts w:asciiTheme="majorBidi" w:hAnsiTheme="majorBidi" w:cstheme="majorBidi"/>
          <w:b/>
          <w:color w:val="auto"/>
          <w:sz w:val="24"/>
          <w:szCs w:val="24"/>
          <w:lang w:val="fr-FR"/>
        </w:rPr>
      </w:pPr>
      <w:r w:rsidRPr="00E569F2">
        <w:rPr>
          <w:rFonts w:asciiTheme="majorBidi" w:hAnsiTheme="majorBidi" w:cstheme="majorBidi"/>
          <w:b/>
          <w:color w:val="auto"/>
          <w:sz w:val="24"/>
          <w:szCs w:val="24"/>
          <w:lang w:val="fr-FR"/>
        </w:rPr>
        <w:t>Résumé</w:t>
      </w:r>
      <w:r w:rsidR="00625330" w:rsidRPr="00E569F2">
        <w:rPr>
          <w:rFonts w:asciiTheme="majorBidi" w:hAnsiTheme="majorBidi" w:cstheme="majorBidi"/>
          <w:b/>
          <w:color w:val="auto"/>
          <w:sz w:val="24"/>
          <w:szCs w:val="24"/>
          <w:lang w:val="fr-FR"/>
        </w:rPr>
        <w:t>s</w:t>
      </w:r>
      <w:bookmarkEnd w:id="200"/>
    </w:p>
    <w:p w:rsidR="005C603E" w:rsidRPr="00625330" w:rsidRDefault="005C603E" w:rsidP="005C603E">
      <w:pPr>
        <w:tabs>
          <w:tab w:val="left" w:pos="142"/>
        </w:tabs>
        <w:spacing w:after="0" w:line="360" w:lineRule="auto"/>
        <w:jc w:val="both"/>
        <w:rPr>
          <w:rFonts w:ascii="Times New Roman" w:eastAsia="Times New Roman" w:hAnsi="Times New Roman"/>
          <w:b/>
          <w:sz w:val="24"/>
          <w:szCs w:val="24"/>
          <w:lang w:eastAsia="fr-FR"/>
        </w:rPr>
      </w:pPr>
      <w:r w:rsidRPr="00625330">
        <w:rPr>
          <w:rFonts w:ascii="Times New Roman" w:eastAsia="Times New Roman" w:hAnsi="Times New Roman"/>
          <w:b/>
          <w:sz w:val="24"/>
          <w:szCs w:val="24"/>
          <w:lang w:eastAsia="fr-FR"/>
        </w:rPr>
        <w:t>Résumé</w:t>
      </w:r>
      <w:r>
        <w:rPr>
          <w:rFonts w:ascii="Times New Roman" w:eastAsia="Times New Roman" w:hAnsi="Times New Roman"/>
          <w:b/>
          <w:sz w:val="24"/>
          <w:szCs w:val="24"/>
          <w:lang w:eastAsia="fr-FR"/>
        </w:rPr>
        <w:t> :</w:t>
      </w:r>
      <w:r w:rsidRPr="00625330">
        <w:rPr>
          <w:rFonts w:ascii="Times New Roman" w:eastAsia="Times New Roman" w:hAnsi="Times New Roman"/>
          <w:b/>
          <w:sz w:val="24"/>
          <w:szCs w:val="24"/>
          <w:lang w:eastAsia="fr-FR"/>
        </w:rPr>
        <w:t> </w:t>
      </w:r>
    </w:p>
    <w:p w:rsidR="005C603E" w:rsidRPr="00625330" w:rsidRDefault="005C603E" w:rsidP="005C603E">
      <w:pPr>
        <w:spacing w:after="0" w:line="360" w:lineRule="auto"/>
        <w:ind w:firstLine="284"/>
        <w:jc w:val="both"/>
        <w:rPr>
          <w:rFonts w:ascii="Times New Roman" w:eastAsia="Times New Roman" w:hAnsi="Times New Roman"/>
          <w:bCs/>
          <w:sz w:val="24"/>
          <w:szCs w:val="24"/>
          <w:rtl/>
          <w:lang w:eastAsia="fr-FR"/>
        </w:rPr>
      </w:pPr>
      <w:r w:rsidRPr="00625330">
        <w:rPr>
          <w:rFonts w:ascii="Times New Roman" w:eastAsia="Times New Roman" w:hAnsi="Times New Roman"/>
          <w:bCs/>
          <w:sz w:val="24"/>
          <w:szCs w:val="24"/>
          <w:lang w:eastAsia="fr-FR"/>
        </w:rPr>
        <w:t xml:space="preserve">La présente thèse est une exploration des structures narratologiques et sémiotiques dans l’univers particulier du théâtre. Tandis que la narratologie théâtrale est ici appréhendée à travers le procédé de métadiégèse, voire de metanarration, la sémiotique sera quant à elle envisagée comme une technique de dramaturgie offrant au metteur en scène des opportunités de manipulation du langage et aussi d’expression scénique. Notre ambition est d’évaluer et confronter la contribution de ces techniques à l’originalité et la richesse du théâtre et de la théâtralité. </w:t>
      </w:r>
    </w:p>
    <w:p w:rsidR="005C603E" w:rsidRPr="00625330" w:rsidRDefault="005C603E" w:rsidP="005C603E">
      <w:pPr>
        <w:spacing w:after="0" w:line="360" w:lineRule="auto"/>
        <w:ind w:firstLine="284"/>
        <w:jc w:val="both"/>
        <w:rPr>
          <w:rFonts w:ascii="Times New Roman" w:eastAsia="Times New Roman" w:hAnsi="Times New Roman"/>
          <w:bCs/>
          <w:sz w:val="24"/>
          <w:szCs w:val="24"/>
          <w:lang w:eastAsia="fr-FR"/>
        </w:rPr>
      </w:pPr>
      <w:r w:rsidRPr="00625330">
        <w:rPr>
          <w:rFonts w:ascii="Times New Roman" w:eastAsia="Times New Roman" w:hAnsi="Times New Roman"/>
          <w:bCs/>
          <w:sz w:val="24"/>
          <w:szCs w:val="24"/>
          <w:lang w:eastAsia="fr-FR"/>
        </w:rPr>
        <w:t>Pour cette étude de la narratologie et la sémiotique du discours dans l’univers du théâtre, nous avons choisi de porter l’analyse sur deux auteurs complètement distincts dans le temps comme dans l’espace, mais dont les pratiques laissent poindre de possibles rapprochements. Il s’agit de Michel de Ghelderode et Abderrahmane Ould Kaki, dont les pièces (</w:t>
      </w:r>
      <w:r w:rsidRPr="00625330">
        <w:rPr>
          <w:rFonts w:ascii="Times New Roman" w:eastAsia="Times New Roman" w:hAnsi="Times New Roman"/>
          <w:bCs/>
          <w:i/>
          <w:sz w:val="24"/>
          <w:szCs w:val="24"/>
          <w:lang w:eastAsia="fr-FR"/>
        </w:rPr>
        <w:t>Barabbas</w:t>
      </w:r>
      <w:r w:rsidRPr="00625330">
        <w:rPr>
          <w:rFonts w:ascii="Times New Roman" w:eastAsia="Times New Roman" w:hAnsi="Times New Roman"/>
          <w:bCs/>
          <w:sz w:val="24"/>
          <w:szCs w:val="24"/>
          <w:lang w:eastAsia="fr-FR"/>
        </w:rPr>
        <w:t xml:space="preserve"> pour Ghelderode et </w:t>
      </w:r>
      <w:r w:rsidRPr="00625330">
        <w:rPr>
          <w:rFonts w:ascii="Times New Roman" w:eastAsia="Times New Roman" w:hAnsi="Times New Roman"/>
          <w:bCs/>
          <w:i/>
          <w:sz w:val="24"/>
          <w:szCs w:val="24"/>
          <w:lang w:eastAsia="fr-FR"/>
        </w:rPr>
        <w:t>Le porteur d’eau et les marabouts</w:t>
      </w:r>
      <w:r w:rsidRPr="00625330">
        <w:rPr>
          <w:rFonts w:ascii="Times New Roman" w:eastAsia="Times New Roman" w:hAnsi="Times New Roman"/>
          <w:bCs/>
          <w:sz w:val="24"/>
          <w:szCs w:val="24"/>
          <w:lang w:eastAsia="fr-FR"/>
        </w:rPr>
        <w:t xml:space="preserve"> pour Kaki) constituent le corpus de cette thèse.  </w:t>
      </w:r>
      <w:r w:rsidRPr="00625330">
        <w:rPr>
          <w:rFonts w:ascii="Times New Roman" w:eastAsia="Times New Roman" w:hAnsi="Times New Roman"/>
          <w:bCs/>
          <w:i/>
          <w:sz w:val="24"/>
          <w:szCs w:val="24"/>
          <w:lang w:eastAsia="fr-FR"/>
        </w:rPr>
        <w:t>El guerrab oua salihine</w:t>
      </w:r>
      <w:r w:rsidRPr="00625330">
        <w:rPr>
          <w:rFonts w:ascii="Times New Roman" w:eastAsia="Times New Roman" w:hAnsi="Times New Roman"/>
          <w:bCs/>
          <w:sz w:val="24"/>
          <w:szCs w:val="24"/>
          <w:lang w:eastAsia="fr-FR"/>
        </w:rPr>
        <w:t xml:space="preserve"> (</w:t>
      </w:r>
      <w:r w:rsidRPr="00625330">
        <w:rPr>
          <w:rFonts w:ascii="Times New Roman" w:eastAsia="Times New Roman" w:hAnsi="Times New Roman"/>
          <w:bCs/>
          <w:i/>
          <w:sz w:val="24"/>
          <w:szCs w:val="24"/>
          <w:lang w:eastAsia="fr-FR"/>
        </w:rPr>
        <w:t>Le porteur d’eau et les marabouts</w:t>
      </w:r>
      <w:r w:rsidRPr="00625330">
        <w:rPr>
          <w:rFonts w:ascii="Times New Roman" w:eastAsia="Times New Roman" w:hAnsi="Times New Roman"/>
          <w:bCs/>
          <w:sz w:val="24"/>
          <w:szCs w:val="24"/>
          <w:lang w:eastAsia="fr-FR"/>
        </w:rPr>
        <w:t xml:space="preserve">) est un conte philosophique inspiré du patrimoine maghrébin et que l’écrivain Kaki a transféré de l’oralité à l’écriture en reprenant la structure antique de la Halqa et du Goual. C’est le porteur d’eau, personnage interlope, qui sera le médiateur et le maître du spectacle.  </w:t>
      </w:r>
      <w:r w:rsidRPr="00625330">
        <w:rPr>
          <w:rFonts w:ascii="Times New Roman" w:eastAsia="Times New Roman" w:hAnsi="Times New Roman"/>
          <w:bCs/>
          <w:i/>
          <w:sz w:val="24"/>
          <w:szCs w:val="24"/>
          <w:lang w:eastAsia="fr-FR"/>
        </w:rPr>
        <w:t>Barabbas</w:t>
      </w:r>
      <w:r w:rsidRPr="00625330">
        <w:rPr>
          <w:rFonts w:ascii="Times New Roman" w:eastAsia="Times New Roman" w:hAnsi="Times New Roman"/>
          <w:bCs/>
          <w:sz w:val="24"/>
          <w:szCs w:val="24"/>
          <w:lang w:eastAsia="fr-FR"/>
        </w:rPr>
        <w:t xml:space="preserve"> est quant à elle une pièce dont le personnage éponyme n’est autre que le brigand que le peuple juif, corrompu et imbibé de vin avait demandé à Pilate de relâcher à la place de Jésus. Il s’agit d’une version originale de la passion du Christ proposé par un Michel de Ghelderode dont l’anticléricalisme, ainsi conduit à son apogée, n’a d’égal que le timbre subversif. </w:t>
      </w:r>
    </w:p>
    <w:p w:rsidR="005C603E" w:rsidRPr="00625330" w:rsidRDefault="005C603E" w:rsidP="005C603E">
      <w:pPr>
        <w:spacing w:after="0" w:line="360" w:lineRule="auto"/>
        <w:ind w:firstLine="284"/>
        <w:jc w:val="both"/>
        <w:rPr>
          <w:rFonts w:ascii="Times New Roman" w:eastAsia="Times New Roman" w:hAnsi="Times New Roman"/>
          <w:bCs/>
          <w:sz w:val="24"/>
          <w:szCs w:val="24"/>
          <w:lang w:eastAsia="fr-FR"/>
        </w:rPr>
      </w:pPr>
      <w:r w:rsidRPr="00625330">
        <w:rPr>
          <w:rFonts w:ascii="Times New Roman" w:eastAsia="Times New Roman" w:hAnsi="Times New Roman"/>
          <w:bCs/>
          <w:sz w:val="24"/>
          <w:szCs w:val="24"/>
          <w:lang w:eastAsia="fr-FR"/>
        </w:rPr>
        <w:t xml:space="preserve">Avec ces deux œuvres, notre ambition a été, au-delà de la description de deux environnements, sociaux-historiques et littéraires qui ont donné lieu à chacune des pièces, d’examiner les structures narratives et sémiotiques offertes par les deux auteurs.  Notre investigation a révélé une capacité originale chez chacun des auteurs à exploiter l’imaginaire porté par les personnages-narrateurs pour parvenir à élaborer des procédés langagiers et scéniques insoupçonnés, prolongée par la </w:t>
      </w:r>
      <w:r w:rsidRPr="00625330">
        <w:rPr>
          <w:rFonts w:ascii="Times New Roman" w:eastAsia="Times New Roman" w:hAnsi="Times New Roman"/>
          <w:bCs/>
          <w:sz w:val="24"/>
          <w:szCs w:val="24"/>
          <w:lang w:eastAsia="fr-FR"/>
        </w:rPr>
        <w:lastRenderedPageBreak/>
        <w:t xml:space="preserve">sémiotique des pièces que cette thèse propose.  L’occasion a été saisie, par les deux dramaturges, pour faire passer tant dans les textes que sur les scènes, des messages d’une profondeur et d’une acuité assez troublantes, proposés non sans une certaine subtilité propre précisément à ces procédés : la fragilité des sociétés cléricales (bien que celles-ci demeurent incontournables), le rejet de l’obscurantisme et l’intégrisme, la dénonciation de la violence et de l’intolérance dans les sociétés modernes. </w:t>
      </w:r>
    </w:p>
    <w:p w:rsidR="005C603E" w:rsidRDefault="005C603E" w:rsidP="005C603E">
      <w:pPr>
        <w:spacing w:after="0" w:line="360" w:lineRule="auto"/>
        <w:jc w:val="both"/>
        <w:rPr>
          <w:rFonts w:ascii="Times New Roman" w:eastAsia="Times New Roman" w:hAnsi="Times New Roman"/>
          <w:b/>
          <w:bCs/>
          <w:sz w:val="24"/>
          <w:szCs w:val="24"/>
          <w:lang w:eastAsia="fr-FR"/>
        </w:rPr>
      </w:pPr>
    </w:p>
    <w:p w:rsidR="005C603E" w:rsidRDefault="005C603E" w:rsidP="005C603E">
      <w:pPr>
        <w:spacing w:after="0" w:line="360" w:lineRule="auto"/>
        <w:jc w:val="both"/>
        <w:rPr>
          <w:rFonts w:ascii="Times New Roman" w:eastAsia="Times New Roman" w:hAnsi="Times New Roman"/>
          <w:bCs/>
          <w:sz w:val="24"/>
          <w:szCs w:val="24"/>
          <w:lang w:eastAsia="fr-FR"/>
        </w:rPr>
      </w:pPr>
      <w:r w:rsidRPr="00625330">
        <w:rPr>
          <w:rFonts w:ascii="Times New Roman" w:eastAsia="Times New Roman" w:hAnsi="Times New Roman"/>
          <w:b/>
          <w:bCs/>
          <w:sz w:val="24"/>
          <w:szCs w:val="24"/>
          <w:lang w:eastAsia="fr-FR"/>
        </w:rPr>
        <w:t>Mots clés</w:t>
      </w:r>
      <w:r w:rsidRPr="00625330">
        <w:rPr>
          <w:rFonts w:ascii="Times New Roman" w:eastAsia="Times New Roman" w:hAnsi="Times New Roman"/>
          <w:bCs/>
          <w:sz w:val="24"/>
          <w:szCs w:val="24"/>
          <w:lang w:eastAsia="fr-FR"/>
        </w:rPr>
        <w:t> : Théâtre – Kaki – Ghelderode – Narratologie –  Sémiotique</w:t>
      </w:r>
      <w:r w:rsidRPr="00625330">
        <w:rPr>
          <w:rFonts w:ascii="Times New Roman" w:eastAsia="Times New Roman" w:hAnsi="Times New Roman"/>
          <w:bCs/>
          <w:sz w:val="24"/>
          <w:szCs w:val="24"/>
          <w:rtl/>
          <w:lang w:eastAsia="fr-FR"/>
        </w:rPr>
        <w:t xml:space="preserve"> </w:t>
      </w:r>
      <w:r w:rsidRPr="00625330">
        <w:rPr>
          <w:rFonts w:ascii="Times New Roman" w:eastAsia="Times New Roman" w:hAnsi="Times New Roman"/>
          <w:bCs/>
          <w:sz w:val="24"/>
          <w:szCs w:val="24"/>
          <w:lang w:eastAsia="fr-FR"/>
        </w:rPr>
        <w:t>– écriture dramatique</w:t>
      </w:r>
    </w:p>
    <w:p w:rsidR="005C603E" w:rsidRDefault="005C603E" w:rsidP="005C603E">
      <w:pPr>
        <w:spacing w:after="0" w:line="360" w:lineRule="auto"/>
        <w:jc w:val="both"/>
        <w:rPr>
          <w:rFonts w:ascii="Times New Roman" w:eastAsia="Times New Roman" w:hAnsi="Times New Roman"/>
          <w:bCs/>
          <w:sz w:val="24"/>
          <w:szCs w:val="24"/>
          <w:lang w:eastAsia="fr-FR"/>
        </w:rPr>
      </w:pPr>
    </w:p>
    <w:p w:rsidR="005C603E" w:rsidRDefault="005C603E" w:rsidP="005C603E">
      <w:pPr>
        <w:spacing w:after="0" w:line="360" w:lineRule="auto"/>
        <w:jc w:val="both"/>
        <w:rPr>
          <w:rFonts w:ascii="Times New Roman" w:eastAsia="Times New Roman" w:hAnsi="Times New Roman"/>
          <w:bCs/>
          <w:sz w:val="24"/>
          <w:szCs w:val="24"/>
          <w:lang w:eastAsia="fr-FR"/>
        </w:rPr>
      </w:pPr>
    </w:p>
    <w:p w:rsidR="005C603E" w:rsidRPr="00192690" w:rsidRDefault="005C603E" w:rsidP="005C603E">
      <w:pPr>
        <w:spacing w:after="0" w:line="360" w:lineRule="auto"/>
        <w:jc w:val="both"/>
        <w:rPr>
          <w:rFonts w:asciiTheme="majorBidi" w:hAnsiTheme="majorBidi" w:cstheme="majorBidi"/>
          <w:b/>
          <w:bCs/>
          <w:sz w:val="24"/>
          <w:szCs w:val="24"/>
        </w:rPr>
      </w:pPr>
      <w:r w:rsidRPr="00192690">
        <w:rPr>
          <w:rFonts w:asciiTheme="majorBidi" w:hAnsiTheme="majorBidi" w:cstheme="majorBidi"/>
          <w:b/>
          <w:bCs/>
          <w:sz w:val="24"/>
          <w:szCs w:val="24"/>
        </w:rPr>
        <w:t>ABSTRACT</w:t>
      </w:r>
      <w:r>
        <w:rPr>
          <w:rFonts w:asciiTheme="majorBidi" w:hAnsiTheme="majorBidi" w:cstheme="majorBidi"/>
          <w:b/>
          <w:bCs/>
          <w:sz w:val="24"/>
          <w:szCs w:val="24"/>
        </w:rPr>
        <w:t> :</w:t>
      </w:r>
    </w:p>
    <w:p w:rsidR="005C603E" w:rsidRPr="00192690" w:rsidRDefault="005C603E" w:rsidP="005C603E">
      <w:pPr>
        <w:spacing w:after="0" w:line="360" w:lineRule="auto"/>
        <w:jc w:val="both"/>
        <w:rPr>
          <w:rFonts w:asciiTheme="majorBidi" w:hAnsiTheme="majorBidi" w:cstheme="majorBidi"/>
          <w:sz w:val="24"/>
          <w:szCs w:val="24"/>
        </w:rPr>
      </w:pPr>
      <w:r w:rsidRPr="00192690">
        <w:rPr>
          <w:rFonts w:asciiTheme="majorBidi" w:hAnsiTheme="majorBidi" w:cstheme="majorBidi"/>
          <w:sz w:val="24"/>
          <w:szCs w:val="24"/>
        </w:rPr>
        <w:t>This thesis is an exploration study of the drama and semiotic structures of the very particular space of theater. While theatrical drama is here discussed through meta-diegesis or even meta-narration process, semiotics will be here considered as a drama technique that provides the stage director with all the possibilities to manipulate both language and the scene expressions. Our aim is to evaluate and compare the contribution of such techniques to the originality and richness of theater and theatricality.  We chose- for this drama and semiotic study of  discourse in the space of theater-  to carry the analysis on two authors completely distinct in time as in space, but whose practice reveals possible common points.</w:t>
      </w:r>
    </w:p>
    <w:p w:rsidR="005C603E" w:rsidRPr="00192690" w:rsidRDefault="005C603E" w:rsidP="005C603E">
      <w:pPr>
        <w:spacing w:after="0" w:line="360" w:lineRule="auto"/>
        <w:jc w:val="both"/>
        <w:rPr>
          <w:rFonts w:asciiTheme="majorBidi" w:hAnsiTheme="majorBidi" w:cstheme="majorBidi"/>
          <w:sz w:val="24"/>
          <w:szCs w:val="24"/>
        </w:rPr>
      </w:pPr>
      <w:r w:rsidRPr="00192690">
        <w:rPr>
          <w:rFonts w:asciiTheme="majorBidi" w:hAnsiTheme="majorBidi" w:cstheme="majorBidi"/>
          <w:sz w:val="24"/>
          <w:szCs w:val="24"/>
        </w:rPr>
        <w:t>These two are Michel de Ghelderode and Abderrahmane Ould Kaki, whose plays (</w:t>
      </w:r>
      <w:r w:rsidRPr="00192690">
        <w:rPr>
          <w:rFonts w:asciiTheme="majorBidi" w:hAnsiTheme="majorBidi" w:cstheme="majorBidi"/>
          <w:i/>
          <w:iCs/>
          <w:sz w:val="24"/>
          <w:szCs w:val="24"/>
        </w:rPr>
        <w:t>Barabbas</w:t>
      </w:r>
      <w:r w:rsidRPr="00192690">
        <w:rPr>
          <w:rFonts w:asciiTheme="majorBidi" w:hAnsiTheme="majorBidi" w:cstheme="majorBidi"/>
          <w:sz w:val="24"/>
          <w:szCs w:val="24"/>
        </w:rPr>
        <w:t xml:space="preserve"> for Ghelderode and </w:t>
      </w:r>
      <w:r w:rsidRPr="00192690">
        <w:rPr>
          <w:rFonts w:asciiTheme="majorBidi" w:hAnsiTheme="majorBidi" w:cstheme="majorBidi"/>
          <w:i/>
          <w:iCs/>
          <w:sz w:val="24"/>
          <w:szCs w:val="24"/>
        </w:rPr>
        <w:t>Le porteur d'eau and marabouts</w:t>
      </w:r>
      <w:r w:rsidRPr="00192690">
        <w:rPr>
          <w:rFonts w:asciiTheme="majorBidi" w:hAnsiTheme="majorBidi" w:cstheme="majorBidi"/>
          <w:sz w:val="24"/>
          <w:szCs w:val="24"/>
        </w:rPr>
        <w:t xml:space="preserve"> for Khaki) are the corpus of our thesis. El guerrab oua salihine is </w:t>
      </w:r>
      <w:proofErr w:type="gramStart"/>
      <w:r w:rsidRPr="00192690">
        <w:rPr>
          <w:rFonts w:asciiTheme="majorBidi" w:hAnsiTheme="majorBidi" w:cstheme="majorBidi"/>
          <w:sz w:val="24"/>
          <w:szCs w:val="24"/>
        </w:rPr>
        <w:t>a</w:t>
      </w:r>
      <w:proofErr w:type="gramEnd"/>
      <w:r w:rsidRPr="00192690">
        <w:rPr>
          <w:rFonts w:asciiTheme="majorBidi" w:hAnsiTheme="majorBidi" w:cstheme="majorBidi"/>
          <w:sz w:val="24"/>
          <w:szCs w:val="24"/>
        </w:rPr>
        <w:t xml:space="preserve"> philosophical tale inspired by the Maghrebian culture and which the writer Kaki shifted from oral to written form adopting the old tradition of the Halqa and the Goual. It is the water bearer, secondary character, who will later be the mediator and the master of the </w:t>
      </w:r>
      <w:proofErr w:type="gramStart"/>
      <w:r w:rsidRPr="00192690">
        <w:rPr>
          <w:rFonts w:asciiTheme="majorBidi" w:hAnsiTheme="majorBidi" w:cstheme="majorBidi"/>
          <w:sz w:val="24"/>
          <w:szCs w:val="24"/>
        </w:rPr>
        <w:t>scene .</w:t>
      </w:r>
      <w:proofErr w:type="gramEnd"/>
      <w:r w:rsidRPr="00192690">
        <w:rPr>
          <w:rFonts w:asciiTheme="majorBidi" w:hAnsiTheme="majorBidi" w:cstheme="majorBidi"/>
          <w:sz w:val="24"/>
          <w:szCs w:val="24"/>
        </w:rPr>
        <w:t xml:space="preserve"> </w:t>
      </w:r>
    </w:p>
    <w:p w:rsidR="005C603E" w:rsidRPr="00192690" w:rsidRDefault="005C603E" w:rsidP="005C603E">
      <w:pPr>
        <w:spacing w:after="0" w:line="360" w:lineRule="auto"/>
        <w:jc w:val="both"/>
        <w:rPr>
          <w:rFonts w:asciiTheme="majorBidi" w:hAnsiTheme="majorBidi" w:cstheme="majorBidi"/>
          <w:sz w:val="24"/>
          <w:szCs w:val="24"/>
        </w:rPr>
      </w:pPr>
      <w:r w:rsidRPr="00192690">
        <w:rPr>
          <w:rFonts w:asciiTheme="majorBidi" w:hAnsiTheme="majorBidi" w:cstheme="majorBidi"/>
          <w:sz w:val="24"/>
          <w:szCs w:val="24"/>
        </w:rPr>
        <w:t>Barabbas is a play whose eponymous character is none other than the brigand that the Jewish people, corrupted and blind drunk, had asked Pilate to release instead of  Jesus. It is an original version of the Passion of Christ proposed by  Michel de Ghelderode whose anticlericalism,  led him to produce such an amazing incomparable work.</w:t>
      </w:r>
    </w:p>
    <w:p w:rsidR="005C603E" w:rsidRDefault="005C603E" w:rsidP="005C603E">
      <w:pPr>
        <w:spacing w:after="0" w:line="360" w:lineRule="auto"/>
        <w:jc w:val="both"/>
        <w:rPr>
          <w:rFonts w:asciiTheme="majorBidi" w:hAnsiTheme="majorBidi" w:cstheme="majorBidi"/>
          <w:sz w:val="24"/>
          <w:szCs w:val="24"/>
        </w:rPr>
      </w:pPr>
      <w:r w:rsidRPr="00192690">
        <w:rPr>
          <w:rFonts w:asciiTheme="majorBidi" w:hAnsiTheme="majorBidi" w:cstheme="majorBidi"/>
          <w:sz w:val="24"/>
          <w:szCs w:val="24"/>
        </w:rPr>
        <w:lastRenderedPageBreak/>
        <w:t xml:space="preserve">Our aim was, beyond the description of the social-historical and literary environments in the two </w:t>
      </w:r>
      <w:proofErr w:type="gramStart"/>
      <w:r w:rsidRPr="00192690">
        <w:rPr>
          <w:rFonts w:asciiTheme="majorBidi" w:hAnsiTheme="majorBidi" w:cstheme="majorBidi"/>
          <w:sz w:val="24"/>
          <w:szCs w:val="24"/>
        </w:rPr>
        <w:t>plays ,</w:t>
      </w:r>
      <w:proofErr w:type="gramEnd"/>
      <w:r w:rsidRPr="00192690">
        <w:rPr>
          <w:rFonts w:asciiTheme="majorBidi" w:hAnsiTheme="majorBidi" w:cstheme="majorBidi"/>
          <w:sz w:val="24"/>
          <w:szCs w:val="24"/>
        </w:rPr>
        <w:t xml:space="preserve"> to examine the narrative and semiotic structures of the two authors. Our analysis revealed an original capacity for  the authors to exploit the imagination carried by the characters-narrators in order to develop the linguistic and scenic processes, reflected in the semiotics of the two plays of our thesis. The two play writers  sent through their texts and scenes some messages of </w:t>
      </w:r>
      <w:proofErr w:type="gramStart"/>
      <w:r w:rsidRPr="00192690">
        <w:rPr>
          <w:rFonts w:asciiTheme="majorBidi" w:hAnsiTheme="majorBidi" w:cstheme="majorBidi"/>
          <w:sz w:val="24"/>
          <w:szCs w:val="24"/>
        </w:rPr>
        <w:t>a</w:t>
      </w:r>
      <w:proofErr w:type="gramEnd"/>
      <w:r w:rsidRPr="00192690">
        <w:rPr>
          <w:rFonts w:asciiTheme="majorBidi" w:hAnsiTheme="majorBidi" w:cstheme="majorBidi"/>
          <w:sz w:val="24"/>
          <w:szCs w:val="24"/>
        </w:rPr>
        <w:t xml:space="preserve"> deep meaning and of an acuity that is quite disturbing to show the following : The weakness  of clerical societies (although these remain unavoidable), the rejection of obscurantism and fundamentalism, the denunciation of violence and intolerance in modern societies.</w:t>
      </w:r>
    </w:p>
    <w:p w:rsidR="005C603E" w:rsidRDefault="005C603E" w:rsidP="005C603E">
      <w:pPr>
        <w:spacing w:after="0" w:line="360" w:lineRule="auto"/>
        <w:jc w:val="both"/>
        <w:rPr>
          <w:rFonts w:asciiTheme="majorBidi" w:hAnsiTheme="majorBidi" w:cstheme="majorBidi"/>
          <w:sz w:val="24"/>
          <w:szCs w:val="24"/>
        </w:rPr>
      </w:pPr>
    </w:p>
    <w:p w:rsidR="005C603E" w:rsidRPr="00192690" w:rsidRDefault="005C603E" w:rsidP="005C603E">
      <w:pPr>
        <w:spacing w:after="0" w:line="360" w:lineRule="auto"/>
        <w:jc w:val="both"/>
        <w:rPr>
          <w:rFonts w:asciiTheme="majorBidi" w:hAnsiTheme="majorBidi" w:cstheme="majorBidi"/>
          <w:sz w:val="24"/>
          <w:szCs w:val="24"/>
        </w:rPr>
      </w:pPr>
      <w:r w:rsidRPr="00192690">
        <w:rPr>
          <w:rFonts w:asciiTheme="majorBidi" w:hAnsiTheme="majorBidi" w:cstheme="majorBidi"/>
          <w:b/>
          <w:bCs/>
          <w:sz w:val="24"/>
          <w:szCs w:val="24"/>
        </w:rPr>
        <w:t>Keywords:</w:t>
      </w:r>
      <w:r w:rsidRPr="00192690">
        <w:rPr>
          <w:rFonts w:asciiTheme="majorBidi" w:hAnsiTheme="majorBidi" w:cstheme="majorBidi"/>
          <w:sz w:val="24"/>
          <w:szCs w:val="24"/>
        </w:rPr>
        <w:t xml:space="preserve"> Theater - Khaki - Ghelderode - Drama - Semiotics - drama writing</w:t>
      </w:r>
    </w:p>
    <w:p w:rsidR="005C603E" w:rsidRDefault="005C603E" w:rsidP="005C603E">
      <w:pPr>
        <w:spacing w:after="0" w:line="360" w:lineRule="auto"/>
        <w:jc w:val="both"/>
        <w:rPr>
          <w:rFonts w:ascii="Simplified Arabic" w:hAnsi="Simplified Arabic" w:cs="Simplified Arabic"/>
          <w:b/>
          <w:bCs/>
          <w:sz w:val="24"/>
          <w:szCs w:val="24"/>
          <w:lang w:bidi="ar-DZ"/>
        </w:rPr>
      </w:pPr>
    </w:p>
    <w:p w:rsidR="005C603E" w:rsidRPr="00366BEB" w:rsidRDefault="005C603E" w:rsidP="005C603E">
      <w:pPr>
        <w:spacing w:after="0" w:line="360" w:lineRule="auto"/>
        <w:jc w:val="right"/>
        <w:rPr>
          <w:rFonts w:asciiTheme="majorBidi" w:eastAsia="Times New Roman" w:hAnsiTheme="majorBidi" w:cstheme="majorBidi"/>
          <w:sz w:val="24"/>
          <w:szCs w:val="24"/>
          <w:rtl/>
        </w:rPr>
      </w:pPr>
      <w:proofErr w:type="gramStart"/>
      <w:r w:rsidRPr="00366BEB">
        <w:rPr>
          <w:rFonts w:asciiTheme="majorBidi" w:eastAsia="Times New Roman" w:hAnsiTheme="majorBidi" w:cstheme="majorBidi"/>
          <w:b/>
          <w:bCs/>
          <w:color w:val="000000"/>
          <w:sz w:val="24"/>
          <w:szCs w:val="24"/>
          <w:rtl/>
        </w:rPr>
        <w:t>الملخـــــــــــــــــص</w:t>
      </w:r>
      <w:proofErr w:type="gramEnd"/>
      <w:r w:rsidRPr="00366BEB">
        <w:rPr>
          <w:rFonts w:asciiTheme="majorBidi" w:eastAsia="Times New Roman" w:hAnsiTheme="majorBidi" w:cstheme="majorBidi"/>
          <w:b/>
          <w:bCs/>
          <w:color w:val="000000"/>
          <w:sz w:val="24"/>
          <w:szCs w:val="24"/>
          <w:rtl/>
        </w:rPr>
        <w:t>:</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rtl/>
          <w:lang w:bidi="ar-DZ"/>
        </w:rPr>
      </w:pPr>
      <w:r w:rsidRPr="00366BEB">
        <w:rPr>
          <w:rFonts w:asciiTheme="majorBidi" w:eastAsia="Times New Roman" w:hAnsiTheme="majorBidi" w:cstheme="majorBidi"/>
          <w:color w:val="000000"/>
          <w:sz w:val="24"/>
          <w:szCs w:val="24"/>
          <w:rtl/>
          <w:lang w:bidi="ar-DZ"/>
        </w:rPr>
        <w:t>تعدّ هذه الرسالة استكشافا  لـــلبنى السردية والسيميائية في الفضاء المسرحي .ف</w:t>
      </w:r>
      <w:proofErr w:type="gramStart"/>
      <w:r w:rsidRPr="00366BEB">
        <w:rPr>
          <w:rFonts w:asciiTheme="majorBidi" w:eastAsia="Times New Roman" w:hAnsiTheme="majorBidi" w:cstheme="majorBidi"/>
          <w:color w:val="000000"/>
          <w:sz w:val="24"/>
          <w:szCs w:val="24"/>
          <w:rtl/>
          <w:lang w:bidi="ar-DZ"/>
        </w:rPr>
        <w:t>إذا كان يتض</w:t>
      </w:r>
      <w:proofErr w:type="gramEnd"/>
      <w:r w:rsidRPr="00366BEB">
        <w:rPr>
          <w:rFonts w:asciiTheme="majorBidi" w:eastAsia="Times New Roman" w:hAnsiTheme="majorBidi" w:cstheme="majorBidi"/>
          <w:color w:val="000000"/>
          <w:sz w:val="24"/>
          <w:szCs w:val="24"/>
          <w:rtl/>
          <w:lang w:bidi="ar-DZ"/>
        </w:rPr>
        <w:t xml:space="preserve">ح السرد المسرحي ها هنا عبر الاجرائات الماوراء حكواتية  أو بالاحرى الماوراء سردية  فإن رسالتنا ستتخذ من السيمياء  تقنية مسرحية تتيح للمخرج المسرحي فرص التلاعب باللغة الحوارية كما التعابير التمثيلية المؤداة فوق الركح     . </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lang w:bidi="ar-DZ"/>
        </w:rPr>
      </w:pPr>
      <w:r w:rsidRPr="00366BEB">
        <w:rPr>
          <w:rFonts w:asciiTheme="majorBidi" w:eastAsia="Times New Roman" w:hAnsiTheme="majorBidi" w:cstheme="majorBidi"/>
          <w:color w:val="000000"/>
          <w:sz w:val="24"/>
          <w:szCs w:val="24"/>
          <w:rtl/>
          <w:lang w:bidi="ar-DZ"/>
        </w:rPr>
        <w:t xml:space="preserve">نطمح هاهنا إلى تقييم ومقارنة مدى مساهمة هذه التقنيات في أصالة و ثراء المسرح والمسرحية  </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rtl/>
          <w:lang w:bidi="ar-DZ"/>
        </w:rPr>
      </w:pPr>
      <w:r w:rsidRPr="00366BEB">
        <w:rPr>
          <w:rFonts w:asciiTheme="majorBidi" w:eastAsia="Times New Roman" w:hAnsiTheme="majorBidi" w:cstheme="majorBidi"/>
          <w:color w:val="000000"/>
          <w:sz w:val="24"/>
          <w:szCs w:val="24"/>
          <w:rtl/>
          <w:lang w:bidi="ar-DZ"/>
        </w:rPr>
        <w:t xml:space="preserve">و قد اخترنا أن نركز التحليل - من أجل هذه الدراسة المسرحية و السيميائية للخطاب في الفضاء المسرحي- على كاتبين مختلفين تمام الاختلاف  زمكانيا إلا أنهما ربما يلتقيان في كثير من الممارسات الكتابية. </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rtl/>
          <w:lang w:bidi="ar-DZ"/>
        </w:rPr>
      </w:pPr>
      <w:r w:rsidRPr="00366BEB">
        <w:rPr>
          <w:rFonts w:asciiTheme="majorBidi" w:eastAsia="Times New Roman" w:hAnsiTheme="majorBidi" w:cstheme="majorBidi"/>
          <w:color w:val="000000"/>
          <w:sz w:val="24"/>
          <w:szCs w:val="24"/>
          <w:rtl/>
          <w:lang w:bidi="ar-DZ"/>
        </w:rPr>
        <w:t xml:space="preserve">و يتعلق الأمر بكل من ميشال غيلدرود و عبد الرحمن ولد كاكي و قد اخترنا لمدونتنا مسرحية  "باراباس"  لغيلدرود و" القراب و الصالحين"  لكاكي  . إن "القراب و الصالحين "عبارة عن قصة فلسفية  مقتبسة من التراث المغاربي نقلها كاكي من الحكاية الشفوية الى عالم المكتوب معيدا للأذهان الصورة القديمة من الحلقة و القوال. و "القراب" في هذه القصة هو تلكم الشخصية الهامشية و التي سرعان ما تتحول إلى  الوسيط و المسيطر على المشهد المسرحي. </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lang w:bidi="ar-DZ"/>
        </w:rPr>
      </w:pPr>
      <w:r w:rsidRPr="00366BEB">
        <w:rPr>
          <w:rFonts w:asciiTheme="majorBidi" w:eastAsia="Times New Roman" w:hAnsiTheme="majorBidi" w:cstheme="majorBidi"/>
          <w:color w:val="000000"/>
          <w:sz w:val="24"/>
          <w:szCs w:val="24"/>
          <w:rtl/>
          <w:lang w:bidi="ar-DZ"/>
        </w:rPr>
        <w:t xml:space="preserve">أما رواية براباس فنص مسرحي  عنوانه هي ذاتها الشخصية المرجعية و التي لا تعدو ان تكون سوى شخصية قاطع طريق طالب فيها الشعب اليهودي المرتشي والغارق في الخمرة حتى النخاع  " بيلاطوس"  الحاكم الروماني  بإطلاق سراحه  بدلا من المسيح .   </w:t>
      </w:r>
    </w:p>
    <w:p w:rsidR="005C603E" w:rsidRPr="00366BEB" w:rsidRDefault="005C603E" w:rsidP="005C603E">
      <w:pPr>
        <w:spacing w:after="0" w:line="360" w:lineRule="auto"/>
        <w:jc w:val="right"/>
        <w:rPr>
          <w:rFonts w:asciiTheme="majorBidi" w:hAnsiTheme="majorBidi" w:cstheme="majorBidi"/>
          <w:sz w:val="24"/>
          <w:szCs w:val="24"/>
          <w:rtl/>
          <w:lang w:bidi="ar-DZ"/>
        </w:rPr>
      </w:pPr>
      <w:r w:rsidRPr="00366BEB">
        <w:rPr>
          <w:rFonts w:asciiTheme="majorBidi" w:hAnsiTheme="majorBidi" w:cstheme="majorBidi"/>
          <w:sz w:val="24"/>
          <w:szCs w:val="24"/>
          <w:rtl/>
        </w:rPr>
        <w:t xml:space="preserve">وهي إذن النسخة الأصلية من </w:t>
      </w:r>
      <w:r w:rsidRPr="00366BEB">
        <w:rPr>
          <w:rFonts w:asciiTheme="majorBidi" w:hAnsiTheme="majorBidi" w:cstheme="majorBidi"/>
          <w:b/>
          <w:bCs/>
          <w:i/>
          <w:iCs/>
          <w:sz w:val="24"/>
          <w:szCs w:val="24"/>
          <w:rtl/>
        </w:rPr>
        <w:t>آلام المسيح</w:t>
      </w:r>
      <w:r w:rsidRPr="00366BEB">
        <w:rPr>
          <w:rFonts w:asciiTheme="majorBidi" w:hAnsiTheme="majorBidi" w:cstheme="majorBidi"/>
          <w:sz w:val="24"/>
          <w:szCs w:val="24"/>
          <w:rtl/>
        </w:rPr>
        <w:t xml:space="preserve"> التي يقترحها ميشال غيلدرود المعروف بمناهضته للكهنوتية ،في أوج عطائه الدرامي و بأسلوبه المتميّز والخارج عن المألوف.</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rPr>
      </w:pPr>
      <w:r w:rsidRPr="00366BEB">
        <w:rPr>
          <w:rFonts w:asciiTheme="majorBidi" w:eastAsia="Times New Roman" w:hAnsiTheme="majorBidi" w:cstheme="majorBidi"/>
          <w:color w:val="000000"/>
          <w:sz w:val="24"/>
          <w:szCs w:val="24"/>
          <w:rtl/>
        </w:rPr>
        <w:lastRenderedPageBreak/>
        <w:t xml:space="preserve">و نطمح من خلال هذين الروايتين لا إلى وصف البيئة الاجتماعو-تاريخية وكذا الأدبية السائدة في النصين فحسب بل إلى دراسة البنى السردية و السيميائية التي أمدها لنا المؤلفان كلاهما.  </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rPr>
      </w:pPr>
      <w:r w:rsidRPr="00366BEB">
        <w:rPr>
          <w:rFonts w:asciiTheme="majorBidi" w:eastAsia="Times New Roman" w:hAnsiTheme="majorBidi" w:cstheme="majorBidi"/>
          <w:color w:val="000000"/>
          <w:sz w:val="24"/>
          <w:szCs w:val="24"/>
          <w:rtl/>
        </w:rPr>
        <w:t xml:space="preserve">كشف التحليل الذي قمنا به المقدرة الأصيلة  لدى كل من  الكاتبين لاستغلال الخيال الذي نسجه رواة القصة ليتسنى لنا التوغل في التقنيات اللغوية والركحية  الرائدة  كما تعرضه مسرحية مدونتنا.  </w:t>
      </w:r>
    </w:p>
    <w:p w:rsidR="005C603E" w:rsidRDefault="005C603E" w:rsidP="005C603E">
      <w:pPr>
        <w:spacing w:after="0" w:line="360" w:lineRule="auto"/>
        <w:jc w:val="right"/>
        <w:rPr>
          <w:rFonts w:asciiTheme="majorBidi" w:eastAsia="Times New Roman" w:hAnsiTheme="majorBidi" w:cstheme="majorBidi"/>
          <w:color w:val="000000"/>
          <w:sz w:val="24"/>
          <w:szCs w:val="24"/>
          <w:lang w:bidi="ar-DZ"/>
        </w:rPr>
      </w:pPr>
      <w:r w:rsidRPr="00366BEB">
        <w:rPr>
          <w:rFonts w:asciiTheme="majorBidi" w:eastAsia="Times New Roman" w:hAnsiTheme="majorBidi" w:cstheme="majorBidi"/>
          <w:color w:val="000000"/>
          <w:sz w:val="24"/>
          <w:szCs w:val="24"/>
          <w:rtl/>
          <w:lang w:bidi="ar-DZ"/>
        </w:rPr>
        <w:t>و قد سنحت الفرصة لكاتبينا بتمرير عددا لا باس به من الرسائل سواء في نصيهما كتابة أو على الركح تمثيلا  رسائل ذات معان عميقة و نبرة لا تخلو من عنف لتصور لنا ما نلخصه هاهنا: هشاشة المجتمعات الدينية ( على الرغم من حتميتها) – رفض الظلامية والأصولية ونبذ العنف والتعصب في المجتمعات الحديثة.</w:t>
      </w:r>
    </w:p>
    <w:p w:rsidR="005C603E" w:rsidRPr="00366BEB" w:rsidRDefault="005C603E" w:rsidP="005C603E">
      <w:pPr>
        <w:spacing w:after="0" w:line="360" w:lineRule="auto"/>
        <w:jc w:val="right"/>
        <w:rPr>
          <w:rFonts w:asciiTheme="majorBidi" w:eastAsia="Times New Roman" w:hAnsiTheme="majorBidi" w:cstheme="majorBidi"/>
          <w:color w:val="000000"/>
          <w:sz w:val="24"/>
          <w:szCs w:val="24"/>
          <w:rtl/>
          <w:lang w:bidi="ar-DZ"/>
        </w:rPr>
      </w:pPr>
    </w:p>
    <w:p w:rsidR="00625330" w:rsidRPr="00625330" w:rsidRDefault="005C603E" w:rsidP="005C603E">
      <w:pPr>
        <w:spacing w:line="360" w:lineRule="auto"/>
        <w:jc w:val="right"/>
        <w:rPr>
          <w:rFonts w:asciiTheme="majorBidi" w:hAnsiTheme="majorBidi" w:cstheme="majorBidi"/>
          <w:sz w:val="24"/>
          <w:szCs w:val="24"/>
        </w:rPr>
      </w:pPr>
      <w:r w:rsidRPr="00366BEB">
        <w:rPr>
          <w:rFonts w:asciiTheme="majorBidi" w:hAnsiTheme="majorBidi" w:cstheme="majorBidi"/>
          <w:b/>
          <w:bCs/>
          <w:sz w:val="24"/>
          <w:szCs w:val="24"/>
          <w:rtl/>
          <w:lang w:bidi="ar-DZ"/>
        </w:rPr>
        <w:t xml:space="preserve">الكلمات المفتاحية </w:t>
      </w:r>
      <w:r w:rsidRPr="00366BEB">
        <w:rPr>
          <w:rFonts w:asciiTheme="majorBidi" w:hAnsiTheme="majorBidi" w:cstheme="majorBidi"/>
          <w:sz w:val="24"/>
          <w:szCs w:val="24"/>
          <w:rtl/>
          <w:lang w:bidi="ar-DZ"/>
        </w:rPr>
        <w:t>: المسرح – كاكي – غيلدرود– السرد – السيمياء– الكتابة الدرامية.</w:t>
      </w:r>
    </w:p>
    <w:sectPr w:rsidR="00625330" w:rsidRPr="00625330" w:rsidSect="00FC04C3">
      <w:headerReference w:type="even" r:id="rId122"/>
      <w:headerReference w:type="default" r:id="rId123"/>
      <w:footerReference w:type="default" r:id="rId124"/>
      <w:headerReference w:type="first" r:id="rId125"/>
      <w:pgSz w:w="11906" w:h="16838"/>
      <w:pgMar w:top="1843" w:right="1644" w:bottom="1418" w:left="1701" w:header="907" w:footer="227"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782E" w:rsidRDefault="0011782E" w:rsidP="006A4EED">
      <w:pPr>
        <w:spacing w:after="0" w:line="240" w:lineRule="auto"/>
      </w:pPr>
      <w:r>
        <w:separator/>
      </w:r>
    </w:p>
  </w:endnote>
  <w:endnote w:type="continuationSeparator" w:id="0">
    <w:p w:rsidR="0011782E" w:rsidRDefault="0011782E" w:rsidP="006A4E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Gras">
    <w:altName w:val="Arial"/>
    <w:panose1 w:val="020B0704020202020204"/>
    <w:charset w:val="00"/>
    <w:family w:val="swiss"/>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imes New Roman,Bold">
    <w:altName w:val="Times New Roman"/>
    <w:panose1 w:val="00000000000000000000"/>
    <w:charset w:val="B2"/>
    <w:family w:val="auto"/>
    <w:notTrueType/>
    <w:pitch w:val="default"/>
    <w:sig w:usb0="00002000" w:usb1="00000000" w:usb2="00000000" w:usb3="00000000" w:csb0="00000040" w:csb1="00000000"/>
  </w:font>
  <w:font w:name="Lucida Calligraphy">
    <w:panose1 w:val="03010101010101010101"/>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0" w:usb1="08070000" w:usb2="00000010" w:usb3="00000000" w:csb0="00020000"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92A" w:rsidRPr="00145307" w:rsidRDefault="00D27910" w:rsidP="002C381D">
    <w:pPr>
      <w:pStyle w:val="Pieddepage"/>
      <w:shd w:val="clear" w:color="auto" w:fill="FFFFFF"/>
      <w:rPr>
        <w:color w:val="31849B"/>
        <w:sz w:val="16"/>
        <w:szCs w:val="16"/>
      </w:rPr>
    </w:pPr>
    <w:r w:rsidRPr="00D27910">
      <w:rPr>
        <w:rFonts w:ascii="Arial" w:hAnsi="Arial" w:cs="Arial"/>
        <w:i/>
        <w:noProof/>
        <w:color w:val="31849B"/>
        <w:sz w:val="16"/>
        <w:szCs w:val="16"/>
      </w:rPr>
      <w:pict>
        <v:shapetype id="_x0000_t32" coordsize="21600,21600" o:spt="32" o:oned="t" path="m,l21600,21600e" filled="f">
          <v:path arrowok="t" fillok="f" o:connecttype="none"/>
          <o:lock v:ext="edit" shapetype="t"/>
        </v:shapetype>
        <v:shape id="_x0000_s2054" type="#_x0000_t32" style="position:absolute;margin-left:164.2pt;margin-top:-8.45pt;width:.65pt;height:19.1pt;flip:y;z-index:251659776" o:connectortype="straight" strokecolor="#b2a1c7" strokeweight="1pt"/>
      </w:pict>
    </w:r>
    <w:r w:rsidRPr="00D27910">
      <w:rPr>
        <w:rFonts w:ascii="Arial" w:hAnsi="Arial" w:cs="Arial"/>
        <w:noProof/>
        <w:color w:val="31849B"/>
        <w:sz w:val="16"/>
        <w:szCs w:val="16"/>
      </w:rPr>
      <w:pict>
        <v:shape id="_x0000_s2053" type="#_x0000_t32" style="position:absolute;margin-left:-.35pt;margin-top:-8.45pt;width:537.9pt;height:0;z-index:251658752" o:connectortype="straight" strokecolor="#b2a1c7" strokeweight="1pt"/>
      </w:pict>
    </w:r>
    <w:r w:rsidR="006C092A" w:rsidRPr="003038F6">
      <w:rPr>
        <w:color w:val="31849B"/>
        <w:sz w:val="18"/>
        <w:szCs w:val="18"/>
      </w:rPr>
      <w:t xml:space="preserve"> </w:t>
    </w:r>
    <w:r w:rsidR="006C092A" w:rsidRPr="00145307">
      <w:rPr>
        <w:rFonts w:ascii="Arial" w:hAnsi="Arial" w:cs="Arial"/>
        <w:color w:val="808080"/>
        <w:sz w:val="14"/>
        <w:szCs w:val="14"/>
      </w:rPr>
      <w:t xml:space="preserve">Université </w:t>
    </w:r>
    <w:r w:rsidR="006C092A">
      <w:rPr>
        <w:rFonts w:ascii="Arial" w:hAnsi="Arial" w:cs="Arial"/>
        <w:color w:val="808080"/>
        <w:sz w:val="14"/>
        <w:szCs w:val="14"/>
      </w:rPr>
      <w:t xml:space="preserve"> IBN BADIS de Mostaganem </w:t>
    </w:r>
    <w:r w:rsidR="006C092A" w:rsidRPr="00145307">
      <w:rPr>
        <w:rFonts w:ascii="Arial" w:hAnsi="Arial" w:cs="Arial"/>
        <w:color w:val="808080"/>
        <w:sz w:val="14"/>
        <w:szCs w:val="14"/>
      </w:rPr>
      <w:t xml:space="preserve">   -   2016</w:t>
    </w:r>
    <w:r w:rsidR="006C092A" w:rsidRPr="00145307">
      <w:rPr>
        <w:color w:val="808080"/>
        <w:sz w:val="16"/>
        <w:szCs w:val="16"/>
      </w:rPr>
      <w:t xml:space="preserve">                               </w:t>
    </w:r>
    <w:r w:rsidR="006C092A" w:rsidRPr="00145307">
      <w:rPr>
        <w:rFonts w:ascii="Arial" w:hAnsi="Arial" w:cs="Arial"/>
        <w:color w:val="808080"/>
        <w:sz w:val="16"/>
        <w:szCs w:val="16"/>
      </w:rPr>
      <w:t>Page</w:t>
    </w:r>
    <w:r w:rsidR="006C092A" w:rsidRPr="00145307">
      <w:rPr>
        <w:b/>
        <w:bCs/>
        <w:color w:val="808080"/>
        <w:sz w:val="16"/>
        <w:szCs w:val="16"/>
        <w:shd w:val="clear" w:color="auto" w:fill="FFFFFF"/>
      </w:rPr>
      <w:t xml:space="preserve"> </w:t>
    </w:r>
    <w:r w:rsidRPr="006562A1">
      <w:rPr>
        <w:rFonts w:ascii="Arial" w:hAnsi="Arial" w:cs="Arial"/>
        <w:bCs/>
        <w:color w:val="808080"/>
        <w:sz w:val="16"/>
        <w:szCs w:val="16"/>
        <w:shd w:val="clear" w:color="auto" w:fill="FFFFFF"/>
      </w:rPr>
      <w:fldChar w:fldCharType="begin"/>
    </w:r>
    <w:r w:rsidR="006C092A" w:rsidRPr="00145307">
      <w:rPr>
        <w:rFonts w:ascii="Arial" w:hAnsi="Arial" w:cs="Arial"/>
        <w:bCs/>
        <w:color w:val="808080"/>
        <w:sz w:val="16"/>
        <w:szCs w:val="16"/>
        <w:shd w:val="clear" w:color="auto" w:fill="FFFFFF"/>
      </w:rPr>
      <w:instrText xml:space="preserve"> PAGE </w:instrText>
    </w:r>
    <w:r w:rsidRPr="006562A1">
      <w:rPr>
        <w:rFonts w:ascii="Arial" w:hAnsi="Arial" w:cs="Arial"/>
        <w:bCs/>
        <w:color w:val="808080"/>
        <w:sz w:val="16"/>
        <w:szCs w:val="16"/>
        <w:shd w:val="clear" w:color="auto" w:fill="FFFFFF"/>
      </w:rPr>
      <w:fldChar w:fldCharType="separate"/>
    </w:r>
    <w:r w:rsidR="00D20DEF">
      <w:rPr>
        <w:rFonts w:ascii="Arial" w:hAnsi="Arial" w:cs="Arial"/>
        <w:bCs/>
        <w:noProof/>
        <w:color w:val="808080"/>
        <w:sz w:val="16"/>
        <w:szCs w:val="16"/>
        <w:shd w:val="clear" w:color="auto" w:fill="FFFFFF"/>
      </w:rPr>
      <w:t>299</w:t>
    </w:r>
    <w:r w:rsidRPr="006562A1">
      <w:rPr>
        <w:rFonts w:ascii="Arial" w:hAnsi="Arial" w:cs="Arial"/>
        <w:bCs/>
        <w:color w:val="808080"/>
        <w:sz w:val="16"/>
        <w:szCs w:val="16"/>
        <w:shd w:val="clear" w:color="auto" w:fill="FFFFFF"/>
      </w:rPr>
      <w:fldChar w:fldCharType="end"/>
    </w:r>
  </w:p>
  <w:p w:rsidR="006C092A" w:rsidRDefault="006C092A" w:rsidP="009F2DBD">
    <w:pPr>
      <w:pStyle w:val="Pieddepage"/>
      <w:jc w:val="right"/>
    </w:pPr>
  </w:p>
  <w:p w:rsidR="006C092A" w:rsidRDefault="006C092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782E" w:rsidRDefault="0011782E" w:rsidP="006A4EED">
      <w:pPr>
        <w:spacing w:after="0" w:line="240" w:lineRule="auto"/>
      </w:pPr>
      <w:r>
        <w:separator/>
      </w:r>
    </w:p>
  </w:footnote>
  <w:footnote w:type="continuationSeparator" w:id="0">
    <w:p w:rsidR="0011782E" w:rsidRDefault="0011782E" w:rsidP="006A4EED">
      <w:pPr>
        <w:spacing w:after="0" w:line="240" w:lineRule="auto"/>
      </w:pPr>
      <w:r>
        <w:continuationSeparator/>
      </w:r>
    </w:p>
  </w:footnote>
  <w:footnote w:id="1">
    <w:p w:rsidR="006C092A" w:rsidRPr="00FC2D6C" w:rsidRDefault="006C092A" w:rsidP="00FC2D6C">
      <w:pPr>
        <w:pStyle w:val="Notedebasdepage"/>
        <w:jc w:val="both"/>
        <w:rPr>
          <w:rFonts w:ascii="Times New Roman" w:hAnsi="Times New Roman"/>
        </w:rPr>
      </w:pPr>
      <w:r w:rsidRPr="00FC2D6C">
        <w:rPr>
          <w:rStyle w:val="Appelnotedebasdep"/>
          <w:rFonts w:ascii="Times New Roman" w:hAnsi="Times New Roman"/>
        </w:rPr>
        <w:footnoteRef/>
      </w:r>
      <w:r w:rsidRPr="00FC2D6C">
        <w:rPr>
          <w:rFonts w:ascii="Times New Roman" w:hAnsi="Times New Roman"/>
        </w:rPr>
        <w:t xml:space="preserve">Messaoud Benyoucef, </w:t>
      </w:r>
      <w:r w:rsidRPr="00FC2D6C">
        <w:rPr>
          <w:rFonts w:ascii="Times New Roman" w:hAnsi="Times New Roman"/>
          <w:i/>
          <w:iCs/>
        </w:rPr>
        <w:t xml:space="preserve">Celui par qui le théâtre est arrivé: hommage à Kaki </w:t>
      </w:r>
      <w:r w:rsidRPr="00FC2D6C">
        <w:rPr>
          <w:rFonts w:ascii="Times New Roman" w:hAnsi="Times New Roman"/>
        </w:rPr>
        <w:t>[en ligne]. Braniya Chiricahua, 2012-2016. Disponible sur : ˂http://braniya.blogspot.fr/2012_06_01_archive.html˃, consulté le 05 Mai 2013 à 20h00.</w:t>
      </w:r>
    </w:p>
  </w:footnote>
  <w:footnote w:id="2">
    <w:p w:rsidR="006C092A" w:rsidRPr="001448CF" w:rsidRDefault="006C092A" w:rsidP="001448CF">
      <w:pPr>
        <w:pStyle w:val="Notedebasdepage"/>
        <w:jc w:val="both"/>
        <w:rPr>
          <w:rFonts w:asciiTheme="majorBidi" w:hAnsiTheme="majorBidi" w:cstheme="majorBidi"/>
          <w:b/>
          <w:color w:val="FF0000"/>
        </w:rPr>
      </w:pPr>
      <w:r w:rsidRPr="001448CF">
        <w:rPr>
          <w:rStyle w:val="Appelnotedebasdep"/>
          <w:rFonts w:asciiTheme="majorBidi" w:hAnsiTheme="majorBidi" w:cstheme="majorBidi"/>
        </w:rPr>
        <w:footnoteRef/>
      </w:r>
      <w:r w:rsidRPr="001448CF">
        <w:rPr>
          <w:rFonts w:asciiTheme="majorBidi" w:hAnsiTheme="majorBidi" w:cstheme="majorBidi"/>
        </w:rPr>
        <w:t>Ariane Mnouchkine, « </w:t>
      </w:r>
      <w:r w:rsidRPr="001448CF">
        <w:rPr>
          <w:rFonts w:asciiTheme="majorBidi" w:hAnsiTheme="majorBidi" w:cstheme="majorBidi"/>
          <w:iCs/>
        </w:rPr>
        <w:t>Tout théâtre est politique</w:t>
      </w:r>
      <w:r w:rsidRPr="001448CF">
        <w:rPr>
          <w:rFonts w:asciiTheme="majorBidi" w:hAnsiTheme="majorBidi" w:cstheme="majorBidi"/>
          <w:i/>
        </w:rPr>
        <w:t> »</w:t>
      </w:r>
      <w:r w:rsidRPr="001448CF">
        <w:rPr>
          <w:rFonts w:asciiTheme="majorBidi" w:hAnsiTheme="majorBidi" w:cstheme="majorBidi"/>
        </w:rPr>
        <w:t xml:space="preserve">, cité par Josette Féral, in </w:t>
      </w:r>
      <w:r w:rsidRPr="001448CF">
        <w:rPr>
          <w:rStyle w:val="lev"/>
          <w:rFonts w:asciiTheme="majorBidi" w:hAnsiTheme="majorBidi" w:cstheme="majorBidi"/>
          <w:b w:val="0"/>
          <w:i/>
          <w:iCs/>
          <w:color w:val="000000"/>
        </w:rPr>
        <w:t>Trajectoires du Soleil, autour d’Ariane Mnouchkine</w:t>
      </w:r>
      <w:r w:rsidRPr="001448CF">
        <w:rPr>
          <w:rStyle w:val="lev"/>
          <w:rFonts w:asciiTheme="majorBidi" w:hAnsiTheme="majorBidi" w:cstheme="majorBidi"/>
          <w:b w:val="0"/>
          <w:iCs/>
          <w:color w:val="000000"/>
        </w:rPr>
        <w:t xml:space="preserve">. </w:t>
      </w:r>
      <w:r w:rsidRPr="001448CF">
        <w:rPr>
          <w:rStyle w:val="lev"/>
          <w:rFonts w:asciiTheme="majorBidi" w:hAnsiTheme="majorBidi" w:cstheme="majorBidi"/>
          <w:b w:val="0"/>
          <w:i/>
          <w:iCs/>
          <w:color w:val="000000"/>
        </w:rPr>
        <w:t>Le Bac au Soleil</w:t>
      </w:r>
      <w:r w:rsidRPr="001448CF">
        <w:rPr>
          <w:rStyle w:val="lev"/>
          <w:rFonts w:asciiTheme="majorBidi" w:hAnsiTheme="majorBidi" w:cstheme="majorBidi"/>
          <w:b w:val="0"/>
          <w:iCs/>
          <w:color w:val="000000"/>
        </w:rPr>
        <w:t>. [</w:t>
      </w:r>
      <w:proofErr w:type="gramStart"/>
      <w:r w:rsidRPr="001448CF">
        <w:rPr>
          <w:rStyle w:val="lev"/>
          <w:rFonts w:asciiTheme="majorBidi" w:hAnsiTheme="majorBidi" w:cstheme="majorBidi"/>
          <w:b w:val="0"/>
          <w:iCs/>
          <w:color w:val="000000"/>
        </w:rPr>
        <w:t>en</w:t>
      </w:r>
      <w:proofErr w:type="gramEnd"/>
      <w:r w:rsidRPr="001448CF">
        <w:rPr>
          <w:rStyle w:val="lev"/>
          <w:rFonts w:asciiTheme="majorBidi" w:hAnsiTheme="majorBidi" w:cstheme="majorBidi"/>
          <w:b w:val="0"/>
          <w:iCs/>
          <w:color w:val="000000"/>
        </w:rPr>
        <w:t xml:space="preserve"> ligne]. Disponible sur </w:t>
      </w:r>
      <w:proofErr w:type="gramStart"/>
      <w:r w:rsidRPr="001448CF">
        <w:rPr>
          <w:rStyle w:val="lev"/>
          <w:rFonts w:asciiTheme="majorBidi" w:hAnsiTheme="majorBidi" w:cstheme="majorBidi"/>
          <w:b w:val="0"/>
          <w:iCs/>
          <w:color w:val="000000"/>
        </w:rPr>
        <w:t>:</w:t>
      </w:r>
      <w:r w:rsidRPr="001448CF">
        <w:rPr>
          <w:rStyle w:val="lev"/>
          <w:rFonts w:asciiTheme="majorBidi" w:hAnsiTheme="majorBidi" w:cstheme="majorBidi"/>
          <w:b w:val="0"/>
        </w:rPr>
        <w:t>˂</w:t>
      </w:r>
      <w:proofErr w:type="gramEnd"/>
      <w:r w:rsidR="00D27910">
        <w:fldChar w:fldCharType="begin"/>
      </w:r>
      <w:r w:rsidR="00D27910">
        <w:instrText>HYPERLINK "http://www.lebacausoleil.com/SPIP/IMG/pdf/Feral_tous_th_est_po.pdf"</w:instrText>
      </w:r>
      <w:r w:rsidR="00D27910">
        <w:fldChar w:fldCharType="separate"/>
      </w:r>
      <w:r w:rsidRPr="001448CF">
        <w:rPr>
          <w:rStyle w:val="Lienhypertexte"/>
          <w:rFonts w:asciiTheme="majorBidi" w:hAnsiTheme="majorBidi" w:cstheme="majorBidi"/>
          <w:color w:val="auto"/>
        </w:rPr>
        <w:t>http://www.lebacausoleil.com/SPIP/IMG/pdf/Feral_tous_th_est_po.pdf</w:t>
      </w:r>
      <w:r w:rsidR="00D27910">
        <w:fldChar w:fldCharType="end"/>
      </w:r>
      <w:r w:rsidRPr="001448CF">
        <w:rPr>
          <w:rFonts w:asciiTheme="majorBidi" w:hAnsiTheme="majorBidi" w:cstheme="majorBidi"/>
          <w:rtl/>
        </w:rPr>
        <w:t xml:space="preserve"> </w:t>
      </w:r>
      <w:r w:rsidRPr="001448CF">
        <w:rPr>
          <w:rFonts w:asciiTheme="majorBidi" w:hAnsiTheme="majorBidi" w:cstheme="majorBidi"/>
        </w:rPr>
        <w:t xml:space="preserve">˃,  </w:t>
      </w:r>
      <w:r w:rsidRPr="001448CF">
        <w:rPr>
          <w:rStyle w:val="lev"/>
          <w:rFonts w:asciiTheme="majorBidi" w:hAnsiTheme="majorBidi" w:cstheme="majorBidi"/>
          <w:b w:val="0"/>
          <w:iCs/>
          <w:color w:val="000000"/>
        </w:rPr>
        <w:t>consulté le 25 Août 2013 à 15h30.</w:t>
      </w:r>
    </w:p>
  </w:footnote>
  <w:footnote w:id="3">
    <w:p w:rsidR="006C092A" w:rsidRPr="00BC5245" w:rsidRDefault="006C092A" w:rsidP="00752775">
      <w:pPr>
        <w:pStyle w:val="Notedebasdepage"/>
        <w:jc w:val="both"/>
        <w:rPr>
          <w:rFonts w:asciiTheme="majorBidi" w:hAnsiTheme="majorBidi" w:cstheme="majorBidi"/>
        </w:rPr>
      </w:pPr>
      <w:r w:rsidRPr="00BC5245">
        <w:rPr>
          <w:rStyle w:val="Appelnotedebasdep"/>
          <w:rFonts w:asciiTheme="majorBidi" w:hAnsiTheme="majorBidi" w:cstheme="majorBidi"/>
        </w:rPr>
        <w:footnoteRef/>
      </w:r>
      <w:r w:rsidRPr="00BC5245">
        <w:rPr>
          <w:rFonts w:asciiTheme="majorBidi" w:hAnsiTheme="majorBidi" w:cstheme="majorBidi"/>
          <w:shd w:val="clear" w:color="auto" w:fill="FFFFFF"/>
        </w:rPr>
        <w:t xml:space="preserve">Étienne Souriau, « Vocabulaire d'esthétique » in </w:t>
      </w:r>
      <w:r w:rsidRPr="00BC5245">
        <w:rPr>
          <w:rStyle w:val="Accentuation"/>
          <w:rFonts w:asciiTheme="majorBidi" w:hAnsiTheme="majorBidi" w:cstheme="majorBidi"/>
          <w:shd w:val="clear" w:color="auto" w:fill="FFFFFF"/>
        </w:rPr>
        <w:t>Revue Philosophique de Louvain</w:t>
      </w:r>
      <w:r w:rsidRPr="00BC5245">
        <w:rPr>
          <w:rFonts w:asciiTheme="majorBidi" w:hAnsiTheme="majorBidi" w:cstheme="majorBidi"/>
          <w:shd w:val="clear" w:color="auto" w:fill="FFFFFF"/>
        </w:rPr>
        <w:t>. Quatrième série, tome 91, n°91, 1993. p. 513-514.</w:t>
      </w:r>
    </w:p>
  </w:footnote>
  <w:footnote w:id="4">
    <w:p w:rsidR="006C092A" w:rsidRPr="00BC5245" w:rsidRDefault="006C092A" w:rsidP="00752775">
      <w:pPr>
        <w:pStyle w:val="Notedebasdepage"/>
        <w:jc w:val="both"/>
        <w:rPr>
          <w:rFonts w:asciiTheme="majorBidi" w:hAnsiTheme="majorBidi" w:cstheme="majorBidi"/>
        </w:rPr>
      </w:pPr>
      <w:r w:rsidRPr="00BC5245">
        <w:rPr>
          <w:rStyle w:val="Appelnotedebasdep"/>
          <w:rFonts w:asciiTheme="majorBidi" w:hAnsiTheme="majorBidi" w:cstheme="majorBidi"/>
        </w:rPr>
        <w:footnoteRef/>
      </w:r>
      <w:r w:rsidRPr="00BC5245">
        <w:rPr>
          <w:rStyle w:val="reference-text"/>
          <w:rFonts w:asciiTheme="majorBidi" w:hAnsiTheme="majorBidi" w:cstheme="majorBidi"/>
        </w:rPr>
        <w:t xml:space="preserve">Michel Mathieu-Colas, « Frontières de la narratologie », in </w:t>
      </w:r>
      <w:r w:rsidRPr="00BC5245">
        <w:rPr>
          <w:rStyle w:val="reference-text"/>
          <w:rFonts w:asciiTheme="majorBidi" w:hAnsiTheme="majorBidi" w:cstheme="majorBidi"/>
          <w:i/>
          <w:iCs/>
        </w:rPr>
        <w:t>Poétique</w:t>
      </w:r>
      <w:r w:rsidRPr="00BC5245">
        <w:rPr>
          <w:rStyle w:val="reference-text"/>
          <w:rFonts w:asciiTheme="majorBidi" w:hAnsiTheme="majorBidi" w:cstheme="majorBidi"/>
        </w:rPr>
        <w:t xml:space="preserve"> 65, Le Seuil, Paris, 1986, p. 91-110.</w:t>
      </w:r>
    </w:p>
  </w:footnote>
  <w:footnote w:id="5">
    <w:p w:rsidR="006C092A" w:rsidRPr="00C45A84" w:rsidRDefault="006C092A" w:rsidP="00C45A84">
      <w:pPr>
        <w:pStyle w:val="Notedebasdepage"/>
        <w:jc w:val="both"/>
        <w:rPr>
          <w:rFonts w:asciiTheme="majorBidi" w:hAnsiTheme="majorBidi" w:cstheme="majorBidi"/>
        </w:rPr>
      </w:pPr>
      <w:r w:rsidRPr="00C45A84">
        <w:rPr>
          <w:rStyle w:val="Appelnotedebasdep"/>
          <w:rFonts w:asciiTheme="majorBidi" w:hAnsiTheme="majorBidi" w:cstheme="majorBidi"/>
        </w:rPr>
        <w:footnoteRef/>
      </w:r>
      <w:r w:rsidRPr="00C45A84">
        <w:rPr>
          <w:rFonts w:asciiTheme="majorBidi" w:hAnsiTheme="majorBidi" w:cstheme="majorBidi"/>
        </w:rPr>
        <w:t xml:space="preserve">Brahim Ouardi,  </w:t>
      </w:r>
      <w:r w:rsidRPr="00C45A84">
        <w:rPr>
          <w:rFonts w:asciiTheme="majorBidi" w:hAnsiTheme="majorBidi" w:cstheme="majorBidi"/>
          <w:i/>
        </w:rPr>
        <w:t xml:space="preserve">Écriture, théâtre et engagement dans le théâtre d’Henri kréa et Noureddine Aba </w:t>
      </w:r>
      <w:r w:rsidRPr="00C45A84">
        <w:rPr>
          <w:rFonts w:asciiTheme="majorBidi" w:hAnsiTheme="majorBidi" w:cstheme="majorBidi"/>
          <w:iCs/>
        </w:rPr>
        <w:t>(t</w:t>
      </w:r>
      <w:r w:rsidRPr="00C45A84">
        <w:rPr>
          <w:rFonts w:asciiTheme="majorBidi" w:hAnsiTheme="majorBidi" w:cstheme="majorBidi"/>
        </w:rPr>
        <w:t xml:space="preserve">hèse de doctorat en sciences des textes littéraires), Université d’Oran, 2008-8009, p.14.                                                              </w:t>
      </w:r>
    </w:p>
  </w:footnote>
  <w:footnote w:id="6">
    <w:p w:rsidR="006C092A" w:rsidRPr="00456DBA" w:rsidRDefault="006C092A" w:rsidP="009C1B42">
      <w:pPr>
        <w:pStyle w:val="Notedebasdepage"/>
        <w:jc w:val="both"/>
      </w:pPr>
      <w:r w:rsidRPr="007F53AC">
        <w:rPr>
          <w:rStyle w:val="Appelnotedebasdep"/>
        </w:rPr>
        <w:footnoteRef/>
      </w:r>
      <w:r w:rsidRPr="00456DBA">
        <w:rPr>
          <w:rFonts w:ascii="Times New Roman" w:hAnsi="Times New Roman"/>
        </w:rPr>
        <w:t>Aristote,</w:t>
      </w:r>
      <w:r w:rsidRPr="00456DBA">
        <w:t xml:space="preserve"> </w:t>
      </w:r>
      <w:r w:rsidRPr="00456DBA">
        <w:rPr>
          <w:rStyle w:val="Accentuation"/>
          <w:rFonts w:ascii="Times New Roman" w:hAnsi="Times New Roman"/>
          <w:bdr w:val="none" w:sz="0" w:space="0" w:color="auto" w:frame="1"/>
          <w:shd w:val="clear" w:color="auto" w:fill="FFFFFF"/>
        </w:rPr>
        <w:t>Poétique</w:t>
      </w:r>
      <w:r w:rsidRPr="00456DBA">
        <w:rPr>
          <w:rFonts w:ascii="Times New Roman" w:hAnsi="Times New Roman"/>
          <w:shd w:val="clear" w:color="auto" w:fill="FFFFFF"/>
        </w:rPr>
        <w:t>, IV, 1448 b, trad. M. Magnien, Le Livre de poche classique, 2002, p. 88-89.</w:t>
      </w:r>
    </w:p>
  </w:footnote>
  <w:footnote w:id="7">
    <w:p w:rsidR="006C092A" w:rsidRPr="00B5136E" w:rsidRDefault="006C092A" w:rsidP="00CB45E6">
      <w:pPr>
        <w:pStyle w:val="Notedebasdepage"/>
        <w:jc w:val="both"/>
        <w:rPr>
          <w:rFonts w:ascii="Times New Roman" w:hAnsi="Times New Roman"/>
        </w:rPr>
      </w:pPr>
      <w:r w:rsidRPr="00B5136E">
        <w:rPr>
          <w:rStyle w:val="Appelnotedebasdep"/>
          <w:rFonts w:ascii="Times New Roman" w:hAnsi="Times New Roman"/>
        </w:rPr>
        <w:footnoteRef/>
      </w:r>
      <w:r w:rsidRPr="00B5136E">
        <w:rPr>
          <w:rFonts w:ascii="Times New Roman" w:hAnsi="Times New Roman"/>
        </w:rPr>
        <w:t>Post-colonial désigne le simple fait d’arriver après l’époque coloniale, tandis que postcolonial se réfère à toutes les stratégies d’écriture déjouant la vision coloniale, y compris durant la période coloniale.</w:t>
      </w:r>
    </w:p>
  </w:footnote>
  <w:footnote w:id="8">
    <w:p w:rsidR="006C092A" w:rsidRPr="00A80119" w:rsidRDefault="006C092A" w:rsidP="00CC5DED">
      <w:pPr>
        <w:pStyle w:val="Notedebasdepage"/>
        <w:jc w:val="both"/>
      </w:pPr>
      <w:r w:rsidRPr="00B5136E">
        <w:rPr>
          <w:rStyle w:val="Appelnotedebasdep"/>
          <w:rFonts w:ascii="Times New Roman" w:hAnsi="Times New Roman"/>
        </w:rPr>
        <w:footnoteRef/>
      </w:r>
      <w:r w:rsidRPr="00B5136E">
        <w:rPr>
          <w:rFonts w:ascii="Times New Roman" w:hAnsi="Times New Roman"/>
        </w:rPr>
        <w:t>Sa</w:t>
      </w:r>
      <w:r>
        <w:rPr>
          <w:rFonts w:ascii="Times New Roman" w:hAnsi="Times New Roman"/>
        </w:rPr>
        <w:t>ï</w:t>
      </w:r>
      <w:r w:rsidRPr="00B5136E">
        <w:rPr>
          <w:rFonts w:ascii="Times New Roman" w:hAnsi="Times New Roman"/>
        </w:rPr>
        <w:t xml:space="preserve">d Edward W., </w:t>
      </w:r>
      <w:r w:rsidRPr="00B5136E">
        <w:rPr>
          <w:rFonts w:ascii="Times New Roman" w:hAnsi="Times New Roman"/>
          <w:i/>
        </w:rPr>
        <w:t>Culture et Impérialisme</w:t>
      </w:r>
      <w:r w:rsidRPr="00B5136E">
        <w:rPr>
          <w:rFonts w:ascii="Times New Roman" w:hAnsi="Times New Roman"/>
        </w:rPr>
        <w:t>, traduit de l’anglais par Paul Chemla, Fayard le Monde</w:t>
      </w:r>
      <w:r>
        <w:rPr>
          <w:rFonts w:ascii="Times New Roman" w:hAnsi="Times New Roman"/>
        </w:rPr>
        <w:t xml:space="preserve">, </w:t>
      </w:r>
      <w:r w:rsidRPr="00B5136E">
        <w:rPr>
          <w:rFonts w:ascii="Times New Roman" w:hAnsi="Times New Roman"/>
        </w:rPr>
        <w:t>Paris, 2000, p. 439.</w:t>
      </w:r>
    </w:p>
  </w:footnote>
  <w:footnote w:id="9">
    <w:p w:rsidR="006C092A" w:rsidRPr="00C76D0E" w:rsidRDefault="006C092A" w:rsidP="00C76D0E">
      <w:pPr>
        <w:spacing w:after="0" w:line="240" w:lineRule="auto"/>
        <w:jc w:val="both"/>
        <w:rPr>
          <w:rFonts w:asciiTheme="majorBidi" w:hAnsiTheme="majorBidi" w:cstheme="majorBidi"/>
          <w:sz w:val="20"/>
          <w:szCs w:val="20"/>
        </w:rPr>
      </w:pPr>
      <w:r w:rsidRPr="00C76D0E">
        <w:rPr>
          <w:rStyle w:val="Appelnotedebasdep"/>
          <w:rFonts w:asciiTheme="majorBidi" w:hAnsiTheme="majorBidi" w:cstheme="majorBidi"/>
          <w:sz w:val="20"/>
          <w:szCs w:val="20"/>
        </w:rPr>
        <w:footnoteRef/>
      </w:r>
      <w:r w:rsidRPr="00C76D0E">
        <w:rPr>
          <w:rFonts w:asciiTheme="majorBidi" w:hAnsiTheme="majorBidi" w:cstheme="majorBidi"/>
          <w:sz w:val="20"/>
          <w:szCs w:val="20"/>
        </w:rPr>
        <w:t xml:space="preserve">Jean Marc-Moura, </w:t>
      </w:r>
      <w:r w:rsidRPr="00C76D0E">
        <w:rPr>
          <w:rFonts w:asciiTheme="majorBidi" w:hAnsiTheme="majorBidi" w:cstheme="majorBidi"/>
          <w:color w:val="373737"/>
          <w:sz w:val="20"/>
          <w:szCs w:val="20"/>
          <w:shd w:val="clear" w:color="auto" w:fill="FFFFFF"/>
        </w:rPr>
        <w:t>  </w:t>
      </w:r>
      <w:r w:rsidRPr="00C76D0E">
        <w:rPr>
          <w:rFonts w:asciiTheme="majorBidi" w:hAnsiTheme="majorBidi" w:cstheme="majorBidi"/>
          <w:sz w:val="20"/>
          <w:szCs w:val="20"/>
        </w:rPr>
        <w:t>« Postcolonialisme et comparatisme ». [</w:t>
      </w:r>
      <w:proofErr w:type="gramStart"/>
      <w:r w:rsidRPr="00C76D0E">
        <w:rPr>
          <w:rFonts w:asciiTheme="majorBidi" w:hAnsiTheme="majorBidi" w:cstheme="majorBidi"/>
          <w:sz w:val="20"/>
          <w:szCs w:val="20"/>
        </w:rPr>
        <w:t>en</w:t>
      </w:r>
      <w:proofErr w:type="gramEnd"/>
      <w:r w:rsidRPr="00C76D0E">
        <w:rPr>
          <w:rFonts w:asciiTheme="majorBidi" w:hAnsiTheme="majorBidi" w:cstheme="majorBidi"/>
          <w:sz w:val="20"/>
          <w:szCs w:val="20"/>
        </w:rPr>
        <w:t xml:space="preserve"> ligne]. Disponible sur </w:t>
      </w:r>
      <w:proofErr w:type="gramStart"/>
      <w:r w:rsidRPr="00C76D0E">
        <w:rPr>
          <w:rFonts w:asciiTheme="majorBidi" w:hAnsiTheme="majorBidi" w:cstheme="majorBidi"/>
          <w:sz w:val="20"/>
          <w:szCs w:val="20"/>
        </w:rPr>
        <w:t>:˂</w:t>
      </w:r>
      <w:proofErr w:type="gramEnd"/>
      <w:r w:rsidRPr="00C76D0E">
        <w:rPr>
          <w:rFonts w:asciiTheme="majorBidi" w:hAnsiTheme="majorBidi" w:cstheme="majorBidi"/>
          <w:sz w:val="20"/>
          <w:szCs w:val="20"/>
        </w:rPr>
        <w:t xml:space="preserve"> http://www.vox-poetica.org/sflgc/biblio/moura.html˃, consulté le 10 Octobre 2013 à 22h00.</w:t>
      </w:r>
    </w:p>
  </w:footnote>
  <w:footnote w:id="10">
    <w:p w:rsidR="006C092A" w:rsidRPr="00C76D0E" w:rsidRDefault="006C092A" w:rsidP="00380DC6">
      <w:pPr>
        <w:spacing w:after="0" w:line="240" w:lineRule="auto"/>
        <w:jc w:val="both"/>
        <w:rPr>
          <w:rFonts w:asciiTheme="majorBidi" w:hAnsiTheme="majorBidi" w:cstheme="majorBidi"/>
          <w:sz w:val="20"/>
          <w:szCs w:val="20"/>
        </w:rPr>
      </w:pPr>
      <w:r w:rsidRPr="00C76D0E">
        <w:rPr>
          <w:rStyle w:val="Appelnotedebasdep"/>
          <w:rFonts w:asciiTheme="majorBidi" w:hAnsiTheme="majorBidi" w:cstheme="majorBidi"/>
          <w:sz w:val="20"/>
          <w:szCs w:val="20"/>
        </w:rPr>
        <w:footnoteRef/>
      </w:r>
      <w:r w:rsidRPr="00C76D0E">
        <w:rPr>
          <w:rFonts w:asciiTheme="majorBidi" w:hAnsiTheme="majorBidi" w:cstheme="majorBidi"/>
          <w:sz w:val="20"/>
          <w:szCs w:val="20"/>
        </w:rPr>
        <w:t xml:space="preserve"> Michel de Ghelderode, in </w:t>
      </w:r>
      <w:r w:rsidRPr="00C76D0E">
        <w:rPr>
          <w:rFonts w:asciiTheme="majorBidi" w:hAnsiTheme="majorBidi" w:cstheme="majorBidi"/>
          <w:i/>
          <w:iCs/>
          <w:sz w:val="20"/>
          <w:szCs w:val="20"/>
        </w:rPr>
        <w:t xml:space="preserve">Marginales </w:t>
      </w:r>
      <w:r w:rsidRPr="00C76D0E">
        <w:rPr>
          <w:rFonts w:asciiTheme="majorBidi" w:hAnsiTheme="majorBidi" w:cstheme="majorBidi"/>
          <w:sz w:val="20"/>
          <w:szCs w:val="20"/>
        </w:rPr>
        <w:t>n° 112-113, mai 1967</w:t>
      </w:r>
      <w:r w:rsidRPr="00380DC6">
        <w:rPr>
          <w:rFonts w:asciiTheme="majorBidi" w:hAnsiTheme="majorBidi" w:cstheme="majorBidi"/>
          <w:sz w:val="20"/>
          <w:szCs w:val="20"/>
        </w:rPr>
        <w:t>, p. 19</w:t>
      </w:r>
      <w:r>
        <w:rPr>
          <w:rFonts w:asciiTheme="majorBidi" w:hAnsiTheme="majorBidi" w:cstheme="majorBidi"/>
          <w:sz w:val="20"/>
          <w:szCs w:val="20"/>
        </w:rPr>
        <w:t>.</w:t>
      </w:r>
      <w:r w:rsidRPr="00C76D0E">
        <w:rPr>
          <w:rFonts w:asciiTheme="majorBidi" w:hAnsiTheme="majorBidi" w:cstheme="majorBidi"/>
          <w:sz w:val="20"/>
          <w:szCs w:val="20"/>
        </w:rPr>
        <w:t xml:space="preserve"> </w:t>
      </w:r>
    </w:p>
  </w:footnote>
  <w:footnote w:id="11">
    <w:p w:rsidR="006C092A" w:rsidRPr="00C76D0E" w:rsidRDefault="006C092A" w:rsidP="00380DC6">
      <w:pPr>
        <w:pStyle w:val="Notedebasdepage"/>
        <w:jc w:val="both"/>
        <w:rPr>
          <w:rFonts w:asciiTheme="majorBidi" w:hAnsiTheme="majorBidi" w:cstheme="majorBidi"/>
        </w:rPr>
      </w:pPr>
      <w:r w:rsidRPr="00C76D0E">
        <w:rPr>
          <w:rStyle w:val="Appelnotedebasdep"/>
          <w:rFonts w:asciiTheme="majorBidi" w:hAnsiTheme="majorBidi" w:cstheme="majorBidi"/>
        </w:rPr>
        <w:footnoteRef/>
      </w:r>
      <w:r w:rsidRPr="00C76D0E">
        <w:rPr>
          <w:rFonts w:asciiTheme="majorBidi" w:hAnsiTheme="majorBidi" w:cstheme="majorBidi"/>
          <w:i/>
          <w:iCs/>
        </w:rPr>
        <w:t>Ibid</w:t>
      </w:r>
      <w:r w:rsidRPr="00380DC6">
        <w:rPr>
          <w:rFonts w:asciiTheme="majorBidi" w:hAnsiTheme="majorBidi" w:cstheme="majorBidi"/>
        </w:rPr>
        <w:t>, p. </w:t>
      </w:r>
      <w:r>
        <w:rPr>
          <w:rFonts w:asciiTheme="majorBidi" w:hAnsiTheme="majorBidi" w:cstheme="majorBidi"/>
        </w:rPr>
        <w:t>20.</w:t>
      </w:r>
    </w:p>
  </w:footnote>
  <w:footnote w:id="12">
    <w:p w:rsidR="006C092A" w:rsidRPr="00C76D0E" w:rsidRDefault="006C092A" w:rsidP="00380DC6">
      <w:pPr>
        <w:pStyle w:val="Notedebasdepage"/>
        <w:jc w:val="both"/>
        <w:rPr>
          <w:rFonts w:asciiTheme="majorBidi" w:hAnsiTheme="majorBidi" w:cstheme="majorBidi"/>
          <w:i/>
          <w:iCs/>
        </w:rPr>
      </w:pPr>
      <w:r w:rsidRPr="00C76D0E">
        <w:rPr>
          <w:rStyle w:val="Appelnotedebasdep"/>
          <w:rFonts w:asciiTheme="majorBidi" w:hAnsiTheme="majorBidi" w:cstheme="majorBidi"/>
        </w:rPr>
        <w:footnoteRef/>
      </w:r>
      <w:r w:rsidRPr="00C76D0E">
        <w:rPr>
          <w:rFonts w:asciiTheme="majorBidi" w:hAnsiTheme="majorBidi" w:cstheme="majorBidi"/>
          <w:i/>
          <w:iCs/>
        </w:rPr>
        <w:t>Ibid</w:t>
      </w:r>
      <w:r w:rsidRPr="00380DC6">
        <w:rPr>
          <w:rFonts w:asciiTheme="majorBidi" w:hAnsiTheme="majorBidi" w:cstheme="majorBidi"/>
        </w:rPr>
        <w:t>, p. </w:t>
      </w:r>
      <w:r>
        <w:rPr>
          <w:rFonts w:asciiTheme="majorBidi" w:hAnsiTheme="majorBidi" w:cstheme="majorBidi"/>
        </w:rPr>
        <w:t>21.</w:t>
      </w:r>
    </w:p>
  </w:footnote>
  <w:footnote w:id="13">
    <w:p w:rsidR="006C092A" w:rsidRPr="00C76D0E" w:rsidRDefault="006C092A" w:rsidP="00380DC6">
      <w:pPr>
        <w:spacing w:after="0" w:line="240" w:lineRule="auto"/>
        <w:jc w:val="both"/>
        <w:rPr>
          <w:rFonts w:asciiTheme="majorBidi" w:hAnsiTheme="majorBidi" w:cstheme="majorBidi"/>
          <w:sz w:val="20"/>
          <w:szCs w:val="20"/>
        </w:rPr>
      </w:pPr>
      <w:r w:rsidRPr="00C76D0E">
        <w:rPr>
          <w:rStyle w:val="Appelnotedebasdep"/>
          <w:rFonts w:asciiTheme="majorBidi" w:hAnsiTheme="majorBidi" w:cstheme="majorBidi"/>
          <w:sz w:val="20"/>
          <w:szCs w:val="20"/>
        </w:rPr>
        <w:footnoteRef/>
      </w:r>
      <w:r w:rsidRPr="00C76D0E">
        <w:rPr>
          <w:rFonts w:asciiTheme="majorBidi" w:hAnsiTheme="majorBidi" w:cstheme="majorBidi"/>
          <w:sz w:val="20"/>
          <w:szCs w:val="20"/>
        </w:rPr>
        <w:t>Jean Stevo, « Michel de Ghelderode, Prince des lettres belges en Occident »</w:t>
      </w:r>
      <w:r w:rsidRPr="00C76D0E">
        <w:rPr>
          <w:rFonts w:asciiTheme="majorBidi" w:hAnsiTheme="majorBidi" w:cstheme="majorBidi"/>
          <w:color w:val="00B0F0"/>
          <w:sz w:val="20"/>
          <w:szCs w:val="20"/>
        </w:rPr>
        <w:t xml:space="preserve"> </w:t>
      </w:r>
      <w:r w:rsidRPr="00C76D0E">
        <w:rPr>
          <w:rFonts w:asciiTheme="majorBidi" w:hAnsiTheme="majorBidi" w:cstheme="majorBidi"/>
          <w:sz w:val="20"/>
          <w:szCs w:val="20"/>
        </w:rPr>
        <w:t xml:space="preserve">in  </w:t>
      </w:r>
      <w:r w:rsidRPr="00C76D0E">
        <w:rPr>
          <w:rFonts w:asciiTheme="majorBidi" w:hAnsiTheme="majorBidi" w:cstheme="majorBidi"/>
          <w:i/>
          <w:sz w:val="20"/>
          <w:szCs w:val="20"/>
        </w:rPr>
        <w:t>Le Courrier de Bruges</w:t>
      </w:r>
      <w:r w:rsidRPr="00C76D0E">
        <w:rPr>
          <w:rFonts w:asciiTheme="majorBidi" w:hAnsiTheme="majorBidi" w:cstheme="majorBidi"/>
          <w:sz w:val="20"/>
          <w:szCs w:val="20"/>
        </w:rPr>
        <w:t xml:space="preserve"> du 24 juillet 1954, Cité par André Vandegans, </w:t>
      </w:r>
      <w:r w:rsidRPr="00C76D0E">
        <w:rPr>
          <w:rFonts w:asciiTheme="majorBidi" w:hAnsiTheme="majorBidi" w:cstheme="majorBidi"/>
          <w:i/>
          <w:iCs/>
          <w:sz w:val="20"/>
          <w:szCs w:val="20"/>
        </w:rPr>
        <w:t>Ghelderode et Hugo. Le Mystère de la Passion de Notre-Seigneur Jésus-Christ, Barabbas et La Fin de Satan</w:t>
      </w:r>
      <w:r w:rsidRPr="00C76D0E">
        <w:rPr>
          <w:rFonts w:asciiTheme="majorBidi" w:hAnsiTheme="majorBidi" w:cstheme="majorBidi"/>
          <w:sz w:val="20"/>
          <w:szCs w:val="20"/>
        </w:rPr>
        <w:t xml:space="preserve">, Académie royale de langue et de littérature françaises de Belgique, Bruxelles 1986, p.05. </w:t>
      </w:r>
    </w:p>
    <w:p w:rsidR="006C092A" w:rsidRPr="00E82BB5" w:rsidRDefault="006C092A" w:rsidP="006A4EED">
      <w:pPr>
        <w:pStyle w:val="Notedebasdepage"/>
        <w:rPr>
          <w:rFonts w:ascii="Times New Roman" w:hAnsi="Times New Roman"/>
          <w:sz w:val="2"/>
          <w:szCs w:val="2"/>
        </w:rPr>
      </w:pPr>
    </w:p>
  </w:footnote>
  <w:footnote w:id="14">
    <w:p w:rsidR="006C092A" w:rsidRPr="00F862C8" w:rsidRDefault="006C092A" w:rsidP="00F862C8">
      <w:pPr>
        <w:spacing w:after="0" w:line="240" w:lineRule="auto"/>
        <w:jc w:val="both"/>
        <w:rPr>
          <w:rFonts w:ascii="Times New Roman" w:hAnsi="Times New Roman"/>
          <w:sz w:val="20"/>
          <w:szCs w:val="20"/>
        </w:rPr>
      </w:pPr>
      <w:r w:rsidRPr="00F862C8">
        <w:rPr>
          <w:rStyle w:val="Appelnotedebasdep"/>
          <w:rFonts w:ascii="Times New Roman" w:hAnsi="Times New Roman"/>
          <w:sz w:val="20"/>
          <w:szCs w:val="20"/>
        </w:rPr>
        <w:footnoteRef/>
      </w:r>
      <w:r w:rsidRPr="00F862C8">
        <w:rPr>
          <w:rFonts w:ascii="Times New Roman" w:hAnsi="Times New Roman"/>
          <w:sz w:val="20"/>
          <w:szCs w:val="20"/>
        </w:rPr>
        <w:t>André, Vandegans,  « Ghelderode et Hugo, Le Mystère de la Passion de Notre Seigneur Jésus-Christ, Barabbas et La Fin de Satan » (Communication présentée à la séance mensuelle du 20 septembre), Académie royale de langue et de littérature françaises de Belgique, 1986.</w:t>
      </w:r>
    </w:p>
    <w:p w:rsidR="006C092A" w:rsidRPr="00F862C8" w:rsidRDefault="006C092A" w:rsidP="001F2133">
      <w:pPr>
        <w:pStyle w:val="Notedebasdepage"/>
        <w:jc w:val="both"/>
      </w:pPr>
      <w:r w:rsidRPr="00F862C8">
        <w:rPr>
          <w:rStyle w:val="Appelnotedebasdep"/>
          <w:rFonts w:ascii="Times New Roman" w:hAnsi="Times New Roman"/>
        </w:rPr>
        <w:t>1</w:t>
      </w:r>
      <w:r w:rsidRPr="00F862C8">
        <w:rPr>
          <w:rFonts w:ascii="Times New Roman" w:hAnsi="Times New Roman"/>
          <w:vertAlign w:val="superscript"/>
        </w:rPr>
        <w:t xml:space="preserve">5 </w:t>
      </w:r>
      <w:r w:rsidRPr="00F862C8">
        <w:rPr>
          <w:rFonts w:ascii="Times New Roman" w:hAnsi="Times New Roman"/>
        </w:rPr>
        <w:t>Ariane Mnouchkine est une dramaturge de théâtre, engagée. Elle crée la compagnie du théâtre du soleil en</w:t>
      </w:r>
      <w:r>
        <w:rPr>
          <w:rFonts w:ascii="Times New Roman" w:hAnsi="Times New Roman"/>
        </w:rPr>
        <w:t xml:space="preserve"> </w:t>
      </w:r>
      <w:r w:rsidRPr="00F862C8">
        <w:rPr>
          <w:rFonts w:ascii="Times New Roman" w:hAnsi="Times New Roman"/>
        </w:rPr>
        <w:t>1964. Elle est aussi réalisatrice de plusieurs films.</w:t>
      </w:r>
    </w:p>
  </w:footnote>
  <w:footnote w:id="15">
    <w:p w:rsidR="006C092A" w:rsidRPr="00F862C8" w:rsidRDefault="006C092A" w:rsidP="00912409">
      <w:pPr>
        <w:spacing w:after="0" w:line="240" w:lineRule="auto"/>
        <w:jc w:val="both"/>
        <w:rPr>
          <w:rFonts w:ascii="Times New Roman" w:hAnsi="Times New Roman"/>
          <w:sz w:val="20"/>
          <w:szCs w:val="20"/>
        </w:rPr>
      </w:pPr>
      <w:r w:rsidRPr="00F862C8">
        <w:rPr>
          <w:rStyle w:val="Appelnotedebasdep"/>
          <w:rFonts w:ascii="Times New Roman" w:hAnsi="Times New Roman"/>
          <w:sz w:val="20"/>
          <w:szCs w:val="20"/>
        </w:rPr>
        <w:t>1</w:t>
      </w:r>
      <w:r w:rsidRPr="00F862C8">
        <w:rPr>
          <w:rFonts w:ascii="Times New Roman" w:hAnsi="Times New Roman"/>
          <w:sz w:val="20"/>
          <w:szCs w:val="20"/>
          <w:vertAlign w:val="superscript"/>
        </w:rPr>
        <w:t>6</w:t>
      </w:r>
      <w:r w:rsidRPr="00F862C8">
        <w:rPr>
          <w:rFonts w:ascii="Times New Roman" w:hAnsi="Times New Roman"/>
          <w:sz w:val="20"/>
          <w:szCs w:val="20"/>
        </w:rPr>
        <w:t xml:space="preserve">Josette Féral, </w:t>
      </w:r>
      <w:r w:rsidRPr="00F862C8">
        <w:rPr>
          <w:rFonts w:ascii="Times New Roman" w:hAnsi="Times New Roman"/>
          <w:i/>
          <w:sz w:val="20"/>
          <w:szCs w:val="20"/>
        </w:rPr>
        <w:t>Tout théâtre est politique</w:t>
      </w:r>
      <w:r>
        <w:rPr>
          <w:rFonts w:ascii="Times New Roman" w:hAnsi="Times New Roman"/>
          <w:i/>
          <w:sz w:val="20"/>
          <w:szCs w:val="20"/>
        </w:rPr>
        <w:t xml:space="preserve"> </w:t>
      </w:r>
      <w:r w:rsidRPr="00F862C8">
        <w:rPr>
          <w:rFonts w:ascii="Times New Roman" w:hAnsi="Times New Roman"/>
          <w:sz w:val="20"/>
          <w:szCs w:val="20"/>
        </w:rPr>
        <w:t xml:space="preserve">[en ligne]. Disponible sur : ˂http://www.lebacausoleil.com/SPIP/IMG/pdf/Feral_tous_th_est_po.pdf˃, </w:t>
      </w:r>
      <w:r w:rsidRPr="00F862C8">
        <w:rPr>
          <w:rStyle w:val="lev"/>
          <w:rFonts w:ascii="Times New Roman" w:hAnsi="Times New Roman"/>
          <w:b w:val="0"/>
          <w:iCs/>
          <w:color w:val="000000"/>
          <w:sz w:val="20"/>
          <w:szCs w:val="20"/>
        </w:rPr>
        <w:t>consulté le 25 Août 2013à 7h30.</w:t>
      </w:r>
    </w:p>
  </w:footnote>
  <w:footnote w:id="16">
    <w:p w:rsidR="006C092A" w:rsidRPr="00F862C8" w:rsidRDefault="006C092A" w:rsidP="00F862C8">
      <w:pPr>
        <w:spacing w:after="0" w:line="240" w:lineRule="auto"/>
        <w:jc w:val="both"/>
        <w:rPr>
          <w:sz w:val="20"/>
          <w:szCs w:val="20"/>
        </w:rPr>
      </w:pPr>
    </w:p>
    <w:p w:rsidR="006C092A" w:rsidRPr="005D3549" w:rsidRDefault="006C092A" w:rsidP="00C20BA3">
      <w:pPr>
        <w:pStyle w:val="Notedebasdepage"/>
        <w:jc w:val="both"/>
        <w:rPr>
          <w:b/>
          <w:color w:val="FF0000"/>
          <w:sz w:val="2"/>
          <w:szCs w:val="2"/>
        </w:rPr>
      </w:pPr>
    </w:p>
  </w:footnote>
  <w:footnote w:id="17">
    <w:p w:rsidR="006C092A" w:rsidRPr="000521A4" w:rsidRDefault="006C092A" w:rsidP="00927E97">
      <w:pPr>
        <w:pStyle w:val="Notedebasdepage"/>
        <w:jc w:val="both"/>
        <w:rPr>
          <w:rFonts w:ascii="Times New Roman" w:hAnsi="Times New Roman"/>
        </w:rPr>
      </w:pPr>
      <w:r w:rsidRPr="000521A4">
        <w:rPr>
          <w:rStyle w:val="Appelnotedebasdep"/>
          <w:rFonts w:ascii="Times New Roman" w:hAnsi="Times New Roman"/>
        </w:rPr>
        <w:footnoteRef/>
      </w:r>
      <w:r w:rsidRPr="000521A4">
        <w:rPr>
          <w:rFonts w:ascii="Times New Roman" w:hAnsi="Times New Roman"/>
        </w:rPr>
        <w:t>Roland B</w:t>
      </w:r>
      <w:r>
        <w:rPr>
          <w:rFonts w:ascii="Times New Roman" w:hAnsi="Times New Roman"/>
        </w:rPr>
        <w:t>arthes</w:t>
      </w:r>
      <w:r w:rsidRPr="000521A4">
        <w:rPr>
          <w:rFonts w:ascii="Times New Roman" w:hAnsi="Times New Roman"/>
        </w:rPr>
        <w:t>,</w:t>
      </w:r>
      <w:r>
        <w:rPr>
          <w:rFonts w:ascii="Times New Roman" w:hAnsi="Times New Roman"/>
        </w:rPr>
        <w:t xml:space="preserve"> </w:t>
      </w:r>
      <w:r w:rsidRPr="000521A4">
        <w:rPr>
          <w:rFonts w:ascii="Times New Roman" w:hAnsi="Times New Roman"/>
        </w:rPr>
        <w:t xml:space="preserve">« Qu’est-ce que l’écriture ? » in </w:t>
      </w:r>
      <w:r w:rsidRPr="000521A4">
        <w:rPr>
          <w:rFonts w:ascii="Times New Roman" w:hAnsi="Times New Roman"/>
          <w:i/>
        </w:rPr>
        <w:t>Le degré zéro de l’écriture</w:t>
      </w:r>
      <w:r w:rsidRPr="000521A4">
        <w:rPr>
          <w:rFonts w:ascii="Times New Roman" w:hAnsi="Times New Roman"/>
        </w:rPr>
        <w:t>, Gauthier</w:t>
      </w:r>
      <w:r>
        <w:rPr>
          <w:rFonts w:ascii="Times New Roman" w:hAnsi="Times New Roman"/>
        </w:rPr>
        <w:t xml:space="preserve">, </w:t>
      </w:r>
      <w:r w:rsidRPr="000521A4">
        <w:rPr>
          <w:rFonts w:ascii="Times New Roman" w:hAnsi="Times New Roman"/>
        </w:rPr>
        <w:t>Paris,</w:t>
      </w:r>
      <w:r w:rsidRPr="00320DAF">
        <w:rPr>
          <w:rFonts w:ascii="Times New Roman" w:hAnsi="Times New Roman"/>
        </w:rPr>
        <w:t xml:space="preserve"> </w:t>
      </w:r>
      <w:r w:rsidRPr="000521A4">
        <w:rPr>
          <w:rFonts w:ascii="Times New Roman" w:hAnsi="Times New Roman"/>
        </w:rPr>
        <w:t>1970, p. 19</w:t>
      </w:r>
      <w:r>
        <w:rPr>
          <w:rFonts w:ascii="Times New Roman" w:hAnsi="Times New Roman"/>
        </w:rPr>
        <w:t>.</w:t>
      </w:r>
    </w:p>
  </w:footnote>
  <w:footnote w:id="18">
    <w:p w:rsidR="006C092A" w:rsidRPr="000521A4" w:rsidRDefault="006C092A" w:rsidP="00FA0381">
      <w:pPr>
        <w:pStyle w:val="Notedebasdepage"/>
        <w:rPr>
          <w:rFonts w:ascii="Times New Roman" w:hAnsi="Times New Roman"/>
        </w:rPr>
      </w:pPr>
      <w:r w:rsidRPr="000521A4">
        <w:rPr>
          <w:rStyle w:val="Appelnotedebasdep"/>
          <w:rFonts w:ascii="Times New Roman" w:hAnsi="Times New Roman"/>
        </w:rPr>
        <w:footnoteRef/>
      </w:r>
      <w:r w:rsidRPr="000521A4">
        <w:rPr>
          <w:rFonts w:ascii="Times New Roman" w:hAnsi="Times New Roman"/>
        </w:rPr>
        <w:t xml:space="preserve"> Albert C</w:t>
      </w:r>
      <w:r>
        <w:rPr>
          <w:rFonts w:ascii="Times New Roman" w:hAnsi="Times New Roman"/>
        </w:rPr>
        <w:t>amus</w:t>
      </w:r>
      <w:r w:rsidRPr="000521A4">
        <w:rPr>
          <w:rFonts w:ascii="Times New Roman" w:hAnsi="Times New Roman"/>
        </w:rPr>
        <w:t xml:space="preserve">, </w:t>
      </w:r>
      <w:r w:rsidRPr="000521A4">
        <w:rPr>
          <w:rFonts w:ascii="Times New Roman" w:hAnsi="Times New Roman"/>
          <w:i/>
        </w:rPr>
        <w:t>L’homme révolté</w:t>
      </w:r>
      <w:r w:rsidRPr="000521A4">
        <w:rPr>
          <w:rFonts w:ascii="Times New Roman" w:hAnsi="Times New Roman"/>
        </w:rPr>
        <w:t>, Folio</w:t>
      </w:r>
      <w:r>
        <w:rPr>
          <w:rFonts w:ascii="Times New Roman" w:hAnsi="Times New Roman"/>
        </w:rPr>
        <w:t xml:space="preserve">, </w:t>
      </w:r>
      <w:r w:rsidRPr="000521A4">
        <w:rPr>
          <w:rFonts w:ascii="Times New Roman" w:hAnsi="Times New Roman"/>
        </w:rPr>
        <w:t>Paris,</w:t>
      </w:r>
      <w:r w:rsidRPr="002F314A">
        <w:rPr>
          <w:rFonts w:ascii="Times New Roman" w:hAnsi="Times New Roman"/>
        </w:rPr>
        <w:t xml:space="preserve"> </w:t>
      </w:r>
      <w:r w:rsidRPr="000521A4">
        <w:rPr>
          <w:rFonts w:ascii="Times New Roman" w:hAnsi="Times New Roman"/>
        </w:rPr>
        <w:t>1951, p.211</w:t>
      </w:r>
      <w:r>
        <w:rPr>
          <w:rFonts w:ascii="Times New Roman" w:hAnsi="Times New Roman"/>
        </w:rPr>
        <w:t>.</w:t>
      </w:r>
    </w:p>
  </w:footnote>
  <w:footnote w:id="19">
    <w:p w:rsidR="006C092A" w:rsidRPr="00B05525" w:rsidRDefault="006C092A" w:rsidP="00990D41">
      <w:pPr>
        <w:pStyle w:val="Notedebasdepage"/>
        <w:jc w:val="both"/>
        <w:rPr>
          <w:rFonts w:ascii="Times New Roman" w:hAnsi="Times New Roman"/>
        </w:rPr>
      </w:pPr>
      <w:r w:rsidRPr="00B05525">
        <w:rPr>
          <w:rStyle w:val="Appelnotedebasdep"/>
          <w:rFonts w:ascii="Times New Roman" w:hAnsi="Times New Roman"/>
        </w:rPr>
        <w:footnoteRef/>
      </w:r>
      <w:r w:rsidRPr="00B05525">
        <w:rPr>
          <w:rFonts w:ascii="Times New Roman" w:hAnsi="Times New Roman"/>
        </w:rPr>
        <w:t>Jean-Marie G</w:t>
      </w:r>
      <w:r>
        <w:rPr>
          <w:rFonts w:ascii="Times New Roman" w:hAnsi="Times New Roman"/>
        </w:rPr>
        <w:t>rassin,</w:t>
      </w:r>
      <w:r w:rsidRPr="00B05525">
        <w:rPr>
          <w:rFonts w:ascii="Times New Roman" w:hAnsi="Times New Roman"/>
        </w:rPr>
        <w:t xml:space="preserve"> « </w:t>
      </w:r>
      <w:r>
        <w:rPr>
          <w:rFonts w:ascii="Times New Roman" w:hAnsi="Times New Roman"/>
        </w:rPr>
        <w:t>L</w:t>
      </w:r>
      <w:r w:rsidRPr="00B05525">
        <w:rPr>
          <w:rFonts w:ascii="Times New Roman" w:hAnsi="Times New Roman"/>
        </w:rPr>
        <w:t xml:space="preserve">es littératures africaines modernes devant la documentation encyclopédique internationale » in </w:t>
      </w:r>
      <w:r w:rsidRPr="003E217E">
        <w:rPr>
          <w:rFonts w:ascii="Times New Roman" w:hAnsi="Times New Roman"/>
          <w:i/>
        </w:rPr>
        <w:t>C</w:t>
      </w:r>
      <w:r w:rsidRPr="00B05525">
        <w:rPr>
          <w:rFonts w:ascii="Times New Roman" w:hAnsi="Times New Roman"/>
          <w:i/>
        </w:rPr>
        <w:t>ritiques et réception des littératures négro-africaines</w:t>
      </w:r>
      <w:r>
        <w:rPr>
          <w:rFonts w:ascii="Times New Roman" w:hAnsi="Times New Roman"/>
          <w:i/>
        </w:rPr>
        <w:t xml:space="preserve"> </w:t>
      </w:r>
      <w:r>
        <w:rPr>
          <w:rFonts w:ascii="Times New Roman" w:hAnsi="Times New Roman"/>
          <w:iCs/>
        </w:rPr>
        <w:t>(actes du colloque)</w:t>
      </w:r>
      <w:r w:rsidRPr="00B05525">
        <w:rPr>
          <w:rFonts w:ascii="Times New Roman" w:hAnsi="Times New Roman"/>
        </w:rPr>
        <w:t>, Université Sorbonne, 10-11 mars</w:t>
      </w:r>
      <w:r>
        <w:rPr>
          <w:rFonts w:ascii="Times New Roman" w:hAnsi="Times New Roman"/>
        </w:rPr>
        <w:t>1978</w:t>
      </w:r>
      <w:r w:rsidRPr="00B05525">
        <w:rPr>
          <w:rFonts w:ascii="Times New Roman" w:hAnsi="Times New Roman"/>
        </w:rPr>
        <w:t>, p. 58</w:t>
      </w:r>
      <w:r>
        <w:rPr>
          <w:rFonts w:ascii="Times New Roman" w:hAnsi="Times New Roman"/>
        </w:rPr>
        <w:t>.</w:t>
      </w:r>
    </w:p>
  </w:footnote>
  <w:footnote w:id="20">
    <w:p w:rsidR="006C092A" w:rsidRPr="0025545C" w:rsidRDefault="006C092A" w:rsidP="0025545C">
      <w:pPr>
        <w:spacing w:after="0" w:line="240" w:lineRule="auto"/>
        <w:jc w:val="both"/>
        <w:rPr>
          <w:rFonts w:asciiTheme="majorBidi" w:eastAsia="Arial Unicode MS" w:hAnsiTheme="majorBidi" w:cstheme="majorBidi"/>
          <w:sz w:val="20"/>
          <w:szCs w:val="20"/>
        </w:rPr>
      </w:pPr>
      <w:r w:rsidRPr="0025545C">
        <w:rPr>
          <w:rStyle w:val="Appelnotedebasdep"/>
          <w:rFonts w:asciiTheme="majorBidi" w:hAnsiTheme="majorBidi" w:cstheme="majorBidi"/>
          <w:sz w:val="20"/>
          <w:szCs w:val="20"/>
        </w:rPr>
        <w:footnoteRef/>
      </w:r>
      <w:r w:rsidRPr="0025545C">
        <w:rPr>
          <w:rFonts w:asciiTheme="majorBidi" w:hAnsiTheme="majorBidi" w:cstheme="majorBidi"/>
          <w:sz w:val="20"/>
          <w:szCs w:val="20"/>
        </w:rPr>
        <w:t xml:space="preserve">Apulée de Madaure, </w:t>
      </w:r>
      <w:r w:rsidRPr="0025545C">
        <w:rPr>
          <w:rFonts w:asciiTheme="majorBidi" w:hAnsiTheme="majorBidi" w:cstheme="majorBidi"/>
          <w:i/>
          <w:sz w:val="20"/>
          <w:szCs w:val="20"/>
        </w:rPr>
        <w:t>Apologie,</w:t>
      </w:r>
      <w:r w:rsidRPr="0025545C">
        <w:rPr>
          <w:rFonts w:asciiTheme="majorBidi" w:hAnsiTheme="majorBidi" w:cstheme="majorBidi"/>
          <w:i/>
          <w:color w:val="FF0000"/>
          <w:sz w:val="20"/>
          <w:szCs w:val="20"/>
        </w:rPr>
        <w:t xml:space="preserve"> </w:t>
      </w:r>
      <w:r w:rsidRPr="0025545C">
        <w:rPr>
          <w:rFonts w:asciiTheme="majorBidi" w:hAnsiTheme="majorBidi" w:cstheme="majorBidi"/>
          <w:iCs/>
          <w:sz w:val="20"/>
          <w:szCs w:val="20"/>
        </w:rPr>
        <w:t>traduction moderne</w:t>
      </w:r>
      <w:r w:rsidRPr="0025545C">
        <w:rPr>
          <w:rFonts w:asciiTheme="majorBidi" w:eastAsia="Arial Unicode MS" w:hAnsiTheme="majorBidi" w:cstheme="majorBidi"/>
          <w:sz w:val="20"/>
          <w:szCs w:val="20"/>
        </w:rPr>
        <w:t xml:space="preserve"> par M-V. Betolaud, tome second, Garnier frères, Paris, Libraires-éditeurs [en ligne]. Disponible sur : ˂</w:t>
      </w:r>
      <w:hyperlink r:id="rId1" w:history="1">
        <w:r w:rsidRPr="0025545C">
          <w:rPr>
            <w:rStyle w:val="Lienhypertexte"/>
            <w:rFonts w:asciiTheme="majorBidi" w:eastAsia="Arial Unicode MS" w:hAnsiTheme="majorBidi" w:cstheme="majorBidi"/>
            <w:color w:val="auto"/>
            <w:sz w:val="20"/>
            <w:szCs w:val="20"/>
          </w:rPr>
          <w:t>http://remacle.org/bloodwolf/apulee/apologie.htm</w:t>
        </w:r>
      </w:hyperlink>
      <w:r w:rsidRPr="0025545C">
        <w:rPr>
          <w:rFonts w:asciiTheme="majorBidi" w:hAnsiTheme="majorBidi" w:cstheme="majorBidi"/>
          <w:sz w:val="20"/>
          <w:szCs w:val="20"/>
        </w:rPr>
        <w:t>˃</w:t>
      </w:r>
      <w:r w:rsidRPr="0025545C">
        <w:rPr>
          <w:rFonts w:asciiTheme="majorBidi" w:eastAsia="Arial Unicode MS" w:hAnsiTheme="majorBidi" w:cstheme="majorBidi"/>
          <w:sz w:val="20"/>
          <w:szCs w:val="20"/>
        </w:rPr>
        <w:t xml:space="preserve">, consulté le 12 Octobre 2013 à 21h20.  </w:t>
      </w:r>
    </w:p>
    <w:p w:rsidR="006C092A" w:rsidRPr="0025545C" w:rsidRDefault="006C092A" w:rsidP="0025545C">
      <w:pPr>
        <w:spacing w:after="0" w:line="240" w:lineRule="auto"/>
        <w:jc w:val="both"/>
        <w:rPr>
          <w:rFonts w:asciiTheme="majorBidi" w:hAnsiTheme="majorBidi" w:cstheme="majorBidi"/>
          <w:b/>
          <w:bCs/>
          <w:i/>
          <w:iCs/>
          <w:sz w:val="20"/>
          <w:szCs w:val="20"/>
        </w:rPr>
      </w:pPr>
    </w:p>
  </w:footnote>
  <w:footnote w:id="21">
    <w:p w:rsidR="006C092A" w:rsidRPr="009112E3" w:rsidRDefault="006C092A" w:rsidP="000F1FE1">
      <w:pPr>
        <w:pStyle w:val="Notedebasdepage"/>
        <w:rPr>
          <w:rFonts w:ascii="Times New Roman" w:hAnsi="Times New Roman"/>
        </w:rPr>
      </w:pPr>
      <w:r w:rsidRPr="009112E3">
        <w:rPr>
          <w:rStyle w:val="Appelnotedebasdep"/>
          <w:rFonts w:ascii="Times New Roman" w:hAnsi="Times New Roman"/>
        </w:rPr>
        <w:footnoteRef/>
      </w:r>
      <w:r w:rsidRPr="009112E3">
        <w:rPr>
          <w:rFonts w:ascii="Times New Roman" w:hAnsi="Times New Roman"/>
        </w:rPr>
        <w:t xml:space="preserve"> </w:t>
      </w:r>
      <w:r w:rsidRPr="002B4DB5">
        <w:rPr>
          <w:rFonts w:ascii="Times New Roman" w:hAnsi="Times New Roman"/>
        </w:rPr>
        <w:t>Abdelhamid G</w:t>
      </w:r>
      <w:r>
        <w:rPr>
          <w:rFonts w:ascii="Times New Roman" w:hAnsi="Times New Roman"/>
        </w:rPr>
        <w:t>uerfi</w:t>
      </w:r>
      <w:r w:rsidRPr="002B4DB5">
        <w:rPr>
          <w:rFonts w:ascii="Times New Roman" w:hAnsi="Times New Roman"/>
        </w:rPr>
        <w:t xml:space="preserve">, </w:t>
      </w:r>
      <w:r w:rsidRPr="002B4DB5">
        <w:rPr>
          <w:rFonts w:ascii="Times New Roman" w:hAnsi="Times New Roman"/>
          <w:i/>
        </w:rPr>
        <w:t>Diversité et inter culturalité en Algérie</w:t>
      </w:r>
      <w:r w:rsidRPr="002B4DB5">
        <w:rPr>
          <w:rFonts w:ascii="Times New Roman" w:hAnsi="Times New Roman"/>
        </w:rPr>
        <w:t>, Rabat, UNESCO, 2009</w:t>
      </w:r>
      <w:r>
        <w:rPr>
          <w:rFonts w:ascii="Times New Roman" w:hAnsi="Times New Roman"/>
        </w:rPr>
        <w:t>, p.21</w:t>
      </w:r>
    </w:p>
  </w:footnote>
  <w:footnote w:id="22">
    <w:p w:rsidR="006C092A" w:rsidRPr="00EA5F53" w:rsidRDefault="006C092A" w:rsidP="00EA5F53">
      <w:pPr>
        <w:pStyle w:val="Notedebasdepage"/>
        <w:jc w:val="both"/>
        <w:rPr>
          <w:rFonts w:asciiTheme="majorBidi" w:hAnsiTheme="majorBidi" w:cstheme="majorBidi"/>
          <w:b/>
          <w:bCs/>
          <w:i/>
          <w:iCs/>
        </w:rPr>
      </w:pPr>
      <w:r w:rsidRPr="00EA5F53">
        <w:rPr>
          <w:rStyle w:val="Appelnotedebasdep"/>
          <w:rFonts w:asciiTheme="majorBidi" w:hAnsiTheme="majorBidi" w:cstheme="majorBidi"/>
        </w:rPr>
        <w:footnoteRef/>
      </w:r>
      <w:r w:rsidRPr="00EA5F53">
        <w:rPr>
          <w:rFonts w:asciiTheme="majorBidi" w:hAnsiTheme="majorBidi" w:cstheme="majorBidi"/>
        </w:rPr>
        <w:t>Adolphe Dureau de La  Malle, né à Parsis le 3/03/1777, mort le 17/05/1857, s’est livré à de profondes recherches sur la géographie et la statistique des anciens, admis en 1818 à l’académie des inscriptions. Il rédigea au nom de l‘académie, les recherches sur l’histoire de la régence d’Alger et sur la colonisation de l’Afrique sous la domination romaine (1837 et années suivantes)</w:t>
      </w:r>
    </w:p>
  </w:footnote>
  <w:footnote w:id="23">
    <w:p w:rsidR="006C092A" w:rsidRPr="00EA5F53" w:rsidRDefault="006C092A" w:rsidP="00EA5F53">
      <w:pPr>
        <w:pStyle w:val="Notedebasdepage"/>
        <w:jc w:val="both"/>
        <w:rPr>
          <w:rFonts w:asciiTheme="majorBidi" w:hAnsiTheme="majorBidi" w:cstheme="majorBidi"/>
          <w:color w:val="000000"/>
          <w:sz w:val="18"/>
          <w:szCs w:val="18"/>
        </w:rPr>
      </w:pPr>
      <w:r w:rsidRPr="00EA5F53">
        <w:rPr>
          <w:rStyle w:val="Appelnotedebasdep"/>
          <w:rFonts w:asciiTheme="majorBidi" w:hAnsiTheme="majorBidi" w:cstheme="majorBidi"/>
        </w:rPr>
        <w:footnoteRef/>
      </w:r>
      <w:r w:rsidRPr="00EA5F53">
        <w:rPr>
          <w:rFonts w:asciiTheme="majorBidi" w:hAnsiTheme="majorBidi" w:cstheme="majorBidi"/>
        </w:rPr>
        <w:t>Adolphe</w:t>
      </w:r>
      <w:r w:rsidRPr="00EA5F53">
        <w:rPr>
          <w:rFonts w:asciiTheme="majorBidi" w:hAnsiTheme="majorBidi" w:cstheme="majorBidi"/>
          <w:bCs/>
          <w:iCs/>
          <w:color w:val="000000"/>
        </w:rPr>
        <w:t xml:space="preserve"> Dureau de La Malle cité in Benaoumeur Khelfaoui, </w:t>
      </w:r>
      <w:r w:rsidRPr="00EA5F53">
        <w:rPr>
          <w:rFonts w:asciiTheme="majorBidi" w:hAnsiTheme="majorBidi" w:cstheme="majorBidi"/>
          <w:bCs/>
          <w:i/>
          <w:color w:val="000000"/>
        </w:rPr>
        <w:t>L’écriture de l’histoire : un dialogue entre deux rives</w:t>
      </w:r>
      <w:r w:rsidRPr="00EA5F53">
        <w:rPr>
          <w:rFonts w:asciiTheme="majorBidi" w:hAnsiTheme="majorBidi" w:cstheme="majorBidi"/>
          <w:bCs/>
          <w:iCs/>
          <w:color w:val="000000"/>
        </w:rPr>
        <w:t xml:space="preserve"> (Mémoire de licence), Saïda, Université Tahar MOULAY, 2008-2009, p. 5.</w:t>
      </w:r>
    </w:p>
    <w:p w:rsidR="006C092A" w:rsidRPr="00EC3A60" w:rsidRDefault="006C092A" w:rsidP="006A4EED">
      <w:pPr>
        <w:pStyle w:val="Notedebasdepage"/>
        <w:rPr>
          <w:sz w:val="2"/>
          <w:szCs w:val="2"/>
        </w:rPr>
      </w:pPr>
    </w:p>
  </w:footnote>
  <w:footnote w:id="24">
    <w:p w:rsidR="006C092A" w:rsidRPr="009B184B" w:rsidRDefault="006C092A" w:rsidP="009B184B">
      <w:pPr>
        <w:pStyle w:val="Notedebasdepage"/>
        <w:jc w:val="both"/>
        <w:rPr>
          <w:rFonts w:asciiTheme="majorBidi" w:hAnsiTheme="majorBidi" w:cstheme="majorBidi"/>
          <w:b/>
          <w:bCs/>
          <w:i/>
          <w:iCs/>
        </w:rPr>
      </w:pPr>
      <w:r w:rsidRPr="009B184B">
        <w:rPr>
          <w:rStyle w:val="Appelnotedebasdep"/>
          <w:rFonts w:asciiTheme="majorBidi" w:hAnsiTheme="majorBidi" w:cstheme="majorBidi"/>
        </w:rPr>
        <w:footnoteRef/>
      </w:r>
      <w:r w:rsidRPr="009B184B">
        <w:rPr>
          <w:rFonts w:asciiTheme="majorBidi" w:hAnsiTheme="majorBidi" w:cstheme="majorBidi"/>
        </w:rPr>
        <w:t>Assia Djebbar, discours prononcé dans la séance publique le 22/06/2006, lors de sa réception par l’Académie française.</w:t>
      </w:r>
    </w:p>
  </w:footnote>
  <w:footnote w:id="25">
    <w:p w:rsidR="006C092A" w:rsidRPr="009B184B" w:rsidRDefault="006C092A" w:rsidP="009B184B">
      <w:pPr>
        <w:spacing w:after="0" w:line="240" w:lineRule="auto"/>
        <w:jc w:val="both"/>
        <w:rPr>
          <w:rFonts w:asciiTheme="majorBidi" w:hAnsiTheme="majorBidi" w:cstheme="majorBidi"/>
          <w:sz w:val="20"/>
          <w:szCs w:val="20"/>
        </w:rPr>
      </w:pPr>
      <w:r w:rsidRPr="009B184B">
        <w:rPr>
          <w:rStyle w:val="Appelnotedebasdep"/>
          <w:rFonts w:asciiTheme="majorBidi" w:hAnsiTheme="majorBidi" w:cstheme="majorBidi"/>
          <w:sz w:val="20"/>
          <w:szCs w:val="20"/>
        </w:rPr>
        <w:footnoteRef/>
      </w:r>
      <w:r w:rsidRPr="009B184B">
        <w:rPr>
          <w:rFonts w:asciiTheme="majorBidi" w:hAnsiTheme="majorBidi" w:cstheme="majorBidi"/>
          <w:sz w:val="20"/>
          <w:szCs w:val="20"/>
        </w:rPr>
        <w:t xml:space="preserve">Jacques Simon, </w:t>
      </w:r>
      <w:r w:rsidRPr="009B184B">
        <w:rPr>
          <w:rFonts w:asciiTheme="majorBidi" w:hAnsiTheme="majorBidi" w:cstheme="majorBidi"/>
          <w:i/>
          <w:iCs/>
          <w:sz w:val="20"/>
          <w:szCs w:val="20"/>
        </w:rPr>
        <w:t>Algérie : le passé, l'Algérie française, la révolution (1954-1958),</w:t>
      </w:r>
      <w:r w:rsidRPr="009B184B">
        <w:rPr>
          <w:rFonts w:asciiTheme="majorBidi" w:hAnsiTheme="majorBidi" w:cstheme="majorBidi"/>
          <w:sz w:val="20"/>
          <w:szCs w:val="20"/>
        </w:rPr>
        <w:t xml:space="preserve"> Paris : L’Harmattan, avril 2007, p. 133.</w:t>
      </w:r>
    </w:p>
  </w:footnote>
  <w:footnote w:id="26">
    <w:p w:rsidR="006C092A" w:rsidRPr="009B184B" w:rsidRDefault="006C092A" w:rsidP="009B184B">
      <w:pPr>
        <w:pStyle w:val="Notedebasdepage"/>
        <w:jc w:val="both"/>
        <w:rPr>
          <w:rFonts w:asciiTheme="majorBidi" w:hAnsiTheme="majorBidi" w:cstheme="majorBidi"/>
        </w:rPr>
      </w:pPr>
      <w:r w:rsidRPr="009B184B">
        <w:rPr>
          <w:rStyle w:val="Appelnotedebasdep"/>
          <w:rFonts w:asciiTheme="majorBidi" w:hAnsiTheme="majorBidi" w:cstheme="majorBidi"/>
        </w:rPr>
        <w:footnoteRef/>
      </w:r>
      <w:r w:rsidRPr="009B184B">
        <w:rPr>
          <w:rFonts w:asciiTheme="majorBidi" w:hAnsiTheme="majorBidi" w:cstheme="majorBidi"/>
          <w:bCs/>
          <w:lang w:eastAsia="fr-FR"/>
        </w:rPr>
        <w:t>Archives Nationales - Territoire d'Outremer (Algérie) — Registres paroissiaux et d'état civil numérisés,  2009.</w:t>
      </w:r>
    </w:p>
  </w:footnote>
  <w:footnote w:id="27">
    <w:p w:rsidR="006C092A" w:rsidRPr="00EB5CEA" w:rsidRDefault="006C092A" w:rsidP="00EB5CEA">
      <w:pPr>
        <w:spacing w:after="0" w:line="240" w:lineRule="auto"/>
        <w:jc w:val="both"/>
        <w:rPr>
          <w:rFonts w:asciiTheme="majorBidi" w:hAnsiTheme="majorBidi" w:cstheme="majorBidi"/>
          <w:color w:val="000000"/>
          <w:sz w:val="20"/>
          <w:szCs w:val="20"/>
        </w:rPr>
      </w:pPr>
      <w:r w:rsidRPr="00EB5CEA">
        <w:rPr>
          <w:rStyle w:val="Appelnotedebasdep"/>
          <w:rFonts w:asciiTheme="majorBidi" w:hAnsiTheme="majorBidi" w:cstheme="majorBidi"/>
          <w:sz w:val="20"/>
          <w:szCs w:val="20"/>
        </w:rPr>
        <w:footnoteRef/>
      </w:r>
      <w:r w:rsidRPr="00EB5CEA">
        <w:rPr>
          <w:rStyle w:val="lev"/>
          <w:rFonts w:asciiTheme="majorBidi" w:hAnsiTheme="majorBidi" w:cstheme="majorBidi"/>
          <w:b w:val="0"/>
          <w:bCs w:val="0"/>
          <w:color w:val="000000"/>
          <w:sz w:val="20"/>
          <w:szCs w:val="20"/>
        </w:rPr>
        <w:t xml:space="preserve">Patrick </w:t>
      </w:r>
      <w:r w:rsidRPr="00EB5CEA">
        <w:rPr>
          <w:rStyle w:val="familyname"/>
          <w:rFonts w:asciiTheme="majorBidi" w:hAnsiTheme="majorBidi" w:cstheme="majorBidi"/>
          <w:color w:val="000000"/>
          <w:sz w:val="20"/>
          <w:szCs w:val="20"/>
        </w:rPr>
        <w:t>Cabanel</w:t>
      </w:r>
      <w:r w:rsidRPr="00EB5CEA">
        <w:rPr>
          <w:rFonts w:asciiTheme="majorBidi" w:hAnsiTheme="majorBidi" w:cstheme="majorBidi"/>
          <w:color w:val="000000"/>
          <w:sz w:val="20"/>
          <w:szCs w:val="20"/>
        </w:rPr>
        <w:t xml:space="preserve">, « Patricia M.E. Lorcin, </w:t>
      </w:r>
      <w:r w:rsidRPr="00EB5CEA">
        <w:rPr>
          <w:rStyle w:val="Accentuation"/>
          <w:rFonts w:asciiTheme="majorBidi" w:hAnsiTheme="majorBidi" w:cstheme="majorBidi"/>
          <w:i w:val="0"/>
          <w:iCs w:val="0"/>
          <w:color w:val="000000"/>
          <w:sz w:val="20"/>
          <w:szCs w:val="20"/>
        </w:rPr>
        <w:t>Kabyles, Arabes, Français : identités coloniales</w:t>
      </w:r>
      <w:r w:rsidRPr="00EB5CEA">
        <w:rPr>
          <w:rFonts w:asciiTheme="majorBidi" w:hAnsiTheme="majorBidi" w:cstheme="majorBidi"/>
          <w:color w:val="000000"/>
          <w:sz w:val="20"/>
          <w:szCs w:val="20"/>
        </w:rPr>
        <w:t xml:space="preserve"> », </w:t>
      </w:r>
      <w:r w:rsidRPr="00EB5CEA">
        <w:rPr>
          <w:rStyle w:val="Accentuation"/>
          <w:rFonts w:asciiTheme="majorBidi" w:hAnsiTheme="majorBidi" w:cstheme="majorBidi"/>
          <w:color w:val="000000"/>
          <w:sz w:val="20"/>
          <w:szCs w:val="20"/>
        </w:rPr>
        <w:t>Archives de sciences sociales des religions</w:t>
      </w:r>
      <w:r w:rsidRPr="00EB5CEA">
        <w:rPr>
          <w:rFonts w:asciiTheme="majorBidi" w:hAnsiTheme="majorBidi" w:cstheme="majorBidi"/>
          <w:color w:val="000000"/>
          <w:sz w:val="20"/>
          <w:szCs w:val="20"/>
        </w:rPr>
        <w:t xml:space="preserve"> [en ligne], 140 | octobre - décembre 2007, document 140-56, mis en ligne le 02 juillet 2008. Disponible sur : </w:t>
      </w:r>
      <w:r w:rsidRPr="001E4701">
        <w:rPr>
          <w:rFonts w:asciiTheme="majorBidi" w:hAnsiTheme="majorBidi" w:cstheme="majorBidi"/>
          <w:color w:val="000000"/>
          <w:sz w:val="20"/>
          <w:szCs w:val="20"/>
        </w:rPr>
        <w:t>˂</w:t>
      </w:r>
      <w:hyperlink r:id="rId2" w:history="1">
        <w:r w:rsidRPr="001E4701">
          <w:rPr>
            <w:rStyle w:val="Lienhypertexte"/>
            <w:rFonts w:asciiTheme="majorBidi" w:hAnsiTheme="majorBidi" w:cstheme="majorBidi"/>
            <w:color w:val="000000"/>
            <w:sz w:val="20"/>
            <w:szCs w:val="20"/>
            <w:u w:val="none"/>
          </w:rPr>
          <w:t>http://assr.revues.org/11183</w:t>
        </w:r>
      </w:hyperlink>
      <w:r w:rsidRPr="00EB5CEA">
        <w:rPr>
          <w:rFonts w:asciiTheme="majorBidi" w:hAnsiTheme="majorBidi" w:cstheme="majorBidi"/>
          <w:sz w:val="20"/>
          <w:szCs w:val="20"/>
        </w:rPr>
        <w:t>˃</w:t>
      </w:r>
      <w:r w:rsidRPr="00EB5CEA">
        <w:rPr>
          <w:rFonts w:asciiTheme="majorBidi" w:hAnsiTheme="majorBidi" w:cstheme="majorBidi"/>
          <w:color w:val="000000"/>
          <w:sz w:val="20"/>
          <w:szCs w:val="20"/>
        </w:rPr>
        <w:t>, consulté le 07 Avril 2016 à 14h00.</w:t>
      </w:r>
    </w:p>
  </w:footnote>
  <w:footnote w:id="28">
    <w:p w:rsidR="006C092A" w:rsidRPr="00661BDD" w:rsidRDefault="006C092A" w:rsidP="00661BDD">
      <w:pPr>
        <w:spacing w:after="0" w:line="240" w:lineRule="auto"/>
        <w:jc w:val="both"/>
        <w:rPr>
          <w:rFonts w:asciiTheme="majorBidi" w:hAnsiTheme="majorBidi" w:cstheme="majorBidi"/>
          <w:sz w:val="20"/>
          <w:szCs w:val="20"/>
        </w:rPr>
      </w:pPr>
      <w:r w:rsidRPr="00661BDD">
        <w:rPr>
          <w:rStyle w:val="Appelnotedebasdep"/>
          <w:rFonts w:asciiTheme="majorBidi" w:hAnsiTheme="majorBidi" w:cstheme="majorBidi"/>
          <w:sz w:val="20"/>
          <w:szCs w:val="20"/>
        </w:rPr>
        <w:footnoteRef/>
      </w:r>
      <w:r w:rsidRPr="00661BDD">
        <w:rPr>
          <w:rFonts w:asciiTheme="majorBidi" w:hAnsiTheme="majorBidi" w:cstheme="majorBidi"/>
          <w:color w:val="000000"/>
          <w:sz w:val="20"/>
          <w:szCs w:val="20"/>
        </w:rPr>
        <w:t xml:space="preserve">Pierre Vemren (sous dir), « Les Maghrébins sont des Arabes » in </w:t>
      </w:r>
      <w:r w:rsidRPr="00661BDD">
        <w:rPr>
          <w:rFonts w:asciiTheme="majorBidi" w:hAnsiTheme="majorBidi" w:cstheme="majorBidi"/>
          <w:i/>
          <w:iCs/>
          <w:color w:val="000000"/>
          <w:sz w:val="20"/>
          <w:szCs w:val="20"/>
        </w:rPr>
        <w:t>Idées Reçues sur le Monde arabe</w:t>
      </w:r>
      <w:r w:rsidRPr="00661BDD">
        <w:rPr>
          <w:rFonts w:asciiTheme="majorBidi" w:hAnsiTheme="majorBidi" w:cstheme="majorBidi"/>
          <w:color w:val="000000"/>
          <w:sz w:val="20"/>
          <w:szCs w:val="20"/>
        </w:rPr>
        <w:t>, Le Cavalier Bleu, France, 2012, p.4.</w:t>
      </w:r>
    </w:p>
  </w:footnote>
  <w:footnote w:id="29">
    <w:p w:rsidR="006C092A" w:rsidRPr="00661BDD" w:rsidRDefault="006C092A" w:rsidP="00661BDD">
      <w:pPr>
        <w:spacing w:after="0" w:line="240" w:lineRule="auto"/>
        <w:jc w:val="both"/>
        <w:rPr>
          <w:rFonts w:asciiTheme="majorBidi" w:hAnsiTheme="majorBidi" w:cstheme="majorBidi"/>
          <w:color w:val="000000"/>
          <w:sz w:val="20"/>
          <w:szCs w:val="20"/>
        </w:rPr>
      </w:pPr>
      <w:r w:rsidRPr="00661BDD">
        <w:rPr>
          <w:rStyle w:val="Appelnotedebasdep"/>
          <w:rFonts w:asciiTheme="majorBidi" w:hAnsiTheme="majorBidi" w:cstheme="majorBidi"/>
          <w:sz w:val="20"/>
          <w:szCs w:val="20"/>
        </w:rPr>
        <w:footnoteRef/>
      </w:r>
      <w:r w:rsidRPr="00661BDD">
        <w:rPr>
          <w:rFonts w:asciiTheme="majorBidi" w:hAnsiTheme="majorBidi" w:cstheme="majorBidi"/>
          <w:color w:val="000000"/>
          <w:sz w:val="20"/>
          <w:szCs w:val="20"/>
        </w:rPr>
        <w:t xml:space="preserve">Patrick Weil, </w:t>
      </w:r>
      <w:r w:rsidRPr="00661BDD">
        <w:rPr>
          <w:rFonts w:asciiTheme="majorBidi" w:hAnsiTheme="majorBidi" w:cstheme="majorBidi"/>
          <w:i/>
          <w:iCs/>
          <w:color w:val="000000"/>
          <w:sz w:val="20"/>
          <w:szCs w:val="20"/>
        </w:rPr>
        <w:t>Qu’est-ce qu’un Français ? Histoire de la nationalité française depuis la Révolution</w:t>
      </w:r>
      <w:r w:rsidRPr="00661BDD">
        <w:rPr>
          <w:rFonts w:asciiTheme="majorBidi" w:hAnsiTheme="majorBidi" w:cstheme="majorBidi"/>
          <w:color w:val="000000"/>
          <w:sz w:val="20"/>
          <w:szCs w:val="20"/>
        </w:rPr>
        <w:t>, Grasset, Paris, 2002, p. 235.</w:t>
      </w:r>
    </w:p>
  </w:footnote>
  <w:footnote w:id="30">
    <w:p w:rsidR="006C092A" w:rsidRPr="00661BDD" w:rsidRDefault="006C092A" w:rsidP="00661BDD">
      <w:pPr>
        <w:spacing w:after="0" w:line="240" w:lineRule="auto"/>
        <w:jc w:val="both"/>
        <w:rPr>
          <w:rFonts w:asciiTheme="majorBidi" w:hAnsiTheme="majorBidi" w:cstheme="majorBidi"/>
          <w:color w:val="000000"/>
          <w:sz w:val="20"/>
          <w:szCs w:val="20"/>
        </w:rPr>
      </w:pPr>
      <w:r w:rsidRPr="00661BDD">
        <w:rPr>
          <w:rStyle w:val="Appelnotedebasdep"/>
          <w:rFonts w:asciiTheme="majorBidi" w:hAnsiTheme="majorBidi" w:cstheme="majorBidi"/>
          <w:sz w:val="20"/>
          <w:szCs w:val="20"/>
        </w:rPr>
        <w:footnoteRef/>
      </w:r>
      <w:r w:rsidRPr="00661BDD">
        <w:rPr>
          <w:rFonts w:asciiTheme="majorBidi" w:hAnsiTheme="majorBidi" w:cstheme="majorBidi"/>
          <w:color w:val="000000"/>
          <w:sz w:val="20"/>
          <w:szCs w:val="20"/>
        </w:rPr>
        <w:t xml:space="preserve">André Nouschi, « En Algérie : portrait social de la colonisation [P. Bourdieu, A. Darbel, J. P. Rivet, C. Seibel, Travail et travailleurs en Algérie.] » (Note critique), in </w:t>
      </w:r>
      <w:r w:rsidRPr="00661BDD">
        <w:rPr>
          <w:rFonts w:asciiTheme="majorBidi" w:hAnsiTheme="majorBidi" w:cstheme="majorBidi"/>
          <w:i/>
          <w:iCs/>
          <w:color w:val="000000"/>
          <w:sz w:val="20"/>
          <w:szCs w:val="20"/>
        </w:rPr>
        <w:t>Annales. Économies, Sociétés, Civilisations,</w:t>
      </w:r>
      <w:r w:rsidRPr="00661BDD">
        <w:rPr>
          <w:rFonts w:asciiTheme="majorBidi" w:hAnsiTheme="majorBidi" w:cstheme="majorBidi"/>
          <w:color w:val="000000"/>
          <w:sz w:val="20"/>
          <w:szCs w:val="20"/>
        </w:rPr>
        <w:t xml:space="preserve"> vol 20, no 6, 1965. p. 1242-1252.</w:t>
      </w:r>
    </w:p>
    <w:p w:rsidR="006C092A" w:rsidRPr="00B4376D" w:rsidRDefault="006C092A" w:rsidP="006A4EED">
      <w:pPr>
        <w:pStyle w:val="Notedebasdepage"/>
        <w:jc w:val="both"/>
        <w:rPr>
          <w:rFonts w:ascii="Times New Roman" w:hAnsi="Times New Roman"/>
          <w:sz w:val="2"/>
          <w:szCs w:val="2"/>
        </w:rPr>
      </w:pPr>
    </w:p>
  </w:footnote>
  <w:footnote w:id="31">
    <w:p w:rsidR="006C092A" w:rsidRPr="0005200B" w:rsidRDefault="006C092A" w:rsidP="00DA1B9E">
      <w:pPr>
        <w:pStyle w:val="Notedebasdepage"/>
        <w:jc w:val="both"/>
        <w:rPr>
          <w:rFonts w:ascii="Times New Roman" w:hAnsi="Times New Roman"/>
        </w:rPr>
      </w:pPr>
      <w:r w:rsidRPr="0005200B">
        <w:rPr>
          <w:rStyle w:val="Appelnotedebasdep"/>
          <w:rFonts w:ascii="Times New Roman" w:hAnsi="Times New Roman"/>
        </w:rPr>
        <w:footnoteRef/>
      </w:r>
      <w:r w:rsidRPr="008F0F24">
        <w:rPr>
          <w:rFonts w:ascii="Times New Roman" w:hAnsi="Times New Roman"/>
          <w:i/>
        </w:rPr>
        <w:t>Ibid.</w:t>
      </w:r>
    </w:p>
  </w:footnote>
  <w:footnote w:id="32">
    <w:p w:rsidR="006C092A" w:rsidRPr="0065072F" w:rsidRDefault="006C092A" w:rsidP="0065072F">
      <w:pPr>
        <w:spacing w:after="0" w:line="240" w:lineRule="auto"/>
        <w:jc w:val="both"/>
        <w:rPr>
          <w:rFonts w:asciiTheme="majorBidi" w:hAnsiTheme="majorBidi" w:cstheme="majorBidi"/>
          <w:i/>
          <w:iCs/>
          <w:sz w:val="20"/>
          <w:szCs w:val="20"/>
        </w:rPr>
      </w:pPr>
      <w:r w:rsidRPr="0065072F">
        <w:rPr>
          <w:rStyle w:val="Appelnotedebasdep"/>
          <w:rFonts w:asciiTheme="majorBidi" w:hAnsiTheme="majorBidi" w:cstheme="majorBidi"/>
          <w:sz w:val="20"/>
          <w:szCs w:val="20"/>
        </w:rPr>
        <w:footnoteRef/>
      </w:r>
      <w:r w:rsidRPr="0065072F">
        <w:rPr>
          <w:rFonts w:asciiTheme="majorBidi" w:hAnsiTheme="majorBidi" w:cstheme="majorBidi"/>
          <w:sz w:val="20"/>
          <w:szCs w:val="20"/>
        </w:rPr>
        <w:t>Mostapha Lachref</w:t>
      </w:r>
      <w:r w:rsidRPr="0065072F">
        <w:rPr>
          <w:rFonts w:asciiTheme="majorBidi" w:hAnsiTheme="majorBidi" w:cstheme="majorBidi"/>
          <w:i/>
          <w:iCs/>
          <w:sz w:val="20"/>
          <w:szCs w:val="20"/>
        </w:rPr>
        <w:t xml:space="preserve">, L’Algérie : Nation et société, </w:t>
      </w:r>
      <w:r w:rsidRPr="0065072F">
        <w:rPr>
          <w:rFonts w:asciiTheme="majorBidi" w:hAnsiTheme="majorBidi" w:cstheme="majorBidi"/>
          <w:sz w:val="20"/>
          <w:szCs w:val="20"/>
        </w:rPr>
        <w:t>SNED, Alger, 1972, p.94-95.</w:t>
      </w:r>
    </w:p>
    <w:p w:rsidR="006C092A" w:rsidRPr="0065072F" w:rsidRDefault="006C092A" w:rsidP="0065072F">
      <w:pPr>
        <w:pStyle w:val="Notedebasdepage"/>
        <w:jc w:val="both"/>
        <w:rPr>
          <w:rFonts w:asciiTheme="majorBidi" w:hAnsiTheme="majorBidi" w:cstheme="majorBidi"/>
        </w:rPr>
      </w:pPr>
    </w:p>
  </w:footnote>
  <w:footnote w:id="33">
    <w:p w:rsidR="006C092A" w:rsidRPr="004360FD" w:rsidRDefault="006C092A" w:rsidP="004360FD">
      <w:pPr>
        <w:spacing w:after="0" w:line="240" w:lineRule="auto"/>
        <w:jc w:val="both"/>
        <w:outlineLvl w:val="0"/>
        <w:rPr>
          <w:rFonts w:asciiTheme="majorBidi" w:hAnsiTheme="majorBidi" w:cstheme="majorBidi"/>
          <w:sz w:val="20"/>
          <w:szCs w:val="20"/>
        </w:rPr>
      </w:pPr>
      <w:r w:rsidRPr="004360FD">
        <w:rPr>
          <w:rStyle w:val="Appelnotedebasdep"/>
          <w:rFonts w:asciiTheme="majorBidi" w:hAnsiTheme="majorBidi" w:cstheme="majorBidi"/>
          <w:sz w:val="20"/>
          <w:szCs w:val="20"/>
        </w:rPr>
        <w:footnoteRef/>
      </w:r>
      <w:hyperlink r:id="rId3" w:history="1">
        <w:r w:rsidRPr="004360FD">
          <w:rPr>
            <w:rStyle w:val="Lienhypertexte"/>
            <w:rFonts w:asciiTheme="majorBidi" w:hAnsiTheme="majorBidi" w:cstheme="majorBidi"/>
            <w:color w:val="auto"/>
            <w:sz w:val="20"/>
            <w:szCs w:val="20"/>
            <w:u w:val="none"/>
          </w:rPr>
          <w:t>Ahmed Taleb Ibrahimi</w:t>
        </w:r>
      </w:hyperlink>
      <w:r w:rsidRPr="004360FD">
        <w:rPr>
          <w:rFonts w:asciiTheme="majorBidi" w:eastAsia="Times New Roman" w:hAnsiTheme="majorBidi" w:cstheme="majorBidi"/>
          <w:kern w:val="36"/>
          <w:sz w:val="20"/>
          <w:szCs w:val="20"/>
          <w:lang w:eastAsia="fr-FR"/>
        </w:rPr>
        <w:t xml:space="preserve">, </w:t>
      </w:r>
      <w:r w:rsidRPr="004360FD">
        <w:rPr>
          <w:rFonts w:asciiTheme="majorBidi" w:eastAsia="Times New Roman" w:hAnsiTheme="majorBidi" w:cstheme="majorBidi"/>
          <w:i/>
          <w:iCs/>
          <w:kern w:val="36"/>
          <w:sz w:val="20"/>
          <w:szCs w:val="20"/>
          <w:lang w:eastAsia="fr-FR"/>
        </w:rPr>
        <w:t xml:space="preserve">De la décolonisation à la révolution culturelle: </w:t>
      </w:r>
      <w:r w:rsidRPr="004360FD">
        <w:rPr>
          <w:rFonts w:asciiTheme="majorBidi" w:eastAsia="Times New Roman" w:hAnsiTheme="majorBidi" w:cstheme="majorBidi"/>
          <w:kern w:val="36"/>
          <w:sz w:val="20"/>
          <w:szCs w:val="20"/>
          <w:lang w:eastAsia="fr-FR"/>
        </w:rPr>
        <w:t xml:space="preserve">1962-1972, </w:t>
      </w:r>
      <w:r w:rsidRPr="004360FD">
        <w:rPr>
          <w:rFonts w:asciiTheme="majorBidi" w:hAnsiTheme="majorBidi" w:cstheme="majorBidi"/>
          <w:sz w:val="20"/>
          <w:szCs w:val="20"/>
        </w:rPr>
        <w:t xml:space="preserve">SNED, </w:t>
      </w:r>
      <w:r w:rsidRPr="004360FD">
        <w:rPr>
          <w:rFonts w:asciiTheme="majorBidi" w:eastAsia="Times New Roman" w:hAnsiTheme="majorBidi" w:cstheme="majorBidi"/>
          <w:kern w:val="36"/>
          <w:sz w:val="20"/>
          <w:szCs w:val="20"/>
          <w:lang w:eastAsia="fr-FR"/>
        </w:rPr>
        <w:t>Alger</w:t>
      </w:r>
      <w:r w:rsidRPr="004360FD">
        <w:rPr>
          <w:rFonts w:asciiTheme="majorBidi" w:hAnsiTheme="majorBidi" w:cstheme="majorBidi"/>
          <w:sz w:val="20"/>
          <w:szCs w:val="20"/>
        </w:rPr>
        <w:t>, 1973, p.14-15.</w:t>
      </w:r>
    </w:p>
  </w:footnote>
  <w:footnote w:id="34">
    <w:p w:rsidR="006C092A" w:rsidRPr="00126A80" w:rsidRDefault="006C092A" w:rsidP="004360FD">
      <w:pPr>
        <w:pStyle w:val="Notedebasdepage"/>
        <w:jc w:val="both"/>
        <w:rPr>
          <w:rFonts w:asciiTheme="majorBidi" w:hAnsiTheme="majorBidi" w:cstheme="majorBidi"/>
          <w:lang w:val="en-US"/>
        </w:rPr>
      </w:pPr>
      <w:r w:rsidRPr="004360FD">
        <w:rPr>
          <w:rStyle w:val="Appelnotedebasdep"/>
          <w:rFonts w:asciiTheme="majorBidi" w:hAnsiTheme="majorBidi" w:cstheme="majorBidi"/>
        </w:rPr>
        <w:footnoteRef/>
      </w:r>
      <w:r w:rsidRPr="00126A80">
        <w:rPr>
          <w:rFonts w:asciiTheme="majorBidi" w:hAnsiTheme="majorBidi" w:cstheme="majorBidi"/>
          <w:i/>
          <w:lang w:val="en-US"/>
        </w:rPr>
        <w:t>Ibid.</w:t>
      </w:r>
      <w:proofErr w:type="gramStart"/>
      <w:r w:rsidRPr="00126A80">
        <w:rPr>
          <w:rFonts w:asciiTheme="majorBidi" w:hAnsiTheme="majorBidi" w:cstheme="majorBidi"/>
          <w:lang w:val="en-US"/>
        </w:rPr>
        <w:t>,  p.18</w:t>
      </w:r>
      <w:proofErr w:type="gramEnd"/>
      <w:r w:rsidRPr="00126A80">
        <w:rPr>
          <w:rFonts w:asciiTheme="majorBidi" w:hAnsiTheme="majorBidi" w:cstheme="majorBidi"/>
          <w:lang w:val="en-US"/>
        </w:rPr>
        <w:t>.</w:t>
      </w:r>
    </w:p>
  </w:footnote>
  <w:footnote w:id="35">
    <w:p w:rsidR="006C092A" w:rsidRPr="00126A80" w:rsidRDefault="006C092A" w:rsidP="00AE7D33">
      <w:pPr>
        <w:pStyle w:val="Notedebasdepage"/>
        <w:jc w:val="both"/>
        <w:rPr>
          <w:rFonts w:asciiTheme="majorBidi" w:hAnsiTheme="majorBidi" w:cstheme="majorBidi"/>
          <w:lang w:val="en-US"/>
        </w:rPr>
      </w:pPr>
      <w:r w:rsidRPr="00694841">
        <w:rPr>
          <w:rStyle w:val="Appelnotedebasdep"/>
          <w:rFonts w:asciiTheme="majorBidi" w:hAnsiTheme="majorBidi" w:cstheme="majorBidi"/>
        </w:rPr>
        <w:footnoteRef/>
      </w:r>
      <w:proofErr w:type="gramStart"/>
      <w:r w:rsidRPr="00126A80">
        <w:rPr>
          <w:rFonts w:asciiTheme="majorBidi" w:hAnsiTheme="majorBidi" w:cstheme="majorBidi"/>
          <w:i/>
          <w:iCs/>
          <w:lang w:val="en-US"/>
        </w:rPr>
        <w:t>Ibid</w:t>
      </w:r>
      <w:r w:rsidRPr="00126A80">
        <w:rPr>
          <w:rFonts w:asciiTheme="majorBidi" w:hAnsiTheme="majorBidi" w:cstheme="majorBidi"/>
          <w:lang w:val="en-US"/>
        </w:rPr>
        <w:t>.,</w:t>
      </w:r>
      <w:proofErr w:type="gramEnd"/>
      <w:r w:rsidRPr="00126A80">
        <w:rPr>
          <w:rFonts w:asciiTheme="majorBidi" w:hAnsiTheme="majorBidi" w:cstheme="majorBidi"/>
          <w:lang w:val="en-US"/>
        </w:rPr>
        <w:t xml:space="preserve"> p.19.</w:t>
      </w:r>
    </w:p>
  </w:footnote>
  <w:footnote w:id="36">
    <w:p w:rsidR="006C092A" w:rsidRPr="00C85909" w:rsidRDefault="006C092A" w:rsidP="00C85909">
      <w:pPr>
        <w:pStyle w:val="Notedebasdepage"/>
        <w:jc w:val="both"/>
        <w:rPr>
          <w:rFonts w:asciiTheme="majorBidi" w:hAnsiTheme="majorBidi" w:cstheme="majorBidi"/>
          <w:lang w:val="en-US"/>
        </w:rPr>
      </w:pPr>
      <w:r w:rsidRPr="00C85909">
        <w:rPr>
          <w:rStyle w:val="Appelnotedebasdep"/>
          <w:rFonts w:asciiTheme="majorBidi" w:hAnsiTheme="majorBidi" w:cstheme="majorBidi"/>
        </w:rPr>
        <w:footnoteRef/>
      </w:r>
      <w:r w:rsidRPr="00C85909">
        <w:rPr>
          <w:rFonts w:asciiTheme="majorBidi" w:hAnsiTheme="majorBidi" w:cstheme="majorBidi"/>
          <w:lang w:val="en-US"/>
        </w:rPr>
        <w:t xml:space="preserve">Abdelhamid Guerfi, </w:t>
      </w:r>
      <w:r w:rsidRPr="00C85909">
        <w:rPr>
          <w:rFonts w:asciiTheme="majorBidi" w:hAnsiTheme="majorBidi" w:cstheme="majorBidi"/>
          <w:i/>
          <w:iCs/>
          <w:lang w:val="en-US"/>
        </w:rPr>
        <w:t xml:space="preserve">op.cit. </w:t>
      </w:r>
      <w:proofErr w:type="gramStart"/>
      <w:r w:rsidRPr="00C85909">
        <w:rPr>
          <w:rFonts w:asciiTheme="majorBidi" w:hAnsiTheme="majorBidi" w:cstheme="majorBidi"/>
          <w:i/>
          <w:iCs/>
          <w:lang w:val="en-US"/>
        </w:rPr>
        <w:t xml:space="preserve">, </w:t>
      </w:r>
      <w:r w:rsidRPr="00C85909">
        <w:rPr>
          <w:rFonts w:asciiTheme="majorBidi" w:hAnsiTheme="majorBidi" w:cstheme="majorBidi"/>
          <w:lang w:val="en-US"/>
        </w:rPr>
        <w:t>p.21.</w:t>
      </w:r>
      <w:proofErr w:type="gramEnd"/>
    </w:p>
  </w:footnote>
  <w:footnote w:id="37">
    <w:p w:rsidR="006C092A" w:rsidRPr="00C85909" w:rsidRDefault="006C092A" w:rsidP="00F828F1">
      <w:pPr>
        <w:pStyle w:val="Notedebasdepage"/>
        <w:jc w:val="both"/>
        <w:rPr>
          <w:rFonts w:asciiTheme="majorBidi" w:hAnsiTheme="majorBidi" w:cstheme="majorBidi"/>
          <w:lang w:val="en-US"/>
        </w:rPr>
      </w:pPr>
      <w:r w:rsidRPr="00C85909">
        <w:rPr>
          <w:rStyle w:val="Appelnotedebasdep"/>
          <w:rFonts w:asciiTheme="majorBidi" w:hAnsiTheme="majorBidi" w:cstheme="majorBidi"/>
        </w:rPr>
        <w:footnoteRef/>
      </w:r>
      <w:proofErr w:type="gramStart"/>
      <w:r w:rsidRPr="00C85909">
        <w:rPr>
          <w:rFonts w:asciiTheme="majorBidi" w:hAnsiTheme="majorBidi" w:cstheme="majorBidi"/>
          <w:i/>
          <w:iCs/>
          <w:lang w:val="en-US"/>
        </w:rPr>
        <w:t>Ibid.,</w:t>
      </w:r>
      <w:proofErr w:type="gramEnd"/>
      <w:r w:rsidRPr="00C85909">
        <w:rPr>
          <w:rFonts w:asciiTheme="majorBidi" w:hAnsiTheme="majorBidi" w:cstheme="majorBidi"/>
          <w:i/>
          <w:iCs/>
          <w:lang w:val="en-US"/>
        </w:rPr>
        <w:t xml:space="preserve"> </w:t>
      </w:r>
      <w:r w:rsidRPr="00C85909">
        <w:rPr>
          <w:rFonts w:asciiTheme="majorBidi" w:hAnsiTheme="majorBidi" w:cstheme="majorBidi"/>
          <w:lang w:val="en-US"/>
        </w:rPr>
        <w:t>p. 22.</w:t>
      </w:r>
    </w:p>
  </w:footnote>
  <w:footnote w:id="38">
    <w:p w:rsidR="006C092A" w:rsidRPr="00D84FCF" w:rsidRDefault="006C092A" w:rsidP="00D84FCF">
      <w:pPr>
        <w:pStyle w:val="Notedebasdepage"/>
        <w:jc w:val="both"/>
        <w:rPr>
          <w:rFonts w:asciiTheme="majorBidi" w:hAnsiTheme="majorBidi" w:cstheme="majorBidi"/>
          <w:lang w:val="en-US"/>
        </w:rPr>
      </w:pPr>
      <w:r w:rsidRPr="006932CC">
        <w:rPr>
          <w:rStyle w:val="Appelnotedebasdep"/>
          <w:rFonts w:asciiTheme="majorBidi" w:hAnsiTheme="majorBidi" w:cstheme="majorBidi"/>
        </w:rPr>
        <w:footnoteRef/>
      </w:r>
      <w:r w:rsidRPr="00126A80">
        <w:rPr>
          <w:rFonts w:asciiTheme="majorBidi" w:hAnsiTheme="majorBidi" w:cstheme="majorBidi"/>
          <w:shd w:val="clear" w:color="auto" w:fill="FFFFFF"/>
          <w:lang w:val="en-US"/>
        </w:rPr>
        <w:t xml:space="preserve">Victor Hugo, </w:t>
      </w:r>
      <w:r>
        <w:rPr>
          <w:rFonts w:asciiTheme="majorBidi" w:hAnsiTheme="majorBidi" w:cstheme="majorBidi"/>
          <w:shd w:val="clear" w:color="auto" w:fill="FFFFFF"/>
          <w:lang w:val="en-US"/>
        </w:rPr>
        <w:t xml:space="preserve">Oeuvres completes: </w:t>
      </w:r>
      <w:r w:rsidRPr="00126A80">
        <w:rPr>
          <w:rFonts w:asciiTheme="majorBidi" w:hAnsiTheme="majorBidi" w:cstheme="majorBidi"/>
          <w:shd w:val="clear" w:color="auto" w:fill="FFFFFF"/>
          <w:lang w:val="en-US"/>
        </w:rPr>
        <w:t>Cromwell</w:t>
      </w:r>
      <w:r>
        <w:rPr>
          <w:rFonts w:asciiTheme="majorBidi" w:hAnsiTheme="majorBidi" w:cstheme="majorBidi"/>
          <w:shd w:val="clear" w:color="auto" w:fill="FFFFFF"/>
          <w:lang w:val="en-US"/>
        </w:rPr>
        <w:t xml:space="preserve"> Hernani,</w:t>
      </w:r>
      <w:r w:rsidRPr="00126A80">
        <w:rPr>
          <w:rFonts w:asciiTheme="majorBidi" w:hAnsiTheme="majorBidi" w:cstheme="majorBidi"/>
          <w:shd w:val="clear" w:color="auto" w:fill="FFFFFF"/>
          <w:lang w:val="en-US"/>
        </w:rPr>
        <w:t xml:space="preserve"> </w:t>
      </w:r>
      <w:r>
        <w:rPr>
          <w:rFonts w:asciiTheme="majorBidi" w:hAnsiTheme="majorBidi" w:cstheme="majorBidi"/>
          <w:lang w:val="en-US"/>
        </w:rPr>
        <w:t>Librairie Ollendorff</w:t>
      </w:r>
      <w:r w:rsidRPr="00126A80">
        <w:rPr>
          <w:rFonts w:asciiTheme="majorBidi" w:hAnsiTheme="majorBidi" w:cstheme="majorBidi"/>
          <w:lang w:val="en-US"/>
        </w:rPr>
        <w:t xml:space="preserve">, </w:t>
      </w:r>
      <w:r w:rsidRPr="00126A80">
        <w:rPr>
          <w:rFonts w:asciiTheme="majorBidi" w:hAnsiTheme="majorBidi" w:cstheme="majorBidi"/>
          <w:shd w:val="clear" w:color="auto" w:fill="FFFFFF"/>
          <w:lang w:val="en-US"/>
        </w:rPr>
        <w:t>Paris, 1</w:t>
      </w:r>
      <w:r>
        <w:rPr>
          <w:rFonts w:asciiTheme="majorBidi" w:hAnsiTheme="majorBidi" w:cstheme="majorBidi"/>
          <w:shd w:val="clear" w:color="auto" w:fill="FFFFFF"/>
          <w:lang w:val="en-US"/>
        </w:rPr>
        <w:t>912</w:t>
      </w:r>
      <w:r w:rsidRPr="00D84FCF">
        <w:rPr>
          <w:rFonts w:asciiTheme="majorBidi" w:hAnsiTheme="majorBidi" w:cstheme="majorBidi"/>
          <w:shd w:val="clear" w:color="auto" w:fill="FFFFFF"/>
          <w:lang w:val="en-US"/>
        </w:rPr>
        <w:t>, p. 34.</w:t>
      </w:r>
    </w:p>
  </w:footnote>
  <w:footnote w:id="39">
    <w:p w:rsidR="006C092A" w:rsidRPr="006932CC" w:rsidRDefault="006C092A" w:rsidP="006932CC">
      <w:pPr>
        <w:pStyle w:val="table0020grid"/>
        <w:spacing w:before="0" w:beforeAutospacing="0" w:after="0" w:afterAutospacing="0"/>
        <w:jc w:val="both"/>
        <w:rPr>
          <w:rFonts w:asciiTheme="majorBidi" w:hAnsiTheme="majorBidi" w:cstheme="majorBidi"/>
          <w:sz w:val="20"/>
          <w:szCs w:val="20"/>
        </w:rPr>
      </w:pPr>
      <w:r w:rsidRPr="00D84FCF">
        <w:rPr>
          <w:rStyle w:val="Appelnotedebasdep"/>
          <w:rFonts w:asciiTheme="majorBidi" w:hAnsiTheme="majorBidi" w:cstheme="majorBidi"/>
          <w:sz w:val="20"/>
          <w:szCs w:val="20"/>
        </w:rPr>
        <w:footnoteRef/>
      </w:r>
      <w:r w:rsidRPr="00D84FCF">
        <w:rPr>
          <w:rFonts w:asciiTheme="majorBidi" w:eastAsia="Calibri" w:hAnsiTheme="majorBidi" w:cstheme="majorBidi"/>
          <w:sz w:val="20"/>
          <w:szCs w:val="20"/>
        </w:rPr>
        <w:t xml:space="preserve">Abdelkader Djeghloul, « Frantz Fanon », in </w:t>
      </w:r>
      <w:r w:rsidRPr="00D84FCF">
        <w:rPr>
          <w:rFonts w:asciiTheme="majorBidi" w:eastAsia="Calibri" w:hAnsiTheme="majorBidi" w:cstheme="majorBidi"/>
          <w:i/>
          <w:sz w:val="20"/>
          <w:szCs w:val="20"/>
        </w:rPr>
        <w:t>Mémorial international</w:t>
      </w:r>
      <w:r w:rsidRPr="006932CC">
        <w:rPr>
          <w:rFonts w:asciiTheme="majorBidi" w:eastAsia="Calibri" w:hAnsiTheme="majorBidi" w:cstheme="majorBidi"/>
          <w:sz w:val="20"/>
          <w:szCs w:val="20"/>
        </w:rPr>
        <w:t>, communication du 31 mars au 03 avril 1982, organisé par le Comité Frantz Fanon de Fort-De-France, Éd. Présence Africaine, 1984, p. 71.</w:t>
      </w:r>
    </w:p>
  </w:footnote>
  <w:footnote w:id="40">
    <w:p w:rsidR="006C092A" w:rsidRPr="006932CC" w:rsidRDefault="006C092A" w:rsidP="006932CC">
      <w:pPr>
        <w:pStyle w:val="Notedebasdepage"/>
        <w:jc w:val="both"/>
        <w:rPr>
          <w:rFonts w:asciiTheme="majorBidi" w:hAnsiTheme="majorBidi" w:cstheme="majorBidi"/>
        </w:rPr>
      </w:pPr>
      <w:r w:rsidRPr="006932CC">
        <w:rPr>
          <w:rStyle w:val="Appelnotedebasdep"/>
          <w:rFonts w:asciiTheme="majorBidi" w:hAnsiTheme="majorBidi" w:cstheme="majorBidi"/>
        </w:rPr>
        <w:footnoteRef/>
      </w:r>
      <w:r w:rsidRPr="006932CC">
        <w:rPr>
          <w:rFonts w:asciiTheme="majorBidi" w:hAnsiTheme="majorBidi" w:cstheme="majorBidi"/>
        </w:rPr>
        <w:t xml:space="preserve">Borgia Marie Evembe, « L’importance de la sémantique dans une pièce de théâtre » in </w:t>
      </w:r>
      <w:r w:rsidRPr="006932CC">
        <w:rPr>
          <w:rFonts w:asciiTheme="majorBidi" w:hAnsiTheme="majorBidi" w:cstheme="majorBidi"/>
          <w:i/>
        </w:rPr>
        <w:t>Théâtre camerounais</w:t>
      </w:r>
      <w:r w:rsidRPr="006932CC">
        <w:rPr>
          <w:rFonts w:asciiTheme="majorBidi" w:hAnsiTheme="majorBidi" w:cstheme="majorBidi"/>
        </w:rPr>
        <w:t xml:space="preserve">, Yaoundé : Clé, 1988, p. 160. </w:t>
      </w:r>
    </w:p>
  </w:footnote>
  <w:footnote w:id="41">
    <w:p w:rsidR="006C092A" w:rsidRPr="002021DC" w:rsidRDefault="006C092A" w:rsidP="002021DC">
      <w:pPr>
        <w:spacing w:after="0" w:line="240" w:lineRule="auto"/>
        <w:jc w:val="both"/>
        <w:rPr>
          <w:rFonts w:asciiTheme="majorBidi" w:hAnsiTheme="majorBidi" w:cstheme="majorBidi"/>
          <w:sz w:val="20"/>
          <w:szCs w:val="20"/>
        </w:rPr>
      </w:pPr>
      <w:r w:rsidRPr="002021DC">
        <w:rPr>
          <w:rStyle w:val="Appelnotedebasdep"/>
          <w:rFonts w:asciiTheme="majorBidi" w:hAnsiTheme="majorBidi" w:cstheme="majorBidi"/>
          <w:sz w:val="20"/>
          <w:szCs w:val="20"/>
        </w:rPr>
        <w:footnoteRef/>
      </w:r>
      <w:r w:rsidRPr="002021DC">
        <w:rPr>
          <w:rStyle w:val="lev"/>
          <w:rFonts w:asciiTheme="majorBidi" w:hAnsiTheme="majorBidi" w:cstheme="majorBidi"/>
          <w:b w:val="0"/>
          <w:bCs w:val="0"/>
          <w:sz w:val="20"/>
          <w:szCs w:val="20"/>
        </w:rPr>
        <w:t xml:space="preserve">Hadj </w:t>
      </w:r>
      <w:r w:rsidRPr="002021DC">
        <w:rPr>
          <w:rStyle w:val="familyname"/>
          <w:rFonts w:asciiTheme="majorBidi" w:hAnsiTheme="majorBidi" w:cstheme="majorBidi"/>
          <w:sz w:val="20"/>
          <w:szCs w:val="20"/>
        </w:rPr>
        <w:t>Miliani</w:t>
      </w:r>
      <w:r w:rsidRPr="002021DC">
        <w:rPr>
          <w:rFonts w:asciiTheme="majorBidi" w:hAnsiTheme="majorBidi" w:cstheme="majorBidi"/>
          <w:sz w:val="20"/>
          <w:szCs w:val="20"/>
        </w:rPr>
        <w:t xml:space="preserve">, « Représentation de l’histoire et historicisation du théâtre en Algérie », in </w:t>
      </w:r>
      <w:r w:rsidRPr="002021DC">
        <w:rPr>
          <w:rStyle w:val="Accentuation"/>
          <w:rFonts w:asciiTheme="majorBidi" w:hAnsiTheme="majorBidi" w:cstheme="majorBidi"/>
          <w:sz w:val="20"/>
          <w:szCs w:val="20"/>
        </w:rPr>
        <w:t>L’Année du Maghreb</w:t>
      </w:r>
      <w:r w:rsidRPr="002021DC">
        <w:rPr>
          <w:rFonts w:asciiTheme="majorBidi" w:hAnsiTheme="majorBidi" w:cstheme="majorBidi"/>
          <w:sz w:val="20"/>
          <w:szCs w:val="20"/>
        </w:rPr>
        <w:t xml:space="preserve"> [en ligne], IV | 2008, mis en ligne le 08 juillet 2010</w:t>
      </w:r>
      <w:proofErr w:type="gramStart"/>
      <w:r w:rsidRPr="002021DC">
        <w:rPr>
          <w:rFonts w:asciiTheme="majorBidi" w:hAnsiTheme="majorBidi" w:cstheme="majorBidi"/>
          <w:sz w:val="20"/>
          <w:szCs w:val="20"/>
        </w:rPr>
        <w:t>,.</w:t>
      </w:r>
      <w:proofErr w:type="gramEnd"/>
      <w:r w:rsidRPr="002021DC">
        <w:rPr>
          <w:rFonts w:asciiTheme="majorBidi" w:hAnsiTheme="majorBidi" w:cstheme="majorBidi"/>
          <w:sz w:val="20"/>
          <w:szCs w:val="20"/>
        </w:rPr>
        <w:t xml:space="preserve"> Disponible sur : ˂http://anneemaghreb.revues.org/429 ; DOI : 10.4000/anneemaghreb.429˃, consulté le consulté le 23 Mars 2015 à22h00.</w:t>
      </w:r>
    </w:p>
  </w:footnote>
  <w:footnote w:id="42">
    <w:p w:rsidR="006C092A" w:rsidRPr="002021DC" w:rsidRDefault="006C092A" w:rsidP="00DA47D0">
      <w:pPr>
        <w:pStyle w:val="Notedebasdepage"/>
        <w:jc w:val="both"/>
        <w:rPr>
          <w:rFonts w:asciiTheme="majorBidi" w:hAnsiTheme="majorBidi" w:cstheme="majorBidi"/>
        </w:rPr>
      </w:pPr>
      <w:r w:rsidRPr="002021DC">
        <w:rPr>
          <w:rStyle w:val="Appelnotedebasdep"/>
          <w:rFonts w:asciiTheme="majorBidi" w:hAnsiTheme="majorBidi" w:cstheme="majorBidi"/>
        </w:rPr>
        <w:footnoteRef/>
      </w:r>
      <w:r w:rsidRPr="002021DC">
        <w:rPr>
          <w:rFonts w:asciiTheme="majorBidi" w:hAnsiTheme="majorBidi" w:cstheme="majorBidi"/>
        </w:rPr>
        <w:t xml:space="preserve">Bouziane Benachour, </w:t>
      </w:r>
      <w:r w:rsidRPr="002021DC">
        <w:rPr>
          <w:rFonts w:asciiTheme="majorBidi" w:hAnsiTheme="majorBidi" w:cstheme="majorBidi"/>
          <w:i/>
          <w:iCs/>
        </w:rPr>
        <w:t>Le théâtre en mouvement, octobre 88 à ce jour,</w:t>
      </w:r>
      <w:r w:rsidRPr="002021DC">
        <w:rPr>
          <w:rFonts w:asciiTheme="majorBidi" w:hAnsiTheme="majorBidi" w:cstheme="majorBidi"/>
        </w:rPr>
        <w:t xml:space="preserve"> Dar el Gharb, Oran, 2002, p. 15.</w:t>
      </w:r>
    </w:p>
  </w:footnote>
  <w:footnote w:id="43">
    <w:p w:rsidR="006C092A" w:rsidRPr="002021DC" w:rsidRDefault="006C092A" w:rsidP="00CD7665">
      <w:pPr>
        <w:pStyle w:val="Notedebasdepage"/>
        <w:jc w:val="both"/>
        <w:rPr>
          <w:rFonts w:asciiTheme="majorBidi" w:hAnsiTheme="majorBidi" w:cstheme="majorBidi"/>
        </w:rPr>
      </w:pPr>
      <w:r w:rsidRPr="002021DC">
        <w:rPr>
          <w:rStyle w:val="Appelnotedebasdep"/>
          <w:rFonts w:asciiTheme="majorBidi" w:hAnsiTheme="majorBidi" w:cstheme="majorBidi"/>
        </w:rPr>
        <w:footnoteRef/>
      </w:r>
      <w:r w:rsidRPr="002021DC">
        <w:rPr>
          <w:rFonts w:asciiTheme="majorBidi" w:hAnsiTheme="majorBidi" w:cstheme="majorBidi"/>
        </w:rPr>
        <w:t xml:space="preserve">Mahieddine Bachtarzi, </w:t>
      </w:r>
      <w:r w:rsidRPr="002021DC">
        <w:rPr>
          <w:rStyle w:val="Accentuation"/>
          <w:rFonts w:asciiTheme="majorBidi" w:hAnsiTheme="majorBidi" w:cstheme="majorBidi"/>
        </w:rPr>
        <w:t>Mémoires 1919-1939,</w:t>
      </w:r>
      <w:r w:rsidRPr="002021DC">
        <w:rPr>
          <w:rFonts w:asciiTheme="majorBidi" w:hAnsiTheme="majorBidi" w:cstheme="majorBidi"/>
        </w:rPr>
        <w:t xml:space="preserve"> suivis de : </w:t>
      </w:r>
      <w:r w:rsidRPr="002021DC">
        <w:rPr>
          <w:rStyle w:val="Accentuation"/>
          <w:rFonts w:asciiTheme="majorBidi" w:hAnsiTheme="majorBidi" w:cstheme="majorBidi"/>
        </w:rPr>
        <w:t>Étude sur le théâtre dans les pays islamiques</w:t>
      </w:r>
      <w:r w:rsidRPr="002021DC">
        <w:rPr>
          <w:rFonts w:asciiTheme="majorBidi" w:hAnsiTheme="majorBidi" w:cstheme="majorBidi"/>
        </w:rPr>
        <w:t>, préface de Saadeddine Bencheneb, doyen de la Faculté des lettres de l’université d’Alger. Rédigés en collaboration avec Jacques Papoigny, SNED</w:t>
      </w:r>
      <w:r>
        <w:rPr>
          <w:rFonts w:asciiTheme="majorBidi" w:hAnsiTheme="majorBidi" w:cstheme="majorBidi"/>
        </w:rPr>
        <w:t xml:space="preserve">, </w:t>
      </w:r>
      <w:r w:rsidRPr="002021DC">
        <w:rPr>
          <w:rFonts w:asciiTheme="majorBidi" w:hAnsiTheme="majorBidi" w:cstheme="majorBidi"/>
        </w:rPr>
        <w:t>Alger, 1968, p. 11</w:t>
      </w:r>
      <w:r>
        <w:rPr>
          <w:rFonts w:asciiTheme="majorBidi" w:hAnsiTheme="majorBidi" w:cstheme="majorBidi"/>
        </w:rPr>
        <w:t>-</w:t>
      </w:r>
      <w:r w:rsidRPr="002021DC">
        <w:rPr>
          <w:rFonts w:asciiTheme="majorBidi" w:hAnsiTheme="majorBidi" w:cstheme="majorBidi"/>
        </w:rPr>
        <w:t>12.</w:t>
      </w:r>
    </w:p>
  </w:footnote>
  <w:footnote w:id="44">
    <w:p w:rsidR="006C092A" w:rsidRPr="00F85F7D" w:rsidRDefault="006C092A" w:rsidP="00F85F7D">
      <w:pPr>
        <w:pStyle w:val="Notedebasdepage"/>
        <w:jc w:val="both"/>
        <w:rPr>
          <w:rFonts w:asciiTheme="majorBidi" w:hAnsiTheme="majorBidi" w:cstheme="majorBidi"/>
        </w:rPr>
      </w:pPr>
      <w:r w:rsidRPr="00F85F7D">
        <w:rPr>
          <w:rStyle w:val="Appelnotedebasdep"/>
          <w:rFonts w:asciiTheme="majorBidi" w:hAnsiTheme="majorBidi" w:cstheme="majorBidi"/>
        </w:rPr>
        <w:footnoteRef/>
      </w:r>
      <w:r w:rsidRPr="00F85F7D">
        <w:rPr>
          <w:rFonts w:asciiTheme="majorBidi" w:hAnsiTheme="majorBidi" w:cstheme="majorBidi"/>
        </w:rPr>
        <w:t xml:space="preserve"> </w:t>
      </w:r>
      <w:r w:rsidRPr="00F85F7D">
        <w:rPr>
          <w:rFonts w:asciiTheme="majorBidi" w:hAnsiTheme="majorBidi" w:cstheme="majorBidi"/>
          <w:i/>
        </w:rPr>
        <w:t>Ibid.,</w:t>
      </w:r>
      <w:r w:rsidRPr="00F85F7D">
        <w:rPr>
          <w:rFonts w:asciiTheme="majorBidi" w:hAnsiTheme="majorBidi" w:cstheme="majorBidi"/>
        </w:rPr>
        <w:t xml:space="preserve"> p. 67.</w:t>
      </w:r>
    </w:p>
  </w:footnote>
  <w:footnote w:id="45">
    <w:p w:rsidR="006C092A" w:rsidRPr="00F85F7D" w:rsidRDefault="006C092A" w:rsidP="00A13C4D">
      <w:pPr>
        <w:spacing w:after="0" w:line="240" w:lineRule="auto"/>
        <w:jc w:val="both"/>
        <w:rPr>
          <w:rFonts w:asciiTheme="majorBidi" w:hAnsiTheme="majorBidi" w:cstheme="majorBidi"/>
          <w:sz w:val="20"/>
          <w:szCs w:val="20"/>
        </w:rPr>
      </w:pPr>
      <w:r w:rsidRPr="00F85F7D">
        <w:rPr>
          <w:rStyle w:val="Appelnotedebasdep"/>
          <w:rFonts w:asciiTheme="majorBidi" w:hAnsiTheme="majorBidi" w:cstheme="majorBidi"/>
          <w:sz w:val="20"/>
          <w:szCs w:val="20"/>
        </w:rPr>
        <w:footnoteRef/>
      </w:r>
      <w:r w:rsidRPr="00F85F7D">
        <w:rPr>
          <w:rFonts w:asciiTheme="majorBidi" w:hAnsiTheme="majorBidi" w:cstheme="majorBidi"/>
          <w:sz w:val="20"/>
          <w:szCs w:val="20"/>
        </w:rPr>
        <w:t xml:space="preserve">Ahmed Cheniki, </w:t>
      </w:r>
      <w:r w:rsidRPr="00F85F7D">
        <w:rPr>
          <w:rFonts w:asciiTheme="majorBidi" w:hAnsiTheme="majorBidi" w:cstheme="majorBidi"/>
          <w:i/>
          <w:iCs/>
          <w:sz w:val="20"/>
          <w:szCs w:val="20"/>
        </w:rPr>
        <w:t>Le Théâtre en Algérie, Histoire et enjeux</w:t>
      </w:r>
      <w:r w:rsidRPr="00F85F7D">
        <w:rPr>
          <w:rFonts w:asciiTheme="majorBidi" w:hAnsiTheme="majorBidi" w:cstheme="majorBidi"/>
          <w:sz w:val="20"/>
          <w:szCs w:val="20"/>
        </w:rPr>
        <w:t xml:space="preserve">, Éd. du Sud, Aix-en-Provence, 2002, p.176. </w:t>
      </w:r>
      <w:r w:rsidRPr="00F85F7D">
        <w:rPr>
          <w:rStyle w:val="lev"/>
          <w:rFonts w:asciiTheme="majorBidi" w:hAnsiTheme="majorBidi" w:cstheme="majorBidi"/>
          <w:b w:val="0"/>
          <w:bCs w:val="0"/>
          <w:sz w:val="20"/>
          <w:szCs w:val="20"/>
        </w:rPr>
        <w:t xml:space="preserve">Hadj </w:t>
      </w:r>
      <w:r w:rsidRPr="00F85F7D">
        <w:rPr>
          <w:rStyle w:val="familyname"/>
          <w:rFonts w:asciiTheme="majorBidi" w:hAnsiTheme="majorBidi" w:cstheme="majorBidi"/>
          <w:sz w:val="20"/>
          <w:szCs w:val="20"/>
        </w:rPr>
        <w:t>Miliani</w:t>
      </w:r>
      <w:r w:rsidRPr="00F85F7D">
        <w:rPr>
          <w:rFonts w:asciiTheme="majorBidi" w:hAnsiTheme="majorBidi" w:cstheme="majorBidi"/>
          <w:sz w:val="20"/>
          <w:szCs w:val="20"/>
        </w:rPr>
        <w:t xml:space="preserve">, </w:t>
      </w:r>
      <w:r>
        <w:rPr>
          <w:rFonts w:asciiTheme="majorBidi" w:hAnsiTheme="majorBidi" w:cstheme="majorBidi"/>
          <w:i/>
          <w:iCs/>
          <w:sz w:val="20"/>
          <w:szCs w:val="20"/>
        </w:rPr>
        <w:t>o</w:t>
      </w:r>
      <w:r w:rsidRPr="00F85F7D">
        <w:rPr>
          <w:rFonts w:asciiTheme="majorBidi" w:hAnsiTheme="majorBidi" w:cstheme="majorBidi"/>
          <w:i/>
          <w:iCs/>
          <w:sz w:val="20"/>
          <w:szCs w:val="20"/>
        </w:rPr>
        <w:t xml:space="preserve">p.cit, </w:t>
      </w:r>
      <w:r w:rsidRPr="00F85F7D">
        <w:rPr>
          <w:rFonts w:asciiTheme="majorBidi" w:hAnsiTheme="majorBidi" w:cstheme="majorBidi"/>
          <w:sz w:val="20"/>
          <w:szCs w:val="20"/>
        </w:rPr>
        <w:t xml:space="preserve">Jacqueline Arnaud, </w:t>
      </w:r>
      <w:r w:rsidRPr="00F85F7D">
        <w:rPr>
          <w:rFonts w:asciiTheme="majorBidi" w:hAnsiTheme="majorBidi" w:cstheme="majorBidi"/>
          <w:i/>
          <w:sz w:val="20"/>
          <w:szCs w:val="20"/>
        </w:rPr>
        <w:t>Recherche sur la littérature maghrébine de langue française : le cas de Kateb Yacine</w:t>
      </w:r>
      <w:r w:rsidRPr="00F85F7D">
        <w:rPr>
          <w:rFonts w:asciiTheme="majorBidi" w:hAnsiTheme="majorBidi" w:cstheme="majorBidi"/>
          <w:sz w:val="20"/>
          <w:szCs w:val="20"/>
        </w:rPr>
        <w:t>, tome I, L’Harmattan, Paris, 1982, p.399, Arlette</w:t>
      </w:r>
      <w:r w:rsidRPr="00F85F7D">
        <w:rPr>
          <w:rFonts w:asciiTheme="majorBidi" w:hAnsiTheme="majorBidi" w:cstheme="majorBidi"/>
          <w:caps/>
          <w:sz w:val="20"/>
          <w:szCs w:val="20"/>
        </w:rPr>
        <w:t xml:space="preserve"> R</w:t>
      </w:r>
      <w:r w:rsidRPr="00F85F7D">
        <w:rPr>
          <w:rFonts w:asciiTheme="majorBidi" w:hAnsiTheme="majorBidi" w:cstheme="majorBidi"/>
          <w:sz w:val="20"/>
          <w:szCs w:val="20"/>
        </w:rPr>
        <w:t>ot</w:t>
      </w:r>
      <w:r w:rsidRPr="00F85F7D">
        <w:rPr>
          <w:rFonts w:asciiTheme="majorBidi" w:hAnsiTheme="majorBidi" w:cstheme="majorBidi"/>
          <w:iCs/>
          <w:sz w:val="20"/>
          <w:szCs w:val="20"/>
        </w:rPr>
        <w:t>h</w:t>
      </w:r>
      <w:r w:rsidRPr="00F85F7D">
        <w:rPr>
          <w:rFonts w:asciiTheme="majorBidi" w:hAnsiTheme="majorBidi" w:cstheme="majorBidi"/>
          <w:sz w:val="20"/>
          <w:szCs w:val="20"/>
        </w:rPr>
        <w:t xml:space="preserve">, </w:t>
      </w:r>
      <w:r w:rsidRPr="00F85F7D">
        <w:rPr>
          <w:rFonts w:asciiTheme="majorBidi" w:hAnsiTheme="majorBidi" w:cstheme="majorBidi"/>
          <w:i/>
          <w:iCs/>
          <w:sz w:val="20"/>
          <w:szCs w:val="20"/>
        </w:rPr>
        <w:t>Le Théâtre algérien</w:t>
      </w:r>
      <w:r w:rsidRPr="00F85F7D">
        <w:rPr>
          <w:rFonts w:asciiTheme="majorBidi" w:hAnsiTheme="majorBidi" w:cstheme="majorBidi"/>
          <w:sz w:val="20"/>
          <w:szCs w:val="20"/>
        </w:rPr>
        <w:t xml:space="preserve">, Maspero, Paris, 1967, p.182. Roselyne Baffet, </w:t>
      </w:r>
      <w:r w:rsidRPr="00F85F7D">
        <w:rPr>
          <w:rFonts w:asciiTheme="majorBidi" w:hAnsiTheme="majorBidi" w:cstheme="majorBidi"/>
          <w:i/>
          <w:iCs/>
          <w:sz w:val="20"/>
          <w:szCs w:val="20"/>
        </w:rPr>
        <w:t>Tradition théâtrale et modernité en Algérie</w:t>
      </w:r>
      <w:r w:rsidRPr="00F85F7D">
        <w:rPr>
          <w:rFonts w:asciiTheme="majorBidi" w:hAnsiTheme="majorBidi" w:cstheme="majorBidi"/>
          <w:sz w:val="20"/>
          <w:szCs w:val="20"/>
        </w:rPr>
        <w:t xml:space="preserve">, L’Harmattan, Paris, 1985, p.221, Brahim, Ouardi, </w:t>
      </w:r>
      <w:r w:rsidRPr="00F85F7D">
        <w:rPr>
          <w:rFonts w:asciiTheme="majorBidi" w:hAnsiTheme="majorBidi" w:cstheme="majorBidi"/>
          <w:i/>
          <w:iCs/>
          <w:sz w:val="20"/>
          <w:szCs w:val="20"/>
        </w:rPr>
        <w:t xml:space="preserve">op. </w:t>
      </w:r>
      <w:proofErr w:type="gramStart"/>
      <w:r w:rsidRPr="00F85F7D">
        <w:rPr>
          <w:rFonts w:asciiTheme="majorBidi" w:hAnsiTheme="majorBidi" w:cstheme="majorBidi"/>
          <w:i/>
          <w:iCs/>
          <w:sz w:val="20"/>
          <w:szCs w:val="20"/>
        </w:rPr>
        <w:t>cit</w:t>
      </w:r>
      <w:proofErr w:type="gramEnd"/>
      <w:r>
        <w:rPr>
          <w:rFonts w:asciiTheme="majorBidi" w:hAnsiTheme="majorBidi" w:cstheme="majorBidi"/>
          <w:i/>
          <w:iCs/>
          <w:sz w:val="20"/>
          <w:szCs w:val="20"/>
        </w:rPr>
        <w:t>.</w:t>
      </w:r>
    </w:p>
  </w:footnote>
  <w:footnote w:id="46">
    <w:p w:rsidR="006C092A" w:rsidRPr="00F85F7D" w:rsidRDefault="006C092A" w:rsidP="00F85F7D">
      <w:pPr>
        <w:pStyle w:val="Notedebasdepage"/>
        <w:jc w:val="both"/>
        <w:rPr>
          <w:rFonts w:asciiTheme="majorBidi" w:hAnsiTheme="majorBidi" w:cstheme="majorBidi"/>
        </w:rPr>
      </w:pPr>
      <w:r w:rsidRPr="00F85F7D">
        <w:rPr>
          <w:rStyle w:val="Appelnotedebasdep"/>
          <w:rFonts w:asciiTheme="majorBidi" w:hAnsiTheme="majorBidi" w:cstheme="majorBidi"/>
        </w:rPr>
        <w:footnoteRef/>
      </w:r>
      <w:r w:rsidRPr="00F85F7D">
        <w:rPr>
          <w:rStyle w:val="lev"/>
          <w:rFonts w:asciiTheme="majorBidi" w:hAnsiTheme="majorBidi" w:cstheme="majorBidi"/>
          <w:b w:val="0"/>
          <w:bCs w:val="0"/>
        </w:rPr>
        <w:t xml:space="preserve">Hadj </w:t>
      </w:r>
      <w:r w:rsidRPr="00F85F7D">
        <w:rPr>
          <w:rStyle w:val="familyname"/>
          <w:rFonts w:asciiTheme="majorBidi" w:hAnsiTheme="majorBidi" w:cstheme="majorBidi"/>
        </w:rPr>
        <w:t>Miliani</w:t>
      </w:r>
      <w:r w:rsidRPr="00F85F7D">
        <w:rPr>
          <w:rFonts w:asciiTheme="majorBidi" w:hAnsiTheme="majorBidi" w:cstheme="majorBidi"/>
        </w:rPr>
        <w:t xml:space="preserve">, </w:t>
      </w:r>
      <w:r w:rsidRPr="00F85F7D">
        <w:rPr>
          <w:rFonts w:asciiTheme="majorBidi" w:hAnsiTheme="majorBidi" w:cstheme="majorBidi"/>
          <w:i/>
          <w:iCs/>
        </w:rPr>
        <w:t xml:space="preserve">op. </w:t>
      </w:r>
      <w:proofErr w:type="gramStart"/>
      <w:r w:rsidRPr="00F85F7D">
        <w:rPr>
          <w:rFonts w:asciiTheme="majorBidi" w:hAnsiTheme="majorBidi" w:cstheme="majorBidi"/>
          <w:i/>
          <w:iCs/>
        </w:rPr>
        <w:t>cit</w:t>
      </w:r>
      <w:proofErr w:type="gramEnd"/>
      <w:r w:rsidRPr="00F85F7D">
        <w:rPr>
          <w:rFonts w:asciiTheme="majorBidi" w:hAnsiTheme="majorBidi" w:cstheme="majorBidi"/>
          <w:i/>
          <w:iCs/>
        </w:rPr>
        <w:t>.</w:t>
      </w:r>
    </w:p>
  </w:footnote>
  <w:footnote w:id="47">
    <w:p w:rsidR="006C092A" w:rsidRPr="008D45F2" w:rsidRDefault="006C092A" w:rsidP="008D45F2">
      <w:pPr>
        <w:spacing w:after="0" w:line="240" w:lineRule="auto"/>
        <w:jc w:val="both"/>
        <w:rPr>
          <w:rFonts w:asciiTheme="majorBidi" w:hAnsiTheme="majorBidi" w:cstheme="majorBidi"/>
          <w:sz w:val="20"/>
          <w:szCs w:val="20"/>
        </w:rPr>
      </w:pPr>
      <w:r w:rsidRPr="008D45F2">
        <w:rPr>
          <w:rStyle w:val="Appelnotedebasdep"/>
          <w:rFonts w:asciiTheme="majorBidi" w:hAnsiTheme="majorBidi" w:cstheme="majorBidi"/>
          <w:sz w:val="20"/>
          <w:szCs w:val="20"/>
        </w:rPr>
        <w:footnoteRef/>
      </w:r>
      <w:r w:rsidRPr="008D45F2">
        <w:rPr>
          <w:rFonts w:asciiTheme="majorBidi" w:hAnsiTheme="majorBidi" w:cstheme="majorBidi"/>
          <w:sz w:val="20"/>
          <w:szCs w:val="20"/>
        </w:rPr>
        <w:t xml:space="preserve">Ali Selali, </w:t>
      </w:r>
      <w:r w:rsidRPr="008D45F2">
        <w:rPr>
          <w:rFonts w:asciiTheme="majorBidi" w:hAnsiTheme="majorBidi" w:cstheme="majorBidi"/>
          <w:i/>
          <w:iCs/>
          <w:sz w:val="20"/>
          <w:szCs w:val="20"/>
        </w:rPr>
        <w:t>L’Aurore du Théâtre Algérien (1926-1930),</w:t>
      </w:r>
      <w:r w:rsidRPr="008D45F2">
        <w:rPr>
          <w:rFonts w:asciiTheme="majorBidi" w:hAnsiTheme="majorBidi" w:cstheme="majorBidi"/>
          <w:sz w:val="20"/>
          <w:szCs w:val="20"/>
        </w:rPr>
        <w:t xml:space="preserve"> préface d’Abdelkader Djeghloul, Dar El Gharb, Oran, 2004, p.10.</w:t>
      </w:r>
    </w:p>
    <w:p w:rsidR="006C092A" w:rsidRPr="008D45F2" w:rsidRDefault="006C092A" w:rsidP="008D45F2">
      <w:pPr>
        <w:pStyle w:val="Notedebasdepage"/>
        <w:jc w:val="both"/>
        <w:rPr>
          <w:rFonts w:asciiTheme="majorBidi" w:hAnsiTheme="majorBidi" w:cstheme="majorBidi"/>
        </w:rPr>
      </w:pPr>
    </w:p>
  </w:footnote>
  <w:footnote w:id="48">
    <w:p w:rsidR="006C092A" w:rsidRPr="005125ED" w:rsidRDefault="006C092A" w:rsidP="005125ED">
      <w:pPr>
        <w:pStyle w:val="Notedebasdepage"/>
        <w:jc w:val="both"/>
        <w:rPr>
          <w:rFonts w:asciiTheme="majorBidi" w:hAnsiTheme="majorBidi" w:cstheme="majorBidi"/>
        </w:rPr>
      </w:pPr>
      <w:r w:rsidRPr="005125ED">
        <w:rPr>
          <w:rStyle w:val="Appelnotedebasdep"/>
          <w:rFonts w:asciiTheme="majorBidi" w:hAnsiTheme="majorBidi" w:cstheme="majorBidi"/>
        </w:rPr>
        <w:footnoteRef/>
      </w:r>
      <w:r w:rsidRPr="005125ED">
        <w:rPr>
          <w:rFonts w:asciiTheme="majorBidi" w:hAnsiTheme="majorBidi" w:cstheme="majorBidi"/>
        </w:rPr>
        <w:t xml:space="preserve">Bouziane Benachour, </w:t>
      </w:r>
      <w:r w:rsidRPr="005125ED">
        <w:rPr>
          <w:rFonts w:asciiTheme="majorBidi" w:hAnsiTheme="majorBidi" w:cstheme="majorBidi"/>
          <w:i/>
          <w:iCs/>
        </w:rPr>
        <w:t>op.cit</w:t>
      </w:r>
      <w:r w:rsidRPr="005125ED">
        <w:rPr>
          <w:rFonts w:asciiTheme="majorBidi" w:hAnsiTheme="majorBidi" w:cstheme="majorBidi"/>
        </w:rPr>
        <w:t>., p. 20.</w:t>
      </w:r>
    </w:p>
    <w:p w:rsidR="006C092A" w:rsidRDefault="006C092A" w:rsidP="006A4EED">
      <w:pPr>
        <w:pStyle w:val="Notedebasdepage"/>
      </w:pPr>
    </w:p>
  </w:footnote>
  <w:footnote w:id="49">
    <w:p w:rsidR="006C092A" w:rsidRPr="00671B8F" w:rsidRDefault="006C092A" w:rsidP="00671B8F">
      <w:pPr>
        <w:spacing w:after="0" w:line="240" w:lineRule="auto"/>
        <w:jc w:val="both"/>
        <w:rPr>
          <w:rFonts w:asciiTheme="majorBidi" w:hAnsiTheme="majorBidi" w:cstheme="majorBidi"/>
          <w:sz w:val="20"/>
          <w:szCs w:val="20"/>
        </w:rPr>
      </w:pPr>
      <w:r w:rsidRPr="00671B8F">
        <w:rPr>
          <w:rStyle w:val="Appelnotedebasdep"/>
          <w:rFonts w:asciiTheme="majorBidi" w:hAnsiTheme="majorBidi" w:cstheme="majorBidi"/>
          <w:sz w:val="20"/>
          <w:szCs w:val="20"/>
        </w:rPr>
        <w:footnoteRef/>
      </w:r>
      <w:r w:rsidRPr="00671B8F">
        <w:rPr>
          <w:rFonts w:asciiTheme="majorBidi" w:hAnsiTheme="majorBidi" w:cstheme="majorBidi"/>
          <w:sz w:val="20"/>
          <w:szCs w:val="20"/>
        </w:rPr>
        <w:t>Ahmed Cheniki et Makhlouf Boukrouh, « Le théâtre en Algérie, état des lieux et propositions de sortie de crise »</w:t>
      </w:r>
      <w:r w:rsidRPr="00671B8F">
        <w:rPr>
          <w:rFonts w:asciiTheme="majorBidi" w:hAnsiTheme="majorBidi" w:cstheme="majorBidi"/>
          <w:i/>
          <w:iCs/>
          <w:sz w:val="20"/>
          <w:szCs w:val="20"/>
        </w:rPr>
        <w:t>,</w:t>
      </w:r>
      <w:r w:rsidRPr="00671B8F">
        <w:rPr>
          <w:rFonts w:asciiTheme="majorBidi" w:hAnsiTheme="majorBidi" w:cstheme="majorBidi"/>
          <w:color w:val="000000"/>
          <w:sz w:val="20"/>
          <w:szCs w:val="20"/>
        </w:rPr>
        <w:t xml:space="preserve"> [en ligne], mis en ligne en </w:t>
      </w:r>
      <w:r w:rsidRPr="00671B8F">
        <w:rPr>
          <w:rFonts w:asciiTheme="majorBidi" w:hAnsiTheme="majorBidi" w:cstheme="majorBidi"/>
          <w:sz w:val="20"/>
          <w:szCs w:val="20"/>
          <w:shd w:val="clear" w:color="auto" w:fill="FFFFFF"/>
        </w:rPr>
        <w:t>Mai 2008. Disponible sur</w:t>
      </w:r>
      <w:r w:rsidRPr="00671B8F">
        <w:rPr>
          <w:rFonts w:asciiTheme="majorBidi" w:hAnsiTheme="majorBidi" w:cstheme="majorBidi"/>
          <w:color w:val="000000"/>
          <w:sz w:val="20"/>
          <w:szCs w:val="20"/>
        </w:rPr>
        <w:t> : ˂</w:t>
      </w:r>
      <w:hyperlink r:id="rId4" w:history="1">
        <w:r w:rsidRPr="00671B8F">
          <w:rPr>
            <w:rStyle w:val="Lienhypertexte"/>
            <w:rFonts w:asciiTheme="majorBidi" w:hAnsiTheme="majorBidi" w:cstheme="majorBidi"/>
            <w:color w:val="auto"/>
            <w:sz w:val="20"/>
            <w:szCs w:val="20"/>
          </w:rPr>
          <w:t>http://www.alger-culture.com/readarticle.php?article_id=268</w:t>
        </w:r>
      </w:hyperlink>
      <w:r w:rsidRPr="00671B8F">
        <w:rPr>
          <w:rFonts w:asciiTheme="majorBidi" w:hAnsiTheme="majorBidi" w:cstheme="majorBidi"/>
          <w:sz w:val="20"/>
          <w:szCs w:val="20"/>
        </w:rPr>
        <w:t>˃</w:t>
      </w:r>
      <w:r w:rsidRPr="00671B8F">
        <w:rPr>
          <w:rFonts w:asciiTheme="majorBidi" w:hAnsiTheme="majorBidi" w:cstheme="majorBidi"/>
          <w:color w:val="000000"/>
          <w:sz w:val="20"/>
          <w:szCs w:val="20"/>
        </w:rPr>
        <w:t>, consulté le  12 mai 2015</w:t>
      </w:r>
      <w:r>
        <w:rPr>
          <w:rFonts w:asciiTheme="majorBidi" w:hAnsiTheme="majorBidi" w:cstheme="majorBidi"/>
          <w:color w:val="000000"/>
          <w:sz w:val="20"/>
          <w:szCs w:val="20"/>
        </w:rPr>
        <w:t xml:space="preserve"> à 19h00</w:t>
      </w:r>
      <w:r w:rsidRPr="00671B8F">
        <w:rPr>
          <w:rFonts w:asciiTheme="majorBidi" w:hAnsiTheme="majorBidi" w:cstheme="majorBidi"/>
          <w:color w:val="000000"/>
          <w:sz w:val="20"/>
          <w:szCs w:val="20"/>
        </w:rPr>
        <w:t xml:space="preserve">. </w:t>
      </w:r>
    </w:p>
  </w:footnote>
  <w:footnote w:id="50">
    <w:p w:rsidR="006C092A" w:rsidRPr="00671B8F" w:rsidRDefault="006C092A" w:rsidP="00671B8F">
      <w:pPr>
        <w:pStyle w:val="table0020grid"/>
        <w:spacing w:before="0" w:beforeAutospacing="0" w:after="0" w:afterAutospacing="0"/>
        <w:jc w:val="both"/>
        <w:rPr>
          <w:rFonts w:asciiTheme="majorBidi" w:hAnsiTheme="majorBidi" w:cstheme="majorBidi"/>
          <w:sz w:val="20"/>
          <w:szCs w:val="20"/>
        </w:rPr>
      </w:pPr>
      <w:r w:rsidRPr="00671B8F">
        <w:rPr>
          <w:rStyle w:val="Appelnotedebasdep"/>
          <w:rFonts w:asciiTheme="majorBidi" w:hAnsiTheme="majorBidi" w:cstheme="majorBidi"/>
          <w:sz w:val="20"/>
          <w:szCs w:val="20"/>
        </w:rPr>
        <w:footnoteRef/>
      </w:r>
      <w:r w:rsidRPr="00671B8F">
        <w:rPr>
          <w:rFonts w:asciiTheme="majorBidi" w:hAnsiTheme="majorBidi" w:cstheme="majorBidi"/>
          <w:sz w:val="20"/>
          <w:szCs w:val="20"/>
        </w:rPr>
        <w:t xml:space="preserve">Bouziane Benachour,  </w:t>
      </w:r>
      <w:r w:rsidRPr="00671B8F">
        <w:rPr>
          <w:rFonts w:asciiTheme="majorBidi" w:hAnsiTheme="majorBidi" w:cstheme="majorBidi"/>
          <w:i/>
          <w:iCs/>
          <w:sz w:val="20"/>
          <w:szCs w:val="20"/>
        </w:rPr>
        <w:t>op.cit</w:t>
      </w:r>
      <w:r w:rsidRPr="00671B8F">
        <w:rPr>
          <w:rFonts w:asciiTheme="majorBidi" w:hAnsiTheme="majorBidi" w:cstheme="majorBidi"/>
          <w:sz w:val="20"/>
          <w:szCs w:val="20"/>
        </w:rPr>
        <w:t>., p. 25.</w:t>
      </w:r>
    </w:p>
  </w:footnote>
  <w:footnote w:id="51">
    <w:p w:rsidR="006C092A" w:rsidRPr="00A44616" w:rsidRDefault="006C092A" w:rsidP="00190177">
      <w:pPr>
        <w:pStyle w:val="Notedebasdepage"/>
        <w:rPr>
          <w:rFonts w:ascii="Times New Roman" w:hAnsi="Times New Roman"/>
        </w:rPr>
      </w:pPr>
      <w:r w:rsidRPr="00A44616">
        <w:rPr>
          <w:rStyle w:val="Appelnotedebasdep"/>
          <w:rFonts w:ascii="Times New Roman" w:hAnsi="Times New Roman"/>
        </w:rPr>
        <w:footnoteRef/>
      </w:r>
      <w:r w:rsidRPr="006E6E16">
        <w:rPr>
          <w:rFonts w:ascii="Times New Roman" w:hAnsi="Times New Roman"/>
        </w:rPr>
        <w:t xml:space="preserve">Ahmed </w:t>
      </w:r>
      <w:r w:rsidRPr="00053251">
        <w:rPr>
          <w:rFonts w:ascii="Times New Roman" w:hAnsi="Times New Roman"/>
        </w:rPr>
        <w:t>C</w:t>
      </w:r>
      <w:r>
        <w:rPr>
          <w:rFonts w:ascii="Times New Roman" w:hAnsi="Times New Roman"/>
        </w:rPr>
        <w:t>heniki</w:t>
      </w:r>
      <w:r w:rsidRPr="00053251">
        <w:rPr>
          <w:rFonts w:ascii="Times New Roman" w:hAnsi="Times New Roman"/>
        </w:rPr>
        <w:t xml:space="preserve"> et Makhlouf B</w:t>
      </w:r>
      <w:r>
        <w:rPr>
          <w:rFonts w:ascii="Times New Roman" w:hAnsi="Times New Roman"/>
        </w:rPr>
        <w:t>oukrouh</w:t>
      </w:r>
      <w:r w:rsidRPr="00053251">
        <w:rPr>
          <w:rFonts w:ascii="Times New Roman" w:hAnsi="Times New Roman"/>
        </w:rPr>
        <w:t xml:space="preserve">, </w:t>
      </w:r>
      <w:r w:rsidRPr="00053251">
        <w:rPr>
          <w:rFonts w:ascii="Times New Roman" w:hAnsi="Times New Roman"/>
          <w:i/>
          <w:iCs/>
        </w:rPr>
        <w:t xml:space="preserve">op. </w:t>
      </w:r>
      <w:proofErr w:type="gramStart"/>
      <w:r w:rsidRPr="00053251">
        <w:rPr>
          <w:rFonts w:ascii="Times New Roman" w:hAnsi="Times New Roman"/>
          <w:i/>
          <w:iCs/>
        </w:rPr>
        <w:t>cit</w:t>
      </w:r>
      <w:r w:rsidRPr="00053251">
        <w:rPr>
          <w:rFonts w:ascii="Times New Roman" w:hAnsi="Times New Roman"/>
        </w:rPr>
        <w:t>.,</w:t>
      </w:r>
      <w:proofErr w:type="gramEnd"/>
      <w:r w:rsidRPr="00053251">
        <w:rPr>
          <w:rFonts w:ascii="Times New Roman" w:hAnsi="Times New Roman"/>
        </w:rPr>
        <w:t xml:space="preserve"> p</w:t>
      </w:r>
      <w:r>
        <w:rPr>
          <w:rFonts w:ascii="Times New Roman" w:hAnsi="Times New Roman"/>
        </w:rPr>
        <w:t>.20.</w:t>
      </w:r>
    </w:p>
    <w:p w:rsidR="006C092A" w:rsidRDefault="006C092A" w:rsidP="006A4EED">
      <w:pPr>
        <w:pStyle w:val="Notedebasdepage"/>
      </w:pPr>
    </w:p>
  </w:footnote>
  <w:footnote w:id="52">
    <w:p w:rsidR="006C092A" w:rsidRPr="00316CB2" w:rsidRDefault="006C092A" w:rsidP="00316CB2">
      <w:pPr>
        <w:autoSpaceDE w:val="0"/>
        <w:autoSpaceDN w:val="0"/>
        <w:adjustRightInd w:val="0"/>
        <w:spacing w:after="0" w:line="240" w:lineRule="auto"/>
        <w:jc w:val="both"/>
        <w:rPr>
          <w:rFonts w:asciiTheme="majorBidi" w:hAnsiTheme="majorBidi" w:cstheme="majorBidi"/>
          <w:sz w:val="20"/>
          <w:szCs w:val="20"/>
          <w:lang w:eastAsia="fr-FR"/>
        </w:rPr>
      </w:pPr>
      <w:r w:rsidRPr="00316CB2">
        <w:rPr>
          <w:rStyle w:val="Appelnotedebasdep"/>
          <w:rFonts w:asciiTheme="majorBidi" w:hAnsiTheme="majorBidi" w:cstheme="majorBidi"/>
          <w:sz w:val="20"/>
          <w:szCs w:val="20"/>
        </w:rPr>
        <w:footnoteRef/>
      </w:r>
      <w:r w:rsidRPr="00316CB2">
        <w:rPr>
          <w:rFonts w:asciiTheme="majorBidi" w:hAnsiTheme="majorBidi" w:cstheme="majorBidi"/>
          <w:sz w:val="20"/>
          <w:szCs w:val="20"/>
          <w:lang w:eastAsia="fr-FR"/>
        </w:rPr>
        <w:t xml:space="preserve">Sidi Mohamed Lakhdar Barka, </w:t>
      </w:r>
      <w:r w:rsidRPr="00316CB2">
        <w:rPr>
          <w:rFonts w:asciiTheme="majorBidi" w:hAnsiTheme="majorBidi" w:cstheme="majorBidi"/>
          <w:i/>
          <w:iCs/>
          <w:sz w:val="20"/>
          <w:szCs w:val="20"/>
          <w:lang w:eastAsia="fr-FR"/>
        </w:rPr>
        <w:t xml:space="preserve">La chanson de geste sur la scène ou expérience </w:t>
      </w:r>
      <w:proofErr w:type="gramStart"/>
      <w:r w:rsidRPr="00316CB2">
        <w:rPr>
          <w:rFonts w:asciiTheme="majorBidi" w:hAnsiTheme="majorBidi" w:cstheme="majorBidi"/>
          <w:i/>
          <w:iCs/>
          <w:sz w:val="20"/>
          <w:szCs w:val="20"/>
          <w:lang w:eastAsia="fr-FR"/>
        </w:rPr>
        <w:t>de OA</w:t>
      </w:r>
      <w:proofErr w:type="gramEnd"/>
      <w:r w:rsidRPr="00316CB2">
        <w:rPr>
          <w:rFonts w:asciiTheme="majorBidi" w:hAnsiTheme="majorBidi" w:cstheme="majorBidi"/>
          <w:i/>
          <w:iCs/>
          <w:sz w:val="20"/>
          <w:szCs w:val="20"/>
          <w:lang w:eastAsia="fr-FR"/>
        </w:rPr>
        <w:t xml:space="preserve"> Kaki, étude et recherche sur la littérature maghrébine </w:t>
      </w:r>
      <w:r w:rsidRPr="00316CB2">
        <w:rPr>
          <w:rFonts w:asciiTheme="majorBidi" w:hAnsiTheme="majorBidi" w:cstheme="majorBidi"/>
          <w:sz w:val="20"/>
          <w:szCs w:val="20"/>
          <w:lang w:eastAsia="fr-FR"/>
        </w:rPr>
        <w:t>(Document de travail n°5), université d'Oran, 1981, p.2.</w:t>
      </w:r>
    </w:p>
  </w:footnote>
  <w:footnote w:id="53">
    <w:p w:rsidR="006C092A" w:rsidRPr="00316CB2" w:rsidRDefault="006C092A" w:rsidP="00316CB2">
      <w:pPr>
        <w:pStyle w:val="Notedebasdepage"/>
        <w:jc w:val="both"/>
        <w:rPr>
          <w:rFonts w:asciiTheme="majorBidi" w:hAnsiTheme="majorBidi" w:cstheme="majorBidi"/>
        </w:rPr>
      </w:pPr>
      <w:r w:rsidRPr="00316CB2">
        <w:rPr>
          <w:rStyle w:val="Appelnotedebasdep"/>
          <w:rFonts w:asciiTheme="majorBidi" w:hAnsiTheme="majorBidi" w:cstheme="majorBidi"/>
        </w:rPr>
        <w:footnoteRef/>
      </w:r>
      <w:r w:rsidRPr="00316CB2">
        <w:rPr>
          <w:rFonts w:asciiTheme="majorBidi" w:hAnsiTheme="majorBidi" w:cstheme="majorBidi"/>
        </w:rPr>
        <w:t xml:space="preserve">Jacques Berque, </w:t>
      </w:r>
      <w:r w:rsidRPr="00316CB2">
        <w:rPr>
          <w:rFonts w:asciiTheme="majorBidi" w:hAnsiTheme="majorBidi" w:cstheme="majorBidi"/>
          <w:i/>
          <w:iCs/>
        </w:rPr>
        <w:t>Regards sur le</w:t>
      </w:r>
      <w:r w:rsidRPr="00316CB2">
        <w:rPr>
          <w:rFonts w:asciiTheme="majorBidi" w:hAnsiTheme="majorBidi" w:cstheme="majorBidi"/>
        </w:rPr>
        <w:t xml:space="preserve"> </w:t>
      </w:r>
      <w:r w:rsidRPr="00316CB2">
        <w:rPr>
          <w:rFonts w:asciiTheme="majorBidi" w:hAnsiTheme="majorBidi" w:cstheme="majorBidi"/>
          <w:i/>
          <w:iCs/>
        </w:rPr>
        <w:t>Théâtre arabe contemporain de M. Aziza</w:t>
      </w:r>
      <w:r w:rsidRPr="00316CB2">
        <w:rPr>
          <w:rFonts w:asciiTheme="majorBidi" w:hAnsiTheme="majorBidi" w:cstheme="majorBidi"/>
        </w:rPr>
        <w:t xml:space="preserve"> (Préface), Maison tunisienne de l’Édition, Tunis, 1970, p.7.</w:t>
      </w:r>
    </w:p>
  </w:footnote>
  <w:footnote w:id="54">
    <w:p w:rsidR="006C092A" w:rsidRPr="00316CB2" w:rsidRDefault="006C092A" w:rsidP="00316CB2">
      <w:pPr>
        <w:spacing w:after="0" w:line="240" w:lineRule="auto"/>
        <w:jc w:val="both"/>
        <w:rPr>
          <w:rFonts w:asciiTheme="majorBidi" w:hAnsiTheme="majorBidi" w:cstheme="majorBidi"/>
          <w:sz w:val="20"/>
          <w:szCs w:val="20"/>
        </w:rPr>
      </w:pPr>
      <w:r w:rsidRPr="00316CB2">
        <w:rPr>
          <w:rStyle w:val="Appelnotedebasdep"/>
          <w:rFonts w:asciiTheme="majorBidi" w:hAnsiTheme="majorBidi" w:cstheme="majorBidi"/>
          <w:sz w:val="20"/>
          <w:szCs w:val="20"/>
        </w:rPr>
        <w:footnoteRef/>
      </w:r>
      <w:r w:rsidRPr="00316CB2">
        <w:rPr>
          <w:rFonts w:asciiTheme="majorBidi" w:hAnsiTheme="majorBidi" w:cstheme="majorBidi"/>
          <w:sz w:val="20"/>
          <w:szCs w:val="20"/>
        </w:rPr>
        <w:t>Roselyne Baffet,</w:t>
      </w:r>
      <w:r w:rsidRPr="00316CB2">
        <w:rPr>
          <w:rFonts w:asciiTheme="majorBidi" w:hAnsiTheme="majorBidi" w:cstheme="majorBidi"/>
          <w:i/>
          <w:iCs/>
          <w:sz w:val="20"/>
          <w:szCs w:val="20"/>
        </w:rPr>
        <w:t xml:space="preserve"> Tradition théâtrale et modernité en Algérie</w:t>
      </w:r>
      <w:r w:rsidRPr="00316CB2">
        <w:rPr>
          <w:rFonts w:asciiTheme="majorBidi" w:hAnsiTheme="majorBidi" w:cstheme="majorBidi"/>
          <w:sz w:val="20"/>
          <w:szCs w:val="20"/>
        </w:rPr>
        <w:t xml:space="preserve">, </w:t>
      </w:r>
      <w:r w:rsidRPr="00316CB2">
        <w:rPr>
          <w:rFonts w:asciiTheme="majorBidi" w:hAnsiTheme="majorBidi" w:cstheme="majorBidi"/>
          <w:bCs/>
          <w:sz w:val="20"/>
          <w:szCs w:val="20"/>
        </w:rPr>
        <w:t xml:space="preserve">L’Harmattan, </w:t>
      </w:r>
      <w:r w:rsidRPr="00316CB2">
        <w:rPr>
          <w:rFonts w:asciiTheme="majorBidi" w:hAnsiTheme="majorBidi" w:cstheme="majorBidi"/>
          <w:sz w:val="20"/>
          <w:szCs w:val="20"/>
        </w:rPr>
        <w:t>Paris</w:t>
      </w:r>
      <w:r w:rsidRPr="00316CB2">
        <w:rPr>
          <w:rFonts w:asciiTheme="majorBidi" w:hAnsiTheme="majorBidi" w:cstheme="majorBidi"/>
          <w:bCs/>
          <w:sz w:val="20"/>
          <w:szCs w:val="20"/>
        </w:rPr>
        <w:t>, 1985</w:t>
      </w:r>
      <w:r w:rsidRPr="00316CB2">
        <w:rPr>
          <w:rFonts w:asciiTheme="majorBidi" w:hAnsiTheme="majorBidi" w:cstheme="majorBidi"/>
          <w:sz w:val="20"/>
          <w:szCs w:val="20"/>
        </w:rPr>
        <w:t>, p.17.</w:t>
      </w:r>
    </w:p>
  </w:footnote>
  <w:footnote w:id="55">
    <w:p w:rsidR="006C092A" w:rsidRPr="00B23BB2" w:rsidRDefault="006C092A" w:rsidP="00E10E19">
      <w:pPr>
        <w:pStyle w:val="Notedebasdepage"/>
        <w:jc w:val="both"/>
        <w:rPr>
          <w:rFonts w:asciiTheme="majorBidi" w:hAnsiTheme="majorBidi" w:cstheme="majorBidi"/>
        </w:rPr>
      </w:pPr>
      <w:r w:rsidRPr="00B23BB2">
        <w:rPr>
          <w:rStyle w:val="Appelnotedebasdep"/>
          <w:rFonts w:asciiTheme="majorBidi" w:hAnsiTheme="majorBidi" w:cstheme="majorBidi"/>
        </w:rPr>
        <w:footnoteRef/>
      </w:r>
      <w:r w:rsidRPr="00B23BB2">
        <w:rPr>
          <w:rFonts w:asciiTheme="majorBidi" w:hAnsiTheme="majorBidi" w:cstheme="majorBidi"/>
          <w:bCs/>
          <w:iCs/>
        </w:rPr>
        <w:t>Ahmed C</w:t>
      </w:r>
      <w:r>
        <w:rPr>
          <w:rFonts w:asciiTheme="majorBidi" w:hAnsiTheme="majorBidi" w:cstheme="majorBidi"/>
          <w:bCs/>
          <w:iCs/>
        </w:rPr>
        <w:t>heniki</w:t>
      </w:r>
      <w:r w:rsidRPr="00B23BB2">
        <w:rPr>
          <w:rFonts w:asciiTheme="majorBidi" w:hAnsiTheme="majorBidi" w:cstheme="majorBidi"/>
          <w:bCs/>
        </w:rPr>
        <w:t xml:space="preserve">, « Le théâtre algérien : dédoublement et parole syncrétique », in  Charles BONN (sous dir), </w:t>
      </w:r>
      <w:r w:rsidRPr="00B23BB2">
        <w:rPr>
          <w:rFonts w:asciiTheme="majorBidi" w:hAnsiTheme="majorBidi" w:cstheme="majorBidi"/>
          <w:bCs/>
          <w:i/>
        </w:rPr>
        <w:t>Echanges et mutations des modèles littéraires entre Europe et Algérie, Tome 2 des Actes du colloque « Paroles déplacées»</w:t>
      </w:r>
      <w:r w:rsidRPr="00B23BB2">
        <w:rPr>
          <w:rFonts w:asciiTheme="majorBidi" w:hAnsiTheme="majorBidi" w:cstheme="majorBidi"/>
          <w:bCs/>
        </w:rPr>
        <w:t>, L’harmattan, Paris, 2004, p.167.</w:t>
      </w:r>
    </w:p>
  </w:footnote>
  <w:footnote w:id="56">
    <w:p w:rsidR="006C092A" w:rsidRPr="00126A80" w:rsidRDefault="006C092A" w:rsidP="00B23BB2">
      <w:pPr>
        <w:pStyle w:val="Notedebasdepage"/>
        <w:jc w:val="both"/>
        <w:rPr>
          <w:rFonts w:asciiTheme="majorBidi" w:hAnsiTheme="majorBidi" w:cstheme="majorBidi"/>
          <w:lang w:val="en-US"/>
        </w:rPr>
      </w:pPr>
      <w:r w:rsidRPr="00B23BB2">
        <w:rPr>
          <w:rStyle w:val="Appelnotedebasdep"/>
          <w:rFonts w:asciiTheme="majorBidi" w:hAnsiTheme="majorBidi" w:cstheme="majorBidi"/>
        </w:rPr>
        <w:footnoteRef/>
      </w:r>
      <w:r w:rsidRPr="00126A80">
        <w:rPr>
          <w:rFonts w:asciiTheme="majorBidi" w:hAnsiTheme="majorBidi" w:cstheme="majorBidi"/>
          <w:lang w:val="en-US"/>
        </w:rPr>
        <w:t xml:space="preserve">Brahim Ouardi, </w:t>
      </w:r>
      <w:proofErr w:type="gramStart"/>
      <w:r w:rsidRPr="00126A80">
        <w:rPr>
          <w:rFonts w:asciiTheme="majorBidi" w:hAnsiTheme="majorBidi" w:cstheme="majorBidi"/>
          <w:i/>
          <w:iCs/>
          <w:lang w:val="en-US"/>
        </w:rPr>
        <w:t>op.</w:t>
      </w:r>
      <w:r w:rsidRPr="00126A80">
        <w:rPr>
          <w:rFonts w:asciiTheme="majorBidi" w:hAnsiTheme="majorBidi" w:cstheme="majorBidi"/>
          <w:lang w:val="en-US"/>
        </w:rPr>
        <w:t>cit.,</w:t>
      </w:r>
      <w:proofErr w:type="gramEnd"/>
      <w:r w:rsidRPr="00126A80">
        <w:rPr>
          <w:rFonts w:asciiTheme="majorBidi" w:hAnsiTheme="majorBidi" w:cstheme="majorBidi"/>
          <w:lang w:val="en-US"/>
        </w:rPr>
        <w:t xml:space="preserve"> p.26.</w:t>
      </w:r>
    </w:p>
  </w:footnote>
  <w:footnote w:id="57">
    <w:p w:rsidR="006C092A" w:rsidRDefault="006C092A" w:rsidP="00B23BB2">
      <w:pPr>
        <w:spacing w:after="0" w:line="240" w:lineRule="auto"/>
        <w:jc w:val="both"/>
      </w:pPr>
      <w:r w:rsidRPr="00B23BB2">
        <w:rPr>
          <w:rStyle w:val="Appelnotedebasdep"/>
          <w:rFonts w:asciiTheme="majorBidi" w:hAnsiTheme="majorBidi" w:cstheme="majorBidi"/>
          <w:sz w:val="20"/>
          <w:szCs w:val="20"/>
        </w:rPr>
        <w:footnoteRef/>
      </w:r>
      <w:r w:rsidRPr="00B23BB2">
        <w:rPr>
          <w:rFonts w:asciiTheme="majorBidi" w:hAnsiTheme="majorBidi" w:cstheme="majorBidi"/>
          <w:sz w:val="20"/>
          <w:szCs w:val="20"/>
        </w:rPr>
        <w:t xml:space="preserve">André Shaeffiner, « Rituel et pré-théâtre » in </w:t>
      </w:r>
      <w:r w:rsidRPr="00B23BB2">
        <w:rPr>
          <w:rFonts w:asciiTheme="majorBidi" w:hAnsiTheme="majorBidi" w:cstheme="majorBidi"/>
          <w:i/>
          <w:iCs/>
          <w:sz w:val="20"/>
          <w:szCs w:val="20"/>
        </w:rPr>
        <w:t>Histoire des spectacles,</w:t>
      </w:r>
      <w:r w:rsidRPr="00B23BB2">
        <w:rPr>
          <w:rFonts w:asciiTheme="majorBidi" w:hAnsiTheme="majorBidi" w:cstheme="majorBidi"/>
          <w:color w:val="333333"/>
          <w:sz w:val="20"/>
          <w:szCs w:val="20"/>
          <w:shd w:val="clear" w:color="auto" w:fill="FFFFFF"/>
        </w:rPr>
        <w:t xml:space="preserve"> sous la direction de Guy Dumur, Paris,</w:t>
      </w:r>
      <w:r w:rsidRPr="00B23BB2">
        <w:rPr>
          <w:rFonts w:asciiTheme="majorBidi" w:hAnsiTheme="majorBidi" w:cstheme="majorBidi"/>
          <w:sz w:val="20"/>
          <w:szCs w:val="20"/>
        </w:rPr>
        <w:t xml:space="preserve"> [Encyclopédie de la Pléiade], </w:t>
      </w:r>
      <w:r w:rsidRPr="00B23BB2">
        <w:rPr>
          <w:rFonts w:asciiTheme="majorBidi" w:hAnsiTheme="majorBidi" w:cstheme="majorBidi"/>
          <w:color w:val="333333"/>
          <w:sz w:val="20"/>
          <w:szCs w:val="20"/>
          <w:shd w:val="clear" w:color="auto" w:fill="FFFFFF"/>
        </w:rPr>
        <w:t>1965</w:t>
      </w:r>
      <w:r w:rsidRPr="00B23BB2">
        <w:rPr>
          <w:rFonts w:asciiTheme="majorBidi" w:hAnsiTheme="majorBidi" w:cstheme="majorBidi"/>
          <w:sz w:val="20"/>
          <w:szCs w:val="20"/>
        </w:rPr>
        <w:t>, p.24.</w:t>
      </w:r>
      <w:r>
        <w:rPr>
          <w:rFonts w:ascii="Times New Roman" w:hAnsi="Times New Roman"/>
          <w:sz w:val="20"/>
          <w:szCs w:val="20"/>
        </w:rPr>
        <w:t xml:space="preserve"> </w:t>
      </w:r>
    </w:p>
  </w:footnote>
  <w:footnote w:id="58">
    <w:p w:rsidR="006C092A" w:rsidRPr="00244DC6" w:rsidRDefault="006C092A" w:rsidP="00244DC6">
      <w:pPr>
        <w:spacing w:after="0" w:line="240" w:lineRule="auto"/>
        <w:jc w:val="both"/>
        <w:rPr>
          <w:rFonts w:asciiTheme="majorBidi" w:hAnsiTheme="majorBidi" w:cstheme="majorBidi"/>
          <w:sz w:val="20"/>
          <w:szCs w:val="20"/>
        </w:rPr>
      </w:pPr>
      <w:r w:rsidRPr="00244DC6">
        <w:rPr>
          <w:rStyle w:val="Appelnotedebasdep"/>
          <w:rFonts w:asciiTheme="majorBidi" w:hAnsiTheme="majorBidi" w:cstheme="majorBidi"/>
          <w:sz w:val="20"/>
          <w:szCs w:val="20"/>
        </w:rPr>
        <w:footnoteRef/>
      </w:r>
      <w:r w:rsidRPr="00244DC6">
        <w:rPr>
          <w:rFonts w:asciiTheme="majorBidi" w:hAnsiTheme="majorBidi" w:cstheme="majorBidi"/>
          <w:sz w:val="20"/>
          <w:szCs w:val="20"/>
        </w:rPr>
        <w:t xml:space="preserve">Ahmed Cheniki, </w:t>
      </w:r>
      <w:r w:rsidRPr="00244DC6">
        <w:rPr>
          <w:rFonts w:asciiTheme="majorBidi" w:hAnsiTheme="majorBidi" w:cstheme="majorBidi"/>
          <w:i/>
          <w:sz w:val="20"/>
          <w:szCs w:val="20"/>
        </w:rPr>
        <w:t xml:space="preserve">Théâtre algérien, Itinéraires et tendances </w:t>
      </w:r>
      <w:r w:rsidRPr="008E2FC0">
        <w:rPr>
          <w:rFonts w:asciiTheme="majorBidi" w:hAnsiTheme="majorBidi" w:cstheme="majorBidi"/>
          <w:iCs/>
          <w:sz w:val="20"/>
          <w:szCs w:val="20"/>
        </w:rPr>
        <w:t>(Thèse de doctorat en études théâtrales),</w:t>
      </w:r>
      <w:r w:rsidRPr="00244DC6">
        <w:rPr>
          <w:rFonts w:asciiTheme="majorBidi" w:hAnsiTheme="majorBidi" w:cstheme="majorBidi"/>
          <w:sz w:val="20"/>
          <w:szCs w:val="20"/>
        </w:rPr>
        <w:t xml:space="preserve"> université de Paris IV, 1993, p.17.</w:t>
      </w:r>
    </w:p>
  </w:footnote>
  <w:footnote w:id="59">
    <w:p w:rsidR="006C092A" w:rsidRPr="00244DC6" w:rsidRDefault="006C092A" w:rsidP="00244DC6">
      <w:pPr>
        <w:pStyle w:val="Notedebasdepage"/>
        <w:jc w:val="both"/>
        <w:rPr>
          <w:rFonts w:asciiTheme="majorBidi" w:hAnsiTheme="majorBidi" w:cstheme="majorBidi"/>
        </w:rPr>
      </w:pPr>
      <w:r w:rsidRPr="00244DC6">
        <w:rPr>
          <w:rStyle w:val="Appelnotedebasdep"/>
          <w:rFonts w:asciiTheme="majorBidi" w:hAnsiTheme="majorBidi" w:cstheme="majorBidi"/>
        </w:rPr>
        <w:footnoteRef/>
      </w:r>
      <w:r w:rsidRPr="00244DC6">
        <w:rPr>
          <w:rFonts w:asciiTheme="majorBidi" w:hAnsiTheme="majorBidi" w:cstheme="majorBidi"/>
        </w:rPr>
        <w:t xml:space="preserve">Youssef Rachid Haddad, </w:t>
      </w:r>
      <w:r w:rsidRPr="00244DC6">
        <w:rPr>
          <w:rFonts w:asciiTheme="majorBidi" w:hAnsiTheme="majorBidi" w:cstheme="majorBidi"/>
          <w:bCs/>
          <w:i/>
          <w:iCs/>
        </w:rPr>
        <w:t>Art du conteur, art de l’acteur</w:t>
      </w:r>
      <w:r w:rsidRPr="00244DC6">
        <w:rPr>
          <w:rFonts w:asciiTheme="majorBidi" w:hAnsiTheme="majorBidi" w:cstheme="majorBidi"/>
        </w:rPr>
        <w:t>, Louvain-la-Neuve, Cahier Théâtre Louvain, 1982, p.25</w:t>
      </w:r>
      <w:r w:rsidRPr="00244DC6">
        <w:rPr>
          <w:rFonts w:asciiTheme="majorBidi" w:hAnsiTheme="majorBidi" w:cstheme="majorBidi"/>
          <w:color w:val="00B0F0"/>
        </w:rPr>
        <w:t>.</w:t>
      </w:r>
    </w:p>
  </w:footnote>
  <w:footnote w:id="60">
    <w:p w:rsidR="006C092A" w:rsidRPr="00F307D8" w:rsidRDefault="006C092A" w:rsidP="00F307D8">
      <w:pPr>
        <w:pStyle w:val="Notedebasdepage"/>
        <w:jc w:val="both"/>
        <w:rPr>
          <w:rFonts w:asciiTheme="majorBidi" w:hAnsiTheme="majorBidi" w:cstheme="majorBidi"/>
        </w:rPr>
      </w:pPr>
      <w:r w:rsidRPr="00F307D8">
        <w:rPr>
          <w:rStyle w:val="Appelnotedebasdep"/>
          <w:rFonts w:asciiTheme="majorBidi" w:hAnsiTheme="majorBidi" w:cstheme="majorBidi"/>
        </w:rPr>
        <w:footnoteRef/>
      </w:r>
      <w:r w:rsidRPr="00F307D8">
        <w:rPr>
          <w:rFonts w:asciiTheme="majorBidi" w:hAnsiTheme="majorBidi" w:cstheme="majorBidi"/>
          <w:bCs/>
          <w:iCs/>
        </w:rPr>
        <w:t>Ahmed Cheniki</w:t>
      </w:r>
      <w:r w:rsidRPr="00F307D8">
        <w:rPr>
          <w:rFonts w:asciiTheme="majorBidi" w:hAnsiTheme="majorBidi" w:cstheme="majorBidi"/>
          <w:bCs/>
        </w:rPr>
        <w:t xml:space="preserve">, « Le théâtre algérien : dédoublement et parole syncrétique », </w:t>
      </w:r>
      <w:r w:rsidRPr="00F307D8">
        <w:rPr>
          <w:rFonts w:asciiTheme="majorBidi" w:hAnsiTheme="majorBidi" w:cstheme="majorBidi"/>
          <w:bCs/>
          <w:i/>
          <w:iCs/>
        </w:rPr>
        <w:t xml:space="preserve">op.cit., </w:t>
      </w:r>
      <w:r w:rsidRPr="00F307D8">
        <w:rPr>
          <w:rFonts w:asciiTheme="majorBidi" w:hAnsiTheme="majorBidi" w:cstheme="majorBidi"/>
          <w:bCs/>
        </w:rPr>
        <w:t>p.77</w:t>
      </w:r>
      <w:r w:rsidRPr="00F307D8">
        <w:rPr>
          <w:rFonts w:asciiTheme="majorBidi" w:hAnsiTheme="majorBidi" w:cstheme="majorBidi"/>
          <w:bCs/>
          <w:color w:val="00B0F0"/>
        </w:rPr>
        <w:t>.</w:t>
      </w:r>
    </w:p>
  </w:footnote>
  <w:footnote w:id="61">
    <w:p w:rsidR="006C092A" w:rsidRPr="0001066E" w:rsidRDefault="006C092A" w:rsidP="00F307D8">
      <w:pPr>
        <w:pStyle w:val="Notedebasdepage"/>
        <w:jc w:val="both"/>
        <w:rPr>
          <w:rFonts w:asciiTheme="majorBidi" w:hAnsiTheme="majorBidi" w:cstheme="majorBidi"/>
          <w:lang w:val="en-US"/>
        </w:rPr>
      </w:pPr>
      <w:r w:rsidRPr="00F307D8">
        <w:rPr>
          <w:rStyle w:val="Appelnotedebasdep"/>
          <w:rFonts w:asciiTheme="majorBidi" w:hAnsiTheme="majorBidi" w:cstheme="majorBidi"/>
        </w:rPr>
        <w:footnoteRef/>
      </w:r>
      <w:proofErr w:type="gramStart"/>
      <w:r w:rsidRPr="0001066E">
        <w:rPr>
          <w:rFonts w:asciiTheme="majorBidi" w:hAnsiTheme="majorBidi" w:cstheme="majorBidi"/>
          <w:i/>
          <w:iCs/>
          <w:lang w:val="en-US"/>
        </w:rPr>
        <w:t>Ibid.,</w:t>
      </w:r>
      <w:proofErr w:type="gramEnd"/>
      <w:r w:rsidRPr="0001066E">
        <w:rPr>
          <w:rFonts w:asciiTheme="majorBidi" w:hAnsiTheme="majorBidi" w:cstheme="majorBidi"/>
          <w:i/>
          <w:iCs/>
          <w:lang w:val="en-US"/>
        </w:rPr>
        <w:t xml:space="preserve"> </w:t>
      </w:r>
      <w:r w:rsidRPr="0001066E">
        <w:rPr>
          <w:rFonts w:asciiTheme="majorBidi" w:hAnsiTheme="majorBidi" w:cstheme="majorBidi"/>
          <w:bCs/>
          <w:lang w:val="en-US"/>
        </w:rPr>
        <w:t>p.78.</w:t>
      </w:r>
    </w:p>
  </w:footnote>
  <w:footnote w:id="62">
    <w:p w:rsidR="006C092A" w:rsidRPr="0001066E" w:rsidRDefault="006C092A" w:rsidP="00B37D6D">
      <w:pPr>
        <w:pStyle w:val="Notedebasdepage"/>
        <w:jc w:val="both"/>
        <w:rPr>
          <w:rFonts w:asciiTheme="majorBidi" w:hAnsiTheme="majorBidi" w:cstheme="majorBidi"/>
          <w:lang w:val="en-US"/>
        </w:rPr>
      </w:pPr>
      <w:r w:rsidRPr="00B37D6D">
        <w:rPr>
          <w:rStyle w:val="Appelnotedebasdep"/>
          <w:rFonts w:asciiTheme="majorBidi" w:hAnsiTheme="majorBidi" w:cstheme="majorBidi"/>
        </w:rPr>
        <w:footnoteRef/>
      </w:r>
      <w:r w:rsidRPr="0001066E">
        <w:rPr>
          <w:rFonts w:asciiTheme="majorBidi" w:hAnsiTheme="majorBidi" w:cstheme="majorBidi"/>
          <w:lang w:val="en-US"/>
        </w:rPr>
        <w:t xml:space="preserve"> </w:t>
      </w:r>
      <w:proofErr w:type="gramStart"/>
      <w:r w:rsidRPr="0001066E">
        <w:rPr>
          <w:rFonts w:asciiTheme="majorBidi" w:hAnsiTheme="majorBidi" w:cstheme="majorBidi"/>
          <w:i/>
          <w:iCs/>
          <w:lang w:val="en-US"/>
        </w:rPr>
        <w:t>Ibid</w:t>
      </w:r>
      <w:r w:rsidRPr="0001066E">
        <w:rPr>
          <w:rFonts w:asciiTheme="majorBidi" w:hAnsiTheme="majorBidi" w:cstheme="majorBidi"/>
          <w:lang w:val="en-US"/>
        </w:rPr>
        <w:t>.,</w:t>
      </w:r>
      <w:proofErr w:type="gramEnd"/>
      <w:r w:rsidRPr="0001066E">
        <w:rPr>
          <w:rFonts w:asciiTheme="majorBidi" w:hAnsiTheme="majorBidi" w:cstheme="majorBidi"/>
          <w:lang w:val="en-US"/>
        </w:rPr>
        <w:t xml:space="preserve"> </w:t>
      </w:r>
      <w:r w:rsidRPr="0001066E">
        <w:rPr>
          <w:rFonts w:asciiTheme="majorBidi" w:hAnsiTheme="majorBidi" w:cstheme="majorBidi"/>
          <w:bCs/>
          <w:lang w:val="en-US"/>
        </w:rPr>
        <w:t>p.79.</w:t>
      </w:r>
    </w:p>
  </w:footnote>
  <w:footnote w:id="63">
    <w:p w:rsidR="006C092A" w:rsidRPr="00CB56CC" w:rsidRDefault="006C092A" w:rsidP="00CB56CC">
      <w:pPr>
        <w:pStyle w:val="Notedebasdepage"/>
        <w:jc w:val="both"/>
        <w:rPr>
          <w:rFonts w:asciiTheme="majorBidi" w:hAnsiTheme="majorBidi" w:cstheme="majorBidi"/>
          <w:b/>
          <w:bCs/>
          <w:lang w:val="en-US"/>
        </w:rPr>
      </w:pPr>
      <w:r w:rsidRPr="00CB56CC">
        <w:rPr>
          <w:rStyle w:val="Appelnotedebasdep"/>
          <w:rFonts w:asciiTheme="majorBidi" w:hAnsiTheme="majorBidi" w:cstheme="majorBidi"/>
        </w:rPr>
        <w:footnoteRef/>
      </w:r>
      <w:proofErr w:type="gramStart"/>
      <w:r w:rsidRPr="00CB56CC">
        <w:rPr>
          <w:rFonts w:asciiTheme="majorBidi" w:hAnsiTheme="majorBidi" w:cstheme="majorBidi"/>
          <w:i/>
          <w:iCs/>
          <w:lang w:val="en-US"/>
        </w:rPr>
        <w:t>Ibid</w:t>
      </w:r>
      <w:r w:rsidRPr="00CB56CC">
        <w:rPr>
          <w:rFonts w:asciiTheme="majorBidi" w:hAnsiTheme="majorBidi" w:cstheme="majorBidi"/>
          <w:lang w:val="en-US"/>
        </w:rPr>
        <w:t>.,</w:t>
      </w:r>
      <w:proofErr w:type="gramEnd"/>
      <w:r w:rsidRPr="00CB56CC">
        <w:rPr>
          <w:rFonts w:asciiTheme="majorBidi" w:hAnsiTheme="majorBidi" w:cstheme="majorBidi"/>
          <w:lang w:val="en-US"/>
        </w:rPr>
        <w:t xml:space="preserve"> </w:t>
      </w:r>
      <w:r w:rsidRPr="00CB56CC">
        <w:rPr>
          <w:rFonts w:asciiTheme="majorBidi" w:hAnsiTheme="majorBidi" w:cstheme="majorBidi"/>
          <w:bCs/>
          <w:lang w:val="en-US"/>
        </w:rPr>
        <w:t>p.83.</w:t>
      </w:r>
    </w:p>
  </w:footnote>
  <w:footnote w:id="64">
    <w:p w:rsidR="006C092A" w:rsidRPr="00CB56CC" w:rsidRDefault="006C092A" w:rsidP="00CB56CC">
      <w:pPr>
        <w:spacing w:after="0" w:line="240" w:lineRule="auto"/>
        <w:jc w:val="both"/>
        <w:rPr>
          <w:rFonts w:asciiTheme="majorBidi" w:hAnsiTheme="majorBidi" w:cstheme="majorBidi"/>
          <w:sz w:val="20"/>
          <w:szCs w:val="20"/>
          <w:lang w:val="en-US"/>
        </w:rPr>
      </w:pPr>
      <w:r w:rsidRPr="00CB56CC">
        <w:rPr>
          <w:rStyle w:val="Appelnotedebasdep"/>
          <w:rFonts w:asciiTheme="majorBidi" w:hAnsiTheme="majorBidi" w:cstheme="majorBidi"/>
          <w:sz w:val="20"/>
          <w:szCs w:val="20"/>
        </w:rPr>
        <w:footnoteRef/>
      </w:r>
      <w:r w:rsidRPr="00CB56CC">
        <w:rPr>
          <w:rFonts w:asciiTheme="majorBidi" w:hAnsiTheme="majorBidi" w:cstheme="majorBidi"/>
          <w:sz w:val="20"/>
          <w:szCs w:val="20"/>
          <w:lang w:val="en-US"/>
        </w:rPr>
        <w:t xml:space="preserve">Abdelhamid Guerfi, </w:t>
      </w:r>
      <w:r w:rsidRPr="00CB56CC">
        <w:rPr>
          <w:rFonts w:asciiTheme="majorBidi" w:hAnsiTheme="majorBidi" w:cstheme="majorBidi"/>
          <w:i/>
          <w:iCs/>
          <w:sz w:val="20"/>
          <w:szCs w:val="20"/>
          <w:lang w:val="en-US"/>
        </w:rPr>
        <w:t xml:space="preserve">op.cit. </w:t>
      </w:r>
      <w:proofErr w:type="gramStart"/>
      <w:r w:rsidRPr="00CB56CC">
        <w:rPr>
          <w:rFonts w:asciiTheme="majorBidi" w:hAnsiTheme="majorBidi" w:cstheme="majorBidi"/>
          <w:sz w:val="20"/>
          <w:szCs w:val="20"/>
          <w:lang w:val="en-US"/>
        </w:rPr>
        <w:t>p.24.</w:t>
      </w:r>
      <w:proofErr w:type="gramEnd"/>
    </w:p>
  </w:footnote>
  <w:footnote w:id="65">
    <w:p w:rsidR="006C092A" w:rsidRPr="00631374" w:rsidRDefault="006C092A" w:rsidP="00182DE5">
      <w:pPr>
        <w:spacing w:after="0" w:line="240" w:lineRule="auto"/>
        <w:jc w:val="both"/>
        <w:rPr>
          <w:rFonts w:asciiTheme="majorBidi" w:hAnsiTheme="majorBidi" w:cstheme="majorBidi"/>
          <w:sz w:val="20"/>
          <w:szCs w:val="20"/>
        </w:rPr>
      </w:pPr>
      <w:r w:rsidRPr="00631374">
        <w:rPr>
          <w:rStyle w:val="Appelnotedebasdep"/>
          <w:rFonts w:asciiTheme="majorBidi" w:hAnsiTheme="majorBidi" w:cstheme="majorBidi"/>
          <w:sz w:val="20"/>
          <w:szCs w:val="20"/>
        </w:rPr>
        <w:footnoteRef/>
      </w:r>
      <w:r w:rsidRPr="00631374">
        <w:rPr>
          <w:rFonts w:asciiTheme="majorBidi" w:hAnsiTheme="majorBidi" w:cstheme="majorBidi"/>
          <w:sz w:val="20"/>
          <w:szCs w:val="20"/>
        </w:rPr>
        <w:t xml:space="preserve">Yacine Kateb, in </w:t>
      </w:r>
      <w:r w:rsidRPr="00631374">
        <w:rPr>
          <w:rFonts w:asciiTheme="majorBidi" w:hAnsiTheme="majorBidi" w:cstheme="majorBidi"/>
          <w:i/>
          <w:iCs/>
          <w:sz w:val="20"/>
          <w:szCs w:val="20"/>
        </w:rPr>
        <w:t>Algérie-Actualité</w:t>
      </w:r>
      <w:r w:rsidRPr="00631374">
        <w:rPr>
          <w:rFonts w:asciiTheme="majorBidi" w:hAnsiTheme="majorBidi" w:cstheme="majorBidi"/>
          <w:sz w:val="20"/>
          <w:szCs w:val="20"/>
        </w:rPr>
        <w:t>, n°314, 24 octobre 1971.</w:t>
      </w:r>
    </w:p>
  </w:footnote>
  <w:footnote w:id="66">
    <w:p w:rsidR="006C092A" w:rsidRPr="00631374" w:rsidRDefault="006C092A" w:rsidP="00631374">
      <w:pPr>
        <w:pStyle w:val="Notedebasdepage"/>
        <w:jc w:val="both"/>
        <w:rPr>
          <w:rFonts w:asciiTheme="majorBidi" w:hAnsiTheme="majorBidi" w:cstheme="majorBidi"/>
          <w:b/>
          <w:bCs/>
          <w:i/>
          <w:iCs/>
        </w:rPr>
      </w:pPr>
      <w:r w:rsidRPr="00631374">
        <w:rPr>
          <w:rStyle w:val="Appelnotedebasdep"/>
          <w:rFonts w:asciiTheme="majorBidi" w:hAnsiTheme="majorBidi" w:cstheme="majorBidi"/>
        </w:rPr>
        <w:footnoteRef/>
      </w:r>
      <w:r w:rsidRPr="00631374">
        <w:rPr>
          <w:rFonts w:asciiTheme="majorBidi" w:hAnsiTheme="majorBidi" w:cstheme="majorBidi"/>
        </w:rPr>
        <w:t xml:space="preserve">Claire Finburgh, </w:t>
      </w:r>
      <w:r w:rsidRPr="00631374">
        <w:rPr>
          <w:rFonts w:asciiTheme="majorBidi" w:hAnsiTheme="majorBidi" w:cstheme="majorBidi"/>
          <w:bCs/>
          <w:i/>
          <w:iCs/>
        </w:rPr>
        <w:t xml:space="preserve">Mohamed prends ta valise </w:t>
      </w:r>
      <w:r w:rsidRPr="00631374">
        <w:rPr>
          <w:rFonts w:asciiTheme="majorBidi" w:hAnsiTheme="majorBidi" w:cstheme="majorBidi"/>
          <w:bCs/>
        </w:rPr>
        <w:t>de Kateb Yacine :</w:t>
      </w:r>
      <w:r w:rsidRPr="00631374">
        <w:rPr>
          <w:rFonts w:asciiTheme="majorBidi" w:hAnsiTheme="majorBidi" w:cstheme="majorBidi"/>
          <w:bCs/>
          <w:i/>
          <w:iCs/>
        </w:rPr>
        <w:t xml:space="preserve"> </w:t>
      </w:r>
      <w:r w:rsidRPr="00631374">
        <w:rPr>
          <w:rFonts w:asciiTheme="majorBidi" w:hAnsiTheme="majorBidi" w:cstheme="majorBidi"/>
          <w:bCs/>
        </w:rPr>
        <w:t xml:space="preserve">un « théâtre engagé » non-didactique ? </w:t>
      </w:r>
      <w:proofErr w:type="gramStart"/>
      <w:r w:rsidRPr="00631374">
        <w:rPr>
          <w:rFonts w:asciiTheme="majorBidi" w:hAnsiTheme="majorBidi" w:cstheme="majorBidi"/>
          <w:bCs/>
        </w:rPr>
        <w:t>in</w:t>
      </w:r>
      <w:proofErr w:type="gramEnd"/>
      <w:r w:rsidRPr="00631374">
        <w:rPr>
          <w:rFonts w:asciiTheme="majorBidi" w:hAnsiTheme="majorBidi" w:cstheme="majorBidi"/>
          <w:bCs/>
        </w:rPr>
        <w:t xml:space="preserve"> Charles Bonn (sous dir), </w:t>
      </w:r>
      <w:r w:rsidRPr="00631374">
        <w:rPr>
          <w:rFonts w:asciiTheme="majorBidi" w:hAnsiTheme="majorBidi" w:cstheme="majorBidi"/>
          <w:bCs/>
          <w:i/>
          <w:iCs/>
        </w:rPr>
        <w:t>op.cit.,</w:t>
      </w:r>
      <w:r w:rsidRPr="00631374">
        <w:rPr>
          <w:rFonts w:asciiTheme="majorBidi" w:hAnsiTheme="majorBidi" w:cstheme="majorBidi"/>
          <w:bCs/>
        </w:rPr>
        <w:t xml:space="preserve"> p.85</w:t>
      </w:r>
    </w:p>
  </w:footnote>
  <w:footnote w:id="67">
    <w:p w:rsidR="006C092A" w:rsidRPr="00631374" w:rsidRDefault="006C092A" w:rsidP="00631374">
      <w:pPr>
        <w:spacing w:after="0" w:line="240" w:lineRule="auto"/>
        <w:jc w:val="both"/>
        <w:rPr>
          <w:rFonts w:asciiTheme="majorBidi" w:hAnsiTheme="majorBidi" w:cstheme="majorBidi"/>
          <w:sz w:val="20"/>
          <w:szCs w:val="20"/>
        </w:rPr>
      </w:pPr>
      <w:r w:rsidRPr="00631374">
        <w:rPr>
          <w:rStyle w:val="Appelnotedebasdep"/>
          <w:rFonts w:asciiTheme="majorBidi" w:hAnsiTheme="majorBidi" w:cstheme="majorBidi"/>
          <w:sz w:val="20"/>
          <w:szCs w:val="20"/>
        </w:rPr>
        <w:footnoteRef/>
      </w:r>
      <w:r w:rsidRPr="00631374">
        <w:rPr>
          <w:rFonts w:asciiTheme="majorBidi" w:hAnsiTheme="majorBidi" w:cstheme="majorBidi"/>
          <w:color w:val="000000"/>
          <w:sz w:val="20"/>
          <w:szCs w:val="20"/>
        </w:rPr>
        <w:t xml:space="preserve">Yacine Kateb, </w:t>
      </w:r>
      <w:hyperlink r:id="rId5" w:history="1">
        <w:r w:rsidRPr="00631374">
          <w:rPr>
            <w:rStyle w:val="AcronymeHTML"/>
            <w:rFonts w:asciiTheme="majorBidi" w:hAnsiTheme="majorBidi" w:cstheme="majorBidi"/>
            <w:i/>
            <w:iCs/>
            <w:sz w:val="20"/>
            <w:szCs w:val="20"/>
          </w:rPr>
          <w:t>A Bâtons rompus avec Kateb Yacine</w:t>
        </w:r>
      </w:hyperlink>
      <w:r w:rsidRPr="00631374">
        <w:rPr>
          <w:rFonts w:asciiTheme="majorBidi" w:hAnsiTheme="majorBidi" w:cstheme="majorBidi"/>
          <w:i/>
          <w:iCs/>
          <w:sz w:val="20"/>
          <w:szCs w:val="20"/>
        </w:rPr>
        <w:t xml:space="preserve">, </w:t>
      </w:r>
      <w:r w:rsidRPr="00631374">
        <w:rPr>
          <w:rFonts w:asciiTheme="majorBidi" w:hAnsiTheme="majorBidi" w:cstheme="majorBidi"/>
          <w:color w:val="000000"/>
          <w:sz w:val="20"/>
          <w:szCs w:val="20"/>
        </w:rPr>
        <w:t>B K (Interview),</w:t>
      </w:r>
      <w:r w:rsidRPr="00631374">
        <w:rPr>
          <w:rStyle w:val="apple-converted-space"/>
          <w:rFonts w:asciiTheme="majorBidi" w:hAnsiTheme="majorBidi" w:cstheme="majorBidi"/>
          <w:color w:val="000000"/>
          <w:sz w:val="20"/>
          <w:szCs w:val="20"/>
        </w:rPr>
        <w:t> </w:t>
      </w:r>
      <w:r w:rsidRPr="00631374">
        <w:rPr>
          <w:rFonts w:asciiTheme="majorBidi" w:hAnsiTheme="majorBidi" w:cstheme="majorBidi"/>
          <w:i/>
          <w:iCs/>
          <w:color w:val="000000"/>
          <w:sz w:val="20"/>
          <w:szCs w:val="20"/>
        </w:rPr>
        <w:t>Algérie-Actualité</w:t>
      </w:r>
      <w:r w:rsidRPr="00631374">
        <w:rPr>
          <w:rFonts w:asciiTheme="majorBidi" w:hAnsiTheme="majorBidi" w:cstheme="majorBidi"/>
          <w:color w:val="000000"/>
          <w:sz w:val="20"/>
          <w:szCs w:val="20"/>
        </w:rPr>
        <w:t>, n°238, 10-16 mai, 1970.</w:t>
      </w:r>
      <w:r w:rsidRPr="00631374">
        <w:rPr>
          <w:rStyle w:val="apple-converted-space"/>
          <w:rFonts w:asciiTheme="majorBidi" w:hAnsiTheme="majorBidi" w:cstheme="majorBidi"/>
          <w:color w:val="000000"/>
          <w:sz w:val="20"/>
          <w:szCs w:val="20"/>
        </w:rPr>
        <w:t> </w:t>
      </w:r>
    </w:p>
  </w:footnote>
  <w:footnote w:id="68">
    <w:p w:rsidR="006C092A" w:rsidRPr="008C4BF9" w:rsidRDefault="006C092A" w:rsidP="008C4BF9">
      <w:pPr>
        <w:autoSpaceDE w:val="0"/>
        <w:autoSpaceDN w:val="0"/>
        <w:adjustRightInd w:val="0"/>
        <w:spacing w:after="0" w:line="240" w:lineRule="auto"/>
        <w:jc w:val="both"/>
        <w:rPr>
          <w:rFonts w:asciiTheme="majorBidi" w:hAnsiTheme="majorBidi" w:cstheme="majorBidi"/>
          <w:sz w:val="20"/>
          <w:szCs w:val="20"/>
        </w:rPr>
      </w:pPr>
      <w:r w:rsidRPr="008C4BF9">
        <w:rPr>
          <w:rStyle w:val="Appelnotedebasdep"/>
          <w:rFonts w:asciiTheme="majorBidi" w:hAnsiTheme="majorBidi" w:cstheme="majorBidi"/>
          <w:sz w:val="20"/>
          <w:szCs w:val="20"/>
        </w:rPr>
        <w:footnoteRef/>
      </w:r>
      <w:r w:rsidRPr="008C4BF9">
        <w:rPr>
          <w:rFonts w:asciiTheme="majorBidi" w:hAnsiTheme="majorBidi" w:cstheme="majorBidi"/>
          <w:sz w:val="20"/>
          <w:szCs w:val="20"/>
        </w:rPr>
        <w:t xml:space="preserve">Yacine </w:t>
      </w:r>
      <w:r w:rsidRPr="008C4BF9">
        <w:rPr>
          <w:rFonts w:asciiTheme="majorBidi" w:hAnsiTheme="majorBidi" w:cstheme="majorBidi"/>
          <w:sz w:val="20"/>
          <w:szCs w:val="20"/>
          <w:lang w:eastAsia="fr-FR"/>
        </w:rPr>
        <w:t xml:space="preserve">Kateb, « Le Théâtre n’est pas sorcier », </w:t>
      </w:r>
      <w:r w:rsidRPr="008C4BF9">
        <w:rPr>
          <w:rFonts w:asciiTheme="majorBidi" w:hAnsiTheme="majorBidi" w:cstheme="majorBidi"/>
          <w:i/>
          <w:iCs/>
          <w:sz w:val="20"/>
          <w:szCs w:val="20"/>
          <w:lang w:eastAsia="fr-FR"/>
        </w:rPr>
        <w:t xml:space="preserve">Le Poète comme un boxeur : Entretiens 1958-1989 (Boxeur), </w:t>
      </w:r>
      <w:r w:rsidRPr="008C4BF9">
        <w:rPr>
          <w:rFonts w:asciiTheme="majorBidi" w:hAnsiTheme="majorBidi" w:cstheme="majorBidi"/>
          <w:sz w:val="20"/>
          <w:szCs w:val="20"/>
          <w:lang w:eastAsia="fr-FR"/>
        </w:rPr>
        <w:t>Seuil, Paris, 1994, p. 81-82.</w:t>
      </w:r>
    </w:p>
  </w:footnote>
  <w:footnote w:id="69">
    <w:p w:rsidR="006C092A" w:rsidRPr="008C4BF9" w:rsidRDefault="006C092A" w:rsidP="008C4BF9">
      <w:pPr>
        <w:pStyle w:val="Notedebasdepage"/>
        <w:jc w:val="both"/>
        <w:rPr>
          <w:rFonts w:asciiTheme="majorBidi" w:hAnsiTheme="majorBidi" w:cstheme="majorBidi"/>
        </w:rPr>
      </w:pPr>
      <w:r w:rsidRPr="008C4BF9">
        <w:rPr>
          <w:rStyle w:val="Appelnotedebasdep"/>
          <w:rFonts w:asciiTheme="majorBidi" w:hAnsiTheme="majorBidi" w:cstheme="majorBidi"/>
        </w:rPr>
        <w:footnoteRef/>
      </w:r>
      <w:r w:rsidRPr="008C4BF9">
        <w:rPr>
          <w:rFonts w:asciiTheme="majorBidi" w:hAnsiTheme="majorBidi" w:cstheme="majorBidi"/>
        </w:rPr>
        <w:t xml:space="preserve">D’après la formule utilisée pour décrire l’engagement dans le théâtre de Kateb : Claire Finburgh, </w:t>
      </w:r>
      <w:r w:rsidRPr="008C4BF9">
        <w:rPr>
          <w:rFonts w:asciiTheme="majorBidi" w:hAnsiTheme="majorBidi" w:cstheme="majorBidi"/>
          <w:i/>
          <w:iCs/>
        </w:rPr>
        <w:t>op.cit.,</w:t>
      </w:r>
      <w:r w:rsidRPr="008C4BF9">
        <w:rPr>
          <w:rFonts w:asciiTheme="majorBidi" w:hAnsiTheme="majorBidi" w:cstheme="majorBidi"/>
          <w:i/>
          <w:iCs/>
          <w:color w:val="00B0F0"/>
        </w:rPr>
        <w:t xml:space="preserve"> </w:t>
      </w:r>
      <w:r w:rsidRPr="008C4BF9">
        <w:rPr>
          <w:rFonts w:asciiTheme="majorBidi" w:hAnsiTheme="majorBidi" w:cstheme="majorBidi"/>
          <w:bCs/>
        </w:rPr>
        <w:t>p.85.</w:t>
      </w:r>
    </w:p>
  </w:footnote>
  <w:footnote w:id="70">
    <w:p w:rsidR="006C092A" w:rsidRPr="0001066E" w:rsidRDefault="006C092A" w:rsidP="008C4BF9">
      <w:pPr>
        <w:autoSpaceDE w:val="0"/>
        <w:autoSpaceDN w:val="0"/>
        <w:adjustRightInd w:val="0"/>
        <w:spacing w:after="0" w:line="240" w:lineRule="auto"/>
        <w:jc w:val="both"/>
        <w:rPr>
          <w:rFonts w:asciiTheme="majorBidi" w:hAnsiTheme="majorBidi" w:cstheme="majorBidi"/>
          <w:sz w:val="20"/>
          <w:szCs w:val="20"/>
          <w:lang w:eastAsia="fr-FR"/>
        </w:rPr>
      </w:pPr>
      <w:r w:rsidRPr="008C4BF9">
        <w:rPr>
          <w:rStyle w:val="Appelnotedebasdep"/>
          <w:rFonts w:asciiTheme="majorBidi" w:hAnsiTheme="majorBidi" w:cstheme="majorBidi"/>
          <w:sz w:val="20"/>
          <w:szCs w:val="20"/>
        </w:rPr>
        <w:footnoteRef/>
      </w:r>
      <w:r w:rsidRPr="008C4BF9">
        <w:rPr>
          <w:rFonts w:asciiTheme="majorBidi" w:hAnsiTheme="majorBidi" w:cstheme="majorBidi"/>
          <w:i/>
          <w:sz w:val="20"/>
          <w:szCs w:val="20"/>
          <w:lang w:val="en-GB" w:eastAsia="fr-FR"/>
        </w:rPr>
        <w:t xml:space="preserve">Human behaviour is shown as alterable; man </w:t>
      </w:r>
      <w:proofErr w:type="gramStart"/>
      <w:r w:rsidRPr="008C4BF9">
        <w:rPr>
          <w:rFonts w:asciiTheme="majorBidi" w:hAnsiTheme="majorBidi" w:cstheme="majorBidi"/>
          <w:i/>
          <w:sz w:val="20"/>
          <w:szCs w:val="20"/>
          <w:lang w:val="en-GB" w:eastAsia="fr-FR"/>
        </w:rPr>
        <w:t>himself</w:t>
      </w:r>
      <w:proofErr w:type="gramEnd"/>
      <w:r w:rsidRPr="008C4BF9">
        <w:rPr>
          <w:rFonts w:asciiTheme="majorBidi" w:hAnsiTheme="majorBidi" w:cstheme="majorBidi"/>
          <w:i/>
          <w:sz w:val="20"/>
          <w:szCs w:val="20"/>
          <w:lang w:val="en-GB" w:eastAsia="fr-FR"/>
        </w:rPr>
        <w:t xml:space="preserve"> as dependent on certain political and economic factors and at the same time as capable of altering them</w:t>
      </w:r>
      <w:r w:rsidRPr="008C4BF9">
        <w:rPr>
          <w:rFonts w:asciiTheme="majorBidi" w:hAnsiTheme="majorBidi" w:cstheme="majorBidi"/>
          <w:sz w:val="20"/>
          <w:szCs w:val="20"/>
          <w:lang w:val="en-GB" w:eastAsia="fr-FR"/>
        </w:rPr>
        <w:t xml:space="preserve">. »: Bertolt Brecht, « On the Use of Music in an Epic Theatre », </w:t>
      </w:r>
      <w:r w:rsidRPr="008C4BF9">
        <w:rPr>
          <w:rFonts w:asciiTheme="majorBidi" w:hAnsiTheme="majorBidi" w:cstheme="majorBidi"/>
          <w:i/>
          <w:iCs/>
          <w:sz w:val="20"/>
          <w:szCs w:val="20"/>
          <w:lang w:val="en-GB" w:eastAsia="fr-FR"/>
        </w:rPr>
        <w:t>Brecht on Theatre</w:t>
      </w:r>
      <w:r w:rsidRPr="008C4BF9">
        <w:rPr>
          <w:rFonts w:asciiTheme="majorBidi" w:hAnsiTheme="majorBidi" w:cstheme="majorBidi"/>
          <w:sz w:val="20"/>
          <w:szCs w:val="20"/>
          <w:lang w:val="en-GB" w:eastAsia="fr-FR"/>
        </w:rPr>
        <w:t xml:space="preserve">, ed. and trans. by JohnWillett, London, Methuen, 1964, p. 86. </w:t>
      </w:r>
      <w:r w:rsidRPr="0001066E">
        <w:rPr>
          <w:rFonts w:asciiTheme="majorBidi" w:hAnsiTheme="majorBidi" w:cstheme="majorBidi"/>
          <w:sz w:val="20"/>
          <w:szCs w:val="20"/>
          <w:lang w:eastAsia="fr-FR"/>
        </w:rPr>
        <w:t xml:space="preserve">Repris par </w:t>
      </w:r>
      <w:r w:rsidRPr="0001066E">
        <w:rPr>
          <w:rFonts w:asciiTheme="majorBidi" w:hAnsiTheme="majorBidi" w:cstheme="majorBidi"/>
          <w:sz w:val="20"/>
          <w:szCs w:val="20"/>
        </w:rPr>
        <w:t xml:space="preserve">Claire Finburgh, </w:t>
      </w:r>
      <w:r w:rsidRPr="0001066E">
        <w:rPr>
          <w:rFonts w:asciiTheme="majorBidi" w:hAnsiTheme="majorBidi" w:cstheme="majorBidi"/>
          <w:i/>
          <w:iCs/>
          <w:sz w:val="20"/>
          <w:szCs w:val="20"/>
        </w:rPr>
        <w:t>Ibid.</w:t>
      </w:r>
      <w:r w:rsidRPr="0001066E">
        <w:rPr>
          <w:rFonts w:asciiTheme="majorBidi" w:hAnsiTheme="majorBidi" w:cstheme="majorBidi"/>
          <w:i/>
          <w:iCs/>
          <w:color w:val="00B0F0"/>
          <w:sz w:val="20"/>
          <w:szCs w:val="20"/>
        </w:rPr>
        <w:t xml:space="preserve"> </w:t>
      </w:r>
      <w:r w:rsidRPr="0001066E">
        <w:rPr>
          <w:rFonts w:asciiTheme="majorBidi" w:hAnsiTheme="majorBidi" w:cstheme="majorBidi"/>
          <w:sz w:val="20"/>
          <w:szCs w:val="20"/>
        </w:rPr>
        <w:t xml:space="preserve"> </w:t>
      </w:r>
    </w:p>
  </w:footnote>
  <w:footnote w:id="71">
    <w:p w:rsidR="006C092A" w:rsidRPr="00774AEB" w:rsidRDefault="006C092A" w:rsidP="00774AEB">
      <w:pPr>
        <w:pStyle w:val="Notedebasdepage"/>
        <w:jc w:val="both"/>
        <w:rPr>
          <w:rFonts w:asciiTheme="majorBidi" w:hAnsiTheme="majorBidi" w:cstheme="majorBidi"/>
        </w:rPr>
      </w:pPr>
      <w:r w:rsidRPr="00774AEB">
        <w:rPr>
          <w:rStyle w:val="Appelnotedebasdep"/>
          <w:rFonts w:asciiTheme="majorBidi" w:hAnsiTheme="majorBidi" w:cstheme="majorBidi"/>
        </w:rPr>
        <w:footnoteRef/>
      </w:r>
      <w:r w:rsidRPr="00774AEB">
        <w:rPr>
          <w:rFonts w:asciiTheme="majorBidi" w:hAnsiTheme="majorBidi" w:cstheme="majorBidi"/>
        </w:rPr>
        <w:t xml:space="preserve">Yacine Kateb, </w:t>
      </w:r>
      <w:r w:rsidRPr="00774AEB">
        <w:rPr>
          <w:rFonts w:asciiTheme="majorBidi" w:hAnsiTheme="majorBidi" w:cstheme="majorBidi"/>
          <w:i/>
          <w:iCs/>
        </w:rPr>
        <w:t>Mohamed prends ta valise</w:t>
      </w:r>
      <w:r w:rsidRPr="00774AEB">
        <w:rPr>
          <w:rFonts w:asciiTheme="majorBidi" w:hAnsiTheme="majorBidi" w:cstheme="majorBidi"/>
        </w:rPr>
        <w:t xml:space="preserve">, in </w:t>
      </w:r>
      <w:r w:rsidRPr="00774AEB">
        <w:rPr>
          <w:rFonts w:asciiTheme="majorBidi" w:hAnsiTheme="majorBidi" w:cstheme="majorBidi"/>
          <w:i/>
          <w:iCs/>
        </w:rPr>
        <w:t>Boucherie de l’espérance : œuvres théâtrales</w:t>
      </w:r>
      <w:r w:rsidRPr="00774AEB">
        <w:rPr>
          <w:rFonts w:asciiTheme="majorBidi" w:hAnsiTheme="majorBidi" w:cstheme="majorBidi"/>
        </w:rPr>
        <w:t>, Seuil, Paris,</w:t>
      </w:r>
    </w:p>
    <w:p w:rsidR="006C092A" w:rsidRPr="00774AEB" w:rsidRDefault="006C092A" w:rsidP="0072253A">
      <w:pPr>
        <w:pStyle w:val="Notedebasdepage"/>
        <w:jc w:val="both"/>
        <w:rPr>
          <w:rFonts w:asciiTheme="majorBidi" w:hAnsiTheme="majorBidi" w:cstheme="majorBidi"/>
          <w:color w:val="FF0000"/>
        </w:rPr>
      </w:pPr>
      <w:r w:rsidRPr="00774AEB">
        <w:rPr>
          <w:rFonts w:asciiTheme="majorBidi" w:hAnsiTheme="majorBidi" w:cstheme="majorBidi"/>
        </w:rPr>
        <w:t>1999</w:t>
      </w:r>
      <w:r>
        <w:rPr>
          <w:rFonts w:asciiTheme="majorBidi" w:hAnsiTheme="majorBidi" w:cstheme="majorBidi"/>
        </w:rPr>
        <w:t>.</w:t>
      </w:r>
    </w:p>
  </w:footnote>
  <w:footnote w:id="72">
    <w:p w:rsidR="006C092A" w:rsidRPr="00774AEB" w:rsidRDefault="006C092A" w:rsidP="00774AEB">
      <w:pPr>
        <w:autoSpaceDE w:val="0"/>
        <w:autoSpaceDN w:val="0"/>
        <w:adjustRightInd w:val="0"/>
        <w:spacing w:after="0" w:line="240" w:lineRule="auto"/>
        <w:jc w:val="both"/>
        <w:rPr>
          <w:rFonts w:asciiTheme="majorBidi" w:hAnsiTheme="majorBidi" w:cstheme="majorBidi"/>
          <w:sz w:val="20"/>
          <w:szCs w:val="20"/>
          <w:lang w:eastAsia="fr-FR"/>
        </w:rPr>
      </w:pPr>
      <w:r w:rsidRPr="00774AEB">
        <w:rPr>
          <w:rStyle w:val="Appelnotedebasdep"/>
          <w:rFonts w:asciiTheme="majorBidi" w:hAnsiTheme="majorBidi" w:cstheme="majorBidi"/>
          <w:sz w:val="20"/>
          <w:szCs w:val="20"/>
        </w:rPr>
        <w:footnoteRef/>
      </w:r>
      <w:r w:rsidRPr="00774AEB">
        <w:rPr>
          <w:rFonts w:asciiTheme="majorBidi" w:hAnsiTheme="majorBidi" w:cstheme="majorBidi"/>
          <w:sz w:val="20"/>
          <w:szCs w:val="20"/>
        </w:rPr>
        <w:t>Jean-Paul Sartre</w:t>
      </w:r>
      <w:r w:rsidRPr="00774AEB">
        <w:rPr>
          <w:rFonts w:asciiTheme="majorBidi" w:hAnsiTheme="majorBidi" w:cstheme="majorBidi"/>
          <w:sz w:val="20"/>
          <w:szCs w:val="20"/>
          <w:lang w:eastAsia="fr-FR"/>
        </w:rPr>
        <w:t xml:space="preserve">, «Forger des mythes », </w:t>
      </w:r>
      <w:r w:rsidRPr="00774AEB">
        <w:rPr>
          <w:rFonts w:asciiTheme="majorBidi" w:hAnsiTheme="majorBidi" w:cstheme="majorBidi"/>
          <w:i/>
          <w:iCs/>
          <w:sz w:val="20"/>
          <w:szCs w:val="20"/>
          <w:lang w:eastAsia="fr-FR"/>
        </w:rPr>
        <w:t>Un Théâtre de situations</w:t>
      </w:r>
      <w:r w:rsidRPr="00774AEB">
        <w:rPr>
          <w:rFonts w:asciiTheme="majorBidi" w:hAnsiTheme="majorBidi" w:cstheme="majorBidi"/>
          <w:sz w:val="20"/>
          <w:szCs w:val="20"/>
          <w:lang w:eastAsia="fr-FR"/>
        </w:rPr>
        <w:t>, textes rassemblés par Michel</w:t>
      </w:r>
    </w:p>
    <w:p w:rsidR="006C092A" w:rsidRPr="00774AEB" w:rsidRDefault="006C092A" w:rsidP="00774AEB">
      <w:pPr>
        <w:pStyle w:val="Notedebasdepage"/>
        <w:jc w:val="both"/>
        <w:rPr>
          <w:rFonts w:asciiTheme="majorBidi" w:hAnsiTheme="majorBidi" w:cstheme="majorBidi"/>
        </w:rPr>
      </w:pPr>
      <w:r w:rsidRPr="00774AEB">
        <w:rPr>
          <w:rFonts w:asciiTheme="majorBidi" w:hAnsiTheme="majorBidi" w:cstheme="majorBidi"/>
          <w:lang w:eastAsia="fr-FR"/>
        </w:rPr>
        <w:t>Contat et Michel Rybalka, Gallimard, Paris, 1992, p. 63.</w:t>
      </w:r>
    </w:p>
  </w:footnote>
  <w:footnote w:id="73">
    <w:p w:rsidR="006C092A" w:rsidRPr="00DF1CCC" w:rsidRDefault="006C092A" w:rsidP="00774AEB">
      <w:pPr>
        <w:pStyle w:val="Notedebasdepage"/>
        <w:jc w:val="both"/>
        <w:rPr>
          <w:rFonts w:asciiTheme="majorBidi" w:hAnsiTheme="majorBidi" w:cstheme="majorBidi"/>
        </w:rPr>
      </w:pPr>
      <w:r w:rsidRPr="00774AEB">
        <w:rPr>
          <w:rStyle w:val="Appelnotedebasdep"/>
          <w:rFonts w:asciiTheme="majorBidi" w:hAnsiTheme="majorBidi" w:cstheme="majorBidi"/>
        </w:rPr>
        <w:footnoteRef/>
      </w:r>
      <w:r w:rsidRPr="00DF1CCC">
        <w:rPr>
          <w:rFonts w:asciiTheme="majorBidi" w:hAnsiTheme="majorBidi" w:cstheme="majorBidi"/>
        </w:rPr>
        <w:t xml:space="preserve">Claire Finburgh, </w:t>
      </w:r>
      <w:r w:rsidRPr="00DF1CCC">
        <w:rPr>
          <w:rFonts w:asciiTheme="majorBidi" w:hAnsiTheme="majorBidi" w:cstheme="majorBidi"/>
          <w:i/>
          <w:iCs/>
        </w:rPr>
        <w:t>op.cit.,</w:t>
      </w:r>
      <w:r w:rsidRPr="00DF1CCC">
        <w:rPr>
          <w:rFonts w:asciiTheme="majorBidi" w:hAnsiTheme="majorBidi" w:cstheme="majorBidi"/>
          <w:i/>
          <w:iCs/>
          <w:color w:val="00B0F0"/>
        </w:rPr>
        <w:t xml:space="preserve"> </w:t>
      </w:r>
      <w:r w:rsidRPr="00DF1CCC">
        <w:rPr>
          <w:rFonts w:asciiTheme="majorBidi" w:hAnsiTheme="majorBidi" w:cstheme="majorBidi"/>
          <w:bCs/>
        </w:rPr>
        <w:t>p.89</w:t>
      </w:r>
      <w:r w:rsidRPr="00DF1CCC">
        <w:rPr>
          <w:rFonts w:asciiTheme="majorBidi" w:hAnsiTheme="majorBidi" w:cstheme="majorBidi"/>
          <w:bCs/>
          <w:color w:val="00B0F0"/>
        </w:rPr>
        <w:t>.</w:t>
      </w:r>
    </w:p>
  </w:footnote>
  <w:footnote w:id="74">
    <w:p w:rsidR="006C092A" w:rsidRPr="00DF1CCC" w:rsidRDefault="006C092A" w:rsidP="00DF1CCC">
      <w:pPr>
        <w:autoSpaceDE w:val="0"/>
        <w:autoSpaceDN w:val="0"/>
        <w:adjustRightInd w:val="0"/>
        <w:spacing w:after="0" w:line="240" w:lineRule="auto"/>
        <w:jc w:val="both"/>
        <w:rPr>
          <w:rFonts w:asciiTheme="majorBidi" w:hAnsiTheme="majorBidi" w:cstheme="majorBidi"/>
          <w:sz w:val="20"/>
          <w:szCs w:val="20"/>
        </w:rPr>
      </w:pPr>
      <w:r w:rsidRPr="00DF1CCC">
        <w:rPr>
          <w:rStyle w:val="Appelnotedebasdep"/>
          <w:rFonts w:asciiTheme="majorBidi" w:hAnsiTheme="majorBidi" w:cstheme="majorBidi"/>
          <w:sz w:val="20"/>
          <w:szCs w:val="20"/>
        </w:rPr>
        <w:footnoteRef/>
      </w:r>
      <w:r w:rsidRPr="00DF1CCC">
        <w:rPr>
          <w:rFonts w:asciiTheme="majorBidi" w:hAnsiTheme="majorBidi" w:cstheme="majorBidi"/>
          <w:sz w:val="20"/>
          <w:szCs w:val="20"/>
        </w:rPr>
        <w:t xml:space="preserve"> Yacine Kateb</w:t>
      </w:r>
      <w:r w:rsidRPr="00DF1CCC">
        <w:rPr>
          <w:rFonts w:asciiTheme="majorBidi" w:hAnsiTheme="majorBidi" w:cstheme="majorBidi"/>
          <w:sz w:val="20"/>
          <w:szCs w:val="20"/>
          <w:lang w:eastAsia="fr-FR"/>
        </w:rPr>
        <w:t xml:space="preserve">, conversation enregistrée, Jacqueline Arnaud, </w:t>
      </w:r>
      <w:r w:rsidRPr="00DF1CCC">
        <w:rPr>
          <w:rFonts w:asciiTheme="majorBidi" w:hAnsiTheme="majorBidi" w:cstheme="majorBidi"/>
          <w:i/>
          <w:iCs/>
          <w:sz w:val="20"/>
          <w:szCs w:val="20"/>
          <w:lang w:eastAsia="fr-FR"/>
        </w:rPr>
        <w:t>Le Cas de Kateb Yacine</w:t>
      </w:r>
      <w:r w:rsidRPr="00DF1CCC">
        <w:rPr>
          <w:rFonts w:asciiTheme="majorBidi" w:hAnsiTheme="majorBidi" w:cstheme="majorBidi"/>
          <w:sz w:val="20"/>
          <w:szCs w:val="20"/>
          <w:lang w:eastAsia="fr-FR"/>
        </w:rPr>
        <w:t xml:space="preserve">, 2 volumes, Lille, Atelier national reproduction des thèses, Université de Lille III, 1982, p. 1014. </w:t>
      </w:r>
    </w:p>
  </w:footnote>
  <w:footnote w:id="75">
    <w:p w:rsidR="006C092A" w:rsidRPr="00BB2035" w:rsidRDefault="006C092A" w:rsidP="00BB2035">
      <w:pPr>
        <w:autoSpaceDE w:val="0"/>
        <w:autoSpaceDN w:val="0"/>
        <w:adjustRightInd w:val="0"/>
        <w:spacing w:after="0" w:line="240" w:lineRule="auto"/>
        <w:jc w:val="both"/>
        <w:rPr>
          <w:rFonts w:asciiTheme="majorBidi" w:hAnsiTheme="majorBidi" w:cstheme="majorBidi"/>
          <w:sz w:val="20"/>
          <w:szCs w:val="20"/>
          <w:lang w:eastAsia="fr-FR"/>
        </w:rPr>
      </w:pPr>
      <w:r w:rsidRPr="00BB2035">
        <w:rPr>
          <w:rStyle w:val="Appelnotedebasdep"/>
          <w:rFonts w:asciiTheme="majorBidi" w:hAnsiTheme="majorBidi" w:cstheme="majorBidi"/>
          <w:sz w:val="20"/>
          <w:szCs w:val="20"/>
        </w:rPr>
        <w:footnoteRef/>
      </w:r>
      <w:r w:rsidRPr="00BB2035">
        <w:rPr>
          <w:rFonts w:asciiTheme="majorBidi" w:hAnsiTheme="majorBidi" w:cstheme="majorBidi"/>
          <w:sz w:val="20"/>
          <w:szCs w:val="20"/>
          <w:lang w:eastAsia="fr-FR"/>
        </w:rPr>
        <w:t xml:space="preserve">Daniel Mitrani, « Mohamed prends ta valise », in </w:t>
      </w:r>
      <w:r w:rsidRPr="00BB2035">
        <w:rPr>
          <w:rFonts w:asciiTheme="majorBidi" w:hAnsiTheme="majorBidi" w:cstheme="majorBidi"/>
          <w:i/>
          <w:iCs/>
          <w:sz w:val="20"/>
          <w:szCs w:val="20"/>
          <w:lang w:eastAsia="fr-FR"/>
        </w:rPr>
        <w:t>L’Unité, Hebdomadaire socialiste</w:t>
      </w:r>
      <w:r w:rsidRPr="00BB2035">
        <w:rPr>
          <w:rFonts w:asciiTheme="majorBidi" w:hAnsiTheme="majorBidi" w:cstheme="majorBidi"/>
          <w:sz w:val="20"/>
          <w:szCs w:val="20"/>
          <w:lang w:eastAsia="fr-FR"/>
        </w:rPr>
        <w:t>, 3 Mars 1972, p.19.</w:t>
      </w:r>
    </w:p>
  </w:footnote>
  <w:footnote w:id="76">
    <w:p w:rsidR="006C092A" w:rsidRPr="00BB2035" w:rsidRDefault="006C092A" w:rsidP="00BB2035">
      <w:pPr>
        <w:pStyle w:val="Notedebasdepage"/>
        <w:jc w:val="both"/>
        <w:rPr>
          <w:rFonts w:asciiTheme="majorBidi" w:hAnsiTheme="majorBidi" w:cstheme="majorBidi"/>
          <w:b/>
          <w:bCs/>
        </w:rPr>
      </w:pPr>
      <w:r w:rsidRPr="00BB2035">
        <w:rPr>
          <w:rStyle w:val="Appelnotedebasdep"/>
          <w:rFonts w:asciiTheme="majorBidi" w:hAnsiTheme="majorBidi" w:cstheme="majorBidi"/>
        </w:rPr>
        <w:footnoteRef/>
      </w:r>
      <w:r w:rsidRPr="00BB2035">
        <w:rPr>
          <w:rFonts w:asciiTheme="majorBidi" w:hAnsiTheme="majorBidi" w:cstheme="majorBidi"/>
        </w:rPr>
        <w:t xml:space="preserve">Messaoud </w:t>
      </w:r>
      <w:proofErr w:type="gramStart"/>
      <w:r w:rsidRPr="00BB2035">
        <w:rPr>
          <w:rFonts w:asciiTheme="majorBidi" w:hAnsiTheme="majorBidi" w:cstheme="majorBidi"/>
        </w:rPr>
        <w:t>Benyoucef ,</w:t>
      </w:r>
      <w:proofErr w:type="gramEnd"/>
      <w:r w:rsidRPr="00BB2035">
        <w:rPr>
          <w:rFonts w:asciiTheme="majorBidi" w:hAnsiTheme="majorBidi" w:cstheme="majorBidi"/>
        </w:rPr>
        <w:t xml:space="preserve"> « Le fondateur du théâtre algérien moderne » in </w:t>
      </w:r>
      <w:r w:rsidRPr="00BB2035">
        <w:rPr>
          <w:rFonts w:asciiTheme="majorBidi" w:hAnsiTheme="majorBidi" w:cstheme="majorBidi"/>
          <w:i/>
        </w:rPr>
        <w:t>Algérie Infos</w:t>
      </w:r>
      <w:r w:rsidRPr="00BB2035">
        <w:rPr>
          <w:rFonts w:asciiTheme="majorBidi" w:hAnsiTheme="majorBidi" w:cstheme="majorBidi"/>
        </w:rPr>
        <w:t xml:space="preserve">, Juin 2012,[ en ligne]. Disponible sur : ˂ </w:t>
      </w:r>
      <w:hyperlink r:id="rId6" w:history="1">
        <w:r w:rsidRPr="00BB2035">
          <w:rPr>
            <w:rFonts w:asciiTheme="majorBidi" w:hAnsiTheme="majorBidi" w:cstheme="majorBidi"/>
          </w:rPr>
          <w:t>http://www.algerieinfos-saoudi.com/article-kaki-le-fondateur-du-theatre-algerien-moderne-107582677.html</w:t>
        </w:r>
      </w:hyperlink>
      <w:r w:rsidRPr="00BB2035">
        <w:rPr>
          <w:rFonts w:asciiTheme="majorBidi" w:hAnsiTheme="majorBidi" w:cstheme="majorBidi"/>
        </w:rPr>
        <w:t xml:space="preserve">˃, </w:t>
      </w:r>
      <w:r w:rsidRPr="00BB2035">
        <w:rPr>
          <w:rFonts w:asciiTheme="majorBidi" w:hAnsiTheme="majorBidi" w:cstheme="majorBidi"/>
          <w:bCs/>
        </w:rPr>
        <w:t>consulté le 22 Avril 2015 à 20h00.</w:t>
      </w:r>
    </w:p>
    <w:p w:rsidR="006C092A" w:rsidRPr="00BB2035" w:rsidRDefault="006C092A" w:rsidP="00BB2035">
      <w:pPr>
        <w:pStyle w:val="Notedebasdepage"/>
        <w:jc w:val="both"/>
        <w:rPr>
          <w:rFonts w:asciiTheme="majorBidi" w:hAnsiTheme="majorBidi" w:cstheme="majorBidi"/>
        </w:rPr>
      </w:pPr>
    </w:p>
  </w:footnote>
  <w:footnote w:id="77">
    <w:p w:rsidR="006C092A" w:rsidRPr="00451112" w:rsidRDefault="006C092A" w:rsidP="00451112">
      <w:pPr>
        <w:pStyle w:val="Notedebasdepage"/>
        <w:jc w:val="both"/>
        <w:rPr>
          <w:rFonts w:asciiTheme="majorBidi" w:hAnsiTheme="majorBidi" w:cstheme="majorBidi"/>
        </w:rPr>
      </w:pPr>
      <w:r w:rsidRPr="00451112">
        <w:rPr>
          <w:rStyle w:val="Appelnotedebasdep"/>
          <w:rFonts w:asciiTheme="majorBidi" w:hAnsiTheme="majorBidi" w:cstheme="majorBidi"/>
        </w:rPr>
        <w:footnoteRef/>
      </w:r>
      <w:r w:rsidRPr="00451112">
        <w:rPr>
          <w:rFonts w:asciiTheme="majorBidi" w:hAnsiTheme="majorBidi" w:cstheme="majorBidi"/>
          <w:lang w:eastAsia="fr-FR"/>
        </w:rPr>
        <w:t xml:space="preserve">Abderrahmane Mostefa,  cité in </w:t>
      </w:r>
      <w:r w:rsidRPr="00451112">
        <w:rPr>
          <w:rFonts w:asciiTheme="majorBidi" w:hAnsiTheme="majorBidi" w:cstheme="majorBidi"/>
          <w:i/>
          <w:iCs/>
          <w:lang w:eastAsia="fr-FR"/>
        </w:rPr>
        <w:t>Dahra n° 2</w:t>
      </w:r>
      <w:r w:rsidRPr="00451112">
        <w:rPr>
          <w:rFonts w:asciiTheme="majorBidi" w:hAnsiTheme="majorBidi" w:cstheme="majorBidi"/>
          <w:lang w:eastAsia="fr-FR"/>
        </w:rPr>
        <w:t xml:space="preserve"> de février 2001, p.9.</w:t>
      </w:r>
    </w:p>
  </w:footnote>
  <w:footnote w:id="78">
    <w:p w:rsidR="006C092A" w:rsidRPr="00ED4829" w:rsidRDefault="006C092A" w:rsidP="00ED4829">
      <w:pPr>
        <w:pStyle w:val="Notedebasdepage"/>
        <w:jc w:val="both"/>
        <w:rPr>
          <w:rFonts w:asciiTheme="majorBidi" w:hAnsiTheme="majorBidi" w:cstheme="majorBidi"/>
        </w:rPr>
      </w:pPr>
      <w:r w:rsidRPr="00ED4829">
        <w:rPr>
          <w:rStyle w:val="Appelnotedebasdep"/>
          <w:rFonts w:asciiTheme="majorBidi" w:hAnsiTheme="majorBidi" w:cstheme="majorBidi"/>
        </w:rPr>
        <w:footnoteRef/>
      </w:r>
      <w:r w:rsidRPr="00ED4829">
        <w:rPr>
          <w:rFonts w:asciiTheme="majorBidi" w:hAnsiTheme="majorBidi" w:cstheme="majorBidi"/>
        </w:rPr>
        <w:t xml:space="preserve">Antonin Arthaud, </w:t>
      </w:r>
      <w:r w:rsidRPr="00ED4829">
        <w:rPr>
          <w:rFonts w:asciiTheme="majorBidi" w:hAnsiTheme="majorBidi" w:cstheme="majorBidi"/>
          <w:i/>
          <w:iCs/>
        </w:rPr>
        <w:t>Le théâtre et son double</w:t>
      </w:r>
      <w:r w:rsidRPr="00ED4829">
        <w:rPr>
          <w:rFonts w:asciiTheme="majorBidi" w:hAnsiTheme="majorBidi" w:cstheme="majorBidi"/>
        </w:rPr>
        <w:t>, Gallimard, Paris, 1964, p.67.</w:t>
      </w:r>
    </w:p>
  </w:footnote>
  <w:footnote w:id="79">
    <w:p w:rsidR="006C092A" w:rsidRPr="00ED4829" w:rsidRDefault="006C092A" w:rsidP="00ED4829">
      <w:pPr>
        <w:spacing w:after="0" w:line="240" w:lineRule="auto"/>
        <w:jc w:val="both"/>
        <w:rPr>
          <w:rFonts w:asciiTheme="majorBidi" w:hAnsiTheme="majorBidi" w:cstheme="majorBidi"/>
          <w:sz w:val="20"/>
          <w:szCs w:val="20"/>
        </w:rPr>
      </w:pPr>
      <w:r w:rsidRPr="00ED4829">
        <w:rPr>
          <w:rStyle w:val="Appelnotedebasdep"/>
          <w:rFonts w:asciiTheme="majorBidi" w:hAnsiTheme="majorBidi" w:cstheme="majorBidi"/>
          <w:sz w:val="20"/>
          <w:szCs w:val="20"/>
        </w:rPr>
        <w:footnoteRef/>
      </w:r>
      <w:r w:rsidRPr="00ED4829">
        <w:rPr>
          <w:rFonts w:asciiTheme="majorBidi" w:hAnsiTheme="majorBidi" w:cstheme="majorBidi"/>
          <w:sz w:val="20"/>
          <w:szCs w:val="20"/>
        </w:rPr>
        <w:t xml:space="preserve">Abderrahmane Mostefa et Mansour Benchehida, </w:t>
      </w:r>
      <w:r w:rsidRPr="00ED4829">
        <w:rPr>
          <w:rFonts w:asciiTheme="majorBidi" w:hAnsiTheme="majorBidi" w:cstheme="majorBidi"/>
          <w:i/>
          <w:sz w:val="20"/>
          <w:szCs w:val="20"/>
        </w:rPr>
        <w:t xml:space="preserve">Kaki : </w:t>
      </w:r>
      <w:r w:rsidRPr="00ED4829">
        <w:rPr>
          <w:rFonts w:asciiTheme="majorBidi" w:hAnsiTheme="majorBidi" w:cstheme="majorBidi"/>
          <w:i/>
          <w:sz w:val="20"/>
          <w:szCs w:val="20"/>
          <w:lang w:eastAsia="fr-FR"/>
        </w:rPr>
        <w:t xml:space="preserve">Ould Abderrahmane Abdelkader, le dramaturge de l’essentiel, </w:t>
      </w:r>
      <w:r w:rsidRPr="00ED4829">
        <w:rPr>
          <w:rFonts w:asciiTheme="majorBidi" w:hAnsiTheme="majorBidi" w:cstheme="majorBidi"/>
          <w:iCs/>
          <w:sz w:val="20"/>
          <w:szCs w:val="20"/>
          <w:lang w:eastAsia="fr-FR"/>
        </w:rPr>
        <w:t xml:space="preserve">[en ligne]. Disponible sur : </w:t>
      </w:r>
      <w:r w:rsidRPr="00ED4829">
        <w:rPr>
          <w:rFonts w:asciiTheme="majorBidi" w:hAnsiTheme="majorBidi" w:cstheme="majorBidi"/>
          <w:sz w:val="20"/>
          <w:szCs w:val="20"/>
        </w:rPr>
        <w:t>˂</w:t>
      </w:r>
      <w:hyperlink r:id="rId7" w:history="1">
        <w:r w:rsidRPr="00ED4829">
          <w:rPr>
            <w:rStyle w:val="Lienhypertexte"/>
            <w:rFonts w:asciiTheme="majorBidi" w:hAnsiTheme="majorBidi" w:cstheme="majorBidi"/>
            <w:color w:val="auto"/>
            <w:sz w:val="20"/>
            <w:szCs w:val="20"/>
            <w:shd w:val="clear" w:color="auto" w:fill="FFFFFF"/>
          </w:rPr>
          <w:t>http://mostaghanem.free.fr/Files/17_la_vie_de_kaki.pdf</w:t>
        </w:r>
      </w:hyperlink>
      <w:r w:rsidRPr="00ED4829">
        <w:rPr>
          <w:rFonts w:asciiTheme="majorBidi" w:hAnsiTheme="majorBidi" w:cstheme="majorBidi"/>
          <w:sz w:val="20"/>
          <w:szCs w:val="20"/>
        </w:rPr>
        <w:t xml:space="preserve">˃, </w:t>
      </w:r>
      <w:r w:rsidRPr="00ED4829">
        <w:rPr>
          <w:rFonts w:asciiTheme="majorBidi" w:hAnsiTheme="majorBidi" w:cstheme="majorBidi"/>
          <w:bCs/>
          <w:sz w:val="20"/>
          <w:szCs w:val="20"/>
        </w:rPr>
        <w:t>consulté le 02 Avril 2014 à 16h30.</w:t>
      </w:r>
    </w:p>
  </w:footnote>
  <w:footnote w:id="80">
    <w:p w:rsidR="006C092A" w:rsidRPr="00AD2881" w:rsidRDefault="006C092A" w:rsidP="00ED4829">
      <w:pPr>
        <w:pStyle w:val="Notedebasdepage"/>
        <w:jc w:val="both"/>
        <w:rPr>
          <w:rFonts w:asciiTheme="majorBidi" w:hAnsiTheme="majorBidi" w:cstheme="majorBidi"/>
          <w:lang w:val="en-US"/>
        </w:rPr>
      </w:pPr>
      <w:r w:rsidRPr="00ED4829">
        <w:rPr>
          <w:rStyle w:val="Appelnotedebasdep"/>
          <w:rFonts w:asciiTheme="majorBidi" w:hAnsiTheme="majorBidi" w:cstheme="majorBidi"/>
        </w:rPr>
        <w:footnoteRef/>
      </w:r>
      <w:proofErr w:type="gramStart"/>
      <w:r w:rsidRPr="00AD2881">
        <w:rPr>
          <w:rFonts w:asciiTheme="majorBidi" w:hAnsiTheme="majorBidi" w:cstheme="majorBidi"/>
          <w:i/>
          <w:iCs/>
          <w:lang w:val="en-US"/>
        </w:rPr>
        <w:t>Ibid</w:t>
      </w:r>
      <w:r w:rsidRPr="00AD2881">
        <w:rPr>
          <w:rFonts w:asciiTheme="majorBidi" w:hAnsiTheme="majorBidi" w:cstheme="majorBidi"/>
          <w:lang w:val="en-US"/>
        </w:rPr>
        <w:t>.,</w:t>
      </w:r>
      <w:proofErr w:type="gramEnd"/>
      <w:r w:rsidRPr="00AD2881">
        <w:rPr>
          <w:rFonts w:asciiTheme="majorBidi" w:hAnsiTheme="majorBidi" w:cstheme="majorBidi"/>
          <w:lang w:val="en-US"/>
        </w:rPr>
        <w:t xml:space="preserve"> </w:t>
      </w:r>
      <w:r w:rsidRPr="00AD2881">
        <w:rPr>
          <w:rFonts w:asciiTheme="majorBidi" w:hAnsiTheme="majorBidi" w:cstheme="majorBidi"/>
          <w:lang w:val="en-US" w:eastAsia="fr-FR"/>
        </w:rPr>
        <w:t>p.32.</w:t>
      </w:r>
    </w:p>
  </w:footnote>
  <w:footnote w:id="81">
    <w:p w:rsidR="006C092A" w:rsidRPr="00AD2881" w:rsidRDefault="006C092A" w:rsidP="001B1E9A">
      <w:pPr>
        <w:pStyle w:val="Notedebasdepage"/>
        <w:jc w:val="both"/>
        <w:rPr>
          <w:rFonts w:asciiTheme="majorBidi" w:hAnsiTheme="majorBidi" w:cstheme="majorBidi"/>
          <w:lang w:val="en-US"/>
        </w:rPr>
      </w:pPr>
      <w:r w:rsidRPr="001B1E9A">
        <w:rPr>
          <w:rStyle w:val="Appelnotedebasdep"/>
          <w:rFonts w:asciiTheme="majorBidi" w:hAnsiTheme="majorBidi" w:cstheme="majorBidi"/>
        </w:rPr>
        <w:footnoteRef/>
      </w:r>
      <w:r w:rsidRPr="00AD2881">
        <w:rPr>
          <w:rFonts w:asciiTheme="majorBidi" w:hAnsiTheme="majorBidi" w:cstheme="majorBidi"/>
          <w:lang w:val="en-US" w:eastAsia="fr-FR"/>
        </w:rPr>
        <w:t xml:space="preserve">Antonin Artaud, </w:t>
      </w:r>
      <w:proofErr w:type="gramStart"/>
      <w:r w:rsidRPr="00AD2881">
        <w:rPr>
          <w:rFonts w:asciiTheme="majorBidi" w:hAnsiTheme="majorBidi" w:cstheme="majorBidi"/>
          <w:i/>
          <w:iCs/>
          <w:lang w:val="en-US" w:eastAsia="fr-FR"/>
        </w:rPr>
        <w:t>op.cit.,</w:t>
      </w:r>
      <w:proofErr w:type="gramEnd"/>
      <w:r w:rsidRPr="00AD2881">
        <w:rPr>
          <w:rFonts w:asciiTheme="majorBidi" w:hAnsiTheme="majorBidi" w:cstheme="majorBidi"/>
          <w:i/>
          <w:iCs/>
          <w:lang w:val="en-US" w:eastAsia="fr-FR"/>
        </w:rPr>
        <w:t xml:space="preserve"> </w:t>
      </w:r>
      <w:r w:rsidRPr="00AD2881">
        <w:rPr>
          <w:rFonts w:asciiTheme="majorBidi" w:hAnsiTheme="majorBidi" w:cstheme="majorBidi"/>
          <w:lang w:val="en-US" w:eastAsia="fr-FR"/>
        </w:rPr>
        <w:t>p.65. </w:t>
      </w:r>
    </w:p>
  </w:footnote>
  <w:footnote w:id="82">
    <w:p w:rsidR="006C092A" w:rsidRPr="00630F3E" w:rsidRDefault="006C092A" w:rsidP="00630F3E">
      <w:pPr>
        <w:pStyle w:val="Notedebasdepage"/>
        <w:jc w:val="both"/>
        <w:rPr>
          <w:rFonts w:asciiTheme="majorBidi" w:hAnsiTheme="majorBidi" w:cstheme="majorBidi"/>
          <w:i/>
        </w:rPr>
      </w:pPr>
      <w:r w:rsidRPr="00630F3E">
        <w:rPr>
          <w:rStyle w:val="Appelnotedebasdep"/>
          <w:rFonts w:asciiTheme="majorBidi" w:hAnsiTheme="majorBidi" w:cstheme="majorBidi"/>
        </w:rPr>
        <w:footnoteRef/>
      </w:r>
      <w:r w:rsidRPr="00630F3E">
        <w:rPr>
          <w:rFonts w:asciiTheme="majorBidi" w:hAnsiTheme="majorBidi" w:cstheme="majorBidi"/>
        </w:rPr>
        <w:t xml:space="preserve">Abderrahmane Mostefa et Mansour Benchehida, </w:t>
      </w:r>
      <w:r w:rsidRPr="00630F3E">
        <w:rPr>
          <w:rFonts w:asciiTheme="majorBidi" w:hAnsiTheme="majorBidi" w:cstheme="majorBidi"/>
          <w:i/>
          <w:iCs/>
        </w:rPr>
        <w:t>op.cit</w:t>
      </w:r>
      <w:r w:rsidRPr="00630F3E">
        <w:rPr>
          <w:rFonts w:asciiTheme="majorBidi" w:hAnsiTheme="majorBidi" w:cstheme="majorBidi"/>
        </w:rPr>
        <w:t>, p.20.</w:t>
      </w:r>
    </w:p>
  </w:footnote>
  <w:footnote w:id="83">
    <w:p w:rsidR="006C092A" w:rsidRPr="00630F3E" w:rsidRDefault="006C092A" w:rsidP="00630F3E">
      <w:pPr>
        <w:pStyle w:val="Notedebasdepage"/>
        <w:jc w:val="both"/>
        <w:rPr>
          <w:rFonts w:asciiTheme="majorBidi" w:hAnsiTheme="majorBidi" w:cstheme="majorBidi"/>
        </w:rPr>
      </w:pPr>
      <w:r w:rsidRPr="00630F3E">
        <w:rPr>
          <w:rStyle w:val="Appelnotedebasdep"/>
          <w:rFonts w:asciiTheme="majorBidi" w:hAnsiTheme="majorBidi" w:cstheme="majorBidi"/>
        </w:rPr>
        <w:footnoteRef/>
      </w:r>
      <w:r w:rsidRPr="00630F3E">
        <w:rPr>
          <w:rFonts w:asciiTheme="majorBidi" w:hAnsiTheme="majorBidi" w:cstheme="majorBidi"/>
          <w:lang w:eastAsia="fr-FR"/>
        </w:rPr>
        <w:t xml:space="preserve">Propos de Kaki dans la Revue </w:t>
      </w:r>
      <w:r w:rsidRPr="00630F3E">
        <w:rPr>
          <w:rFonts w:asciiTheme="majorBidi" w:hAnsiTheme="majorBidi" w:cstheme="majorBidi"/>
          <w:i/>
          <w:iCs/>
          <w:lang w:eastAsia="fr-FR"/>
        </w:rPr>
        <w:t>Salaman d'Arts</w:t>
      </w:r>
      <w:r w:rsidRPr="00630F3E">
        <w:rPr>
          <w:rFonts w:asciiTheme="majorBidi" w:hAnsiTheme="majorBidi" w:cstheme="majorBidi"/>
          <w:lang w:eastAsia="fr-FR"/>
        </w:rPr>
        <w:t xml:space="preserve"> de février 1997, p.3.</w:t>
      </w:r>
    </w:p>
  </w:footnote>
  <w:footnote w:id="84">
    <w:p w:rsidR="006C092A" w:rsidRPr="00630F3E" w:rsidRDefault="006C092A" w:rsidP="00630F3E">
      <w:pPr>
        <w:autoSpaceDE w:val="0"/>
        <w:autoSpaceDN w:val="0"/>
        <w:adjustRightInd w:val="0"/>
        <w:spacing w:after="0" w:line="240" w:lineRule="auto"/>
        <w:jc w:val="both"/>
        <w:rPr>
          <w:rFonts w:asciiTheme="majorBidi" w:hAnsiTheme="majorBidi" w:cstheme="majorBidi"/>
          <w:sz w:val="20"/>
          <w:szCs w:val="20"/>
          <w:lang w:eastAsia="fr-FR"/>
        </w:rPr>
      </w:pPr>
      <w:r w:rsidRPr="00630F3E">
        <w:rPr>
          <w:rStyle w:val="Appelnotedebasdep"/>
          <w:rFonts w:asciiTheme="majorBidi" w:hAnsiTheme="majorBidi" w:cstheme="majorBidi"/>
          <w:sz w:val="20"/>
          <w:szCs w:val="20"/>
        </w:rPr>
        <w:footnoteRef/>
      </w:r>
      <w:r w:rsidRPr="00630F3E">
        <w:rPr>
          <w:rFonts w:asciiTheme="majorBidi" w:hAnsiTheme="majorBidi" w:cstheme="majorBidi"/>
          <w:sz w:val="20"/>
          <w:szCs w:val="20"/>
          <w:lang w:eastAsia="fr-FR"/>
        </w:rPr>
        <w:t>Grotowski Jerzy (1933-1999) sera une grande inspiration pour Kaki. Il est connu principalement pour sa théorie du "théâtre pauvre". C’est un metteur en scène et théoricien du théâtre expérimental polonais, fondateur du Théâtre Laboratoire.</w:t>
      </w:r>
    </w:p>
  </w:footnote>
  <w:footnote w:id="85">
    <w:p w:rsidR="006C092A" w:rsidRPr="00AC7C5F" w:rsidRDefault="006C092A" w:rsidP="00AC7C5F">
      <w:pPr>
        <w:pStyle w:val="Notedebasdepage"/>
        <w:jc w:val="both"/>
        <w:rPr>
          <w:rFonts w:asciiTheme="majorBidi" w:hAnsiTheme="majorBidi" w:cstheme="majorBidi"/>
        </w:rPr>
      </w:pPr>
      <w:r w:rsidRPr="00AC7C5F">
        <w:rPr>
          <w:rStyle w:val="Appelnotedebasdep"/>
          <w:rFonts w:asciiTheme="majorBidi" w:hAnsiTheme="majorBidi" w:cstheme="majorBidi"/>
        </w:rPr>
        <w:footnoteRef/>
      </w:r>
      <w:r w:rsidRPr="00AC7C5F">
        <w:rPr>
          <w:rFonts w:asciiTheme="majorBidi" w:hAnsiTheme="majorBidi" w:cstheme="majorBidi"/>
        </w:rPr>
        <w:t xml:space="preserve">Cf. Tengour Habb, </w:t>
      </w:r>
      <w:r w:rsidRPr="00AC7C5F">
        <w:rPr>
          <w:rFonts w:asciiTheme="majorBidi" w:hAnsiTheme="majorBidi" w:cstheme="majorBidi"/>
          <w:i/>
          <w:iCs/>
        </w:rPr>
        <w:t>Gens de Mosta</w:t>
      </w:r>
      <w:r w:rsidRPr="00AC7C5F">
        <w:rPr>
          <w:rFonts w:asciiTheme="majorBidi" w:hAnsiTheme="majorBidi" w:cstheme="majorBidi"/>
        </w:rPr>
        <w:t xml:space="preserve">, Sindbad/Actes Sud, Paris, 1997, p.142. </w:t>
      </w:r>
    </w:p>
  </w:footnote>
  <w:footnote w:id="86">
    <w:p w:rsidR="006C092A" w:rsidRPr="00AC7C5F" w:rsidRDefault="006C092A" w:rsidP="00AC7C5F">
      <w:pPr>
        <w:spacing w:after="0" w:line="240" w:lineRule="auto"/>
        <w:jc w:val="both"/>
        <w:rPr>
          <w:rFonts w:asciiTheme="majorBidi" w:hAnsiTheme="majorBidi" w:cstheme="majorBidi"/>
          <w:sz w:val="20"/>
          <w:szCs w:val="20"/>
          <w:shd w:val="clear" w:color="auto" w:fill="FFFFFF"/>
        </w:rPr>
      </w:pPr>
      <w:r w:rsidRPr="00AC7C5F">
        <w:rPr>
          <w:rStyle w:val="Appelnotedebasdep"/>
          <w:rFonts w:asciiTheme="majorBidi" w:hAnsiTheme="majorBidi" w:cstheme="majorBidi"/>
          <w:sz w:val="20"/>
          <w:szCs w:val="20"/>
        </w:rPr>
        <w:footnoteRef/>
      </w:r>
      <w:r w:rsidRPr="00AC7C5F">
        <w:rPr>
          <w:rFonts w:asciiTheme="majorBidi" w:hAnsiTheme="majorBidi" w:cstheme="majorBidi"/>
          <w:i/>
          <w:iCs/>
          <w:sz w:val="20"/>
          <w:szCs w:val="20"/>
          <w:shd w:val="clear" w:color="auto" w:fill="FFFFFF"/>
        </w:rPr>
        <w:t>La Bonne Âme du Se-Tchouan,</w:t>
      </w:r>
      <w:r w:rsidRPr="00AC7C5F">
        <w:rPr>
          <w:rStyle w:val="apple-converted-space"/>
          <w:rFonts w:asciiTheme="majorBidi" w:hAnsiTheme="majorBidi" w:cstheme="majorBidi"/>
          <w:sz w:val="20"/>
          <w:szCs w:val="20"/>
          <w:shd w:val="clear" w:color="auto" w:fill="FFFFFF"/>
        </w:rPr>
        <w:t> </w:t>
      </w:r>
      <w:r w:rsidRPr="00AC7C5F">
        <w:rPr>
          <w:rFonts w:asciiTheme="majorBidi" w:hAnsiTheme="majorBidi" w:cstheme="majorBidi"/>
          <w:sz w:val="20"/>
          <w:szCs w:val="20"/>
          <w:shd w:val="clear" w:color="auto" w:fill="FFFFFF"/>
        </w:rPr>
        <w:t>est une</w:t>
      </w:r>
      <w:r w:rsidRPr="00AC7C5F">
        <w:rPr>
          <w:rStyle w:val="apple-converted-space"/>
          <w:rFonts w:asciiTheme="majorBidi" w:hAnsiTheme="majorBidi" w:cstheme="majorBidi"/>
          <w:sz w:val="20"/>
          <w:szCs w:val="20"/>
          <w:shd w:val="clear" w:color="auto" w:fill="FFFFFF"/>
        </w:rPr>
        <w:t> </w:t>
      </w:r>
      <w:hyperlink r:id="rId8" w:tooltip="Pièce de théâtre" w:history="1">
        <w:r w:rsidRPr="00AC7C5F">
          <w:rPr>
            <w:rStyle w:val="Lienhypertexte"/>
            <w:rFonts w:asciiTheme="majorBidi" w:hAnsiTheme="majorBidi" w:cstheme="majorBidi"/>
            <w:color w:val="auto"/>
            <w:sz w:val="20"/>
            <w:szCs w:val="20"/>
            <w:u w:val="none"/>
            <w:shd w:val="clear" w:color="auto" w:fill="FFFFFF"/>
          </w:rPr>
          <w:t>pièce de théâtre</w:t>
        </w:r>
      </w:hyperlink>
      <w:r w:rsidRPr="00AC7C5F">
        <w:rPr>
          <w:rStyle w:val="apple-converted-space"/>
          <w:rFonts w:asciiTheme="majorBidi" w:hAnsiTheme="majorBidi" w:cstheme="majorBidi"/>
          <w:sz w:val="20"/>
          <w:szCs w:val="20"/>
          <w:shd w:val="clear" w:color="auto" w:fill="FFFFFF"/>
        </w:rPr>
        <w:t> </w:t>
      </w:r>
      <w:r w:rsidRPr="00AC7C5F">
        <w:rPr>
          <w:rFonts w:asciiTheme="majorBidi" w:hAnsiTheme="majorBidi" w:cstheme="majorBidi"/>
          <w:sz w:val="20"/>
          <w:szCs w:val="20"/>
          <w:shd w:val="clear" w:color="auto" w:fill="FFFFFF"/>
        </w:rPr>
        <w:t>écrite par</w:t>
      </w:r>
      <w:r w:rsidRPr="00AC7C5F">
        <w:rPr>
          <w:rStyle w:val="apple-converted-space"/>
          <w:rFonts w:asciiTheme="majorBidi" w:hAnsiTheme="majorBidi" w:cstheme="majorBidi"/>
          <w:sz w:val="20"/>
          <w:szCs w:val="20"/>
          <w:shd w:val="clear" w:color="auto" w:fill="FFFFFF"/>
        </w:rPr>
        <w:t> </w:t>
      </w:r>
      <w:hyperlink r:id="rId9" w:tooltip="Bertolt Brecht" w:history="1">
        <w:r w:rsidRPr="00AC7C5F">
          <w:rPr>
            <w:rStyle w:val="Lienhypertexte"/>
            <w:rFonts w:asciiTheme="majorBidi" w:hAnsiTheme="majorBidi" w:cstheme="majorBidi"/>
            <w:color w:val="auto"/>
            <w:sz w:val="20"/>
            <w:szCs w:val="20"/>
            <w:u w:val="none"/>
            <w:shd w:val="clear" w:color="auto" w:fill="FFFFFF"/>
          </w:rPr>
          <w:t>Bertolt Brecht</w:t>
        </w:r>
      </w:hyperlink>
      <w:r w:rsidRPr="00AC7C5F">
        <w:rPr>
          <w:rFonts w:asciiTheme="majorBidi" w:hAnsiTheme="majorBidi" w:cstheme="majorBidi"/>
          <w:sz w:val="20"/>
          <w:szCs w:val="20"/>
          <w:shd w:val="clear" w:color="auto" w:fill="FFFFFF"/>
        </w:rPr>
        <w:t>, commencée  en</w:t>
      </w:r>
      <w:r w:rsidRPr="00AC7C5F">
        <w:rPr>
          <w:rStyle w:val="apple-converted-space"/>
          <w:rFonts w:asciiTheme="majorBidi" w:hAnsiTheme="majorBidi" w:cstheme="majorBidi"/>
          <w:sz w:val="20"/>
          <w:szCs w:val="20"/>
          <w:shd w:val="clear" w:color="auto" w:fill="FFFFFF"/>
        </w:rPr>
        <w:t> </w:t>
      </w:r>
      <w:hyperlink r:id="rId10" w:tooltip="1938" w:history="1">
        <w:r w:rsidRPr="00AC7C5F">
          <w:rPr>
            <w:rStyle w:val="Lienhypertexte"/>
            <w:rFonts w:asciiTheme="majorBidi" w:hAnsiTheme="majorBidi" w:cstheme="majorBidi"/>
            <w:color w:val="auto"/>
            <w:sz w:val="20"/>
            <w:szCs w:val="20"/>
            <w:u w:val="none"/>
            <w:shd w:val="clear" w:color="auto" w:fill="FFFFFF"/>
          </w:rPr>
          <w:t>1938</w:t>
        </w:r>
      </w:hyperlink>
      <w:r w:rsidRPr="00AC7C5F">
        <w:rPr>
          <w:rStyle w:val="apple-converted-space"/>
          <w:rFonts w:asciiTheme="majorBidi" w:hAnsiTheme="majorBidi" w:cstheme="majorBidi"/>
          <w:sz w:val="20"/>
          <w:szCs w:val="20"/>
          <w:shd w:val="clear" w:color="auto" w:fill="FFFFFF"/>
        </w:rPr>
        <w:t> </w:t>
      </w:r>
      <w:r w:rsidRPr="00AC7C5F">
        <w:rPr>
          <w:rFonts w:asciiTheme="majorBidi" w:hAnsiTheme="majorBidi" w:cstheme="majorBidi"/>
          <w:sz w:val="20"/>
          <w:szCs w:val="20"/>
          <w:shd w:val="clear" w:color="auto" w:fill="FFFFFF"/>
        </w:rPr>
        <w:t>au</w:t>
      </w:r>
      <w:r w:rsidRPr="00AC7C5F">
        <w:rPr>
          <w:rStyle w:val="apple-converted-space"/>
          <w:rFonts w:asciiTheme="majorBidi" w:hAnsiTheme="majorBidi" w:cstheme="majorBidi"/>
          <w:sz w:val="20"/>
          <w:szCs w:val="20"/>
          <w:shd w:val="clear" w:color="auto" w:fill="FFFFFF"/>
        </w:rPr>
        <w:t> </w:t>
      </w:r>
      <w:hyperlink r:id="rId11" w:tooltip="Danemark" w:history="1">
        <w:r w:rsidRPr="00AC7C5F">
          <w:rPr>
            <w:rStyle w:val="Lienhypertexte"/>
            <w:rFonts w:asciiTheme="majorBidi" w:hAnsiTheme="majorBidi" w:cstheme="majorBidi"/>
            <w:color w:val="auto"/>
            <w:sz w:val="20"/>
            <w:szCs w:val="20"/>
            <w:u w:val="none"/>
            <w:shd w:val="clear" w:color="auto" w:fill="FFFFFF"/>
          </w:rPr>
          <w:t>Danemark</w:t>
        </w:r>
      </w:hyperlink>
      <w:r w:rsidRPr="00AC7C5F">
        <w:rPr>
          <w:rFonts w:asciiTheme="majorBidi" w:hAnsiTheme="majorBidi" w:cstheme="majorBidi"/>
          <w:sz w:val="20"/>
          <w:szCs w:val="20"/>
          <w:shd w:val="clear" w:color="auto" w:fill="FFFFFF"/>
        </w:rPr>
        <w:t>, achevée en</w:t>
      </w:r>
      <w:hyperlink r:id="rId12" w:tooltip="1940" w:history="1">
        <w:r w:rsidRPr="00AC7C5F">
          <w:rPr>
            <w:rStyle w:val="Lienhypertexte"/>
            <w:rFonts w:asciiTheme="majorBidi" w:hAnsiTheme="majorBidi" w:cstheme="majorBidi"/>
            <w:color w:val="auto"/>
            <w:sz w:val="20"/>
            <w:szCs w:val="20"/>
            <w:u w:val="none"/>
            <w:shd w:val="clear" w:color="auto" w:fill="FFFFFF"/>
          </w:rPr>
          <w:t>1940</w:t>
        </w:r>
      </w:hyperlink>
      <w:r w:rsidRPr="00AC7C5F">
        <w:rPr>
          <w:rStyle w:val="apple-converted-space"/>
          <w:rFonts w:asciiTheme="majorBidi" w:hAnsiTheme="majorBidi" w:cstheme="majorBidi"/>
          <w:sz w:val="20"/>
          <w:szCs w:val="20"/>
          <w:shd w:val="clear" w:color="auto" w:fill="FFFFFF"/>
        </w:rPr>
        <w:t> </w:t>
      </w:r>
      <w:r w:rsidRPr="00AC7C5F">
        <w:rPr>
          <w:rFonts w:asciiTheme="majorBidi" w:hAnsiTheme="majorBidi" w:cstheme="majorBidi"/>
          <w:sz w:val="20"/>
          <w:szCs w:val="20"/>
          <w:shd w:val="clear" w:color="auto" w:fill="FFFFFF"/>
        </w:rPr>
        <w:t>en</w:t>
      </w:r>
      <w:r w:rsidRPr="00AC7C5F">
        <w:rPr>
          <w:rStyle w:val="apple-converted-space"/>
          <w:rFonts w:asciiTheme="majorBidi" w:hAnsiTheme="majorBidi" w:cstheme="majorBidi"/>
          <w:sz w:val="20"/>
          <w:szCs w:val="20"/>
          <w:shd w:val="clear" w:color="auto" w:fill="FFFFFF"/>
        </w:rPr>
        <w:t> </w:t>
      </w:r>
      <w:hyperlink r:id="rId13" w:tooltip="Suède" w:history="1">
        <w:r w:rsidRPr="00AC7C5F">
          <w:rPr>
            <w:rStyle w:val="Lienhypertexte"/>
            <w:rFonts w:asciiTheme="majorBidi" w:hAnsiTheme="majorBidi" w:cstheme="majorBidi"/>
            <w:color w:val="auto"/>
            <w:sz w:val="20"/>
            <w:szCs w:val="20"/>
            <w:u w:val="none"/>
            <w:shd w:val="clear" w:color="auto" w:fill="FFFFFF"/>
          </w:rPr>
          <w:t>Suède</w:t>
        </w:r>
      </w:hyperlink>
      <w:r w:rsidRPr="00AC7C5F">
        <w:rPr>
          <w:rFonts w:asciiTheme="majorBidi" w:hAnsiTheme="majorBidi" w:cstheme="majorBidi"/>
          <w:sz w:val="20"/>
          <w:szCs w:val="20"/>
          <w:shd w:val="clear" w:color="auto" w:fill="FFFFFF"/>
        </w:rPr>
        <w:t>, avec l'aide de sa collaboratrice</w:t>
      </w:r>
      <w:r w:rsidRPr="00AC7C5F">
        <w:rPr>
          <w:rStyle w:val="apple-converted-space"/>
          <w:rFonts w:asciiTheme="majorBidi" w:hAnsiTheme="majorBidi" w:cstheme="majorBidi"/>
          <w:sz w:val="20"/>
          <w:szCs w:val="20"/>
          <w:shd w:val="clear" w:color="auto" w:fill="FFFFFF"/>
        </w:rPr>
        <w:t> </w:t>
      </w:r>
      <w:hyperlink r:id="rId14" w:tooltip="Margarete Steffin" w:history="1">
        <w:r w:rsidRPr="00AC7C5F">
          <w:rPr>
            <w:rStyle w:val="Lienhypertexte"/>
            <w:rFonts w:asciiTheme="majorBidi" w:hAnsiTheme="majorBidi" w:cstheme="majorBidi"/>
            <w:color w:val="auto"/>
            <w:sz w:val="20"/>
            <w:szCs w:val="20"/>
            <w:u w:val="none"/>
            <w:shd w:val="clear" w:color="auto" w:fill="FFFFFF"/>
          </w:rPr>
          <w:t>Margarete Steffin</w:t>
        </w:r>
      </w:hyperlink>
      <w:r w:rsidRPr="00AC7C5F">
        <w:rPr>
          <w:rFonts w:asciiTheme="majorBidi" w:hAnsiTheme="majorBidi" w:cstheme="majorBidi"/>
          <w:sz w:val="20"/>
          <w:szCs w:val="20"/>
          <w:shd w:val="clear" w:color="auto" w:fill="FFFFFF"/>
        </w:rPr>
        <w:t>.</w:t>
      </w:r>
    </w:p>
    <w:p w:rsidR="006C092A" w:rsidRPr="00AC7C5F" w:rsidRDefault="006C092A" w:rsidP="00AC7C5F">
      <w:pPr>
        <w:pStyle w:val="Notedebasdepage"/>
        <w:jc w:val="both"/>
        <w:rPr>
          <w:rFonts w:asciiTheme="majorBidi" w:hAnsiTheme="majorBidi" w:cstheme="majorBidi"/>
        </w:rPr>
      </w:pPr>
    </w:p>
  </w:footnote>
  <w:footnote w:id="87">
    <w:p w:rsidR="006C092A" w:rsidRPr="00A80119" w:rsidRDefault="006C092A" w:rsidP="00AD2881">
      <w:pPr>
        <w:spacing w:after="0" w:line="240" w:lineRule="auto"/>
        <w:jc w:val="both"/>
        <w:rPr>
          <w:rFonts w:ascii="Times New Roman" w:hAnsi="Times New Roman"/>
          <w:sz w:val="20"/>
          <w:szCs w:val="20"/>
        </w:rPr>
      </w:pPr>
      <w:r w:rsidRPr="00A80119">
        <w:rPr>
          <w:rStyle w:val="Appelnotedebasdep"/>
          <w:rFonts w:ascii="Times New Roman" w:hAnsi="Times New Roman"/>
          <w:sz w:val="20"/>
          <w:szCs w:val="20"/>
        </w:rPr>
        <w:footnoteRef/>
      </w:r>
      <w:r w:rsidRPr="00AD2881">
        <w:rPr>
          <w:rFonts w:ascii="Times New Roman" w:hAnsi="Times New Roman"/>
          <w:sz w:val="20"/>
          <w:szCs w:val="20"/>
        </w:rPr>
        <w:t>Jean Paul S</w:t>
      </w:r>
      <w:r>
        <w:rPr>
          <w:rFonts w:ascii="Times New Roman" w:hAnsi="Times New Roman"/>
          <w:sz w:val="20"/>
          <w:szCs w:val="20"/>
        </w:rPr>
        <w:t>artre</w:t>
      </w:r>
      <w:r w:rsidRPr="00AD2881">
        <w:rPr>
          <w:rFonts w:ascii="Times New Roman" w:hAnsi="Times New Roman"/>
          <w:sz w:val="20"/>
          <w:szCs w:val="20"/>
        </w:rPr>
        <w:t>,</w:t>
      </w:r>
      <w:r w:rsidRPr="00AD2881">
        <w:rPr>
          <w:rFonts w:ascii="Times New Roman" w:hAnsi="Times New Roman"/>
          <w:i/>
          <w:iCs/>
          <w:sz w:val="20"/>
          <w:szCs w:val="20"/>
        </w:rPr>
        <w:t xml:space="preserve"> Qu’est-ce que la littérature</w:t>
      </w:r>
      <w:r w:rsidRPr="00AD2881">
        <w:rPr>
          <w:rFonts w:ascii="Times New Roman" w:hAnsi="Times New Roman"/>
          <w:sz w:val="20"/>
          <w:szCs w:val="20"/>
        </w:rPr>
        <w:t> ?</w:t>
      </w:r>
      <w:r>
        <w:rPr>
          <w:rFonts w:ascii="Times New Roman" w:hAnsi="Times New Roman"/>
          <w:sz w:val="20"/>
          <w:szCs w:val="20"/>
        </w:rPr>
        <w:t xml:space="preserve">, </w:t>
      </w:r>
      <w:r w:rsidRPr="00AD2881">
        <w:rPr>
          <w:rFonts w:ascii="Times New Roman" w:hAnsi="Times New Roman"/>
          <w:sz w:val="20"/>
          <w:szCs w:val="20"/>
        </w:rPr>
        <w:t> </w:t>
      </w:r>
      <w:r w:rsidRPr="00A80119">
        <w:rPr>
          <w:rFonts w:ascii="Times New Roman" w:hAnsi="Times New Roman"/>
          <w:sz w:val="20"/>
          <w:szCs w:val="20"/>
        </w:rPr>
        <w:t>Gallimard</w:t>
      </w:r>
      <w:r>
        <w:rPr>
          <w:rFonts w:ascii="Times New Roman" w:hAnsi="Times New Roman"/>
          <w:sz w:val="20"/>
          <w:szCs w:val="20"/>
        </w:rPr>
        <w:t xml:space="preserve">, </w:t>
      </w:r>
      <w:r w:rsidRPr="00AD2881">
        <w:rPr>
          <w:rFonts w:ascii="Times New Roman" w:hAnsi="Times New Roman"/>
          <w:sz w:val="20"/>
          <w:szCs w:val="20"/>
        </w:rPr>
        <w:t>Paris</w:t>
      </w:r>
      <w:r w:rsidRPr="00A80119">
        <w:rPr>
          <w:rFonts w:ascii="Times New Roman" w:hAnsi="Times New Roman"/>
          <w:sz w:val="20"/>
          <w:szCs w:val="20"/>
        </w:rPr>
        <w:t>, 1948, p.72.</w:t>
      </w:r>
    </w:p>
  </w:footnote>
  <w:footnote w:id="88">
    <w:p w:rsidR="006C092A" w:rsidRPr="00E95170" w:rsidRDefault="006C092A" w:rsidP="00E95170">
      <w:pPr>
        <w:pStyle w:val="Notedebasdepage"/>
        <w:jc w:val="both"/>
        <w:rPr>
          <w:rFonts w:asciiTheme="majorBidi" w:hAnsiTheme="majorBidi" w:cstheme="majorBidi"/>
        </w:rPr>
      </w:pPr>
      <w:r w:rsidRPr="00E95170">
        <w:rPr>
          <w:rStyle w:val="Appelnotedebasdep"/>
          <w:rFonts w:asciiTheme="majorBidi" w:hAnsiTheme="majorBidi" w:cstheme="majorBidi"/>
        </w:rPr>
        <w:footnoteRef/>
      </w:r>
      <w:r w:rsidRPr="00E95170">
        <w:rPr>
          <w:rFonts w:asciiTheme="majorBidi" w:hAnsiTheme="majorBidi" w:cstheme="majorBidi"/>
        </w:rPr>
        <w:t xml:space="preserve">Abderrahmane Mostefa et Mansour Benchehida, </w:t>
      </w:r>
      <w:r w:rsidRPr="00E95170">
        <w:rPr>
          <w:rFonts w:asciiTheme="majorBidi" w:hAnsiTheme="majorBidi" w:cstheme="majorBidi"/>
          <w:i/>
          <w:iCs/>
        </w:rPr>
        <w:t>op.cit</w:t>
      </w:r>
      <w:r w:rsidRPr="00E95170">
        <w:rPr>
          <w:rFonts w:asciiTheme="majorBidi" w:hAnsiTheme="majorBidi" w:cstheme="majorBidi"/>
        </w:rPr>
        <w:t>, p. 4.</w:t>
      </w:r>
    </w:p>
  </w:footnote>
  <w:footnote w:id="89">
    <w:p w:rsidR="006C092A" w:rsidRPr="00E95170" w:rsidRDefault="006C092A" w:rsidP="00E95170">
      <w:pPr>
        <w:spacing w:after="0" w:line="240" w:lineRule="auto"/>
        <w:jc w:val="both"/>
        <w:rPr>
          <w:rFonts w:asciiTheme="majorBidi" w:hAnsiTheme="majorBidi" w:cstheme="majorBidi"/>
          <w:sz w:val="20"/>
          <w:szCs w:val="20"/>
        </w:rPr>
      </w:pPr>
      <w:r w:rsidRPr="00E95170">
        <w:rPr>
          <w:rStyle w:val="Appelnotedebasdep"/>
          <w:rFonts w:asciiTheme="majorBidi" w:hAnsiTheme="majorBidi" w:cstheme="majorBidi"/>
          <w:sz w:val="20"/>
          <w:szCs w:val="20"/>
        </w:rPr>
        <w:footnoteRef/>
      </w:r>
      <w:r w:rsidRPr="00E95170">
        <w:rPr>
          <w:rFonts w:asciiTheme="majorBidi" w:eastAsia="Times New Roman" w:hAnsiTheme="majorBidi" w:cstheme="majorBidi"/>
          <w:sz w:val="20"/>
          <w:szCs w:val="20"/>
          <w:lang w:eastAsia="fr-FR"/>
        </w:rPr>
        <w:t xml:space="preserve">Abderahmane </w:t>
      </w:r>
      <w:r w:rsidRPr="00E95170">
        <w:rPr>
          <w:rFonts w:asciiTheme="majorBidi" w:hAnsiTheme="majorBidi" w:cstheme="majorBidi"/>
          <w:sz w:val="20"/>
          <w:szCs w:val="20"/>
        </w:rPr>
        <w:t>Mostefa</w:t>
      </w:r>
      <w:r w:rsidRPr="00E95170">
        <w:rPr>
          <w:rFonts w:asciiTheme="majorBidi" w:eastAsia="Times New Roman" w:hAnsiTheme="majorBidi" w:cstheme="majorBidi"/>
          <w:i/>
          <w:iCs/>
          <w:sz w:val="20"/>
          <w:szCs w:val="20"/>
          <w:lang w:eastAsia="fr-FR"/>
        </w:rPr>
        <w:t>, « </w:t>
      </w:r>
      <w:r w:rsidRPr="00E95170">
        <w:rPr>
          <w:rStyle w:val="articletitle"/>
          <w:rFonts w:asciiTheme="majorBidi" w:hAnsiTheme="majorBidi" w:cstheme="majorBidi"/>
          <w:sz w:val="20"/>
          <w:szCs w:val="20"/>
        </w:rPr>
        <w:t xml:space="preserve">Un cinéaste algérien au pays de l'Erable », in </w:t>
      </w:r>
      <w:r w:rsidRPr="00E95170">
        <w:rPr>
          <w:rStyle w:val="articletitle"/>
          <w:rFonts w:asciiTheme="majorBidi" w:hAnsiTheme="majorBidi" w:cstheme="majorBidi"/>
          <w:i/>
          <w:iCs/>
          <w:sz w:val="20"/>
          <w:szCs w:val="20"/>
        </w:rPr>
        <w:t>L</w:t>
      </w:r>
      <w:r w:rsidRPr="00E95170">
        <w:rPr>
          <w:rFonts w:asciiTheme="majorBidi" w:eastAsia="Times New Roman" w:hAnsiTheme="majorBidi" w:cstheme="majorBidi"/>
          <w:i/>
          <w:iCs/>
          <w:sz w:val="20"/>
          <w:szCs w:val="20"/>
          <w:lang w:eastAsia="fr-FR"/>
        </w:rPr>
        <w:t>a Nouvelle République</w:t>
      </w:r>
      <w:r w:rsidRPr="00E95170">
        <w:rPr>
          <w:rFonts w:asciiTheme="majorBidi" w:eastAsia="Times New Roman" w:hAnsiTheme="majorBidi" w:cstheme="majorBidi"/>
          <w:sz w:val="20"/>
          <w:szCs w:val="20"/>
          <w:lang w:eastAsia="fr-FR"/>
        </w:rPr>
        <w:t xml:space="preserve"> du 28 Janvier 2013 </w:t>
      </w:r>
      <w:r w:rsidRPr="00E95170">
        <w:rPr>
          <w:rFonts w:asciiTheme="majorBidi" w:hAnsiTheme="majorBidi" w:cstheme="majorBidi"/>
          <w:sz w:val="20"/>
          <w:szCs w:val="20"/>
        </w:rPr>
        <w:t>[en ligne]. Disponible sur </w:t>
      </w:r>
      <w:proofErr w:type="gramStart"/>
      <w:r w:rsidRPr="00E95170">
        <w:rPr>
          <w:rFonts w:asciiTheme="majorBidi" w:hAnsiTheme="majorBidi" w:cstheme="majorBidi"/>
          <w:sz w:val="20"/>
          <w:szCs w:val="20"/>
        </w:rPr>
        <w:t>:˂</w:t>
      </w:r>
      <w:proofErr w:type="gramEnd"/>
      <w:r w:rsidRPr="00E95170">
        <w:rPr>
          <w:rFonts w:asciiTheme="majorBidi" w:hAnsiTheme="majorBidi" w:cstheme="majorBidi"/>
          <w:sz w:val="20"/>
          <w:szCs w:val="20"/>
        </w:rPr>
        <w:t xml:space="preserve"> </w:t>
      </w:r>
      <w:hyperlink r:id="rId15" w:history="1">
        <w:r w:rsidRPr="00E95170">
          <w:rPr>
            <w:rStyle w:val="Lienhypertexte"/>
            <w:rFonts w:asciiTheme="majorBidi" w:hAnsiTheme="majorBidi" w:cstheme="majorBidi"/>
            <w:color w:val="auto"/>
            <w:sz w:val="20"/>
            <w:szCs w:val="20"/>
          </w:rPr>
          <w:t>http://www.djazairess.com/fr/lnr/221578</w:t>
        </w:r>
      </w:hyperlink>
      <w:r w:rsidRPr="00E95170">
        <w:rPr>
          <w:rFonts w:asciiTheme="majorBidi" w:hAnsiTheme="majorBidi" w:cstheme="majorBidi"/>
          <w:sz w:val="20"/>
          <w:szCs w:val="20"/>
        </w:rPr>
        <w:t>˃, consulté le 28 Mars 2015 à 17h17.</w:t>
      </w:r>
    </w:p>
    <w:p w:rsidR="006C092A" w:rsidRPr="00E95170" w:rsidRDefault="006C092A" w:rsidP="00E95170">
      <w:pPr>
        <w:pStyle w:val="Notedebasdepage"/>
        <w:jc w:val="both"/>
        <w:rPr>
          <w:rFonts w:asciiTheme="majorBidi" w:hAnsiTheme="majorBidi" w:cstheme="majorBidi"/>
        </w:rPr>
      </w:pPr>
    </w:p>
  </w:footnote>
  <w:footnote w:id="90">
    <w:p w:rsidR="006C092A" w:rsidRPr="00482DCD" w:rsidRDefault="006C092A" w:rsidP="00482DCD">
      <w:pPr>
        <w:pStyle w:val="Notedebasdepage"/>
        <w:jc w:val="both"/>
        <w:rPr>
          <w:rFonts w:asciiTheme="majorBidi" w:hAnsiTheme="majorBidi" w:cstheme="majorBidi"/>
        </w:rPr>
      </w:pPr>
      <w:r w:rsidRPr="00482DCD">
        <w:rPr>
          <w:rStyle w:val="Appelnotedebasdep"/>
          <w:rFonts w:asciiTheme="majorBidi" w:hAnsiTheme="majorBidi" w:cstheme="majorBidi"/>
        </w:rPr>
        <w:footnoteRef/>
      </w:r>
      <w:r w:rsidRPr="00482DCD">
        <w:rPr>
          <w:rFonts w:asciiTheme="majorBidi" w:hAnsiTheme="majorBidi" w:cstheme="majorBidi"/>
        </w:rPr>
        <w:t>Abderrahmane Mostefa et Mansour Benchehida,</w:t>
      </w:r>
      <w:r w:rsidRPr="00482DCD">
        <w:rPr>
          <w:rFonts w:asciiTheme="majorBidi" w:hAnsiTheme="majorBidi" w:cstheme="majorBidi"/>
          <w:i/>
          <w:iCs/>
        </w:rPr>
        <w:t xml:space="preserve">  </w:t>
      </w:r>
      <w:r w:rsidRPr="00482DCD">
        <w:rPr>
          <w:rFonts w:asciiTheme="majorBidi" w:hAnsiTheme="majorBidi" w:cstheme="majorBidi"/>
          <w:i/>
        </w:rPr>
        <w:t xml:space="preserve">op. </w:t>
      </w:r>
      <w:proofErr w:type="gramStart"/>
      <w:r w:rsidRPr="00482DCD">
        <w:rPr>
          <w:rFonts w:asciiTheme="majorBidi" w:hAnsiTheme="majorBidi" w:cstheme="majorBidi"/>
          <w:i/>
        </w:rPr>
        <w:t>cit.,</w:t>
      </w:r>
      <w:proofErr w:type="gramEnd"/>
      <w:r w:rsidRPr="00482DCD">
        <w:rPr>
          <w:rFonts w:asciiTheme="majorBidi" w:hAnsiTheme="majorBidi" w:cstheme="majorBidi"/>
        </w:rPr>
        <w:t xml:space="preserve"> p.5.</w:t>
      </w:r>
    </w:p>
  </w:footnote>
  <w:footnote w:id="91">
    <w:p w:rsidR="006C092A" w:rsidRPr="00893BFA" w:rsidRDefault="006C092A" w:rsidP="00FE605C">
      <w:pPr>
        <w:pStyle w:val="Notedebasdepage"/>
        <w:jc w:val="both"/>
        <w:rPr>
          <w:rFonts w:ascii="Times New Roman" w:hAnsi="Times New Roman"/>
        </w:rPr>
      </w:pPr>
      <w:r w:rsidRPr="00893BFA">
        <w:rPr>
          <w:rStyle w:val="Appelnotedebasdep"/>
          <w:rFonts w:ascii="Times New Roman" w:hAnsi="Times New Roman"/>
        </w:rPr>
        <w:footnoteRef/>
      </w:r>
      <w:r w:rsidRPr="00893BFA">
        <w:rPr>
          <w:rFonts w:ascii="Times New Roman" w:hAnsi="Times New Roman"/>
        </w:rPr>
        <w:t xml:space="preserve">Nous insistons sur le théâtre européen parce que dans notre premier chapitre, nous avons évoqué la polémique toujours actuelle et actualisée de la naissance du théâtre dans le monde arabo-musulman. </w:t>
      </w:r>
    </w:p>
  </w:footnote>
  <w:footnote w:id="92">
    <w:p w:rsidR="006C092A" w:rsidRPr="002E0198" w:rsidRDefault="006C092A" w:rsidP="00A87CE1">
      <w:pPr>
        <w:pStyle w:val="Notedebasdepage"/>
        <w:jc w:val="both"/>
        <w:rPr>
          <w:rFonts w:ascii="Times New Roman" w:hAnsi="Times New Roman"/>
        </w:rPr>
      </w:pPr>
      <w:r w:rsidRPr="002E0198">
        <w:rPr>
          <w:rStyle w:val="Appelnotedebasdep"/>
          <w:rFonts w:ascii="Times New Roman" w:hAnsi="Times New Roman"/>
        </w:rPr>
        <w:footnoteRef/>
      </w:r>
      <w:r w:rsidRPr="002E0198">
        <w:rPr>
          <w:rFonts w:ascii="Times New Roman" w:hAnsi="Times New Roman"/>
        </w:rPr>
        <w:t>Nicolas A</w:t>
      </w:r>
      <w:r>
        <w:rPr>
          <w:rFonts w:ascii="Times New Roman" w:hAnsi="Times New Roman"/>
        </w:rPr>
        <w:t>ncion</w:t>
      </w:r>
      <w:r w:rsidRPr="002E0198">
        <w:rPr>
          <w:rFonts w:ascii="Times New Roman" w:hAnsi="Times New Roman"/>
        </w:rPr>
        <w:t xml:space="preserve">, </w:t>
      </w:r>
      <w:r w:rsidRPr="0004308F">
        <w:rPr>
          <w:rFonts w:ascii="Times New Roman" w:hAnsi="Times New Roman"/>
          <w:iCs/>
        </w:rPr>
        <w:t>« Bruxelles insurrection »,</w:t>
      </w:r>
      <w:r w:rsidRPr="002E0198">
        <w:rPr>
          <w:rFonts w:ascii="Times New Roman" w:hAnsi="Times New Roman"/>
          <w:i/>
        </w:rPr>
        <w:t xml:space="preserve"> Nous sommes tous des playmobiles, </w:t>
      </w:r>
      <w:r w:rsidRPr="002E0198">
        <w:rPr>
          <w:rFonts w:ascii="Times New Roman" w:hAnsi="Times New Roman"/>
        </w:rPr>
        <w:t>Le Grand Miroir</w:t>
      </w:r>
      <w:r>
        <w:rPr>
          <w:rFonts w:ascii="Times New Roman" w:hAnsi="Times New Roman"/>
        </w:rPr>
        <w:t xml:space="preserve">, </w:t>
      </w:r>
      <w:r w:rsidRPr="002E0198">
        <w:rPr>
          <w:rFonts w:ascii="Times New Roman" w:hAnsi="Times New Roman"/>
        </w:rPr>
        <w:t>Bruxelles, 2007, rééd. Pocket</w:t>
      </w:r>
      <w:r>
        <w:rPr>
          <w:rFonts w:ascii="Times New Roman" w:hAnsi="Times New Roman"/>
        </w:rPr>
        <w:t xml:space="preserve">, </w:t>
      </w:r>
      <w:r w:rsidRPr="002E0198">
        <w:rPr>
          <w:rFonts w:ascii="Times New Roman" w:hAnsi="Times New Roman"/>
        </w:rPr>
        <w:t xml:space="preserve">Paris, </w:t>
      </w:r>
      <w:r>
        <w:rPr>
          <w:rFonts w:ascii="Times New Roman" w:hAnsi="Times New Roman"/>
        </w:rPr>
        <w:t>2008</w:t>
      </w:r>
      <w:r w:rsidRPr="00A87CE1">
        <w:rPr>
          <w:rFonts w:ascii="Times New Roman" w:hAnsi="Times New Roman"/>
        </w:rPr>
        <w:t>, p. 58.</w:t>
      </w:r>
    </w:p>
  </w:footnote>
  <w:footnote w:id="93">
    <w:p w:rsidR="006C092A" w:rsidRPr="00864D41" w:rsidRDefault="006C092A" w:rsidP="00EA0956">
      <w:pPr>
        <w:jc w:val="both"/>
        <w:rPr>
          <w:rFonts w:asciiTheme="majorBidi" w:hAnsiTheme="majorBidi" w:cstheme="majorBidi"/>
        </w:rPr>
      </w:pPr>
      <w:r w:rsidRPr="00864D41">
        <w:rPr>
          <w:rStyle w:val="Appelnotedebasdep"/>
          <w:rFonts w:asciiTheme="majorBidi" w:hAnsiTheme="majorBidi" w:cstheme="majorBidi"/>
        </w:rPr>
        <w:footnoteRef/>
      </w:r>
      <w:r w:rsidRPr="00864D41">
        <w:rPr>
          <w:rFonts w:asciiTheme="majorBidi" w:hAnsiTheme="majorBidi" w:cstheme="majorBidi"/>
        </w:rPr>
        <w:t xml:space="preserve"> </w:t>
      </w:r>
      <w:r w:rsidRPr="00864D41">
        <w:rPr>
          <w:rFonts w:asciiTheme="majorBidi" w:hAnsiTheme="majorBidi" w:cstheme="majorBidi"/>
          <w:sz w:val="20"/>
          <w:szCs w:val="20"/>
        </w:rPr>
        <w:t>Notes de lecture (</w:t>
      </w:r>
      <w:r w:rsidRPr="00864D41">
        <w:rPr>
          <w:rStyle w:val="Accentuation"/>
          <w:rFonts w:asciiTheme="majorBidi" w:hAnsiTheme="majorBidi" w:cstheme="majorBidi"/>
          <w:i w:val="0"/>
          <w:iCs w:val="0"/>
          <w:sz w:val="20"/>
          <w:szCs w:val="20"/>
          <w:shd w:val="clear" w:color="auto" w:fill="FFFFFF"/>
        </w:rPr>
        <w:t>Jean</w:t>
      </w:r>
      <w:r w:rsidRPr="00864D41">
        <w:rPr>
          <w:rFonts w:asciiTheme="majorBidi" w:hAnsiTheme="majorBidi" w:cstheme="majorBidi"/>
          <w:sz w:val="20"/>
          <w:szCs w:val="20"/>
          <w:shd w:val="clear" w:color="auto" w:fill="FFFFFF"/>
        </w:rPr>
        <w:t>-</w:t>
      </w:r>
      <w:r w:rsidRPr="00864D41">
        <w:rPr>
          <w:rStyle w:val="Accentuation"/>
          <w:rFonts w:asciiTheme="majorBidi" w:hAnsiTheme="majorBidi" w:cstheme="majorBidi"/>
          <w:i w:val="0"/>
          <w:iCs w:val="0"/>
          <w:sz w:val="20"/>
          <w:szCs w:val="20"/>
          <w:shd w:val="clear" w:color="auto" w:fill="FFFFFF"/>
        </w:rPr>
        <w:t>Pierre Bertrand</w:t>
      </w:r>
      <w:r w:rsidRPr="00864D41">
        <w:rPr>
          <w:rFonts w:asciiTheme="majorBidi" w:hAnsiTheme="majorBidi" w:cstheme="majorBidi"/>
          <w:sz w:val="20"/>
          <w:szCs w:val="20"/>
          <w:shd w:val="clear" w:color="auto" w:fill="FFFFFF"/>
        </w:rPr>
        <w:t>,</w:t>
      </w:r>
      <w:r w:rsidRPr="00864D41">
        <w:rPr>
          <w:rStyle w:val="apple-converted-space"/>
          <w:rFonts w:asciiTheme="majorBidi" w:hAnsiTheme="majorBidi" w:cstheme="majorBidi"/>
          <w:sz w:val="20"/>
          <w:szCs w:val="20"/>
          <w:shd w:val="clear" w:color="auto" w:fill="FFFFFF"/>
        </w:rPr>
        <w:t> </w:t>
      </w:r>
      <w:r w:rsidRPr="00864D41">
        <w:rPr>
          <w:rStyle w:val="Accentuation"/>
          <w:rFonts w:asciiTheme="majorBidi" w:hAnsiTheme="majorBidi" w:cstheme="majorBidi"/>
          <w:i w:val="0"/>
          <w:iCs w:val="0"/>
          <w:sz w:val="20"/>
          <w:szCs w:val="20"/>
          <w:shd w:val="clear" w:color="auto" w:fill="FFFFFF"/>
        </w:rPr>
        <w:t>Michel Biron</w:t>
      </w:r>
      <w:r w:rsidRPr="00864D41">
        <w:rPr>
          <w:rFonts w:asciiTheme="majorBidi" w:hAnsiTheme="majorBidi" w:cstheme="majorBidi"/>
          <w:sz w:val="20"/>
          <w:szCs w:val="20"/>
          <w:shd w:val="clear" w:color="auto" w:fill="FFFFFF"/>
        </w:rPr>
        <w:t>,</w:t>
      </w:r>
      <w:r w:rsidRPr="00864D41">
        <w:rPr>
          <w:rStyle w:val="apple-converted-space"/>
          <w:rFonts w:asciiTheme="majorBidi" w:hAnsiTheme="majorBidi" w:cstheme="majorBidi"/>
          <w:sz w:val="20"/>
          <w:szCs w:val="20"/>
          <w:shd w:val="clear" w:color="auto" w:fill="FFFFFF"/>
        </w:rPr>
        <w:t> </w:t>
      </w:r>
      <w:r w:rsidRPr="00864D41">
        <w:rPr>
          <w:rStyle w:val="Accentuation"/>
          <w:rFonts w:asciiTheme="majorBidi" w:hAnsiTheme="majorBidi" w:cstheme="majorBidi"/>
          <w:i w:val="0"/>
          <w:iCs w:val="0"/>
          <w:sz w:val="20"/>
          <w:szCs w:val="20"/>
          <w:shd w:val="clear" w:color="auto" w:fill="FFFFFF"/>
        </w:rPr>
        <w:t>Benoît Denis</w:t>
      </w:r>
      <w:r w:rsidRPr="00864D41">
        <w:rPr>
          <w:rFonts w:asciiTheme="majorBidi" w:hAnsiTheme="majorBidi" w:cstheme="majorBidi"/>
          <w:sz w:val="20"/>
          <w:szCs w:val="20"/>
          <w:shd w:val="clear" w:color="auto" w:fill="FFFFFF"/>
        </w:rPr>
        <w:t>,</w:t>
      </w:r>
      <w:r w:rsidRPr="00864D41">
        <w:rPr>
          <w:rStyle w:val="apple-converted-space"/>
          <w:rFonts w:asciiTheme="majorBidi" w:hAnsiTheme="majorBidi" w:cstheme="majorBidi"/>
          <w:sz w:val="20"/>
          <w:szCs w:val="20"/>
          <w:shd w:val="clear" w:color="auto" w:fill="FFFFFF"/>
        </w:rPr>
        <w:t> </w:t>
      </w:r>
      <w:r w:rsidRPr="00864D41">
        <w:rPr>
          <w:rStyle w:val="Accentuation"/>
          <w:rFonts w:asciiTheme="majorBidi" w:hAnsiTheme="majorBidi" w:cstheme="majorBidi"/>
          <w:i w:val="0"/>
          <w:iCs w:val="0"/>
          <w:sz w:val="20"/>
          <w:szCs w:val="20"/>
          <w:shd w:val="clear" w:color="auto" w:fill="FFFFFF"/>
        </w:rPr>
        <w:t>Rainier Grutman</w:t>
      </w:r>
      <w:r w:rsidRPr="00864D41">
        <w:rPr>
          <w:rFonts w:asciiTheme="majorBidi" w:hAnsiTheme="majorBidi" w:cstheme="majorBidi"/>
          <w:sz w:val="20"/>
          <w:szCs w:val="20"/>
          <w:shd w:val="clear" w:color="auto" w:fill="FFFFFF"/>
        </w:rPr>
        <w:t>. (</w:t>
      </w:r>
      <w:r w:rsidRPr="00864D41">
        <w:rPr>
          <w:rStyle w:val="Accentuation"/>
          <w:rFonts w:asciiTheme="majorBidi" w:hAnsiTheme="majorBidi" w:cstheme="majorBidi"/>
          <w:i w:val="0"/>
          <w:iCs w:val="0"/>
          <w:sz w:val="20"/>
          <w:szCs w:val="20"/>
          <w:shd w:val="clear" w:color="auto" w:fill="FFFFFF"/>
        </w:rPr>
        <w:t>dir</w:t>
      </w:r>
      <w:r w:rsidRPr="00864D41">
        <w:rPr>
          <w:rFonts w:asciiTheme="majorBidi" w:hAnsiTheme="majorBidi" w:cstheme="majorBidi"/>
          <w:sz w:val="20"/>
          <w:szCs w:val="20"/>
          <w:shd w:val="clear" w:color="auto" w:fill="FFFFFF"/>
        </w:rPr>
        <w:t>.),</w:t>
      </w:r>
      <w:r w:rsidRPr="00864D41">
        <w:rPr>
          <w:rStyle w:val="apple-converted-space"/>
          <w:rFonts w:asciiTheme="majorBidi" w:hAnsiTheme="majorBidi" w:cstheme="majorBidi"/>
          <w:sz w:val="20"/>
          <w:szCs w:val="20"/>
          <w:shd w:val="clear" w:color="auto" w:fill="FFFFFF"/>
        </w:rPr>
        <w:t> </w:t>
      </w:r>
      <w:r w:rsidRPr="00EA0956">
        <w:rPr>
          <w:rStyle w:val="Accentuation"/>
          <w:rFonts w:asciiTheme="majorBidi" w:hAnsiTheme="majorBidi" w:cstheme="majorBidi"/>
          <w:sz w:val="20"/>
          <w:szCs w:val="20"/>
          <w:shd w:val="clear" w:color="auto" w:fill="FFFFFF"/>
        </w:rPr>
        <w:t>Histoire</w:t>
      </w:r>
      <w:r w:rsidRPr="00EA0956">
        <w:rPr>
          <w:rStyle w:val="apple-converted-space"/>
          <w:rFonts w:asciiTheme="majorBidi" w:hAnsiTheme="majorBidi" w:cstheme="majorBidi"/>
          <w:sz w:val="20"/>
          <w:szCs w:val="20"/>
          <w:shd w:val="clear" w:color="auto" w:fill="FFFFFF"/>
        </w:rPr>
        <w:t> </w:t>
      </w:r>
      <w:r w:rsidRPr="00EA0956">
        <w:rPr>
          <w:rFonts w:asciiTheme="majorBidi" w:hAnsiTheme="majorBidi" w:cstheme="majorBidi"/>
          <w:sz w:val="20"/>
          <w:szCs w:val="20"/>
          <w:shd w:val="clear" w:color="auto" w:fill="FFFFFF"/>
        </w:rPr>
        <w:t>de la</w:t>
      </w:r>
      <w:r w:rsidRPr="00EA0956">
        <w:rPr>
          <w:rStyle w:val="apple-converted-space"/>
          <w:rFonts w:asciiTheme="majorBidi" w:hAnsiTheme="majorBidi" w:cstheme="majorBidi"/>
          <w:sz w:val="20"/>
          <w:szCs w:val="20"/>
          <w:shd w:val="clear" w:color="auto" w:fill="FFFFFF"/>
        </w:rPr>
        <w:t> </w:t>
      </w:r>
      <w:r w:rsidRPr="00EA0956">
        <w:rPr>
          <w:rStyle w:val="Accentuation"/>
          <w:rFonts w:asciiTheme="majorBidi" w:hAnsiTheme="majorBidi" w:cstheme="majorBidi"/>
          <w:sz w:val="20"/>
          <w:szCs w:val="20"/>
          <w:shd w:val="clear" w:color="auto" w:fill="FFFFFF"/>
        </w:rPr>
        <w:t>littérature belge</w:t>
      </w:r>
      <w:r w:rsidRPr="00864D41">
        <w:rPr>
          <w:rStyle w:val="apple-converted-space"/>
          <w:rFonts w:asciiTheme="majorBidi" w:hAnsiTheme="majorBidi" w:cstheme="majorBidi"/>
          <w:sz w:val="20"/>
          <w:szCs w:val="20"/>
          <w:shd w:val="clear" w:color="auto" w:fill="FFFFFF"/>
        </w:rPr>
        <w:t> </w:t>
      </w:r>
      <w:r w:rsidRPr="00864D41">
        <w:rPr>
          <w:rFonts w:asciiTheme="majorBidi" w:hAnsiTheme="majorBidi" w:cstheme="majorBidi"/>
          <w:sz w:val="20"/>
          <w:szCs w:val="20"/>
          <w:shd w:val="clear" w:color="auto" w:fill="FFFFFF"/>
        </w:rPr>
        <w:t>(</w:t>
      </w:r>
      <w:r w:rsidRPr="00864D41">
        <w:rPr>
          <w:rStyle w:val="Accentuation"/>
          <w:rFonts w:asciiTheme="majorBidi" w:hAnsiTheme="majorBidi" w:cstheme="majorBidi"/>
          <w:i w:val="0"/>
          <w:iCs w:val="0"/>
          <w:sz w:val="20"/>
          <w:szCs w:val="20"/>
          <w:shd w:val="clear" w:color="auto" w:fill="FFFFFF"/>
        </w:rPr>
        <w:t>1830-2000</w:t>
      </w:r>
      <w:r w:rsidRPr="00864D41">
        <w:rPr>
          <w:rFonts w:asciiTheme="majorBidi" w:hAnsiTheme="majorBidi" w:cstheme="majorBidi"/>
          <w:sz w:val="20"/>
          <w:szCs w:val="20"/>
          <w:shd w:val="clear" w:color="auto" w:fill="FFFFFF"/>
        </w:rPr>
        <w:t>), Paris,</w:t>
      </w:r>
      <w:r w:rsidRPr="00864D41">
        <w:rPr>
          <w:rStyle w:val="apple-converted-space"/>
          <w:rFonts w:asciiTheme="majorBidi" w:hAnsiTheme="majorBidi" w:cstheme="majorBidi"/>
          <w:sz w:val="20"/>
          <w:szCs w:val="20"/>
          <w:shd w:val="clear" w:color="auto" w:fill="FFFFFF"/>
        </w:rPr>
        <w:t> </w:t>
      </w:r>
      <w:r w:rsidRPr="00864D41">
        <w:rPr>
          <w:rStyle w:val="Accentuation"/>
          <w:rFonts w:asciiTheme="majorBidi" w:hAnsiTheme="majorBidi" w:cstheme="majorBidi"/>
          <w:i w:val="0"/>
          <w:iCs w:val="0"/>
          <w:sz w:val="20"/>
          <w:szCs w:val="20"/>
          <w:shd w:val="clear" w:color="auto" w:fill="FFFFFF"/>
        </w:rPr>
        <w:t>Fayard</w:t>
      </w:r>
      <w:r w:rsidRPr="00864D41">
        <w:rPr>
          <w:rFonts w:asciiTheme="majorBidi" w:hAnsiTheme="majorBidi" w:cstheme="majorBidi"/>
          <w:sz w:val="20"/>
          <w:szCs w:val="20"/>
          <w:shd w:val="clear" w:color="auto" w:fill="FFFFFF"/>
        </w:rPr>
        <w:t>,</w:t>
      </w:r>
      <w:r w:rsidRPr="00864D41">
        <w:rPr>
          <w:rStyle w:val="apple-converted-space"/>
          <w:rFonts w:asciiTheme="majorBidi" w:hAnsiTheme="majorBidi" w:cstheme="majorBidi"/>
          <w:sz w:val="20"/>
          <w:szCs w:val="20"/>
          <w:shd w:val="clear" w:color="auto" w:fill="FFFFFF"/>
        </w:rPr>
        <w:t> </w:t>
      </w:r>
      <w:r w:rsidRPr="00864D41">
        <w:rPr>
          <w:rStyle w:val="Accentuation"/>
          <w:rFonts w:asciiTheme="majorBidi" w:hAnsiTheme="majorBidi" w:cstheme="majorBidi"/>
          <w:i w:val="0"/>
          <w:iCs w:val="0"/>
          <w:sz w:val="20"/>
          <w:szCs w:val="20"/>
          <w:shd w:val="clear" w:color="auto" w:fill="FFFFFF"/>
        </w:rPr>
        <w:t>200</w:t>
      </w:r>
      <w:r>
        <w:rPr>
          <w:rStyle w:val="Accentuation"/>
          <w:rFonts w:asciiTheme="majorBidi" w:hAnsiTheme="majorBidi" w:cstheme="majorBidi"/>
          <w:i w:val="0"/>
          <w:iCs w:val="0"/>
          <w:sz w:val="20"/>
          <w:szCs w:val="20"/>
          <w:shd w:val="clear" w:color="auto" w:fill="FFFFFF"/>
        </w:rPr>
        <w:t>3)</w:t>
      </w:r>
      <w:r w:rsidRPr="00864D41">
        <w:rPr>
          <w:rStyle w:val="Titre1Car"/>
          <w:rFonts w:asciiTheme="majorBidi" w:eastAsiaTheme="minorHAnsi" w:hAnsiTheme="majorBidi" w:cstheme="majorBidi"/>
          <w:i/>
          <w:iCs/>
          <w:color w:val="auto"/>
          <w:sz w:val="28"/>
          <w:szCs w:val="24"/>
          <w:shd w:val="clear" w:color="auto" w:fill="FFFFFF"/>
        </w:rPr>
        <w:t xml:space="preserve"> </w:t>
      </w:r>
    </w:p>
  </w:footnote>
  <w:footnote w:id="94">
    <w:p w:rsidR="006C092A" w:rsidRPr="00617086" w:rsidRDefault="006C092A" w:rsidP="00617086">
      <w:pPr>
        <w:autoSpaceDE w:val="0"/>
        <w:autoSpaceDN w:val="0"/>
        <w:adjustRightInd w:val="0"/>
        <w:spacing w:after="0" w:line="240" w:lineRule="auto"/>
        <w:jc w:val="both"/>
        <w:rPr>
          <w:rFonts w:asciiTheme="majorBidi" w:hAnsiTheme="majorBidi" w:cstheme="majorBidi"/>
          <w:i/>
          <w:iCs/>
          <w:sz w:val="20"/>
          <w:szCs w:val="20"/>
        </w:rPr>
      </w:pPr>
      <w:r w:rsidRPr="00617086">
        <w:rPr>
          <w:rStyle w:val="Appelnotedebasdep"/>
          <w:rFonts w:asciiTheme="majorBidi" w:hAnsiTheme="majorBidi" w:cstheme="majorBidi"/>
          <w:sz w:val="20"/>
          <w:szCs w:val="20"/>
        </w:rPr>
        <w:footnoteRef/>
      </w:r>
      <w:r w:rsidRPr="00617086">
        <w:rPr>
          <w:rFonts w:asciiTheme="majorBidi" w:hAnsiTheme="majorBidi" w:cstheme="majorBidi"/>
          <w:sz w:val="20"/>
          <w:szCs w:val="20"/>
        </w:rPr>
        <w:t xml:space="preserve">Roland Beyen, « Michel de Ghelderode entre deux chaises », in </w:t>
      </w:r>
      <w:r w:rsidRPr="00617086">
        <w:rPr>
          <w:rFonts w:asciiTheme="majorBidi" w:hAnsiTheme="majorBidi" w:cstheme="majorBidi"/>
          <w:i/>
          <w:sz w:val="20"/>
          <w:szCs w:val="20"/>
        </w:rPr>
        <w:t>Romaneske</w:t>
      </w:r>
      <w:r w:rsidRPr="00617086">
        <w:rPr>
          <w:rFonts w:asciiTheme="majorBidi" w:hAnsiTheme="majorBidi" w:cstheme="majorBidi"/>
          <w:sz w:val="20"/>
          <w:szCs w:val="20"/>
        </w:rPr>
        <w:t xml:space="preserve"> n°33, juin 2008, p.14. </w:t>
      </w:r>
    </w:p>
    <w:p w:rsidR="006C092A" w:rsidRPr="00617086" w:rsidRDefault="006C092A" w:rsidP="00617086">
      <w:pPr>
        <w:pStyle w:val="Notedebasdepage"/>
        <w:jc w:val="both"/>
        <w:rPr>
          <w:rFonts w:asciiTheme="majorBidi" w:hAnsiTheme="majorBidi" w:cstheme="majorBidi"/>
        </w:rPr>
      </w:pPr>
    </w:p>
  </w:footnote>
  <w:footnote w:id="95">
    <w:p w:rsidR="006C092A" w:rsidRPr="00B740C0" w:rsidRDefault="006C092A" w:rsidP="00B740C0">
      <w:pPr>
        <w:pStyle w:val="Notedebasdepage"/>
        <w:jc w:val="both"/>
        <w:rPr>
          <w:rFonts w:asciiTheme="majorBidi" w:hAnsiTheme="majorBidi" w:cstheme="majorBidi"/>
        </w:rPr>
      </w:pPr>
      <w:r w:rsidRPr="00B740C0">
        <w:rPr>
          <w:rStyle w:val="Appelnotedebasdep"/>
          <w:rFonts w:asciiTheme="majorBidi" w:hAnsiTheme="majorBidi" w:cstheme="majorBidi"/>
        </w:rPr>
        <w:footnoteRef/>
      </w:r>
      <w:r w:rsidRPr="00B740C0">
        <w:rPr>
          <w:rFonts w:asciiTheme="majorBidi" w:hAnsiTheme="majorBidi" w:cstheme="majorBidi"/>
          <w:i/>
          <w:iCs/>
        </w:rPr>
        <w:t xml:space="preserve">Ibid, </w:t>
      </w:r>
      <w:r w:rsidRPr="00B740C0">
        <w:rPr>
          <w:rFonts w:asciiTheme="majorBidi" w:hAnsiTheme="majorBidi" w:cstheme="majorBidi"/>
        </w:rPr>
        <w:t xml:space="preserve"> p.22.</w:t>
      </w:r>
    </w:p>
  </w:footnote>
  <w:footnote w:id="96">
    <w:p w:rsidR="006C092A" w:rsidRPr="00D5498C" w:rsidRDefault="006C092A" w:rsidP="00D5498C">
      <w:pPr>
        <w:pStyle w:val="Notedebasdepage"/>
        <w:jc w:val="both"/>
        <w:rPr>
          <w:rFonts w:asciiTheme="majorBidi" w:hAnsiTheme="majorBidi" w:cstheme="majorBidi"/>
        </w:rPr>
      </w:pPr>
      <w:r w:rsidRPr="00D5498C">
        <w:rPr>
          <w:rStyle w:val="Appelnotedebasdep"/>
          <w:rFonts w:asciiTheme="majorBidi" w:hAnsiTheme="majorBidi" w:cstheme="majorBidi"/>
        </w:rPr>
        <w:footnoteRef/>
      </w:r>
      <w:r w:rsidRPr="00D5498C">
        <w:rPr>
          <w:rFonts w:asciiTheme="majorBidi" w:hAnsiTheme="majorBidi" w:cstheme="majorBidi"/>
          <w:bCs/>
        </w:rPr>
        <w:t>Isabelle Ost</w:t>
      </w:r>
      <w:r w:rsidRPr="00D5498C">
        <w:rPr>
          <w:rFonts w:asciiTheme="majorBidi" w:hAnsiTheme="majorBidi" w:cstheme="majorBidi"/>
        </w:rPr>
        <w:t xml:space="preserve">, « Ghelderode (Michel de), </w:t>
      </w:r>
      <w:r w:rsidRPr="00D5498C">
        <w:rPr>
          <w:rFonts w:asciiTheme="majorBidi" w:hAnsiTheme="majorBidi" w:cstheme="majorBidi"/>
          <w:i/>
          <w:iCs/>
        </w:rPr>
        <w:t>La balade du grand Macabre</w:t>
      </w:r>
      <w:r w:rsidRPr="00D5498C">
        <w:rPr>
          <w:rFonts w:asciiTheme="majorBidi" w:hAnsiTheme="majorBidi" w:cstheme="majorBidi"/>
        </w:rPr>
        <w:t xml:space="preserve">. Blancart-Cassou (Jacqueline) (éd.) », </w:t>
      </w:r>
      <w:r w:rsidRPr="00D5498C">
        <w:rPr>
          <w:rFonts w:asciiTheme="majorBidi" w:hAnsiTheme="majorBidi" w:cstheme="majorBidi"/>
          <w:i/>
          <w:iCs/>
        </w:rPr>
        <w:t>Textyles</w:t>
      </w:r>
      <w:r w:rsidRPr="00D5498C">
        <w:rPr>
          <w:rFonts w:asciiTheme="majorBidi" w:hAnsiTheme="majorBidi" w:cstheme="majorBidi"/>
        </w:rPr>
        <w:t>, 23 | 2003, p.127-128.</w:t>
      </w:r>
    </w:p>
  </w:footnote>
  <w:footnote w:id="97">
    <w:p w:rsidR="006C092A" w:rsidRPr="00220A41" w:rsidRDefault="006C092A" w:rsidP="00220A41">
      <w:pPr>
        <w:pStyle w:val="Notedebasdepage"/>
        <w:jc w:val="both"/>
        <w:rPr>
          <w:rFonts w:asciiTheme="majorBidi" w:hAnsiTheme="majorBidi" w:cstheme="majorBidi"/>
        </w:rPr>
      </w:pPr>
      <w:r w:rsidRPr="00220A41">
        <w:rPr>
          <w:rStyle w:val="Appelnotedebasdep"/>
          <w:rFonts w:asciiTheme="majorBidi" w:hAnsiTheme="majorBidi" w:cstheme="majorBidi"/>
        </w:rPr>
        <w:footnoteRef/>
      </w:r>
      <w:r w:rsidRPr="00220A41">
        <w:rPr>
          <w:rFonts w:asciiTheme="majorBidi" w:hAnsiTheme="majorBidi" w:cstheme="majorBidi"/>
          <w:bCs/>
        </w:rPr>
        <w:t xml:space="preserve">Jacqueline Blancart-Cassou, </w:t>
      </w:r>
      <w:r w:rsidRPr="00220A41">
        <w:rPr>
          <w:rFonts w:asciiTheme="majorBidi" w:hAnsiTheme="majorBidi" w:cstheme="majorBidi"/>
          <w:bCs/>
          <w:i/>
          <w:iCs/>
        </w:rPr>
        <w:t>Ghelderode conteur. De l’angoisse au rire</w:t>
      </w:r>
      <w:r w:rsidRPr="00220A41">
        <w:rPr>
          <w:rFonts w:asciiTheme="majorBidi" w:hAnsiTheme="majorBidi" w:cstheme="majorBidi"/>
          <w:bCs/>
        </w:rPr>
        <w:t>. Préface de Jean-Yves Guérin. Honoré Champion, Paris, coll. Littérature de notre siècle, 2003, p. 316.</w:t>
      </w:r>
    </w:p>
  </w:footnote>
  <w:footnote w:id="98">
    <w:p w:rsidR="006C092A" w:rsidRPr="00220A41" w:rsidRDefault="006C092A" w:rsidP="00220A41">
      <w:pPr>
        <w:pStyle w:val="Notedebasdepage"/>
        <w:jc w:val="both"/>
        <w:rPr>
          <w:rFonts w:asciiTheme="majorBidi" w:hAnsiTheme="majorBidi" w:cstheme="majorBidi"/>
        </w:rPr>
      </w:pPr>
      <w:r w:rsidRPr="00220A41">
        <w:rPr>
          <w:rStyle w:val="Appelnotedebasdep"/>
          <w:rFonts w:asciiTheme="majorBidi" w:hAnsiTheme="majorBidi" w:cstheme="majorBidi"/>
        </w:rPr>
        <w:footnoteRef/>
      </w:r>
      <w:r w:rsidRPr="00220A41">
        <w:rPr>
          <w:rFonts w:asciiTheme="majorBidi" w:hAnsiTheme="majorBidi" w:cstheme="majorBidi"/>
          <w:bCs/>
        </w:rPr>
        <w:t xml:space="preserve">Jacqueline Blancart-Cassou, </w:t>
      </w:r>
      <w:r w:rsidRPr="00220A41">
        <w:rPr>
          <w:rFonts w:asciiTheme="majorBidi" w:hAnsiTheme="majorBidi" w:cstheme="majorBidi"/>
          <w:i/>
          <w:iCs/>
        </w:rPr>
        <w:t>Le rire de Michel de Ghelderode</w:t>
      </w:r>
      <w:r w:rsidRPr="00220A41">
        <w:rPr>
          <w:rFonts w:asciiTheme="majorBidi" w:hAnsiTheme="majorBidi" w:cstheme="majorBidi"/>
        </w:rPr>
        <w:t>, Klincksieck, Paris, 1987, p.121.</w:t>
      </w:r>
    </w:p>
  </w:footnote>
  <w:footnote w:id="99">
    <w:p w:rsidR="006C092A" w:rsidRPr="00637154" w:rsidRDefault="006C092A" w:rsidP="00637154">
      <w:pPr>
        <w:pStyle w:val="Notedebasdepage"/>
        <w:jc w:val="both"/>
        <w:rPr>
          <w:rFonts w:asciiTheme="majorBidi" w:hAnsiTheme="majorBidi" w:cstheme="majorBidi"/>
        </w:rPr>
      </w:pPr>
      <w:r w:rsidRPr="00637154">
        <w:rPr>
          <w:rStyle w:val="Appelnotedebasdep"/>
          <w:rFonts w:asciiTheme="majorBidi" w:hAnsiTheme="majorBidi" w:cstheme="majorBidi"/>
        </w:rPr>
        <w:footnoteRef/>
      </w:r>
      <w:r w:rsidRPr="00637154">
        <w:rPr>
          <w:rFonts w:asciiTheme="majorBidi" w:hAnsiTheme="majorBidi" w:cstheme="majorBidi"/>
        </w:rPr>
        <w:t>Gabriella Hegyesi, « </w:t>
      </w:r>
      <w:r w:rsidRPr="00637154">
        <w:rPr>
          <w:rFonts w:asciiTheme="majorBidi" w:hAnsiTheme="majorBidi" w:cstheme="majorBidi"/>
          <w:bCs/>
        </w:rPr>
        <w:t xml:space="preserve">L’héritage classique dans l’œuvre de Michel de Ghelderode », </w:t>
      </w:r>
      <w:r w:rsidRPr="00637154">
        <w:rPr>
          <w:rFonts w:asciiTheme="majorBidi" w:hAnsiTheme="majorBidi" w:cstheme="majorBidi"/>
          <w:lang w:eastAsia="fr-FR"/>
        </w:rPr>
        <w:t>Université Eötvös Loránd, Budapest.</w:t>
      </w:r>
    </w:p>
  </w:footnote>
  <w:footnote w:id="100">
    <w:p w:rsidR="006C092A" w:rsidRPr="00637154" w:rsidRDefault="006C092A" w:rsidP="00637154">
      <w:pPr>
        <w:pStyle w:val="Notedebasdepage"/>
        <w:jc w:val="both"/>
        <w:rPr>
          <w:rFonts w:asciiTheme="majorBidi" w:hAnsiTheme="majorBidi" w:cstheme="majorBidi"/>
        </w:rPr>
      </w:pPr>
      <w:r w:rsidRPr="00637154">
        <w:rPr>
          <w:rStyle w:val="Appelnotedebasdep"/>
          <w:rFonts w:asciiTheme="majorBidi" w:hAnsiTheme="majorBidi" w:cstheme="majorBidi"/>
        </w:rPr>
        <w:footnoteRef/>
      </w:r>
      <w:r w:rsidRPr="00637154">
        <w:rPr>
          <w:rFonts w:asciiTheme="majorBidi" w:hAnsiTheme="majorBidi" w:cstheme="majorBidi"/>
        </w:rPr>
        <w:t xml:space="preserve"> Roland Beyen, </w:t>
      </w:r>
      <w:r w:rsidRPr="00637154">
        <w:rPr>
          <w:rFonts w:asciiTheme="majorBidi" w:hAnsiTheme="majorBidi" w:cstheme="majorBidi"/>
          <w:i/>
          <w:iCs/>
        </w:rPr>
        <w:t>Michel de Ghelderode ou la hantise du masque, essai de biographie critique,</w:t>
      </w:r>
      <w:r w:rsidRPr="00637154">
        <w:rPr>
          <w:rFonts w:asciiTheme="majorBidi" w:hAnsiTheme="majorBidi" w:cstheme="majorBidi"/>
        </w:rPr>
        <w:t xml:space="preserve"> Palais des Académies, Bruxelles, 1971, p. 180.</w:t>
      </w:r>
    </w:p>
  </w:footnote>
  <w:footnote w:id="101">
    <w:p w:rsidR="006C092A" w:rsidRPr="00637154" w:rsidRDefault="006C092A" w:rsidP="00181E2D">
      <w:pPr>
        <w:pStyle w:val="Notedebasdepage"/>
        <w:jc w:val="both"/>
        <w:rPr>
          <w:rFonts w:asciiTheme="majorBidi" w:hAnsiTheme="majorBidi" w:cstheme="majorBidi"/>
        </w:rPr>
      </w:pPr>
      <w:r w:rsidRPr="00637154">
        <w:rPr>
          <w:rStyle w:val="Appelnotedebasdep"/>
          <w:rFonts w:asciiTheme="majorBidi" w:hAnsiTheme="majorBidi" w:cstheme="majorBidi"/>
        </w:rPr>
        <w:footnoteRef/>
      </w:r>
      <w:r w:rsidRPr="00637154">
        <w:rPr>
          <w:rFonts w:asciiTheme="majorBidi" w:hAnsiTheme="majorBidi" w:cstheme="majorBidi"/>
          <w:bCs/>
        </w:rPr>
        <w:t>Katherine Rondou</w:t>
      </w:r>
      <w:r w:rsidRPr="00637154">
        <w:rPr>
          <w:rFonts w:asciiTheme="majorBidi" w:hAnsiTheme="majorBidi" w:cstheme="majorBidi"/>
        </w:rPr>
        <w:t xml:space="preserve">, « Renouvellement du personnage de sainte Marie-Madeleine dans le théâtre de Michel de Ghelderode », </w:t>
      </w:r>
      <w:r w:rsidRPr="00637154">
        <w:rPr>
          <w:rFonts w:asciiTheme="majorBidi" w:hAnsiTheme="majorBidi" w:cstheme="majorBidi"/>
          <w:i/>
          <w:iCs/>
        </w:rPr>
        <w:t>Textyles</w:t>
      </w:r>
      <w:r w:rsidRPr="00637154">
        <w:rPr>
          <w:rFonts w:asciiTheme="majorBidi" w:hAnsiTheme="majorBidi" w:cstheme="majorBidi"/>
        </w:rPr>
        <w:t>, 36-37 | 2010, p.251-263.</w:t>
      </w:r>
    </w:p>
  </w:footnote>
  <w:footnote w:id="102">
    <w:p w:rsidR="006C092A" w:rsidRPr="00637154" w:rsidRDefault="006C092A" w:rsidP="00181E2D">
      <w:pPr>
        <w:pStyle w:val="Notedebasdepage"/>
        <w:jc w:val="both"/>
        <w:rPr>
          <w:rFonts w:asciiTheme="majorBidi" w:hAnsiTheme="majorBidi" w:cstheme="majorBidi"/>
          <w:lang w:val="en-US"/>
        </w:rPr>
      </w:pPr>
      <w:r w:rsidRPr="00637154">
        <w:rPr>
          <w:rStyle w:val="Appelnotedebasdep"/>
          <w:rFonts w:asciiTheme="majorBidi" w:hAnsiTheme="majorBidi" w:cstheme="majorBidi"/>
        </w:rPr>
        <w:footnoteRef/>
      </w:r>
      <w:r w:rsidRPr="00637154">
        <w:rPr>
          <w:rFonts w:asciiTheme="majorBidi" w:hAnsiTheme="majorBidi" w:cstheme="majorBidi"/>
          <w:lang w:val="en-US"/>
        </w:rPr>
        <w:t>Roland Beyen</w:t>
      </w:r>
      <w:r w:rsidRPr="00637154">
        <w:rPr>
          <w:rFonts w:asciiTheme="majorBidi" w:hAnsiTheme="majorBidi" w:cstheme="majorBidi"/>
          <w:i/>
          <w:iCs/>
          <w:lang w:val="en-US"/>
        </w:rPr>
        <w:t xml:space="preserve">, </w:t>
      </w:r>
      <w:proofErr w:type="gramStart"/>
      <w:r w:rsidRPr="00637154">
        <w:rPr>
          <w:rFonts w:asciiTheme="majorBidi" w:hAnsiTheme="majorBidi" w:cstheme="majorBidi"/>
          <w:i/>
          <w:iCs/>
          <w:lang w:val="en-US"/>
        </w:rPr>
        <w:t>op.cit.</w:t>
      </w:r>
      <w:r w:rsidRPr="00637154">
        <w:rPr>
          <w:rFonts w:asciiTheme="majorBidi" w:hAnsiTheme="majorBidi" w:cstheme="majorBidi"/>
          <w:lang w:val="en-US"/>
        </w:rPr>
        <w:t>,</w:t>
      </w:r>
      <w:proofErr w:type="gramEnd"/>
      <w:r w:rsidRPr="00637154">
        <w:rPr>
          <w:rFonts w:asciiTheme="majorBidi" w:hAnsiTheme="majorBidi" w:cstheme="majorBidi"/>
          <w:lang w:val="en-US"/>
        </w:rPr>
        <w:t xml:space="preserve"> p.487</w:t>
      </w:r>
      <w:r w:rsidRPr="00637154">
        <w:rPr>
          <w:rFonts w:asciiTheme="majorBidi" w:hAnsiTheme="majorBidi" w:cstheme="majorBidi"/>
          <w:color w:val="00B0F0"/>
          <w:lang w:val="en-US"/>
        </w:rPr>
        <w:t>.</w:t>
      </w:r>
    </w:p>
  </w:footnote>
  <w:footnote w:id="103">
    <w:p w:rsidR="006C092A" w:rsidRPr="00BA3B99" w:rsidRDefault="006C092A" w:rsidP="00BA3B99">
      <w:pPr>
        <w:pStyle w:val="Notedebasdepage"/>
        <w:jc w:val="both"/>
        <w:rPr>
          <w:rFonts w:asciiTheme="majorBidi" w:hAnsiTheme="majorBidi" w:cstheme="majorBidi"/>
        </w:rPr>
      </w:pPr>
      <w:r w:rsidRPr="00BA3B99">
        <w:rPr>
          <w:rStyle w:val="Appelnotedebasdep"/>
          <w:rFonts w:asciiTheme="majorBidi" w:hAnsiTheme="majorBidi" w:cstheme="majorBidi"/>
        </w:rPr>
        <w:footnoteRef/>
      </w:r>
      <w:r w:rsidRPr="00BA3B99">
        <w:rPr>
          <w:rFonts w:asciiTheme="majorBidi" w:hAnsiTheme="majorBidi" w:cstheme="majorBidi"/>
        </w:rPr>
        <w:t xml:space="preserve">Paul Willems, «À la recherche d’un langage », in </w:t>
      </w:r>
      <w:r w:rsidRPr="00BA3B99">
        <w:rPr>
          <w:rFonts w:asciiTheme="majorBidi" w:hAnsiTheme="majorBidi" w:cstheme="majorBidi"/>
          <w:i/>
          <w:iCs/>
        </w:rPr>
        <w:t xml:space="preserve">Marginales </w:t>
      </w:r>
      <w:r w:rsidRPr="00BA3B99">
        <w:rPr>
          <w:rFonts w:asciiTheme="majorBidi" w:hAnsiTheme="majorBidi" w:cstheme="majorBidi"/>
        </w:rPr>
        <w:t>n</w:t>
      </w:r>
      <w:r w:rsidRPr="00BA3B99">
        <w:rPr>
          <w:rFonts w:asciiTheme="majorBidi" w:hAnsiTheme="majorBidi" w:cstheme="majorBidi"/>
          <w:vertAlign w:val="superscript"/>
        </w:rPr>
        <w:t>o</w:t>
      </w:r>
      <w:r w:rsidRPr="00BA3B99">
        <w:rPr>
          <w:rFonts w:asciiTheme="majorBidi" w:hAnsiTheme="majorBidi" w:cstheme="majorBidi"/>
        </w:rPr>
        <w:t>112-113, Bruxelles, mai 1967, p. 105.</w:t>
      </w:r>
    </w:p>
  </w:footnote>
  <w:footnote w:id="104">
    <w:p w:rsidR="006C092A" w:rsidRPr="00BA3B99" w:rsidRDefault="006C092A" w:rsidP="00BA3B99">
      <w:pPr>
        <w:autoSpaceDE w:val="0"/>
        <w:autoSpaceDN w:val="0"/>
        <w:adjustRightInd w:val="0"/>
        <w:spacing w:after="0" w:line="240" w:lineRule="auto"/>
        <w:jc w:val="both"/>
        <w:rPr>
          <w:rFonts w:asciiTheme="majorBidi" w:hAnsiTheme="majorBidi" w:cstheme="majorBidi"/>
          <w:sz w:val="20"/>
          <w:szCs w:val="20"/>
          <w:lang w:val="en-US"/>
        </w:rPr>
      </w:pPr>
      <w:r w:rsidRPr="00BA3B99">
        <w:rPr>
          <w:rStyle w:val="Appelnotedebasdep"/>
          <w:rFonts w:asciiTheme="majorBidi" w:hAnsiTheme="majorBidi" w:cstheme="majorBidi"/>
          <w:sz w:val="20"/>
          <w:szCs w:val="20"/>
        </w:rPr>
        <w:footnoteRef/>
      </w:r>
      <w:r w:rsidRPr="00BA3B99">
        <w:rPr>
          <w:rFonts w:asciiTheme="majorBidi" w:hAnsiTheme="majorBidi" w:cstheme="majorBidi"/>
          <w:sz w:val="20"/>
          <w:szCs w:val="20"/>
          <w:lang w:val="en-US"/>
        </w:rPr>
        <w:t xml:space="preserve">Roland Beyen, </w:t>
      </w:r>
      <w:proofErr w:type="gramStart"/>
      <w:r w:rsidRPr="00BA3B99">
        <w:rPr>
          <w:rFonts w:asciiTheme="majorBidi" w:hAnsiTheme="majorBidi" w:cstheme="majorBidi"/>
          <w:i/>
          <w:iCs/>
          <w:sz w:val="20"/>
          <w:szCs w:val="20"/>
          <w:lang w:val="en-US" w:eastAsia="fr-FR"/>
        </w:rPr>
        <w:t>op.cit.,</w:t>
      </w:r>
      <w:proofErr w:type="gramEnd"/>
      <w:r w:rsidRPr="00BA3B99">
        <w:rPr>
          <w:rFonts w:asciiTheme="majorBidi" w:hAnsiTheme="majorBidi" w:cstheme="majorBidi"/>
          <w:sz w:val="20"/>
          <w:szCs w:val="20"/>
          <w:lang w:val="en-US"/>
        </w:rPr>
        <w:t xml:space="preserve"> p.22. </w:t>
      </w:r>
    </w:p>
  </w:footnote>
  <w:footnote w:id="105">
    <w:p w:rsidR="006C092A" w:rsidRPr="00BA3B99" w:rsidRDefault="006C092A" w:rsidP="00BA3B99">
      <w:pPr>
        <w:pStyle w:val="Notedebasdepage"/>
        <w:jc w:val="both"/>
        <w:rPr>
          <w:rFonts w:asciiTheme="majorBidi" w:hAnsiTheme="majorBidi" w:cstheme="majorBidi"/>
        </w:rPr>
      </w:pPr>
      <w:r w:rsidRPr="00BA3B99">
        <w:rPr>
          <w:rStyle w:val="Appelnotedebasdep"/>
          <w:rFonts w:asciiTheme="majorBidi" w:hAnsiTheme="majorBidi" w:cstheme="majorBidi"/>
        </w:rPr>
        <w:footnoteRef/>
      </w:r>
      <w:r w:rsidRPr="00BA3B99">
        <w:rPr>
          <w:rFonts w:asciiTheme="majorBidi" w:hAnsiTheme="majorBidi" w:cstheme="majorBidi"/>
        </w:rPr>
        <w:t xml:space="preserve">Anne-Marie Beckers, </w:t>
      </w:r>
      <w:r w:rsidRPr="00BA3B99">
        <w:rPr>
          <w:rFonts w:asciiTheme="majorBidi" w:hAnsiTheme="majorBidi" w:cstheme="majorBidi"/>
          <w:i/>
        </w:rPr>
        <w:t>Michel de Ghelderode</w:t>
      </w:r>
      <w:r w:rsidRPr="00BA3B99">
        <w:rPr>
          <w:rFonts w:asciiTheme="majorBidi" w:hAnsiTheme="majorBidi" w:cstheme="majorBidi"/>
        </w:rPr>
        <w:t>, Labor, Bruxelles, 1987, p. 19.</w:t>
      </w:r>
    </w:p>
  </w:footnote>
  <w:footnote w:id="106">
    <w:p w:rsidR="006C092A" w:rsidRPr="00145307" w:rsidRDefault="006C092A" w:rsidP="002C5AC1">
      <w:pPr>
        <w:pStyle w:val="Notedebasdepage"/>
        <w:jc w:val="both"/>
        <w:rPr>
          <w:rFonts w:ascii="Times New Roman" w:hAnsi="Times New Roman"/>
          <w:lang w:val="en-US"/>
        </w:rPr>
      </w:pPr>
      <w:r w:rsidRPr="00CF6C53">
        <w:rPr>
          <w:rStyle w:val="Appelnotedebasdep"/>
          <w:rFonts w:ascii="Times New Roman" w:hAnsi="Times New Roman"/>
        </w:rPr>
        <w:footnoteRef/>
      </w:r>
      <w:proofErr w:type="gramStart"/>
      <w:r w:rsidRPr="00145307">
        <w:rPr>
          <w:rFonts w:ascii="Times New Roman" w:hAnsi="Times New Roman"/>
          <w:i/>
          <w:iCs/>
          <w:lang w:val="en-US"/>
        </w:rPr>
        <w:t>Ibid.,</w:t>
      </w:r>
      <w:proofErr w:type="gramEnd"/>
      <w:r w:rsidRPr="00145307">
        <w:rPr>
          <w:rFonts w:ascii="Times New Roman" w:hAnsi="Times New Roman"/>
          <w:i/>
          <w:iCs/>
          <w:color w:val="00B0F0"/>
          <w:lang w:val="en-US"/>
        </w:rPr>
        <w:t xml:space="preserve"> </w:t>
      </w:r>
      <w:r w:rsidRPr="00145307">
        <w:rPr>
          <w:rFonts w:ascii="Times New Roman" w:hAnsi="Times New Roman"/>
          <w:lang w:val="en-US"/>
        </w:rPr>
        <w:t>p. 25.</w:t>
      </w:r>
    </w:p>
  </w:footnote>
  <w:footnote w:id="107">
    <w:p w:rsidR="006C092A" w:rsidRPr="002C5AC1" w:rsidRDefault="006C092A" w:rsidP="002C5AC1">
      <w:pPr>
        <w:pStyle w:val="Notedebasdepage"/>
        <w:jc w:val="both"/>
        <w:rPr>
          <w:rFonts w:ascii="Times New Roman" w:hAnsi="Times New Roman"/>
          <w:lang w:val="en-US"/>
        </w:rPr>
      </w:pPr>
      <w:r w:rsidRPr="00CF6C53">
        <w:rPr>
          <w:rStyle w:val="Appelnotedebasdep"/>
          <w:rFonts w:ascii="Times New Roman" w:hAnsi="Times New Roman"/>
        </w:rPr>
        <w:footnoteRef/>
      </w:r>
      <w:proofErr w:type="gramStart"/>
      <w:r w:rsidRPr="002C5AC1">
        <w:rPr>
          <w:rFonts w:ascii="Times New Roman" w:hAnsi="Times New Roman"/>
          <w:i/>
          <w:iCs/>
          <w:lang w:val="en-US"/>
        </w:rPr>
        <w:t>Ibid.,</w:t>
      </w:r>
      <w:proofErr w:type="gramEnd"/>
      <w:r w:rsidRPr="002C5AC1">
        <w:rPr>
          <w:rFonts w:ascii="Times New Roman" w:hAnsi="Times New Roman"/>
          <w:i/>
          <w:iCs/>
          <w:color w:val="00B0F0"/>
          <w:lang w:val="en-US"/>
        </w:rPr>
        <w:t xml:space="preserve"> </w:t>
      </w:r>
      <w:r w:rsidRPr="002C5AC1">
        <w:rPr>
          <w:rFonts w:ascii="Times New Roman" w:hAnsi="Times New Roman"/>
          <w:lang w:val="en-US"/>
        </w:rPr>
        <w:t>p. 19-21</w:t>
      </w:r>
      <w:r w:rsidRPr="002C5AC1">
        <w:rPr>
          <w:rFonts w:ascii="Times New Roman" w:hAnsi="Times New Roman"/>
          <w:color w:val="00B0F0"/>
          <w:lang w:val="en-US"/>
        </w:rPr>
        <w:t>.</w:t>
      </w:r>
    </w:p>
  </w:footnote>
  <w:footnote w:id="108">
    <w:p w:rsidR="006C092A" w:rsidRPr="002C5AC1" w:rsidRDefault="006C092A" w:rsidP="002C5AC1">
      <w:pPr>
        <w:pStyle w:val="Notedebasdepage"/>
        <w:jc w:val="both"/>
        <w:rPr>
          <w:rFonts w:ascii="Times New Roman" w:hAnsi="Times New Roman"/>
          <w:lang w:val="en-US"/>
        </w:rPr>
      </w:pPr>
      <w:r w:rsidRPr="00CF6C53">
        <w:rPr>
          <w:rStyle w:val="Appelnotedebasdep"/>
          <w:rFonts w:ascii="Times New Roman" w:hAnsi="Times New Roman"/>
        </w:rPr>
        <w:footnoteRef/>
      </w:r>
      <w:r w:rsidRPr="002C5AC1">
        <w:rPr>
          <w:rFonts w:ascii="Times New Roman" w:hAnsi="Times New Roman"/>
          <w:lang w:val="en-US"/>
        </w:rPr>
        <w:t xml:space="preserve">Roland Beyen, </w:t>
      </w:r>
      <w:proofErr w:type="gramStart"/>
      <w:r w:rsidRPr="002C5AC1">
        <w:rPr>
          <w:rFonts w:ascii="Times New Roman" w:hAnsi="Times New Roman"/>
          <w:i/>
          <w:iCs/>
          <w:lang w:val="en-US" w:eastAsia="fr-FR"/>
        </w:rPr>
        <w:t>op.cit.,</w:t>
      </w:r>
      <w:proofErr w:type="gramEnd"/>
      <w:r w:rsidRPr="002C5AC1">
        <w:rPr>
          <w:rFonts w:ascii="Times New Roman" w:hAnsi="Times New Roman"/>
          <w:lang w:val="en-US"/>
        </w:rPr>
        <w:t xml:space="preserve"> p.14. </w:t>
      </w:r>
    </w:p>
  </w:footnote>
  <w:footnote w:id="109">
    <w:p w:rsidR="006C092A" w:rsidRPr="00F841D0" w:rsidRDefault="006C092A" w:rsidP="00F841D0">
      <w:pPr>
        <w:pStyle w:val="Notedebasdepage"/>
        <w:jc w:val="both"/>
        <w:rPr>
          <w:rFonts w:asciiTheme="majorBidi" w:hAnsiTheme="majorBidi" w:cstheme="majorBidi"/>
          <w:lang w:val="en-US"/>
        </w:rPr>
      </w:pPr>
      <w:r w:rsidRPr="00F841D0">
        <w:rPr>
          <w:rStyle w:val="Appelnotedebasdep"/>
          <w:rFonts w:asciiTheme="majorBidi" w:hAnsiTheme="majorBidi" w:cstheme="majorBidi"/>
        </w:rPr>
        <w:footnoteRef/>
      </w:r>
      <w:r w:rsidRPr="00F841D0">
        <w:rPr>
          <w:rFonts w:asciiTheme="majorBidi" w:hAnsiTheme="majorBidi" w:cstheme="majorBidi"/>
          <w:lang w:val="en-US"/>
        </w:rPr>
        <w:t xml:space="preserve">Ahmed Cheniki, </w:t>
      </w:r>
      <w:proofErr w:type="gramStart"/>
      <w:r w:rsidRPr="00F841D0">
        <w:rPr>
          <w:rFonts w:asciiTheme="majorBidi" w:hAnsiTheme="majorBidi" w:cstheme="majorBidi"/>
          <w:i/>
          <w:iCs/>
          <w:lang w:val="en-US"/>
        </w:rPr>
        <w:t>op.cit.,</w:t>
      </w:r>
      <w:proofErr w:type="gramEnd"/>
      <w:r w:rsidRPr="00F841D0">
        <w:rPr>
          <w:rFonts w:asciiTheme="majorBidi" w:hAnsiTheme="majorBidi" w:cstheme="majorBidi"/>
          <w:i/>
          <w:iCs/>
          <w:lang w:val="en-US"/>
        </w:rPr>
        <w:t xml:space="preserve"> </w:t>
      </w:r>
      <w:r w:rsidRPr="00F841D0">
        <w:rPr>
          <w:rFonts w:asciiTheme="majorBidi" w:hAnsiTheme="majorBidi" w:cstheme="majorBidi"/>
          <w:lang w:val="en-US"/>
        </w:rPr>
        <w:t>p.76.</w:t>
      </w:r>
      <w:r w:rsidRPr="00F841D0">
        <w:rPr>
          <w:rFonts w:asciiTheme="majorBidi" w:hAnsiTheme="majorBidi" w:cstheme="majorBidi"/>
          <w:color w:val="00B0F0"/>
          <w:lang w:val="en-US"/>
        </w:rPr>
        <w:t> </w:t>
      </w:r>
    </w:p>
  </w:footnote>
  <w:footnote w:id="110">
    <w:p w:rsidR="006C092A" w:rsidRPr="00F841D0" w:rsidRDefault="006C092A" w:rsidP="00F841D0">
      <w:pPr>
        <w:pStyle w:val="Notedebasdepage"/>
        <w:jc w:val="both"/>
        <w:rPr>
          <w:rFonts w:asciiTheme="majorBidi" w:hAnsiTheme="majorBidi" w:cstheme="majorBidi"/>
        </w:rPr>
      </w:pPr>
      <w:r w:rsidRPr="00F841D0">
        <w:rPr>
          <w:rStyle w:val="Appelnotedebasdep"/>
          <w:rFonts w:asciiTheme="majorBidi" w:hAnsiTheme="majorBidi" w:cstheme="majorBidi"/>
        </w:rPr>
        <w:footnoteRef/>
      </w:r>
      <w:r w:rsidRPr="00F841D0">
        <w:rPr>
          <w:rFonts w:asciiTheme="majorBidi" w:hAnsiTheme="majorBidi" w:cstheme="majorBidi"/>
        </w:rPr>
        <w:t>Mostefa Lacheraf, « </w:t>
      </w:r>
      <w:r w:rsidRPr="00F841D0">
        <w:rPr>
          <w:rFonts w:asciiTheme="majorBidi" w:hAnsiTheme="majorBidi" w:cstheme="majorBidi"/>
          <w:bCs/>
          <w:iCs/>
        </w:rPr>
        <w:t>Un cadre général pour un essai d’application de certains phénomènes culturels liés à l’histoire et à la société</w:t>
      </w:r>
      <w:r w:rsidRPr="00F841D0">
        <w:rPr>
          <w:rFonts w:asciiTheme="majorBidi" w:hAnsiTheme="majorBidi" w:cstheme="majorBidi"/>
          <w:bCs/>
          <w:i/>
          <w:iCs/>
        </w:rPr>
        <w:t> »</w:t>
      </w:r>
      <w:r w:rsidRPr="00F841D0">
        <w:rPr>
          <w:rFonts w:asciiTheme="majorBidi" w:hAnsiTheme="majorBidi" w:cstheme="majorBidi"/>
        </w:rPr>
        <w:t xml:space="preserve">, in </w:t>
      </w:r>
      <w:r w:rsidRPr="00F841D0">
        <w:rPr>
          <w:rFonts w:asciiTheme="majorBidi" w:hAnsiTheme="majorBidi" w:cstheme="majorBidi"/>
          <w:bCs/>
          <w:i/>
        </w:rPr>
        <w:t>Algérie-Actualité</w:t>
      </w:r>
      <w:r w:rsidRPr="00F841D0">
        <w:rPr>
          <w:rFonts w:asciiTheme="majorBidi" w:hAnsiTheme="majorBidi" w:cstheme="majorBidi"/>
          <w:bCs/>
          <w:iCs/>
        </w:rPr>
        <w:t xml:space="preserve"> n</w:t>
      </w:r>
      <w:r w:rsidRPr="00F841D0">
        <w:rPr>
          <w:rFonts w:asciiTheme="majorBidi" w:hAnsiTheme="majorBidi" w:cstheme="majorBidi"/>
        </w:rPr>
        <w:t>°813 du 14 mai 1981.</w:t>
      </w:r>
    </w:p>
  </w:footnote>
  <w:footnote w:id="111">
    <w:p w:rsidR="006C092A" w:rsidRPr="00D2043D" w:rsidRDefault="006C092A" w:rsidP="00D2043D">
      <w:pPr>
        <w:pStyle w:val="Notedebasdepage"/>
        <w:jc w:val="both"/>
        <w:rPr>
          <w:rFonts w:asciiTheme="majorBidi" w:hAnsiTheme="majorBidi" w:cstheme="majorBidi"/>
        </w:rPr>
      </w:pPr>
      <w:r w:rsidRPr="00D2043D">
        <w:rPr>
          <w:rStyle w:val="Appelnotedebasdep"/>
          <w:rFonts w:asciiTheme="majorBidi" w:hAnsiTheme="majorBidi" w:cstheme="majorBidi"/>
        </w:rPr>
        <w:footnoteRef/>
      </w:r>
      <w:r w:rsidRPr="00D2043D">
        <w:rPr>
          <w:rFonts w:asciiTheme="majorBidi" w:hAnsiTheme="majorBidi" w:cstheme="majorBidi"/>
        </w:rPr>
        <w:t xml:space="preserve">Zohra Bouchentouf  Siagh, </w:t>
      </w:r>
      <w:r w:rsidRPr="00D2043D">
        <w:rPr>
          <w:rFonts w:asciiTheme="majorBidi" w:hAnsiTheme="majorBidi" w:cstheme="majorBidi"/>
          <w:i/>
          <w:iCs/>
        </w:rPr>
        <w:t>Les usages linguistiques dans le théâtre amateur algérien (1978-1981)</w:t>
      </w:r>
      <w:r w:rsidRPr="00D2043D">
        <w:rPr>
          <w:rFonts w:asciiTheme="majorBidi" w:hAnsiTheme="majorBidi" w:cstheme="majorBidi"/>
        </w:rPr>
        <w:t>, (thèse de troisième cycle), Université Paris V-Sorbonne René-Descartes, année 1984, p.11-12.</w:t>
      </w:r>
    </w:p>
  </w:footnote>
  <w:footnote w:id="112">
    <w:p w:rsidR="006C092A" w:rsidRPr="00C62301" w:rsidRDefault="006C092A" w:rsidP="00C62301">
      <w:pPr>
        <w:pStyle w:val="Notedebasdepage"/>
        <w:jc w:val="both"/>
        <w:rPr>
          <w:rFonts w:asciiTheme="majorBidi" w:hAnsiTheme="majorBidi" w:cstheme="majorBidi"/>
        </w:rPr>
      </w:pPr>
      <w:r w:rsidRPr="00C62301">
        <w:rPr>
          <w:rStyle w:val="Appelnotedebasdep"/>
          <w:rFonts w:asciiTheme="majorBidi" w:hAnsiTheme="majorBidi" w:cstheme="majorBidi"/>
        </w:rPr>
        <w:footnoteRef/>
      </w:r>
      <w:r w:rsidRPr="00C62301">
        <w:rPr>
          <w:rFonts w:asciiTheme="majorBidi" w:hAnsiTheme="majorBidi" w:cstheme="majorBidi"/>
        </w:rPr>
        <w:t xml:space="preserve">Alexis de Tocqueville, cité in Jacqueline Amaud,  </w:t>
      </w:r>
      <w:r w:rsidRPr="00C62301">
        <w:rPr>
          <w:rFonts w:asciiTheme="majorBidi" w:hAnsiTheme="majorBidi" w:cstheme="majorBidi"/>
          <w:bCs/>
          <w:i/>
          <w:iCs/>
        </w:rPr>
        <w:t>Recherches sur la littérature maghrébine de langue française, Le cas de Kateb Yacine</w:t>
      </w:r>
      <w:r w:rsidRPr="00C62301">
        <w:rPr>
          <w:rFonts w:asciiTheme="majorBidi" w:hAnsiTheme="majorBidi" w:cstheme="majorBidi"/>
          <w:bCs/>
        </w:rPr>
        <w:t xml:space="preserve"> (thèse de doctorat)</w:t>
      </w:r>
      <w:r w:rsidRPr="00C62301">
        <w:rPr>
          <w:rFonts w:asciiTheme="majorBidi" w:hAnsiTheme="majorBidi" w:cstheme="majorBidi"/>
        </w:rPr>
        <w:t>, Paris, Université Paris 3, 1978, p.29.</w:t>
      </w:r>
    </w:p>
  </w:footnote>
  <w:footnote w:id="113">
    <w:p w:rsidR="006C092A" w:rsidRPr="00C62301" w:rsidRDefault="006C092A" w:rsidP="00C62301">
      <w:pPr>
        <w:pStyle w:val="Notedebasdepage"/>
        <w:jc w:val="both"/>
        <w:rPr>
          <w:rFonts w:asciiTheme="majorBidi" w:hAnsiTheme="majorBidi" w:cstheme="majorBidi"/>
        </w:rPr>
      </w:pPr>
      <w:r w:rsidRPr="00C62301">
        <w:rPr>
          <w:rStyle w:val="Appelnotedebasdep"/>
          <w:rFonts w:asciiTheme="majorBidi" w:hAnsiTheme="majorBidi" w:cstheme="majorBidi"/>
        </w:rPr>
        <w:footnoteRef/>
      </w:r>
      <w:r w:rsidRPr="00C62301">
        <w:rPr>
          <w:rFonts w:asciiTheme="majorBidi" w:hAnsiTheme="majorBidi" w:cstheme="majorBidi"/>
          <w:i/>
          <w:iCs/>
        </w:rPr>
        <w:t>Charte Nationale</w:t>
      </w:r>
      <w:r w:rsidRPr="00C62301">
        <w:rPr>
          <w:rFonts w:asciiTheme="majorBidi" w:hAnsiTheme="majorBidi" w:cstheme="majorBidi"/>
        </w:rPr>
        <w:t>, Editions du FLN, 1976, p.65.</w:t>
      </w:r>
    </w:p>
  </w:footnote>
  <w:footnote w:id="114">
    <w:p w:rsidR="006C092A" w:rsidRPr="00DB6BC3" w:rsidRDefault="006C092A" w:rsidP="00DB6BC3">
      <w:pPr>
        <w:shd w:val="clear" w:color="auto" w:fill="FFFFFF"/>
        <w:spacing w:after="0" w:line="240" w:lineRule="auto"/>
        <w:jc w:val="both"/>
        <w:rPr>
          <w:rFonts w:asciiTheme="majorBidi" w:hAnsiTheme="majorBidi" w:cstheme="majorBidi"/>
          <w:sz w:val="20"/>
          <w:szCs w:val="20"/>
        </w:rPr>
      </w:pPr>
      <w:r w:rsidRPr="00DB6BC3">
        <w:rPr>
          <w:rStyle w:val="Appelnotedebasdep"/>
          <w:rFonts w:asciiTheme="majorBidi" w:hAnsiTheme="majorBidi" w:cstheme="majorBidi"/>
          <w:sz w:val="20"/>
          <w:szCs w:val="20"/>
        </w:rPr>
        <w:footnoteRef/>
      </w:r>
      <w:r w:rsidRPr="00DB6BC3">
        <w:rPr>
          <w:rFonts w:asciiTheme="majorBidi" w:eastAsia="Times New Roman" w:hAnsiTheme="majorBidi" w:cstheme="majorBidi"/>
          <w:color w:val="000000"/>
          <w:sz w:val="20"/>
          <w:szCs w:val="20"/>
          <w:lang w:eastAsia="fr-FR"/>
        </w:rPr>
        <w:t>Hadj Dahmane</w:t>
      </w:r>
      <w:r w:rsidRPr="00DB6BC3">
        <w:rPr>
          <w:rFonts w:asciiTheme="majorBidi" w:hAnsiTheme="majorBidi" w:cstheme="majorBidi"/>
          <w:sz w:val="20"/>
          <w:szCs w:val="20"/>
        </w:rPr>
        <w:t xml:space="preserve">, « Brecht dans le théâtre algérien », in </w:t>
      </w:r>
      <w:r w:rsidRPr="00DB6BC3">
        <w:rPr>
          <w:rFonts w:asciiTheme="majorBidi" w:eastAsia="Times New Roman" w:hAnsiTheme="majorBidi" w:cstheme="majorBidi"/>
          <w:i/>
          <w:iCs/>
          <w:color w:val="000000"/>
          <w:sz w:val="20"/>
          <w:szCs w:val="20"/>
          <w:lang w:eastAsia="fr-FR"/>
        </w:rPr>
        <w:t>Annales du patrimoine </w:t>
      </w:r>
      <w:r w:rsidRPr="00DB6BC3">
        <w:rPr>
          <w:rFonts w:asciiTheme="majorBidi" w:hAnsiTheme="majorBidi" w:cstheme="majorBidi"/>
          <w:sz w:val="20"/>
          <w:szCs w:val="20"/>
        </w:rPr>
        <w:t xml:space="preserve"> n°11, 2011, p.5. </w:t>
      </w:r>
    </w:p>
    <w:p w:rsidR="006C092A" w:rsidRPr="00DB6BC3" w:rsidRDefault="006C092A" w:rsidP="00DB6BC3">
      <w:pPr>
        <w:pStyle w:val="Notedebasdepage"/>
        <w:jc w:val="both"/>
        <w:rPr>
          <w:rFonts w:asciiTheme="majorBidi" w:hAnsiTheme="majorBidi" w:cstheme="majorBidi"/>
        </w:rPr>
      </w:pPr>
    </w:p>
  </w:footnote>
  <w:footnote w:id="115">
    <w:p w:rsidR="006C092A" w:rsidRPr="000626E0" w:rsidRDefault="006C092A" w:rsidP="000626E0">
      <w:pPr>
        <w:pStyle w:val="Notedebasdepage"/>
        <w:jc w:val="both"/>
        <w:rPr>
          <w:rFonts w:asciiTheme="majorBidi" w:hAnsiTheme="majorBidi" w:cstheme="majorBidi"/>
        </w:rPr>
      </w:pPr>
      <w:r w:rsidRPr="000626E0">
        <w:rPr>
          <w:rStyle w:val="Appelnotedebasdep"/>
          <w:rFonts w:asciiTheme="majorBidi" w:hAnsiTheme="majorBidi" w:cstheme="majorBidi"/>
        </w:rPr>
        <w:footnoteRef/>
      </w:r>
      <w:r w:rsidRPr="000626E0">
        <w:rPr>
          <w:rFonts w:asciiTheme="majorBidi" w:hAnsiTheme="majorBidi" w:cstheme="majorBidi"/>
        </w:rPr>
        <w:t>Isabelle Ost, « Du clown au tragédien : le grotesque dans le théâtre de Michel de Ghelderode », Textyles [en ligne], 24 | 2004, mis en ligne le 12 juin 2012. Disponible sur : &lt;</w:t>
      </w:r>
      <w:hyperlink r:id="rId16" w:history="1">
        <w:r w:rsidRPr="000626E0">
          <w:rPr>
            <w:rStyle w:val="Lienhypertexte"/>
            <w:rFonts w:asciiTheme="majorBidi" w:hAnsiTheme="majorBidi" w:cstheme="majorBidi"/>
            <w:color w:val="auto"/>
          </w:rPr>
          <w:t>http://textyles.revues.org/772</w:t>
        </w:r>
      </w:hyperlink>
      <w:r w:rsidRPr="000626E0">
        <w:rPr>
          <w:rFonts w:asciiTheme="majorBidi" w:hAnsiTheme="majorBidi" w:cstheme="majorBidi"/>
        </w:rPr>
        <w:t>&gt;, consulté le 04 Octobre 2014 à 22h00.</w:t>
      </w:r>
    </w:p>
  </w:footnote>
  <w:footnote w:id="116">
    <w:p w:rsidR="006C092A" w:rsidRPr="000626E0" w:rsidRDefault="006C092A" w:rsidP="003825FC">
      <w:pPr>
        <w:spacing w:after="0" w:line="240" w:lineRule="auto"/>
        <w:jc w:val="both"/>
        <w:rPr>
          <w:rFonts w:asciiTheme="majorBidi" w:hAnsiTheme="majorBidi" w:cstheme="majorBidi"/>
          <w:sz w:val="20"/>
          <w:szCs w:val="20"/>
        </w:rPr>
      </w:pPr>
      <w:r w:rsidRPr="000626E0">
        <w:rPr>
          <w:rStyle w:val="Appelnotedebasdep"/>
          <w:rFonts w:asciiTheme="majorBidi" w:hAnsiTheme="majorBidi" w:cstheme="majorBidi"/>
          <w:sz w:val="20"/>
          <w:szCs w:val="20"/>
        </w:rPr>
        <w:footnoteRef/>
      </w:r>
      <w:r w:rsidRPr="000626E0">
        <w:rPr>
          <w:rFonts w:asciiTheme="majorBidi" w:hAnsiTheme="majorBidi" w:cstheme="majorBidi"/>
          <w:sz w:val="20"/>
          <w:szCs w:val="20"/>
        </w:rPr>
        <w:t>Mikhaïl B</w:t>
      </w:r>
      <w:r>
        <w:rPr>
          <w:rFonts w:asciiTheme="majorBidi" w:hAnsiTheme="majorBidi" w:cstheme="majorBidi"/>
          <w:sz w:val="20"/>
          <w:szCs w:val="20"/>
        </w:rPr>
        <w:t>akhtine</w:t>
      </w:r>
      <w:r w:rsidRPr="000626E0">
        <w:rPr>
          <w:rFonts w:asciiTheme="majorBidi" w:hAnsiTheme="majorBidi" w:cstheme="majorBidi"/>
          <w:sz w:val="20"/>
          <w:szCs w:val="20"/>
        </w:rPr>
        <w:t xml:space="preserve">, </w:t>
      </w:r>
      <w:r w:rsidRPr="000626E0">
        <w:rPr>
          <w:rStyle w:val="FontStyle71"/>
          <w:rFonts w:asciiTheme="majorBidi" w:hAnsiTheme="majorBidi" w:cstheme="majorBidi"/>
          <w:i/>
          <w:iCs/>
          <w:sz w:val="20"/>
          <w:szCs w:val="20"/>
        </w:rPr>
        <w:t xml:space="preserve">L’Œuvre de François Rabelais et la culture populaire au Moyen Âge, </w:t>
      </w:r>
      <w:r w:rsidRPr="000626E0">
        <w:rPr>
          <w:rStyle w:val="FontStyle71"/>
          <w:rFonts w:asciiTheme="majorBidi" w:hAnsiTheme="majorBidi" w:cstheme="majorBidi"/>
          <w:sz w:val="20"/>
          <w:szCs w:val="20"/>
        </w:rPr>
        <w:t>Gallimard, Paris, 1982, p.</w:t>
      </w:r>
      <w:r w:rsidRPr="000626E0">
        <w:rPr>
          <w:rStyle w:val="FontStyle71"/>
          <w:rFonts w:asciiTheme="majorBidi" w:hAnsiTheme="majorBidi" w:cstheme="majorBidi"/>
          <w:i/>
          <w:iCs/>
          <w:sz w:val="20"/>
          <w:szCs w:val="20"/>
        </w:rPr>
        <w:t>368.</w:t>
      </w:r>
    </w:p>
  </w:footnote>
  <w:footnote w:id="117">
    <w:p w:rsidR="006C092A" w:rsidRPr="00DC46C2" w:rsidRDefault="006C092A" w:rsidP="00DC46C2">
      <w:pPr>
        <w:pStyle w:val="Notedebasdepage"/>
        <w:jc w:val="both"/>
        <w:rPr>
          <w:rFonts w:asciiTheme="majorBidi" w:hAnsiTheme="majorBidi" w:cstheme="majorBidi"/>
        </w:rPr>
      </w:pPr>
      <w:r w:rsidRPr="00DC46C2">
        <w:rPr>
          <w:rStyle w:val="Appelnotedebasdep"/>
          <w:rFonts w:asciiTheme="majorBidi" w:hAnsiTheme="majorBidi" w:cstheme="majorBidi"/>
        </w:rPr>
        <w:footnoteRef/>
      </w:r>
      <w:r w:rsidRPr="00DC46C2">
        <w:rPr>
          <w:rFonts w:asciiTheme="majorBidi" w:hAnsiTheme="majorBidi" w:cstheme="majorBidi"/>
        </w:rPr>
        <w:t xml:space="preserve">Isabelle Ost, « Du clown au tragédien : le grotesque dans le théâtre de Michel de Ghelderode », </w:t>
      </w:r>
      <w:r w:rsidRPr="00DC46C2">
        <w:rPr>
          <w:rFonts w:asciiTheme="majorBidi" w:hAnsiTheme="majorBidi" w:cstheme="majorBidi"/>
          <w:i/>
          <w:iCs/>
        </w:rPr>
        <w:t>op, cit</w:t>
      </w:r>
      <w:r w:rsidRPr="00DC46C2">
        <w:rPr>
          <w:rFonts w:asciiTheme="majorBidi" w:hAnsiTheme="majorBidi" w:cstheme="majorBidi"/>
          <w:i/>
        </w:rPr>
        <w:t>.</w:t>
      </w:r>
    </w:p>
  </w:footnote>
  <w:footnote w:id="118">
    <w:p w:rsidR="006C092A" w:rsidRPr="00DC46C2" w:rsidRDefault="006C092A" w:rsidP="00486E62">
      <w:pPr>
        <w:pStyle w:val="Notedebasdepage"/>
        <w:jc w:val="both"/>
        <w:rPr>
          <w:rFonts w:asciiTheme="majorBidi" w:hAnsiTheme="majorBidi" w:cstheme="majorBidi"/>
        </w:rPr>
      </w:pPr>
      <w:r w:rsidRPr="00DC46C2">
        <w:rPr>
          <w:rStyle w:val="Appelnotedebasdep"/>
          <w:rFonts w:asciiTheme="majorBidi" w:hAnsiTheme="majorBidi" w:cstheme="majorBidi"/>
        </w:rPr>
        <w:footnoteRef/>
      </w:r>
      <w:r w:rsidRPr="00DC46C2">
        <w:rPr>
          <w:rFonts w:asciiTheme="majorBidi" w:hAnsiTheme="majorBidi" w:cstheme="majorBidi"/>
        </w:rPr>
        <w:t xml:space="preserve">Cf. Michel </w:t>
      </w:r>
      <w:r>
        <w:rPr>
          <w:rFonts w:asciiTheme="majorBidi" w:hAnsiTheme="majorBidi" w:cstheme="majorBidi"/>
        </w:rPr>
        <w:t>D</w:t>
      </w:r>
      <w:r w:rsidRPr="00DC46C2">
        <w:rPr>
          <w:rFonts w:asciiTheme="majorBidi" w:hAnsiTheme="majorBidi" w:cstheme="majorBidi"/>
        </w:rPr>
        <w:t xml:space="preserve">e Ghelderode, </w:t>
      </w:r>
      <w:r w:rsidRPr="00DC46C2">
        <w:rPr>
          <w:rFonts w:asciiTheme="majorBidi" w:hAnsiTheme="majorBidi" w:cstheme="majorBidi"/>
          <w:i/>
          <w:iCs/>
        </w:rPr>
        <w:t>Le Siège d’Ostende</w:t>
      </w:r>
      <w:r w:rsidRPr="00DC46C2">
        <w:rPr>
          <w:rFonts w:asciiTheme="majorBidi" w:hAnsiTheme="majorBidi" w:cstheme="majorBidi"/>
        </w:rPr>
        <w:t>, Musin, Bruxelles, 1980, p. 143.</w:t>
      </w:r>
    </w:p>
  </w:footnote>
  <w:footnote w:id="119">
    <w:p w:rsidR="006C092A" w:rsidRPr="00DC75E6" w:rsidRDefault="006C092A" w:rsidP="00D610BB">
      <w:pPr>
        <w:pStyle w:val="Notedebasdepage"/>
        <w:jc w:val="both"/>
        <w:rPr>
          <w:rFonts w:ascii="Times New Roman" w:hAnsi="Times New Roman"/>
        </w:rPr>
      </w:pPr>
      <w:r w:rsidRPr="00997953">
        <w:rPr>
          <w:rStyle w:val="Appelnotedebasdep"/>
          <w:rFonts w:ascii="Times New Roman" w:hAnsi="Times New Roman"/>
        </w:rPr>
        <w:footnoteRef/>
      </w:r>
      <w:r w:rsidRPr="00C3081B">
        <w:rPr>
          <w:rFonts w:ascii="Times New Roman" w:hAnsi="Times New Roman"/>
          <w:i/>
          <w:iCs/>
        </w:rPr>
        <w:t>Ibid</w:t>
      </w:r>
      <w:r>
        <w:rPr>
          <w:rFonts w:ascii="Times New Roman" w:hAnsi="Times New Roman"/>
          <w:i/>
          <w:iCs/>
        </w:rPr>
        <w:t>.</w:t>
      </w:r>
    </w:p>
  </w:footnote>
  <w:footnote w:id="120">
    <w:p w:rsidR="006C092A" w:rsidRPr="00DC75E6" w:rsidRDefault="006C092A" w:rsidP="00486E62">
      <w:pPr>
        <w:pStyle w:val="Notedebasdepage"/>
        <w:jc w:val="both"/>
        <w:rPr>
          <w:rFonts w:ascii="Times New Roman" w:hAnsi="Times New Roman"/>
        </w:rPr>
      </w:pPr>
      <w:r w:rsidRPr="00997953">
        <w:rPr>
          <w:rStyle w:val="Appelnotedebasdep"/>
          <w:rFonts w:ascii="Times New Roman" w:hAnsi="Times New Roman"/>
        </w:rPr>
        <w:footnoteRef/>
      </w:r>
      <w:r w:rsidRPr="00C3081B">
        <w:rPr>
          <w:rFonts w:ascii="Times New Roman" w:hAnsi="Times New Roman"/>
        </w:rPr>
        <w:t xml:space="preserve">Michel </w:t>
      </w:r>
      <w:r>
        <w:rPr>
          <w:rFonts w:ascii="Times New Roman" w:hAnsi="Times New Roman"/>
        </w:rPr>
        <w:t>D</w:t>
      </w:r>
      <w:r w:rsidRPr="00C3081B">
        <w:rPr>
          <w:rFonts w:ascii="Times New Roman" w:hAnsi="Times New Roman"/>
        </w:rPr>
        <w:t>e G</w:t>
      </w:r>
      <w:r>
        <w:rPr>
          <w:rFonts w:ascii="Times New Roman" w:hAnsi="Times New Roman"/>
        </w:rPr>
        <w:t>helderode</w:t>
      </w:r>
      <w:r w:rsidRPr="00C3081B">
        <w:rPr>
          <w:rFonts w:ascii="Times New Roman" w:hAnsi="Times New Roman"/>
        </w:rPr>
        <w:t xml:space="preserve">, </w:t>
      </w:r>
      <w:r w:rsidRPr="00C3081B">
        <w:rPr>
          <w:rFonts w:ascii="Times New Roman" w:hAnsi="Times New Roman"/>
          <w:i/>
          <w:iCs/>
        </w:rPr>
        <w:t>Le Siège d’Ostende</w:t>
      </w:r>
      <w:r w:rsidRPr="00C3081B">
        <w:rPr>
          <w:rFonts w:ascii="Times New Roman" w:hAnsi="Times New Roman"/>
        </w:rPr>
        <w:t>,</w:t>
      </w:r>
      <w:r>
        <w:rPr>
          <w:rFonts w:ascii="Times New Roman" w:hAnsi="Times New Roman"/>
        </w:rPr>
        <w:t xml:space="preserve"> </w:t>
      </w:r>
      <w:r>
        <w:rPr>
          <w:rFonts w:ascii="Times New Roman" w:hAnsi="Times New Roman"/>
          <w:i/>
          <w:iCs/>
        </w:rPr>
        <w:t xml:space="preserve">op.cit., </w:t>
      </w:r>
      <w:r>
        <w:rPr>
          <w:rFonts w:ascii="Times New Roman" w:hAnsi="Times New Roman"/>
        </w:rPr>
        <w:t>p. 144</w:t>
      </w:r>
      <w:r w:rsidRPr="00C3081B">
        <w:rPr>
          <w:rFonts w:ascii="Times New Roman" w:hAnsi="Times New Roman"/>
        </w:rPr>
        <w:t>.</w:t>
      </w:r>
    </w:p>
  </w:footnote>
  <w:footnote w:id="121">
    <w:p w:rsidR="006C092A" w:rsidRPr="00BA203C" w:rsidRDefault="006C092A" w:rsidP="00BA203C">
      <w:pPr>
        <w:pStyle w:val="Notedebasdepage"/>
        <w:jc w:val="both"/>
        <w:rPr>
          <w:rFonts w:asciiTheme="majorBidi" w:hAnsiTheme="majorBidi" w:cstheme="majorBidi"/>
        </w:rPr>
      </w:pPr>
      <w:r w:rsidRPr="00BA203C">
        <w:rPr>
          <w:rStyle w:val="Appelnotedebasdep"/>
          <w:rFonts w:asciiTheme="majorBidi" w:hAnsiTheme="majorBidi" w:cstheme="majorBidi"/>
        </w:rPr>
        <w:footnoteRef/>
      </w:r>
      <w:r w:rsidRPr="00BA203C">
        <w:rPr>
          <w:rFonts w:asciiTheme="majorBidi" w:hAnsiTheme="majorBidi" w:cstheme="majorBidi"/>
        </w:rPr>
        <w:t>Ahmed Cheniki, « </w:t>
      </w:r>
      <w:hyperlink r:id="rId17" w:history="1">
        <w:r w:rsidRPr="00BA203C">
          <w:rPr>
            <w:rFonts w:asciiTheme="majorBidi" w:hAnsiTheme="majorBidi" w:cstheme="majorBidi"/>
          </w:rPr>
          <w:t>Kaki, le génial porteur d’eau du théâtre</w:t>
        </w:r>
      </w:hyperlink>
      <w:r w:rsidRPr="00BA203C">
        <w:rPr>
          <w:rFonts w:asciiTheme="majorBidi" w:hAnsiTheme="majorBidi" w:cstheme="majorBidi"/>
        </w:rPr>
        <w:t xml:space="preserve"> », in </w:t>
      </w:r>
      <w:r w:rsidRPr="00BA203C">
        <w:rPr>
          <w:rFonts w:asciiTheme="majorBidi" w:hAnsiTheme="majorBidi" w:cstheme="majorBidi"/>
          <w:i/>
        </w:rPr>
        <w:t>Le Soir d’Algérie</w:t>
      </w:r>
      <w:r w:rsidRPr="00BA203C">
        <w:rPr>
          <w:rFonts w:asciiTheme="majorBidi" w:hAnsiTheme="majorBidi" w:cstheme="majorBidi"/>
        </w:rPr>
        <w:t xml:space="preserve"> (Rubrique Culture)</w:t>
      </w:r>
      <w:r w:rsidRPr="00BA203C">
        <w:rPr>
          <w:rFonts w:asciiTheme="majorBidi" w:hAnsiTheme="majorBidi" w:cstheme="majorBidi"/>
          <w:i/>
        </w:rPr>
        <w:t xml:space="preserve"> </w:t>
      </w:r>
      <w:r w:rsidRPr="00BA203C">
        <w:rPr>
          <w:rFonts w:asciiTheme="majorBidi" w:hAnsiTheme="majorBidi" w:cstheme="majorBidi"/>
          <w:iCs/>
        </w:rPr>
        <w:t xml:space="preserve">du </w:t>
      </w:r>
      <w:r w:rsidRPr="00BA203C">
        <w:rPr>
          <w:rFonts w:asciiTheme="majorBidi" w:hAnsiTheme="majorBidi" w:cstheme="majorBidi"/>
        </w:rPr>
        <w:t>6 Mai 2011,  p.8-9.</w:t>
      </w:r>
    </w:p>
  </w:footnote>
  <w:footnote w:id="122">
    <w:p w:rsidR="006C092A" w:rsidRPr="00E3335D" w:rsidRDefault="006C092A" w:rsidP="007579DE">
      <w:pPr>
        <w:pStyle w:val="Notedebasdepage"/>
        <w:jc w:val="both"/>
        <w:rPr>
          <w:rFonts w:asciiTheme="majorBidi" w:hAnsiTheme="majorBidi" w:cstheme="majorBidi"/>
          <w:lang w:val="en-US"/>
        </w:rPr>
      </w:pPr>
      <w:r w:rsidRPr="007579DE">
        <w:rPr>
          <w:rStyle w:val="Appelnotedebasdep"/>
          <w:rFonts w:asciiTheme="majorBidi" w:hAnsiTheme="majorBidi" w:cstheme="majorBidi"/>
        </w:rPr>
        <w:footnoteRef/>
      </w:r>
      <w:proofErr w:type="gramStart"/>
      <w:r w:rsidRPr="00E3335D">
        <w:rPr>
          <w:rFonts w:asciiTheme="majorBidi" w:hAnsiTheme="majorBidi" w:cstheme="majorBidi"/>
          <w:i/>
          <w:iCs/>
          <w:lang w:val="en-US"/>
        </w:rPr>
        <w:t>Ibid</w:t>
      </w:r>
      <w:r w:rsidRPr="00E3335D">
        <w:rPr>
          <w:rFonts w:asciiTheme="majorBidi" w:hAnsiTheme="majorBidi" w:cstheme="majorBidi"/>
          <w:lang w:val="en-US"/>
        </w:rPr>
        <w:t>, p.9.</w:t>
      </w:r>
      <w:proofErr w:type="gramEnd"/>
    </w:p>
  </w:footnote>
  <w:footnote w:id="123">
    <w:p w:rsidR="006C092A" w:rsidRPr="00E3335D" w:rsidRDefault="006C092A" w:rsidP="00BA203C">
      <w:pPr>
        <w:pStyle w:val="Notedebasdepage"/>
        <w:jc w:val="both"/>
        <w:rPr>
          <w:rFonts w:asciiTheme="majorBidi" w:hAnsiTheme="majorBidi" w:cstheme="majorBidi"/>
          <w:lang w:val="en-US"/>
        </w:rPr>
      </w:pPr>
      <w:r w:rsidRPr="007579DE">
        <w:rPr>
          <w:rStyle w:val="Appelnotedebasdep"/>
          <w:rFonts w:asciiTheme="majorBidi" w:hAnsiTheme="majorBidi" w:cstheme="majorBidi"/>
        </w:rPr>
        <w:footnoteRef/>
      </w:r>
      <w:proofErr w:type="gramStart"/>
      <w:r w:rsidRPr="00E3335D">
        <w:rPr>
          <w:rFonts w:asciiTheme="majorBidi" w:hAnsiTheme="majorBidi" w:cstheme="majorBidi"/>
          <w:i/>
          <w:iCs/>
          <w:lang w:val="en-US"/>
        </w:rPr>
        <w:t>Ibid.,</w:t>
      </w:r>
      <w:proofErr w:type="gramEnd"/>
      <w:r w:rsidRPr="00E3335D">
        <w:rPr>
          <w:rFonts w:asciiTheme="majorBidi" w:hAnsiTheme="majorBidi" w:cstheme="majorBidi"/>
          <w:i/>
          <w:iCs/>
          <w:lang w:val="en-US"/>
        </w:rPr>
        <w:t xml:space="preserve"> </w:t>
      </w:r>
      <w:r w:rsidRPr="00E3335D">
        <w:rPr>
          <w:rFonts w:asciiTheme="majorBidi" w:hAnsiTheme="majorBidi" w:cstheme="majorBidi"/>
          <w:lang w:val="en-US"/>
        </w:rPr>
        <w:t>p.8-9.</w:t>
      </w:r>
    </w:p>
  </w:footnote>
  <w:footnote w:id="124">
    <w:p w:rsidR="006C092A" w:rsidRPr="00E3335D" w:rsidRDefault="006C092A" w:rsidP="000C232B">
      <w:pPr>
        <w:pStyle w:val="Notedebasdepage"/>
        <w:jc w:val="both"/>
        <w:rPr>
          <w:rFonts w:asciiTheme="majorBidi" w:hAnsiTheme="majorBidi" w:cstheme="majorBidi"/>
          <w:lang w:val="en-US"/>
        </w:rPr>
      </w:pPr>
      <w:r w:rsidRPr="000A4C86">
        <w:rPr>
          <w:rStyle w:val="Appelnotedebasdep"/>
          <w:rFonts w:asciiTheme="majorBidi" w:hAnsiTheme="majorBidi" w:cstheme="majorBidi"/>
        </w:rPr>
        <w:footnoteRef/>
      </w:r>
      <w:r w:rsidRPr="00E3335D">
        <w:rPr>
          <w:rFonts w:asciiTheme="majorBidi" w:hAnsiTheme="majorBidi" w:cstheme="majorBidi"/>
          <w:i/>
          <w:iCs/>
          <w:lang w:val="en-US"/>
        </w:rPr>
        <w:t>Ibid.</w:t>
      </w:r>
    </w:p>
  </w:footnote>
  <w:footnote w:id="125">
    <w:p w:rsidR="006C092A" w:rsidRPr="000A4C86" w:rsidRDefault="006C092A" w:rsidP="000C232B">
      <w:pPr>
        <w:pStyle w:val="Notedebasdepage"/>
        <w:jc w:val="both"/>
        <w:rPr>
          <w:rFonts w:asciiTheme="majorBidi" w:hAnsiTheme="majorBidi" w:cstheme="majorBidi"/>
        </w:rPr>
      </w:pPr>
      <w:r w:rsidRPr="000A4C86">
        <w:rPr>
          <w:rStyle w:val="Appelnotedebasdep"/>
          <w:rFonts w:asciiTheme="majorBidi" w:hAnsiTheme="majorBidi" w:cstheme="majorBidi"/>
        </w:rPr>
        <w:footnoteRef/>
      </w:r>
      <w:r>
        <w:rPr>
          <w:rFonts w:asciiTheme="majorBidi" w:hAnsiTheme="majorBidi" w:cstheme="majorBidi"/>
          <w:i/>
          <w:iCs/>
        </w:rPr>
        <w:t>Ibid.</w:t>
      </w:r>
    </w:p>
  </w:footnote>
  <w:footnote w:id="126">
    <w:p w:rsidR="006C092A" w:rsidRPr="00AD3F87" w:rsidRDefault="006C092A" w:rsidP="00AD3F87">
      <w:pPr>
        <w:pStyle w:val="Notedebasdepage"/>
        <w:jc w:val="both"/>
        <w:rPr>
          <w:rFonts w:asciiTheme="majorBidi" w:hAnsiTheme="majorBidi" w:cstheme="majorBidi"/>
        </w:rPr>
      </w:pPr>
      <w:r w:rsidRPr="00AD3F87">
        <w:rPr>
          <w:rStyle w:val="Appelnotedebasdep"/>
          <w:rFonts w:asciiTheme="majorBidi" w:hAnsiTheme="majorBidi" w:cstheme="majorBidi"/>
        </w:rPr>
        <w:footnoteRef/>
      </w:r>
      <w:r w:rsidRPr="00AD3F87">
        <w:rPr>
          <w:rFonts w:asciiTheme="majorBidi" w:hAnsiTheme="majorBidi" w:cstheme="majorBidi"/>
        </w:rPr>
        <w:t xml:space="preserve"> Propos de Kaki, in revue </w:t>
      </w:r>
      <w:r w:rsidRPr="00AD3F87">
        <w:rPr>
          <w:rFonts w:asciiTheme="majorBidi" w:hAnsiTheme="majorBidi" w:cstheme="majorBidi"/>
          <w:i/>
          <w:iCs/>
        </w:rPr>
        <w:t>Salaman d'Arts</w:t>
      </w:r>
      <w:r w:rsidRPr="00AD3F87">
        <w:rPr>
          <w:rFonts w:asciiTheme="majorBidi" w:hAnsiTheme="majorBidi" w:cstheme="majorBidi"/>
        </w:rPr>
        <w:t xml:space="preserve"> de février 1997, p.3.</w:t>
      </w:r>
    </w:p>
  </w:footnote>
  <w:footnote w:id="127">
    <w:p w:rsidR="006C092A" w:rsidRPr="00496195" w:rsidRDefault="006C092A" w:rsidP="00496195">
      <w:pPr>
        <w:pStyle w:val="Notedebasdepage"/>
        <w:jc w:val="both"/>
        <w:rPr>
          <w:rFonts w:asciiTheme="majorBidi" w:hAnsiTheme="majorBidi" w:cstheme="majorBidi"/>
        </w:rPr>
      </w:pPr>
      <w:r w:rsidRPr="00496195">
        <w:rPr>
          <w:rStyle w:val="Appelnotedebasdep"/>
          <w:rFonts w:asciiTheme="majorBidi" w:hAnsiTheme="majorBidi" w:cstheme="majorBidi"/>
        </w:rPr>
        <w:footnoteRef/>
      </w:r>
      <w:r w:rsidRPr="00496195">
        <w:rPr>
          <w:rFonts w:asciiTheme="majorBidi" w:hAnsiTheme="majorBidi" w:cstheme="majorBidi"/>
        </w:rPr>
        <w:t>L’on sait que des auteurs comme Ben Khlouf, Ben M'saib, Khaldi, Sidi Abderrahmane el Mejdoub et Mostéfa Ben Brahim ont largement enrichi la langue de Kaki d’une  remarquable dimension poétique. Les mots de Kaki obéissent du reste à une certaine musique interne et à un rythme précis.</w:t>
      </w:r>
    </w:p>
  </w:footnote>
  <w:footnote w:id="128">
    <w:p w:rsidR="006C092A" w:rsidRPr="00E37F27" w:rsidRDefault="006C092A" w:rsidP="00496195">
      <w:pPr>
        <w:pStyle w:val="Notedebasdepage"/>
        <w:jc w:val="both"/>
        <w:rPr>
          <w:rFonts w:ascii="Times New Roman" w:hAnsi="Times New Roman"/>
        </w:rPr>
      </w:pPr>
      <w:r w:rsidRPr="00E37F27">
        <w:rPr>
          <w:rStyle w:val="Appelnotedebasdep"/>
          <w:rFonts w:ascii="Times New Roman" w:hAnsi="Times New Roman"/>
        </w:rPr>
        <w:footnoteRef/>
      </w:r>
      <w:r w:rsidRPr="003214BA">
        <w:rPr>
          <w:rFonts w:ascii="Times New Roman" w:hAnsi="Times New Roman"/>
        </w:rPr>
        <w:t>M</w:t>
      </w:r>
      <w:r>
        <w:rPr>
          <w:rFonts w:ascii="Times New Roman" w:hAnsi="Times New Roman"/>
        </w:rPr>
        <w:t>ichel D</w:t>
      </w:r>
      <w:r w:rsidRPr="003214BA">
        <w:rPr>
          <w:rFonts w:ascii="Times New Roman" w:hAnsi="Times New Roman"/>
        </w:rPr>
        <w:t xml:space="preserve">e </w:t>
      </w:r>
      <w:r w:rsidRPr="003246F3">
        <w:rPr>
          <w:rFonts w:ascii="Times New Roman" w:hAnsi="Times New Roman"/>
        </w:rPr>
        <w:t>G</w:t>
      </w:r>
      <w:r>
        <w:rPr>
          <w:rFonts w:ascii="Times New Roman" w:hAnsi="Times New Roman"/>
        </w:rPr>
        <w:t>helderode</w:t>
      </w:r>
      <w:r w:rsidRPr="003246F3">
        <w:rPr>
          <w:rFonts w:ascii="Times New Roman" w:hAnsi="Times New Roman"/>
        </w:rPr>
        <w:t xml:space="preserve">, </w:t>
      </w:r>
      <w:r w:rsidRPr="00881846">
        <w:rPr>
          <w:rFonts w:ascii="Times New Roman" w:hAnsi="Times New Roman"/>
          <w:i/>
          <w:iCs/>
        </w:rPr>
        <w:t>Les Entretiens d’Ostende</w:t>
      </w:r>
      <w:r w:rsidRPr="003214BA">
        <w:rPr>
          <w:rFonts w:ascii="Times New Roman" w:hAnsi="Times New Roman"/>
        </w:rPr>
        <w:t>, recueillis par R. Iglésis et A. Trutat</w:t>
      </w:r>
      <w:proofErr w:type="gramStart"/>
      <w:r w:rsidRPr="003214BA">
        <w:rPr>
          <w:rFonts w:ascii="Times New Roman" w:hAnsi="Times New Roman"/>
        </w:rPr>
        <w:t>, ,</w:t>
      </w:r>
      <w:proofErr w:type="gramEnd"/>
      <w:r w:rsidRPr="003214BA">
        <w:rPr>
          <w:rFonts w:ascii="Times New Roman" w:hAnsi="Times New Roman"/>
        </w:rPr>
        <w:t xml:space="preserve"> L’Arche</w:t>
      </w:r>
      <w:r>
        <w:rPr>
          <w:rFonts w:ascii="Times New Roman" w:hAnsi="Times New Roman"/>
        </w:rPr>
        <w:t xml:space="preserve">, </w:t>
      </w:r>
      <w:r w:rsidRPr="003214BA">
        <w:rPr>
          <w:rFonts w:ascii="Times New Roman" w:hAnsi="Times New Roman"/>
        </w:rPr>
        <w:t>Paris, 1956</w:t>
      </w:r>
      <w:r>
        <w:rPr>
          <w:rFonts w:ascii="Times New Roman" w:hAnsi="Times New Roman"/>
        </w:rPr>
        <w:t>,</w:t>
      </w:r>
      <w:r w:rsidRPr="00496195">
        <w:rPr>
          <w:rFonts w:ascii="Times New Roman" w:hAnsi="Times New Roman"/>
        </w:rPr>
        <w:t xml:space="preserve"> </w:t>
      </w:r>
      <w:r w:rsidRPr="003214BA">
        <w:rPr>
          <w:rFonts w:ascii="Times New Roman" w:hAnsi="Times New Roman"/>
        </w:rPr>
        <w:t xml:space="preserve">p. 60. La version originale des Entretiens cite l’une des œuvres « moins belles » : </w:t>
      </w:r>
      <w:r w:rsidRPr="00D33652">
        <w:rPr>
          <w:rFonts w:ascii="Times New Roman" w:hAnsi="Times New Roman"/>
          <w:i/>
          <w:iCs/>
        </w:rPr>
        <w:t>Les Burgraves</w:t>
      </w:r>
      <w:r w:rsidRPr="003214BA">
        <w:rPr>
          <w:rFonts w:ascii="Times New Roman" w:hAnsi="Times New Roman"/>
        </w:rPr>
        <w:t xml:space="preserve"> (</w:t>
      </w:r>
      <w:r w:rsidRPr="007D0192">
        <w:rPr>
          <w:rFonts w:ascii="Times New Roman" w:hAnsi="Times New Roman"/>
        </w:rPr>
        <w:t>Cf.</w:t>
      </w:r>
      <w:r w:rsidRPr="003214BA">
        <w:rPr>
          <w:rFonts w:ascii="Times New Roman" w:hAnsi="Times New Roman"/>
          <w:color w:val="00B0F0"/>
        </w:rPr>
        <w:t xml:space="preserve"> </w:t>
      </w:r>
      <w:r w:rsidRPr="003214BA">
        <w:rPr>
          <w:rFonts w:ascii="Times New Roman" w:hAnsi="Times New Roman"/>
        </w:rPr>
        <w:t>R. B</w:t>
      </w:r>
      <w:r>
        <w:rPr>
          <w:rFonts w:ascii="Times New Roman" w:hAnsi="Times New Roman"/>
        </w:rPr>
        <w:t>eyen</w:t>
      </w:r>
      <w:r w:rsidRPr="003214BA">
        <w:rPr>
          <w:rFonts w:ascii="Times New Roman" w:hAnsi="Times New Roman"/>
        </w:rPr>
        <w:t xml:space="preserve">, « Les Goûts littéraires de Michel de Ghelderode », </w:t>
      </w:r>
      <w:r w:rsidRPr="00D33652">
        <w:rPr>
          <w:rFonts w:ascii="Times New Roman" w:hAnsi="Times New Roman"/>
          <w:i/>
          <w:iCs/>
        </w:rPr>
        <w:t>Les Lettres romanes</w:t>
      </w:r>
      <w:r w:rsidRPr="003214BA">
        <w:rPr>
          <w:rFonts w:ascii="Times New Roman" w:hAnsi="Times New Roman"/>
        </w:rPr>
        <w:t>, t. XXIV, [1970], p. 133, n. 4).</w:t>
      </w:r>
    </w:p>
  </w:footnote>
  <w:footnote w:id="129">
    <w:p w:rsidR="006C092A" w:rsidRPr="00B0413B" w:rsidRDefault="006C092A" w:rsidP="00496195">
      <w:pPr>
        <w:pStyle w:val="Notedebasdepage"/>
        <w:jc w:val="both"/>
        <w:rPr>
          <w:rFonts w:ascii="Times New Roman" w:hAnsi="Times New Roman"/>
        </w:rPr>
      </w:pPr>
      <w:r w:rsidRPr="00E37F27">
        <w:rPr>
          <w:rStyle w:val="Appelnotedebasdep"/>
          <w:rFonts w:ascii="Times New Roman" w:hAnsi="Times New Roman"/>
        </w:rPr>
        <w:footnoteRef/>
      </w:r>
      <w:r w:rsidRPr="00E37F27">
        <w:rPr>
          <w:rFonts w:ascii="Times New Roman" w:hAnsi="Times New Roman"/>
        </w:rPr>
        <w:t>André V</w:t>
      </w:r>
      <w:r>
        <w:rPr>
          <w:rFonts w:ascii="Times New Roman" w:hAnsi="Times New Roman"/>
        </w:rPr>
        <w:t>andegans</w:t>
      </w:r>
      <w:r w:rsidRPr="00E37F27">
        <w:rPr>
          <w:rFonts w:ascii="Times New Roman" w:hAnsi="Times New Roman"/>
        </w:rPr>
        <w:t xml:space="preserve">, </w:t>
      </w:r>
      <w:r>
        <w:rPr>
          <w:rFonts w:ascii="Times New Roman" w:hAnsi="Times New Roman"/>
        </w:rPr>
        <w:t>« </w:t>
      </w:r>
      <w:r w:rsidRPr="00E37F27">
        <w:rPr>
          <w:rFonts w:ascii="Times New Roman" w:hAnsi="Times New Roman"/>
        </w:rPr>
        <w:t>Ghelderode et Hugo, Mystère de la passion de Notre Seigneur Jésus-Christ, Barrabas et La Fin de Satan</w:t>
      </w:r>
      <w:r>
        <w:rPr>
          <w:rFonts w:ascii="Times New Roman" w:hAnsi="Times New Roman"/>
        </w:rPr>
        <w:t> »</w:t>
      </w:r>
      <w:r w:rsidRPr="00E37F27">
        <w:rPr>
          <w:rFonts w:ascii="Times New Roman" w:hAnsi="Times New Roman"/>
        </w:rPr>
        <w:t xml:space="preserve">, </w:t>
      </w:r>
      <w:r w:rsidRPr="00496195">
        <w:rPr>
          <w:rFonts w:ascii="Times New Roman" w:hAnsi="Times New Roman"/>
          <w:i/>
          <w:iCs/>
        </w:rPr>
        <w:t>Communication - Séance Mensuelle</w:t>
      </w:r>
      <w:r w:rsidRPr="00E37F27">
        <w:rPr>
          <w:rFonts w:ascii="Times New Roman" w:hAnsi="Times New Roman"/>
        </w:rPr>
        <w:t xml:space="preserve"> du 20 septembre 1986</w:t>
      </w:r>
      <w:r>
        <w:rPr>
          <w:rFonts w:ascii="Times New Roman" w:hAnsi="Times New Roman"/>
        </w:rPr>
        <w:t xml:space="preserve">,  </w:t>
      </w:r>
      <w:r w:rsidRPr="00E37F27">
        <w:rPr>
          <w:rFonts w:ascii="Times New Roman" w:hAnsi="Times New Roman"/>
        </w:rPr>
        <w:t xml:space="preserve">Académie royale de langue et de littérature françaises de </w:t>
      </w:r>
      <w:r>
        <w:rPr>
          <w:rFonts w:ascii="Times New Roman" w:hAnsi="Times New Roman"/>
        </w:rPr>
        <w:t xml:space="preserve">Belgique, </w:t>
      </w:r>
      <w:r w:rsidRPr="00E37F27">
        <w:rPr>
          <w:rFonts w:ascii="Times New Roman" w:hAnsi="Times New Roman"/>
        </w:rPr>
        <w:t>Bruxelles</w:t>
      </w:r>
      <w:proofErr w:type="gramStart"/>
      <w:r w:rsidRPr="00E37F27">
        <w:rPr>
          <w:rFonts w:ascii="Times New Roman" w:hAnsi="Times New Roman"/>
        </w:rPr>
        <w:t>, ,</w:t>
      </w:r>
      <w:proofErr w:type="gramEnd"/>
      <w:r w:rsidRPr="00E37F27">
        <w:rPr>
          <w:rFonts w:ascii="Times New Roman" w:hAnsi="Times New Roman"/>
        </w:rPr>
        <w:t xml:space="preserve"> 1986</w:t>
      </w:r>
      <w:r>
        <w:rPr>
          <w:rFonts w:ascii="Times New Roman" w:hAnsi="Times New Roman"/>
        </w:rPr>
        <w:t>.</w:t>
      </w:r>
    </w:p>
  </w:footnote>
  <w:footnote w:id="130">
    <w:p w:rsidR="006C092A" w:rsidRPr="00665834" w:rsidRDefault="006C092A" w:rsidP="00496195">
      <w:pPr>
        <w:pStyle w:val="Notedebasdepage"/>
        <w:jc w:val="both"/>
        <w:rPr>
          <w:rFonts w:ascii="Times New Roman" w:hAnsi="Times New Roman"/>
        </w:rPr>
      </w:pPr>
      <w:r w:rsidRPr="00665834">
        <w:rPr>
          <w:rStyle w:val="Appelnotedebasdep"/>
          <w:rFonts w:ascii="Times New Roman" w:hAnsi="Times New Roman"/>
        </w:rPr>
        <w:footnoteRef/>
      </w:r>
      <w:r w:rsidRPr="00665834">
        <w:rPr>
          <w:rFonts w:ascii="Times New Roman" w:hAnsi="Times New Roman"/>
        </w:rPr>
        <w:t xml:space="preserve">Michel </w:t>
      </w:r>
      <w:r>
        <w:rPr>
          <w:rFonts w:ascii="Times New Roman" w:hAnsi="Times New Roman"/>
        </w:rPr>
        <w:t>De</w:t>
      </w:r>
      <w:r w:rsidRPr="0007535C">
        <w:rPr>
          <w:rFonts w:ascii="Times New Roman" w:hAnsi="Times New Roman"/>
        </w:rPr>
        <w:t xml:space="preserve"> G</w:t>
      </w:r>
      <w:r>
        <w:rPr>
          <w:rFonts w:ascii="Times New Roman" w:hAnsi="Times New Roman"/>
        </w:rPr>
        <w:t>helderode</w:t>
      </w:r>
      <w:r w:rsidRPr="0007535C">
        <w:rPr>
          <w:rFonts w:ascii="Times New Roman" w:hAnsi="Times New Roman"/>
        </w:rPr>
        <w:t xml:space="preserve">, </w:t>
      </w:r>
      <w:r>
        <w:rPr>
          <w:rFonts w:ascii="Times New Roman" w:hAnsi="Times New Roman"/>
          <w:i/>
          <w:iCs/>
        </w:rPr>
        <w:t xml:space="preserve">op.cit., </w:t>
      </w:r>
      <w:r w:rsidRPr="00665834">
        <w:rPr>
          <w:rFonts w:ascii="Times New Roman" w:hAnsi="Times New Roman"/>
        </w:rPr>
        <w:t>p.11.</w:t>
      </w:r>
    </w:p>
  </w:footnote>
  <w:footnote w:id="131">
    <w:p w:rsidR="006C092A" w:rsidRPr="00665834" w:rsidRDefault="006C092A" w:rsidP="00496195">
      <w:pPr>
        <w:pStyle w:val="Notedebasdepage"/>
        <w:jc w:val="both"/>
        <w:rPr>
          <w:rFonts w:ascii="Times New Roman" w:hAnsi="Times New Roman"/>
        </w:rPr>
      </w:pPr>
      <w:r w:rsidRPr="00665834">
        <w:rPr>
          <w:rStyle w:val="Appelnotedebasdep"/>
          <w:rFonts w:ascii="Times New Roman" w:hAnsi="Times New Roman"/>
        </w:rPr>
        <w:footnoteRef/>
      </w:r>
      <w:r w:rsidRPr="00665834">
        <w:rPr>
          <w:rFonts w:ascii="Times New Roman" w:hAnsi="Times New Roman"/>
        </w:rPr>
        <w:t xml:space="preserve">Roland </w:t>
      </w:r>
      <w:r w:rsidRPr="0007535C">
        <w:rPr>
          <w:rFonts w:ascii="Times New Roman" w:hAnsi="Times New Roman"/>
        </w:rPr>
        <w:t>B</w:t>
      </w:r>
      <w:r>
        <w:rPr>
          <w:rFonts w:ascii="Times New Roman" w:hAnsi="Times New Roman"/>
        </w:rPr>
        <w:t>eyen</w:t>
      </w:r>
      <w:r w:rsidRPr="0007535C">
        <w:rPr>
          <w:rFonts w:ascii="Times New Roman" w:hAnsi="Times New Roman"/>
        </w:rPr>
        <w:t xml:space="preserve">, </w:t>
      </w:r>
      <w:r w:rsidRPr="0007535C">
        <w:rPr>
          <w:rFonts w:ascii="Times New Roman" w:hAnsi="Times New Roman"/>
          <w:i/>
          <w:iCs/>
        </w:rPr>
        <w:t>Michel de Ghelderode ou la Hantise du masque</w:t>
      </w:r>
      <w:r w:rsidRPr="0007535C">
        <w:rPr>
          <w:rFonts w:ascii="Times New Roman" w:hAnsi="Times New Roman"/>
        </w:rPr>
        <w:t xml:space="preserve">, </w:t>
      </w:r>
      <w:r w:rsidRPr="00665834">
        <w:rPr>
          <w:rFonts w:ascii="Times New Roman" w:hAnsi="Times New Roman"/>
        </w:rPr>
        <w:t>Palais des Académies</w:t>
      </w:r>
      <w:r>
        <w:rPr>
          <w:rFonts w:ascii="Times New Roman" w:hAnsi="Times New Roman"/>
        </w:rPr>
        <w:t xml:space="preserve">, </w:t>
      </w:r>
      <w:r w:rsidRPr="00665834">
        <w:rPr>
          <w:rFonts w:ascii="Times New Roman" w:hAnsi="Times New Roman"/>
        </w:rPr>
        <w:t>Bruxelles, 1971, p. 468-480</w:t>
      </w:r>
      <w:r w:rsidRPr="00257881">
        <w:rPr>
          <w:rFonts w:ascii="Times New Roman" w:hAnsi="Times New Roman"/>
          <w:color w:val="00B0F0"/>
        </w:rPr>
        <w:t>.</w:t>
      </w:r>
    </w:p>
  </w:footnote>
  <w:footnote w:id="132">
    <w:p w:rsidR="006C092A" w:rsidRPr="00665834" w:rsidRDefault="006C092A" w:rsidP="00F5543E">
      <w:pPr>
        <w:pStyle w:val="Notedebasdepage"/>
        <w:jc w:val="both"/>
        <w:rPr>
          <w:rFonts w:ascii="Times New Roman" w:hAnsi="Times New Roman"/>
        </w:rPr>
      </w:pPr>
      <w:r w:rsidRPr="00665834">
        <w:rPr>
          <w:rStyle w:val="Appelnotedebasdep"/>
          <w:rFonts w:ascii="Times New Roman" w:hAnsi="Times New Roman"/>
        </w:rPr>
        <w:footnoteRef/>
      </w:r>
      <w:r w:rsidRPr="00665834">
        <w:rPr>
          <w:rFonts w:ascii="Times New Roman" w:hAnsi="Times New Roman"/>
        </w:rPr>
        <w:t xml:space="preserve">Tragédie-bouffe en un acte, rédaction : 1936-37, publication : 1943, 1950, création : 1949, in Roland </w:t>
      </w:r>
      <w:r w:rsidRPr="0007535C">
        <w:rPr>
          <w:rFonts w:ascii="Times New Roman" w:hAnsi="Times New Roman"/>
        </w:rPr>
        <w:t>B</w:t>
      </w:r>
      <w:r>
        <w:rPr>
          <w:rFonts w:ascii="Times New Roman" w:hAnsi="Times New Roman"/>
        </w:rPr>
        <w:t>eyen</w:t>
      </w:r>
      <w:r w:rsidRPr="0007535C">
        <w:rPr>
          <w:rFonts w:ascii="Times New Roman" w:hAnsi="Times New Roman"/>
        </w:rPr>
        <w:t>,</w:t>
      </w:r>
      <w:r w:rsidRPr="00665834">
        <w:rPr>
          <w:rFonts w:ascii="Times New Roman" w:hAnsi="Times New Roman"/>
        </w:rPr>
        <w:t xml:space="preserve"> </w:t>
      </w:r>
      <w:r w:rsidRPr="002F0263">
        <w:rPr>
          <w:rFonts w:ascii="Times New Roman" w:hAnsi="Times New Roman"/>
          <w:i/>
          <w:iCs/>
        </w:rPr>
        <w:t>Ghelderode</w:t>
      </w:r>
      <w:r w:rsidRPr="00665834">
        <w:rPr>
          <w:rFonts w:ascii="Times New Roman" w:hAnsi="Times New Roman"/>
        </w:rPr>
        <w:t>, Paris</w:t>
      </w:r>
      <w:r>
        <w:rPr>
          <w:rFonts w:ascii="Times New Roman" w:hAnsi="Times New Roman"/>
        </w:rPr>
        <w:t> </w:t>
      </w:r>
      <w:r>
        <w:rPr>
          <w:rFonts w:ascii="Times New Roman" w:hAnsi="Times New Roman"/>
          <w:color w:val="00B0F0"/>
        </w:rPr>
        <w:t xml:space="preserve">: </w:t>
      </w:r>
      <w:r w:rsidRPr="00665834">
        <w:rPr>
          <w:rFonts w:ascii="Times New Roman" w:hAnsi="Times New Roman"/>
        </w:rPr>
        <w:t>Seghers, 1974, p. 104.</w:t>
      </w:r>
    </w:p>
    <w:p w:rsidR="006C092A" w:rsidRPr="0007535C" w:rsidRDefault="006C092A" w:rsidP="006A4EED">
      <w:pPr>
        <w:pStyle w:val="Notedebasdepage"/>
        <w:jc w:val="both"/>
        <w:rPr>
          <w:rFonts w:ascii="Times New Roman" w:hAnsi="Times New Roman"/>
          <w:sz w:val="2"/>
          <w:szCs w:val="2"/>
        </w:rPr>
      </w:pPr>
    </w:p>
  </w:footnote>
  <w:footnote w:id="133">
    <w:p w:rsidR="006C092A" w:rsidRPr="00145307" w:rsidRDefault="006C092A" w:rsidP="00F5543E">
      <w:pPr>
        <w:pStyle w:val="Notedebasdepage"/>
        <w:jc w:val="both"/>
        <w:rPr>
          <w:rFonts w:ascii="Times New Roman" w:hAnsi="Times New Roman"/>
          <w:lang w:val="en-US"/>
        </w:rPr>
      </w:pPr>
      <w:r w:rsidRPr="00665834">
        <w:rPr>
          <w:rStyle w:val="Appelnotedebasdep"/>
          <w:rFonts w:ascii="Times New Roman" w:hAnsi="Times New Roman"/>
        </w:rPr>
        <w:footnoteRef/>
      </w:r>
      <w:r w:rsidRPr="00145307">
        <w:rPr>
          <w:rFonts w:ascii="Times New Roman" w:hAnsi="Times New Roman"/>
          <w:lang w:val="en-US"/>
        </w:rPr>
        <w:t>Roland B</w:t>
      </w:r>
      <w:r>
        <w:rPr>
          <w:rFonts w:ascii="Times New Roman" w:hAnsi="Times New Roman"/>
          <w:lang w:val="en-US"/>
        </w:rPr>
        <w:t>eyen</w:t>
      </w:r>
      <w:r w:rsidRPr="00145307">
        <w:rPr>
          <w:rFonts w:ascii="Times New Roman" w:hAnsi="Times New Roman"/>
          <w:lang w:val="en-US"/>
        </w:rPr>
        <w:t xml:space="preserve">, </w:t>
      </w:r>
      <w:r w:rsidRPr="00145307">
        <w:rPr>
          <w:rFonts w:ascii="Times New Roman" w:hAnsi="Times New Roman"/>
          <w:i/>
          <w:iCs/>
          <w:lang w:val="en-US"/>
        </w:rPr>
        <w:t>op. cit.</w:t>
      </w:r>
      <w:r w:rsidRPr="00145307">
        <w:rPr>
          <w:rFonts w:ascii="Times New Roman" w:hAnsi="Times New Roman"/>
          <w:lang w:val="en-US"/>
        </w:rPr>
        <w:t xml:space="preserve"> p. 107 </w:t>
      </w:r>
    </w:p>
  </w:footnote>
  <w:footnote w:id="134">
    <w:p w:rsidR="006C092A" w:rsidRPr="00956302" w:rsidRDefault="006C092A" w:rsidP="00956302">
      <w:pPr>
        <w:pStyle w:val="Notedebasdepage"/>
        <w:jc w:val="both"/>
        <w:rPr>
          <w:rFonts w:ascii="Times New Roman" w:hAnsi="Times New Roman"/>
        </w:rPr>
      </w:pPr>
      <w:r w:rsidRPr="00956302">
        <w:rPr>
          <w:rStyle w:val="Appelnotedebasdep"/>
          <w:rFonts w:ascii="Times New Roman" w:hAnsi="Times New Roman"/>
        </w:rPr>
        <w:footnoteRef/>
      </w:r>
      <w:r w:rsidRPr="00956302">
        <w:rPr>
          <w:rFonts w:ascii="Times New Roman" w:hAnsi="Times New Roman"/>
        </w:rPr>
        <w:t xml:space="preserve">Ahmed Chenuki et Makhlouf Boukrouh </w:t>
      </w:r>
      <w:r w:rsidRPr="00956302">
        <w:rPr>
          <w:rFonts w:ascii="Times New Roman" w:hAnsi="Times New Roman"/>
          <w:i/>
          <w:iCs/>
        </w:rPr>
        <w:t>Le théâtre en Algérie, état des lieux et propositions de sortie de crise</w:t>
      </w:r>
      <w:r w:rsidRPr="00956302">
        <w:rPr>
          <w:rFonts w:ascii="Times New Roman" w:hAnsi="Times New Roman"/>
        </w:rPr>
        <w:t xml:space="preserve">, </w:t>
      </w:r>
      <w:r w:rsidRPr="00956302">
        <w:rPr>
          <w:rFonts w:ascii="Times New Roman" w:hAnsi="Times New Roman"/>
          <w:i/>
        </w:rPr>
        <w:t xml:space="preserve">op. </w:t>
      </w:r>
      <w:proofErr w:type="gramStart"/>
      <w:r w:rsidRPr="00956302">
        <w:rPr>
          <w:rFonts w:ascii="Times New Roman" w:hAnsi="Times New Roman"/>
          <w:i/>
        </w:rPr>
        <w:t>cit.,</w:t>
      </w:r>
      <w:proofErr w:type="gramEnd"/>
      <w:r w:rsidRPr="00956302">
        <w:rPr>
          <w:rFonts w:ascii="Times New Roman" w:hAnsi="Times New Roman"/>
          <w:i/>
        </w:rPr>
        <w:t xml:space="preserve"> </w:t>
      </w:r>
      <w:r w:rsidRPr="00956302">
        <w:rPr>
          <w:rFonts w:ascii="Times New Roman" w:hAnsi="Times New Roman"/>
        </w:rPr>
        <w:t>p.65.</w:t>
      </w:r>
    </w:p>
  </w:footnote>
  <w:footnote w:id="135">
    <w:p w:rsidR="006C092A" w:rsidRPr="00956302" w:rsidRDefault="006C092A" w:rsidP="00956302">
      <w:pPr>
        <w:spacing w:after="0" w:line="240" w:lineRule="auto"/>
        <w:jc w:val="both"/>
        <w:rPr>
          <w:rFonts w:ascii="Times New Roman" w:hAnsi="Times New Roman"/>
          <w:sz w:val="20"/>
          <w:szCs w:val="20"/>
        </w:rPr>
      </w:pPr>
      <w:r w:rsidRPr="00956302">
        <w:rPr>
          <w:rStyle w:val="Appelnotedebasdep"/>
          <w:rFonts w:ascii="Times New Roman" w:hAnsi="Times New Roman"/>
          <w:sz w:val="20"/>
          <w:szCs w:val="20"/>
        </w:rPr>
        <w:footnoteRef/>
      </w:r>
      <w:r w:rsidRPr="00956302">
        <w:rPr>
          <w:rFonts w:ascii="Times New Roman" w:hAnsi="Times New Roman"/>
          <w:sz w:val="20"/>
          <w:szCs w:val="20"/>
        </w:rPr>
        <w:t xml:space="preserve">Ahmed Cheniki, </w:t>
      </w:r>
      <w:r w:rsidRPr="00956302">
        <w:rPr>
          <w:rFonts w:ascii="Times New Roman" w:hAnsi="Times New Roman"/>
          <w:i/>
          <w:iCs/>
          <w:sz w:val="20"/>
          <w:szCs w:val="20"/>
        </w:rPr>
        <w:t>Algérie, Vérités du théâtre</w:t>
      </w:r>
      <w:r w:rsidRPr="00956302">
        <w:rPr>
          <w:rFonts w:ascii="Times New Roman" w:hAnsi="Times New Roman"/>
          <w:sz w:val="20"/>
          <w:szCs w:val="20"/>
        </w:rPr>
        <w:t xml:space="preserve">, </w:t>
      </w:r>
      <w:r w:rsidRPr="00956302">
        <w:rPr>
          <w:rFonts w:ascii="Times New Roman" w:hAnsi="Times New Roman"/>
          <w:i/>
          <w:iCs/>
          <w:sz w:val="20"/>
          <w:szCs w:val="20"/>
        </w:rPr>
        <w:t xml:space="preserve">op.cit., </w:t>
      </w:r>
      <w:r w:rsidRPr="00956302">
        <w:rPr>
          <w:rFonts w:ascii="Times New Roman" w:hAnsi="Times New Roman"/>
          <w:sz w:val="20"/>
          <w:szCs w:val="20"/>
        </w:rPr>
        <w:t>p.46.</w:t>
      </w:r>
    </w:p>
  </w:footnote>
  <w:footnote w:id="136">
    <w:p w:rsidR="006C092A" w:rsidRPr="00956302" w:rsidRDefault="006C092A" w:rsidP="00956302">
      <w:pPr>
        <w:spacing w:after="0" w:line="240" w:lineRule="auto"/>
        <w:jc w:val="both"/>
        <w:rPr>
          <w:rFonts w:ascii="Times New Roman" w:hAnsi="Times New Roman"/>
          <w:sz w:val="20"/>
          <w:szCs w:val="20"/>
        </w:rPr>
      </w:pPr>
      <w:r w:rsidRPr="00956302">
        <w:rPr>
          <w:rStyle w:val="Appelnotedebasdep"/>
          <w:rFonts w:ascii="Times New Roman" w:hAnsi="Times New Roman"/>
          <w:sz w:val="20"/>
          <w:szCs w:val="20"/>
        </w:rPr>
        <w:footnoteRef/>
      </w:r>
      <w:r w:rsidRPr="00956302">
        <w:rPr>
          <w:rFonts w:ascii="Times New Roman" w:hAnsi="Times New Roman"/>
          <w:sz w:val="20"/>
          <w:szCs w:val="20"/>
        </w:rPr>
        <w:t xml:space="preserve">Jacqueline Arnaud, </w:t>
      </w:r>
      <w:r w:rsidRPr="00956302">
        <w:rPr>
          <w:rFonts w:ascii="Times New Roman" w:hAnsi="Times New Roman"/>
          <w:i/>
          <w:iCs/>
          <w:sz w:val="20"/>
          <w:szCs w:val="20"/>
        </w:rPr>
        <w:t>op.cit.</w:t>
      </w:r>
      <w:r w:rsidRPr="00956302">
        <w:rPr>
          <w:rFonts w:ascii="Times New Roman" w:hAnsi="Times New Roman"/>
          <w:sz w:val="20"/>
          <w:szCs w:val="20"/>
        </w:rPr>
        <w:t>, p. 117.</w:t>
      </w:r>
    </w:p>
  </w:footnote>
  <w:footnote w:id="137">
    <w:p w:rsidR="006C092A" w:rsidRPr="000536E1" w:rsidRDefault="006C092A" w:rsidP="00932794">
      <w:pPr>
        <w:autoSpaceDE w:val="0"/>
        <w:autoSpaceDN w:val="0"/>
        <w:adjustRightInd w:val="0"/>
        <w:spacing w:after="0" w:line="240" w:lineRule="auto"/>
        <w:jc w:val="both"/>
        <w:rPr>
          <w:rFonts w:ascii="Times New Roman" w:hAnsi="Times New Roman"/>
          <w:color w:val="000000"/>
          <w:sz w:val="20"/>
          <w:szCs w:val="20"/>
        </w:rPr>
      </w:pPr>
      <w:r w:rsidRPr="000536E1">
        <w:rPr>
          <w:rStyle w:val="Appelnotedebasdep"/>
          <w:rFonts w:ascii="Times New Roman" w:hAnsi="Times New Roman"/>
          <w:color w:val="000000"/>
          <w:sz w:val="20"/>
          <w:szCs w:val="20"/>
        </w:rPr>
        <w:footnoteRef/>
      </w:r>
      <w:r w:rsidRPr="000536E1">
        <w:rPr>
          <w:rFonts w:ascii="Times New Roman" w:hAnsi="Times New Roman"/>
          <w:color w:val="000000"/>
          <w:sz w:val="20"/>
          <w:szCs w:val="20"/>
        </w:rPr>
        <w:t>Gérard G</w:t>
      </w:r>
      <w:r>
        <w:rPr>
          <w:rFonts w:ascii="Times New Roman" w:hAnsi="Times New Roman"/>
          <w:color w:val="000000"/>
          <w:sz w:val="20"/>
          <w:szCs w:val="20"/>
        </w:rPr>
        <w:t>enette</w:t>
      </w:r>
      <w:r w:rsidRPr="000536E1">
        <w:rPr>
          <w:rFonts w:ascii="Times New Roman" w:hAnsi="Times New Roman"/>
          <w:color w:val="000000"/>
          <w:sz w:val="20"/>
          <w:szCs w:val="20"/>
        </w:rPr>
        <w:t xml:space="preserve">, </w:t>
      </w:r>
      <w:r w:rsidRPr="000536E1">
        <w:rPr>
          <w:rFonts w:ascii="Times New Roman" w:hAnsi="Times New Roman"/>
          <w:bCs/>
          <w:color w:val="000000"/>
          <w:sz w:val="20"/>
          <w:szCs w:val="20"/>
        </w:rPr>
        <w:t xml:space="preserve">« </w:t>
      </w:r>
      <w:r w:rsidRPr="000536E1">
        <w:rPr>
          <w:rFonts w:ascii="Times New Roman" w:hAnsi="Times New Roman"/>
          <w:color w:val="000000"/>
          <w:sz w:val="20"/>
          <w:szCs w:val="20"/>
        </w:rPr>
        <w:t xml:space="preserve">Récit fictionnel, récit factuel », in </w:t>
      </w:r>
      <w:r w:rsidRPr="000536E1">
        <w:rPr>
          <w:rFonts w:ascii="Times New Roman" w:hAnsi="Times New Roman"/>
          <w:i/>
          <w:iCs/>
          <w:color w:val="000000"/>
          <w:sz w:val="20"/>
          <w:szCs w:val="20"/>
        </w:rPr>
        <w:t>Fiction et diction</w:t>
      </w:r>
      <w:r w:rsidRPr="000536E1">
        <w:rPr>
          <w:rFonts w:ascii="Times New Roman" w:hAnsi="Times New Roman"/>
          <w:color w:val="000000"/>
          <w:sz w:val="20"/>
          <w:szCs w:val="20"/>
        </w:rPr>
        <w:t>, Seuil</w:t>
      </w:r>
      <w:r>
        <w:rPr>
          <w:rFonts w:ascii="Times New Roman" w:hAnsi="Times New Roman"/>
          <w:color w:val="000000"/>
          <w:sz w:val="20"/>
          <w:szCs w:val="20"/>
        </w:rPr>
        <w:t xml:space="preserve">, </w:t>
      </w:r>
      <w:r w:rsidRPr="000536E1">
        <w:rPr>
          <w:rFonts w:ascii="Times New Roman" w:hAnsi="Times New Roman"/>
          <w:color w:val="000000"/>
          <w:sz w:val="20"/>
          <w:szCs w:val="20"/>
        </w:rPr>
        <w:t>Paris, coll. “Poétique”, 1991, p 141-168.</w:t>
      </w:r>
    </w:p>
  </w:footnote>
  <w:footnote w:id="138">
    <w:p w:rsidR="006C092A" w:rsidRPr="000536E1" w:rsidRDefault="006C092A" w:rsidP="00B92D21">
      <w:pPr>
        <w:spacing w:after="0" w:line="240" w:lineRule="auto"/>
        <w:jc w:val="both"/>
        <w:rPr>
          <w:rFonts w:ascii="Times New Roman" w:eastAsia="Times New Roman" w:hAnsi="Times New Roman"/>
          <w:color w:val="000000"/>
          <w:sz w:val="20"/>
          <w:szCs w:val="20"/>
        </w:rPr>
      </w:pPr>
      <w:r w:rsidRPr="000536E1">
        <w:rPr>
          <w:rStyle w:val="Appelnotedebasdep"/>
          <w:rFonts w:ascii="Times New Roman" w:hAnsi="Times New Roman"/>
          <w:color w:val="000000"/>
          <w:sz w:val="20"/>
          <w:szCs w:val="20"/>
        </w:rPr>
        <w:footnoteRef/>
      </w:r>
      <w:r w:rsidRPr="000536E1">
        <w:rPr>
          <w:rFonts w:ascii="Times New Roman" w:hAnsi="Times New Roman"/>
          <w:color w:val="000000"/>
          <w:sz w:val="20"/>
          <w:szCs w:val="20"/>
        </w:rPr>
        <w:t>Gérard G</w:t>
      </w:r>
      <w:r>
        <w:rPr>
          <w:rFonts w:ascii="Times New Roman" w:hAnsi="Times New Roman"/>
          <w:color w:val="000000"/>
          <w:sz w:val="20"/>
          <w:szCs w:val="20"/>
        </w:rPr>
        <w:t>enette</w:t>
      </w:r>
      <w:r w:rsidRPr="000536E1">
        <w:rPr>
          <w:rFonts w:ascii="Times New Roman" w:hAnsi="Times New Roman"/>
          <w:color w:val="000000"/>
          <w:sz w:val="20"/>
          <w:szCs w:val="20"/>
        </w:rPr>
        <w:t xml:space="preserve">, </w:t>
      </w:r>
      <w:r w:rsidRPr="000536E1">
        <w:rPr>
          <w:rFonts w:ascii="Times New Roman" w:eastAsia="Times New Roman" w:hAnsi="Times New Roman"/>
          <w:i/>
          <w:iCs/>
          <w:color w:val="000000"/>
          <w:sz w:val="20"/>
          <w:szCs w:val="20"/>
        </w:rPr>
        <w:t>Nouveau discours du récit</w:t>
      </w:r>
      <w:r w:rsidRPr="000536E1">
        <w:rPr>
          <w:rFonts w:ascii="Times New Roman" w:eastAsia="Times New Roman" w:hAnsi="Times New Roman"/>
          <w:b/>
          <w:bCs/>
          <w:color w:val="000000"/>
          <w:sz w:val="20"/>
          <w:szCs w:val="20"/>
        </w:rPr>
        <w:t xml:space="preserve">, </w:t>
      </w:r>
      <w:r w:rsidRPr="000536E1">
        <w:rPr>
          <w:rFonts w:ascii="Times New Roman" w:eastAsia="Times New Roman" w:hAnsi="Times New Roman"/>
          <w:color w:val="000000"/>
          <w:sz w:val="20"/>
          <w:szCs w:val="20"/>
        </w:rPr>
        <w:t>Seuil</w:t>
      </w:r>
      <w:r>
        <w:rPr>
          <w:rFonts w:ascii="Times New Roman" w:eastAsia="Times New Roman" w:hAnsi="Times New Roman"/>
          <w:color w:val="000000"/>
          <w:sz w:val="20"/>
          <w:szCs w:val="20"/>
        </w:rPr>
        <w:t xml:space="preserve">, </w:t>
      </w:r>
      <w:r w:rsidRPr="000536E1">
        <w:rPr>
          <w:rFonts w:ascii="Times New Roman" w:eastAsia="Times New Roman" w:hAnsi="Times New Roman"/>
          <w:color w:val="000000"/>
          <w:sz w:val="20"/>
          <w:szCs w:val="20"/>
        </w:rPr>
        <w:t>Paris</w:t>
      </w:r>
      <w:r>
        <w:rPr>
          <w:rFonts w:ascii="Times New Roman" w:eastAsia="Times New Roman" w:hAnsi="Times New Roman"/>
          <w:color w:val="000000"/>
          <w:sz w:val="20"/>
          <w:szCs w:val="20"/>
        </w:rPr>
        <w:t xml:space="preserve">, </w:t>
      </w:r>
      <w:r w:rsidRPr="000536E1">
        <w:rPr>
          <w:rFonts w:ascii="Times New Roman" w:eastAsia="Times New Roman" w:hAnsi="Times New Roman"/>
          <w:color w:val="000000"/>
          <w:sz w:val="20"/>
          <w:szCs w:val="20"/>
        </w:rPr>
        <w:t>1983, p.29.</w:t>
      </w:r>
    </w:p>
    <w:p w:rsidR="006C092A" w:rsidRPr="000536E1" w:rsidRDefault="006C092A" w:rsidP="00B92D21">
      <w:pPr>
        <w:pStyle w:val="Notedebasdepage"/>
        <w:jc w:val="both"/>
        <w:rPr>
          <w:sz w:val="2"/>
          <w:szCs w:val="2"/>
        </w:rPr>
      </w:pPr>
    </w:p>
  </w:footnote>
  <w:footnote w:id="139">
    <w:p w:rsidR="006C092A" w:rsidRPr="00705127" w:rsidRDefault="006C092A" w:rsidP="00705127">
      <w:pPr>
        <w:pStyle w:val="Notedebasdepage"/>
        <w:jc w:val="both"/>
        <w:rPr>
          <w:rFonts w:asciiTheme="majorBidi" w:hAnsiTheme="majorBidi" w:cstheme="majorBidi"/>
        </w:rPr>
      </w:pPr>
      <w:r w:rsidRPr="00705127">
        <w:rPr>
          <w:rStyle w:val="Appelnotedebasdep"/>
          <w:rFonts w:asciiTheme="majorBidi" w:hAnsiTheme="majorBidi" w:cstheme="majorBidi"/>
        </w:rPr>
        <w:footnoteRef/>
      </w:r>
      <w:r w:rsidRPr="00705127">
        <w:rPr>
          <w:rFonts w:asciiTheme="majorBidi" w:hAnsiTheme="majorBidi" w:cstheme="majorBidi"/>
        </w:rPr>
        <w:t xml:space="preserve">Gérard Genette, </w:t>
      </w:r>
      <w:r w:rsidRPr="00705127">
        <w:rPr>
          <w:rFonts w:asciiTheme="majorBidi" w:hAnsiTheme="majorBidi" w:cstheme="majorBidi"/>
          <w:i/>
          <w:iCs/>
        </w:rPr>
        <w:t>Figure III</w:t>
      </w:r>
      <w:r w:rsidRPr="00705127">
        <w:rPr>
          <w:rFonts w:asciiTheme="majorBidi" w:hAnsiTheme="majorBidi" w:cstheme="majorBidi"/>
        </w:rPr>
        <w:t>, Seuil, Paris, 1972, p.78.</w:t>
      </w:r>
    </w:p>
  </w:footnote>
  <w:footnote w:id="140">
    <w:p w:rsidR="006C092A" w:rsidRPr="007050C1" w:rsidRDefault="006C092A" w:rsidP="006A4EED">
      <w:pPr>
        <w:pStyle w:val="Notedebasdepage"/>
      </w:pPr>
      <w:r>
        <w:rPr>
          <w:rStyle w:val="Appelnotedebasdep"/>
        </w:rPr>
        <w:footnoteRef/>
      </w:r>
      <w:r>
        <w:t xml:space="preserve"> </w:t>
      </w:r>
      <w:r w:rsidRPr="00EB310F">
        <w:rPr>
          <w:rFonts w:ascii="Times New Roman" w:hAnsi="Times New Roman"/>
        </w:rPr>
        <w:t xml:space="preserve">Tzevetan </w:t>
      </w:r>
      <w:r w:rsidRPr="007050C1">
        <w:rPr>
          <w:rFonts w:ascii="Times New Roman" w:hAnsi="Times New Roman"/>
        </w:rPr>
        <w:t xml:space="preserve">TODOROV, « Les catégories du récit littéraire », in </w:t>
      </w:r>
      <w:r w:rsidRPr="007050C1">
        <w:rPr>
          <w:rFonts w:ascii="Times New Roman" w:hAnsi="Times New Roman"/>
          <w:i/>
        </w:rPr>
        <w:t xml:space="preserve">Communication 8, </w:t>
      </w:r>
      <w:r w:rsidRPr="007050C1">
        <w:rPr>
          <w:rFonts w:ascii="Times New Roman" w:hAnsi="Times New Roman"/>
        </w:rPr>
        <w:t>Paris : Seuil, 1981, p.145.</w:t>
      </w:r>
    </w:p>
  </w:footnote>
  <w:footnote w:id="141">
    <w:p w:rsidR="006C092A" w:rsidRPr="00195328" w:rsidRDefault="006C092A" w:rsidP="006A4EED">
      <w:pPr>
        <w:pStyle w:val="Notedebasdepage"/>
      </w:pPr>
      <w:r w:rsidRPr="007050C1">
        <w:rPr>
          <w:rStyle w:val="Appelnotedebasdep"/>
        </w:rPr>
        <w:footnoteRef/>
      </w:r>
      <w:r w:rsidRPr="007050C1">
        <w:t xml:space="preserve"> </w:t>
      </w:r>
      <w:r w:rsidRPr="007050C1">
        <w:rPr>
          <w:rFonts w:ascii="Times New Roman" w:hAnsi="Times New Roman"/>
          <w:i/>
          <w:iCs/>
        </w:rPr>
        <w:t xml:space="preserve">Ibid., </w:t>
      </w:r>
      <w:r w:rsidRPr="007050C1">
        <w:rPr>
          <w:rFonts w:ascii="Times New Roman" w:hAnsi="Times New Roman"/>
        </w:rPr>
        <w:t>p.146.</w:t>
      </w:r>
    </w:p>
  </w:footnote>
  <w:footnote w:id="142">
    <w:p w:rsidR="006C092A" w:rsidRPr="001117DB" w:rsidRDefault="006C092A" w:rsidP="001117DB">
      <w:pPr>
        <w:pStyle w:val="Notedebasdepage"/>
        <w:jc w:val="both"/>
        <w:rPr>
          <w:rFonts w:asciiTheme="majorBidi" w:hAnsiTheme="majorBidi" w:cstheme="majorBidi"/>
        </w:rPr>
      </w:pPr>
      <w:r w:rsidRPr="001117DB">
        <w:rPr>
          <w:rStyle w:val="Appelnotedebasdep"/>
          <w:rFonts w:asciiTheme="majorBidi" w:hAnsiTheme="majorBidi" w:cstheme="majorBidi"/>
        </w:rPr>
        <w:footnoteRef/>
      </w:r>
      <w:r w:rsidRPr="001117DB">
        <w:rPr>
          <w:rFonts w:asciiTheme="majorBidi" w:hAnsiTheme="majorBidi" w:cstheme="majorBidi"/>
        </w:rPr>
        <w:t xml:space="preserve">Tzevetan Todorov, « Les catégories du récit littéraire », in </w:t>
      </w:r>
      <w:r w:rsidRPr="001117DB">
        <w:rPr>
          <w:rFonts w:asciiTheme="majorBidi" w:hAnsiTheme="majorBidi" w:cstheme="majorBidi"/>
          <w:i/>
        </w:rPr>
        <w:t xml:space="preserve">Communication 8, </w:t>
      </w:r>
      <w:r w:rsidRPr="001117DB">
        <w:rPr>
          <w:rFonts w:asciiTheme="majorBidi" w:hAnsiTheme="majorBidi" w:cstheme="majorBidi"/>
        </w:rPr>
        <w:t>Seuil, Paris, 1981, p.146.</w:t>
      </w:r>
    </w:p>
  </w:footnote>
  <w:footnote w:id="143">
    <w:p w:rsidR="006C092A" w:rsidRPr="001117DB" w:rsidRDefault="006C092A" w:rsidP="001117DB">
      <w:pPr>
        <w:autoSpaceDE w:val="0"/>
        <w:autoSpaceDN w:val="0"/>
        <w:adjustRightInd w:val="0"/>
        <w:spacing w:after="0" w:line="240" w:lineRule="auto"/>
        <w:jc w:val="both"/>
        <w:rPr>
          <w:rFonts w:asciiTheme="majorBidi" w:hAnsiTheme="majorBidi" w:cstheme="majorBidi"/>
          <w:sz w:val="20"/>
          <w:szCs w:val="20"/>
        </w:rPr>
      </w:pPr>
      <w:r w:rsidRPr="001117DB">
        <w:rPr>
          <w:rStyle w:val="Appelnotedebasdep"/>
          <w:rFonts w:asciiTheme="majorBidi" w:hAnsiTheme="majorBidi" w:cstheme="majorBidi"/>
          <w:sz w:val="20"/>
          <w:szCs w:val="20"/>
        </w:rPr>
        <w:footnoteRef/>
      </w:r>
      <w:r w:rsidRPr="001117DB">
        <w:rPr>
          <w:rFonts w:asciiTheme="majorBidi" w:hAnsiTheme="majorBidi" w:cstheme="majorBidi"/>
          <w:sz w:val="20"/>
          <w:szCs w:val="20"/>
        </w:rPr>
        <w:t>Ould Abderrahmane Kaki, « Le Porteur d'eau et les Marabouts », Traduit de l'arabe par Messaoud Benyoucef, cote : ARA03D520</w:t>
      </w:r>
      <w:r w:rsidRPr="001117DB">
        <w:rPr>
          <w:rFonts w:asciiTheme="majorBidi" w:hAnsiTheme="majorBidi" w:cstheme="majorBidi"/>
          <w:i/>
          <w:sz w:val="20"/>
          <w:szCs w:val="20"/>
        </w:rPr>
        <w:t xml:space="preserve">, </w:t>
      </w:r>
      <w:r w:rsidRPr="001117DB">
        <w:rPr>
          <w:rFonts w:asciiTheme="majorBidi" w:hAnsiTheme="majorBidi" w:cstheme="majorBidi"/>
          <w:sz w:val="20"/>
          <w:szCs w:val="20"/>
        </w:rPr>
        <w:t>date d'écriture de la pièce : 1965, date de traduction de la pièce : 2003, Paris, p.41.</w:t>
      </w:r>
    </w:p>
    <w:p w:rsidR="006C092A" w:rsidRPr="001117DB" w:rsidRDefault="006C092A" w:rsidP="001117DB">
      <w:pPr>
        <w:pStyle w:val="Notedebasdepage"/>
        <w:jc w:val="both"/>
        <w:rPr>
          <w:rFonts w:asciiTheme="majorBidi" w:hAnsiTheme="majorBidi" w:cstheme="majorBidi"/>
        </w:rPr>
      </w:pPr>
    </w:p>
  </w:footnote>
  <w:footnote w:id="144">
    <w:p w:rsidR="006C092A" w:rsidRPr="0091728E" w:rsidRDefault="006C092A" w:rsidP="0091728E">
      <w:pPr>
        <w:pStyle w:val="Notedebasdepage"/>
        <w:jc w:val="both"/>
        <w:rPr>
          <w:rFonts w:asciiTheme="majorBidi" w:hAnsiTheme="majorBidi" w:cstheme="majorBidi"/>
          <w:lang w:val="en-US"/>
        </w:rPr>
      </w:pPr>
      <w:r w:rsidRPr="0091728E">
        <w:rPr>
          <w:rStyle w:val="Appelnotedebasdep"/>
          <w:rFonts w:asciiTheme="majorBidi" w:hAnsiTheme="majorBidi" w:cstheme="majorBidi"/>
        </w:rPr>
        <w:footnoteRef/>
      </w:r>
      <w:r w:rsidRPr="0091728E">
        <w:rPr>
          <w:rFonts w:asciiTheme="majorBidi" w:hAnsiTheme="majorBidi" w:cstheme="majorBidi"/>
          <w:lang w:val="en-US"/>
        </w:rPr>
        <w:t xml:space="preserve">Tzevetan Todorov, </w:t>
      </w:r>
      <w:proofErr w:type="gramStart"/>
      <w:r w:rsidRPr="0091728E">
        <w:rPr>
          <w:rFonts w:asciiTheme="majorBidi" w:hAnsiTheme="majorBidi" w:cstheme="majorBidi"/>
          <w:i/>
          <w:iCs/>
          <w:lang w:val="en-US"/>
        </w:rPr>
        <w:t>op.cit.,</w:t>
      </w:r>
      <w:proofErr w:type="gramEnd"/>
      <w:r w:rsidRPr="0091728E">
        <w:rPr>
          <w:rFonts w:asciiTheme="majorBidi" w:hAnsiTheme="majorBidi" w:cstheme="majorBidi"/>
          <w:i/>
          <w:iCs/>
          <w:lang w:val="en-US"/>
        </w:rPr>
        <w:t xml:space="preserve"> </w:t>
      </w:r>
      <w:r w:rsidRPr="0091728E">
        <w:rPr>
          <w:rFonts w:asciiTheme="majorBidi" w:hAnsiTheme="majorBidi" w:cstheme="majorBidi"/>
          <w:lang w:val="en-US"/>
        </w:rPr>
        <w:t>p.145.</w:t>
      </w:r>
    </w:p>
  </w:footnote>
  <w:footnote w:id="145">
    <w:p w:rsidR="006C092A" w:rsidRPr="004872F3" w:rsidRDefault="006C092A" w:rsidP="004872F3">
      <w:pPr>
        <w:pStyle w:val="Notedebasdepage"/>
        <w:jc w:val="both"/>
        <w:rPr>
          <w:rFonts w:asciiTheme="majorBidi" w:hAnsiTheme="majorBidi" w:cstheme="majorBidi"/>
          <w:lang w:val="en-US"/>
        </w:rPr>
      </w:pPr>
      <w:r w:rsidRPr="004872F3">
        <w:rPr>
          <w:rStyle w:val="Appelnotedebasdep"/>
          <w:rFonts w:asciiTheme="majorBidi" w:hAnsiTheme="majorBidi" w:cstheme="majorBidi"/>
        </w:rPr>
        <w:footnoteRef/>
      </w:r>
      <w:r w:rsidRPr="004872F3">
        <w:rPr>
          <w:rFonts w:asciiTheme="majorBidi" w:hAnsiTheme="majorBidi" w:cstheme="majorBidi"/>
          <w:i/>
          <w:iCs/>
          <w:lang w:val="en-US"/>
        </w:rPr>
        <w:t>Ibid.</w:t>
      </w:r>
    </w:p>
  </w:footnote>
  <w:footnote w:id="146">
    <w:p w:rsidR="006C092A" w:rsidRPr="004872F3" w:rsidRDefault="006C092A" w:rsidP="004872F3">
      <w:pPr>
        <w:pStyle w:val="Notedebasdepage"/>
        <w:jc w:val="both"/>
        <w:rPr>
          <w:rFonts w:asciiTheme="majorBidi" w:hAnsiTheme="majorBidi" w:cstheme="majorBidi"/>
          <w:lang w:val="en-US"/>
        </w:rPr>
      </w:pPr>
      <w:r w:rsidRPr="004872F3">
        <w:rPr>
          <w:rStyle w:val="Appelnotedebasdep"/>
          <w:rFonts w:asciiTheme="majorBidi" w:hAnsiTheme="majorBidi" w:cstheme="majorBidi"/>
        </w:rPr>
        <w:footnoteRef/>
      </w:r>
      <w:r w:rsidRPr="004872F3">
        <w:rPr>
          <w:rFonts w:asciiTheme="majorBidi" w:hAnsiTheme="majorBidi" w:cstheme="majorBidi"/>
          <w:lang w:val="en-US"/>
        </w:rPr>
        <w:t xml:space="preserve"> Gérard Genette, </w:t>
      </w:r>
      <w:r w:rsidRPr="004872F3">
        <w:rPr>
          <w:rFonts w:asciiTheme="majorBidi" w:hAnsiTheme="majorBidi" w:cstheme="majorBidi"/>
          <w:i/>
          <w:iCs/>
          <w:lang w:val="en-US"/>
        </w:rPr>
        <w:t>op.cit</w:t>
      </w:r>
      <w:r w:rsidRPr="004872F3">
        <w:rPr>
          <w:rFonts w:asciiTheme="majorBidi" w:hAnsiTheme="majorBidi" w:cstheme="majorBidi"/>
          <w:lang w:val="en-US"/>
        </w:rPr>
        <w:t>.p.80.</w:t>
      </w:r>
      <w:r w:rsidRPr="004872F3">
        <w:rPr>
          <w:rFonts w:asciiTheme="majorBidi" w:hAnsiTheme="majorBidi" w:cstheme="majorBidi"/>
          <w:color w:val="FF0000"/>
          <w:lang w:val="en-US"/>
        </w:rPr>
        <w:t> </w:t>
      </w:r>
    </w:p>
  </w:footnote>
  <w:footnote w:id="147">
    <w:p w:rsidR="006C092A" w:rsidRPr="004872F3" w:rsidRDefault="006C092A" w:rsidP="004872F3">
      <w:pPr>
        <w:pStyle w:val="Notedebasdepage"/>
        <w:jc w:val="both"/>
        <w:rPr>
          <w:rFonts w:asciiTheme="majorBidi" w:hAnsiTheme="majorBidi" w:cstheme="majorBidi"/>
          <w:lang w:val="en-US"/>
        </w:rPr>
      </w:pPr>
      <w:r w:rsidRPr="004872F3">
        <w:rPr>
          <w:rStyle w:val="Appelnotedebasdep"/>
          <w:rFonts w:asciiTheme="majorBidi" w:hAnsiTheme="majorBidi" w:cstheme="majorBidi"/>
        </w:rPr>
        <w:footnoteRef/>
      </w:r>
      <w:r w:rsidRPr="004872F3">
        <w:rPr>
          <w:rFonts w:asciiTheme="majorBidi" w:hAnsiTheme="majorBidi" w:cstheme="majorBidi"/>
          <w:lang w:val="en-US"/>
        </w:rPr>
        <w:t xml:space="preserve"> </w:t>
      </w:r>
      <w:proofErr w:type="gramStart"/>
      <w:r w:rsidRPr="004872F3">
        <w:rPr>
          <w:rFonts w:asciiTheme="majorBidi" w:hAnsiTheme="majorBidi" w:cstheme="majorBidi"/>
          <w:i/>
          <w:iCs/>
          <w:lang w:val="en-US"/>
        </w:rPr>
        <w:t>Ibid</w:t>
      </w:r>
      <w:r w:rsidRPr="004872F3">
        <w:rPr>
          <w:rFonts w:asciiTheme="majorBidi" w:hAnsiTheme="majorBidi" w:cstheme="majorBidi"/>
          <w:lang w:val="en-US"/>
        </w:rPr>
        <w:t>, p.82.</w:t>
      </w:r>
      <w:proofErr w:type="gramEnd"/>
    </w:p>
  </w:footnote>
  <w:footnote w:id="148">
    <w:p w:rsidR="006C092A" w:rsidRPr="00797CB0" w:rsidRDefault="006C092A" w:rsidP="00425CF8">
      <w:pPr>
        <w:pStyle w:val="Notedebasdepage"/>
        <w:jc w:val="both"/>
        <w:rPr>
          <w:rFonts w:asciiTheme="majorBidi" w:hAnsiTheme="majorBidi" w:cstheme="majorBidi"/>
          <w:lang w:val="en-US"/>
        </w:rPr>
      </w:pPr>
      <w:r w:rsidRPr="00425CF8">
        <w:rPr>
          <w:rStyle w:val="Appelnotedebasdep"/>
          <w:rFonts w:asciiTheme="majorBidi" w:hAnsiTheme="majorBidi" w:cstheme="majorBidi"/>
        </w:rPr>
        <w:footnoteRef/>
      </w:r>
      <w:r w:rsidRPr="00797CB0">
        <w:rPr>
          <w:rFonts w:asciiTheme="majorBidi" w:hAnsiTheme="majorBidi" w:cstheme="majorBidi"/>
          <w:lang w:val="en-US"/>
        </w:rPr>
        <w:t xml:space="preserve">Gérard Genette, </w:t>
      </w:r>
      <w:r w:rsidRPr="00797CB0">
        <w:rPr>
          <w:rFonts w:asciiTheme="majorBidi" w:hAnsiTheme="majorBidi" w:cstheme="majorBidi"/>
          <w:i/>
          <w:iCs/>
          <w:lang w:val="en-US"/>
        </w:rPr>
        <w:t>op. cit</w:t>
      </w:r>
      <w:r w:rsidRPr="00797CB0">
        <w:rPr>
          <w:rFonts w:asciiTheme="majorBidi" w:hAnsiTheme="majorBidi" w:cstheme="majorBidi"/>
          <w:lang w:val="en-US"/>
        </w:rPr>
        <w:t>., p. 91.</w:t>
      </w:r>
    </w:p>
  </w:footnote>
  <w:footnote w:id="149">
    <w:p w:rsidR="006C092A" w:rsidRPr="00425CF8" w:rsidRDefault="006C092A" w:rsidP="00425CF8">
      <w:pPr>
        <w:pStyle w:val="Notedebasdepage"/>
        <w:jc w:val="both"/>
        <w:rPr>
          <w:rFonts w:asciiTheme="majorBidi" w:hAnsiTheme="majorBidi" w:cstheme="majorBidi"/>
        </w:rPr>
      </w:pPr>
      <w:r w:rsidRPr="00425CF8">
        <w:rPr>
          <w:rStyle w:val="Appelnotedebasdep"/>
          <w:rFonts w:asciiTheme="majorBidi" w:hAnsiTheme="majorBidi" w:cstheme="majorBidi"/>
        </w:rPr>
        <w:footnoteRef/>
      </w:r>
      <w:r w:rsidRPr="00425CF8">
        <w:rPr>
          <w:rFonts w:asciiTheme="majorBidi" w:hAnsiTheme="majorBidi" w:cstheme="majorBidi"/>
          <w:i/>
          <w:iCs/>
        </w:rPr>
        <w:t>Ibid</w:t>
      </w:r>
      <w:r w:rsidRPr="00425CF8">
        <w:rPr>
          <w:rFonts w:asciiTheme="majorBidi" w:hAnsiTheme="majorBidi" w:cstheme="majorBidi"/>
        </w:rPr>
        <w:t>., p. 82.</w:t>
      </w:r>
    </w:p>
  </w:footnote>
  <w:footnote w:id="150">
    <w:p w:rsidR="006C092A" w:rsidRPr="008E587B" w:rsidRDefault="006C092A" w:rsidP="008E587B">
      <w:pPr>
        <w:pStyle w:val="Notedebasdepage"/>
        <w:jc w:val="both"/>
        <w:rPr>
          <w:rFonts w:asciiTheme="majorBidi" w:hAnsiTheme="majorBidi" w:cstheme="majorBidi"/>
        </w:rPr>
      </w:pPr>
      <w:r w:rsidRPr="008E587B">
        <w:rPr>
          <w:rStyle w:val="Appelnotedebasdep"/>
          <w:rFonts w:asciiTheme="majorBidi" w:hAnsiTheme="majorBidi" w:cstheme="majorBidi"/>
        </w:rPr>
        <w:footnoteRef/>
      </w:r>
      <w:r w:rsidRPr="008E587B">
        <w:rPr>
          <w:rFonts w:asciiTheme="majorBidi" w:hAnsiTheme="majorBidi" w:cstheme="majorBidi"/>
        </w:rPr>
        <w:t xml:space="preserve">E. L. Sadoulet, cité in Georges Bernanos, </w:t>
      </w:r>
      <w:r w:rsidRPr="008E587B">
        <w:rPr>
          <w:rFonts w:asciiTheme="majorBidi" w:hAnsiTheme="majorBidi" w:cstheme="majorBidi"/>
          <w:i/>
          <w:iCs/>
        </w:rPr>
        <w:t>Temps et récit dans l’œuvre romanesque</w:t>
      </w:r>
      <w:r w:rsidRPr="008E587B">
        <w:rPr>
          <w:rFonts w:asciiTheme="majorBidi" w:hAnsiTheme="majorBidi" w:cstheme="majorBidi"/>
        </w:rPr>
        <w:t>, Klincksiek, Paris, 1988, p.211.</w:t>
      </w:r>
    </w:p>
  </w:footnote>
  <w:footnote w:id="151">
    <w:p w:rsidR="006C092A" w:rsidRPr="008E587B" w:rsidRDefault="006C092A" w:rsidP="008E587B">
      <w:pPr>
        <w:shd w:val="clear" w:color="auto" w:fill="FFFFFF"/>
        <w:spacing w:after="0" w:line="240" w:lineRule="auto"/>
        <w:jc w:val="both"/>
        <w:outlineLvl w:val="3"/>
        <w:rPr>
          <w:rFonts w:asciiTheme="majorBidi" w:hAnsiTheme="majorBidi" w:cstheme="majorBidi"/>
          <w:sz w:val="20"/>
          <w:szCs w:val="20"/>
        </w:rPr>
      </w:pPr>
      <w:r w:rsidRPr="008E587B">
        <w:rPr>
          <w:rStyle w:val="Appelnotedebasdep"/>
          <w:rFonts w:asciiTheme="majorBidi" w:hAnsiTheme="majorBidi" w:cstheme="majorBidi"/>
          <w:sz w:val="20"/>
          <w:szCs w:val="20"/>
        </w:rPr>
        <w:footnoteRef/>
      </w:r>
      <w:r w:rsidRPr="008E587B">
        <w:rPr>
          <w:rFonts w:asciiTheme="majorBidi" w:hAnsiTheme="majorBidi" w:cstheme="majorBidi"/>
          <w:sz w:val="20"/>
          <w:szCs w:val="20"/>
        </w:rPr>
        <w:t xml:space="preserve">Jean Kaemler &amp; Raphael Micheli, </w:t>
      </w:r>
      <w:hyperlink r:id="rId18" w:history="1">
        <w:r w:rsidRPr="008E587B">
          <w:rPr>
            <w:rFonts w:asciiTheme="majorBidi" w:eastAsia="Times New Roman" w:hAnsiTheme="majorBidi" w:cstheme="majorBidi"/>
            <w:i/>
            <w:iCs/>
            <w:sz w:val="20"/>
            <w:szCs w:val="20"/>
            <w:lang w:eastAsia="fr-FR"/>
          </w:rPr>
          <w:t>Méthodes et problèmes</w:t>
        </w:r>
      </w:hyperlink>
      <w:r w:rsidRPr="008E587B">
        <w:rPr>
          <w:rFonts w:asciiTheme="majorBidi" w:eastAsia="Times New Roman" w:hAnsiTheme="majorBidi" w:cstheme="majorBidi"/>
          <w:i/>
          <w:iCs/>
          <w:sz w:val="20"/>
          <w:szCs w:val="20"/>
          <w:lang w:eastAsia="fr-FR"/>
        </w:rPr>
        <w:t xml:space="preserve">, </w:t>
      </w:r>
      <w:r w:rsidRPr="008E587B">
        <w:rPr>
          <w:rFonts w:asciiTheme="majorBidi" w:hAnsiTheme="majorBidi" w:cstheme="majorBidi"/>
          <w:i/>
          <w:sz w:val="20"/>
          <w:szCs w:val="20"/>
        </w:rPr>
        <w:t>La temporalité Narrative</w:t>
      </w:r>
      <w:r w:rsidRPr="008E587B">
        <w:rPr>
          <w:rFonts w:asciiTheme="majorBidi" w:hAnsiTheme="majorBidi" w:cstheme="majorBidi"/>
          <w:sz w:val="20"/>
          <w:szCs w:val="20"/>
        </w:rPr>
        <w:t xml:space="preserve">, Section de Français, Université de Lausanne, </w:t>
      </w:r>
      <w:r w:rsidRPr="008E587B">
        <w:rPr>
          <w:rFonts w:asciiTheme="majorBidi" w:hAnsiTheme="majorBidi" w:cstheme="majorBidi"/>
          <w:color w:val="000000"/>
          <w:sz w:val="20"/>
          <w:szCs w:val="20"/>
          <w:shd w:val="clear" w:color="auto" w:fill="FFFFFF"/>
        </w:rPr>
        <w:t>Edition: Ambroise Barras, 2005, p. .22.</w:t>
      </w:r>
      <w:r w:rsidRPr="008E587B">
        <w:rPr>
          <w:rStyle w:val="apple-converted-space"/>
          <w:rFonts w:asciiTheme="majorBidi" w:hAnsiTheme="majorBidi" w:cstheme="majorBidi"/>
          <w:color w:val="000000"/>
          <w:sz w:val="20"/>
          <w:szCs w:val="20"/>
          <w:shd w:val="clear" w:color="auto" w:fill="FFFFFF"/>
        </w:rPr>
        <w:t> </w:t>
      </w:r>
    </w:p>
  </w:footnote>
  <w:footnote w:id="152">
    <w:p w:rsidR="006C092A" w:rsidRPr="008E587B" w:rsidRDefault="006C092A" w:rsidP="008E587B">
      <w:pPr>
        <w:pStyle w:val="Notedebasdepage"/>
        <w:jc w:val="both"/>
        <w:rPr>
          <w:rFonts w:asciiTheme="majorBidi" w:hAnsiTheme="majorBidi" w:cstheme="majorBidi"/>
        </w:rPr>
      </w:pPr>
      <w:r w:rsidRPr="008E587B">
        <w:rPr>
          <w:rStyle w:val="Appelnotedebasdep"/>
          <w:rFonts w:asciiTheme="majorBidi" w:hAnsiTheme="majorBidi" w:cstheme="majorBidi"/>
        </w:rPr>
        <w:footnoteRef/>
      </w:r>
      <w:r w:rsidRPr="008E587B">
        <w:rPr>
          <w:rFonts w:asciiTheme="majorBidi" w:hAnsiTheme="majorBidi" w:cstheme="majorBidi"/>
        </w:rPr>
        <w:t xml:space="preserve">Gérard Genette, </w:t>
      </w:r>
      <w:r w:rsidRPr="008E587B">
        <w:rPr>
          <w:rFonts w:asciiTheme="majorBidi" w:hAnsiTheme="majorBidi" w:cstheme="majorBidi"/>
          <w:i/>
          <w:iCs/>
        </w:rPr>
        <w:t>Figure III</w:t>
      </w:r>
      <w:r w:rsidRPr="008E587B">
        <w:rPr>
          <w:rFonts w:asciiTheme="majorBidi" w:hAnsiTheme="majorBidi" w:cstheme="majorBidi"/>
        </w:rPr>
        <w:t xml:space="preserve">, </w:t>
      </w:r>
      <w:r w:rsidRPr="008E587B">
        <w:rPr>
          <w:rFonts w:asciiTheme="majorBidi" w:hAnsiTheme="majorBidi" w:cstheme="majorBidi"/>
          <w:i/>
          <w:iCs/>
        </w:rPr>
        <w:t>op.cit</w:t>
      </w:r>
      <w:r w:rsidRPr="008E587B">
        <w:rPr>
          <w:rFonts w:asciiTheme="majorBidi" w:hAnsiTheme="majorBidi" w:cstheme="majorBidi"/>
        </w:rPr>
        <w:t>., p.139.</w:t>
      </w:r>
    </w:p>
  </w:footnote>
  <w:footnote w:id="153">
    <w:p w:rsidR="006C092A" w:rsidRPr="00835B5F" w:rsidRDefault="006C092A" w:rsidP="00003EF0">
      <w:pPr>
        <w:pStyle w:val="Notedebasdepage"/>
        <w:rPr>
          <w:rFonts w:ascii="Times New Roman" w:hAnsi="Times New Roman"/>
        </w:rPr>
      </w:pPr>
      <w:r w:rsidRPr="00270955">
        <w:rPr>
          <w:rStyle w:val="Appelnotedebasdep"/>
          <w:rFonts w:ascii="Times New Roman" w:hAnsi="Times New Roman"/>
        </w:rPr>
        <w:footnoteRef/>
      </w:r>
      <w:r w:rsidRPr="00835B5F">
        <w:rPr>
          <w:rFonts w:ascii="Times New Roman" w:hAnsi="Times New Roman"/>
        </w:rPr>
        <w:t xml:space="preserve"> Gérard Genette, </w:t>
      </w:r>
      <w:r w:rsidRPr="00835B5F">
        <w:rPr>
          <w:rFonts w:ascii="Times New Roman" w:hAnsi="Times New Roman"/>
          <w:i/>
          <w:iCs/>
        </w:rPr>
        <w:t>Figure III</w:t>
      </w:r>
      <w:r w:rsidRPr="00835B5F">
        <w:rPr>
          <w:rFonts w:ascii="Times New Roman" w:hAnsi="Times New Roman"/>
        </w:rPr>
        <w:t xml:space="preserve">, </w:t>
      </w:r>
      <w:r w:rsidRPr="00835B5F">
        <w:rPr>
          <w:rFonts w:ascii="Times New Roman" w:hAnsi="Times New Roman"/>
          <w:i/>
          <w:iCs/>
        </w:rPr>
        <w:t>op.cit</w:t>
      </w:r>
      <w:r w:rsidRPr="00835B5F">
        <w:rPr>
          <w:rFonts w:ascii="Times New Roman" w:hAnsi="Times New Roman"/>
        </w:rPr>
        <w:t>., p.139.</w:t>
      </w:r>
    </w:p>
  </w:footnote>
  <w:footnote w:id="154">
    <w:p w:rsidR="006C092A" w:rsidRPr="00E3335D" w:rsidRDefault="006C092A" w:rsidP="00835B5F">
      <w:pPr>
        <w:pStyle w:val="Notedebasdepage"/>
        <w:jc w:val="both"/>
        <w:rPr>
          <w:rFonts w:ascii="Times New Roman" w:hAnsi="Times New Roman"/>
        </w:rPr>
      </w:pPr>
      <w:r w:rsidRPr="0052155F">
        <w:rPr>
          <w:rStyle w:val="Appelnotedebasdep"/>
          <w:rFonts w:ascii="Times New Roman" w:hAnsi="Times New Roman"/>
        </w:rPr>
        <w:footnoteRef/>
      </w:r>
      <w:r w:rsidRPr="00E3335D">
        <w:rPr>
          <w:rFonts w:ascii="Times New Roman" w:hAnsi="Times New Roman"/>
        </w:rPr>
        <w:t xml:space="preserve">Gérard Genette, </w:t>
      </w:r>
      <w:r w:rsidRPr="00E3335D">
        <w:rPr>
          <w:rFonts w:ascii="Times New Roman" w:hAnsi="Times New Roman"/>
          <w:i/>
          <w:iCs/>
        </w:rPr>
        <w:t>Figure III</w:t>
      </w:r>
      <w:r w:rsidRPr="00E3335D">
        <w:rPr>
          <w:rFonts w:ascii="Times New Roman" w:hAnsi="Times New Roman"/>
        </w:rPr>
        <w:t xml:space="preserve">, </w:t>
      </w:r>
      <w:r w:rsidRPr="00E3335D">
        <w:rPr>
          <w:rFonts w:ascii="Times New Roman" w:hAnsi="Times New Roman"/>
          <w:i/>
          <w:iCs/>
        </w:rPr>
        <w:t>op.cit</w:t>
      </w:r>
      <w:r w:rsidRPr="00E3335D">
        <w:rPr>
          <w:rFonts w:ascii="Times New Roman" w:hAnsi="Times New Roman"/>
        </w:rPr>
        <w:t xml:space="preserve">., </w:t>
      </w:r>
      <w:r w:rsidRPr="00E3335D">
        <w:rPr>
          <w:rFonts w:ascii="Times New Roman" w:hAnsi="Times New Roman"/>
          <w:bCs/>
        </w:rPr>
        <w:t>p.55.</w:t>
      </w:r>
    </w:p>
  </w:footnote>
  <w:footnote w:id="155">
    <w:p w:rsidR="006C092A" w:rsidRPr="00835B5F" w:rsidRDefault="006C092A" w:rsidP="00835B5F">
      <w:pPr>
        <w:pStyle w:val="Notedebasdepage"/>
        <w:jc w:val="both"/>
        <w:rPr>
          <w:rFonts w:ascii="Times New Roman" w:hAnsi="Times New Roman"/>
          <w:lang w:val="en-US"/>
        </w:rPr>
      </w:pPr>
      <w:r w:rsidRPr="0052155F">
        <w:rPr>
          <w:rStyle w:val="Appelnotedebasdep"/>
          <w:rFonts w:ascii="Times New Roman" w:hAnsi="Times New Roman"/>
        </w:rPr>
        <w:footnoteRef/>
      </w:r>
      <w:proofErr w:type="gramStart"/>
      <w:r w:rsidRPr="00835B5F">
        <w:rPr>
          <w:rFonts w:ascii="Times New Roman" w:hAnsi="Times New Roman"/>
          <w:i/>
          <w:iCs/>
          <w:lang w:val="en-US"/>
        </w:rPr>
        <w:t>Ibid.,</w:t>
      </w:r>
      <w:proofErr w:type="gramEnd"/>
      <w:r w:rsidRPr="00835B5F">
        <w:rPr>
          <w:rFonts w:ascii="Times New Roman" w:hAnsi="Times New Roman"/>
          <w:i/>
          <w:iCs/>
          <w:lang w:val="en-US"/>
        </w:rPr>
        <w:t xml:space="preserve"> </w:t>
      </w:r>
      <w:r w:rsidRPr="00835B5F">
        <w:rPr>
          <w:rFonts w:ascii="Times New Roman" w:hAnsi="Times New Roman"/>
          <w:lang w:val="en-US"/>
        </w:rPr>
        <w:t>p.139.</w:t>
      </w:r>
    </w:p>
  </w:footnote>
  <w:footnote w:id="156">
    <w:p w:rsidR="006C092A" w:rsidRPr="00835B5F" w:rsidRDefault="006C092A" w:rsidP="00835B5F">
      <w:pPr>
        <w:pStyle w:val="Notedebasdepage"/>
        <w:jc w:val="both"/>
        <w:rPr>
          <w:lang w:val="en-US"/>
        </w:rPr>
      </w:pPr>
      <w:r w:rsidRPr="0052155F">
        <w:rPr>
          <w:rStyle w:val="Appelnotedebasdep"/>
          <w:rFonts w:ascii="Times New Roman" w:hAnsi="Times New Roman"/>
        </w:rPr>
        <w:footnoteRef/>
      </w:r>
      <w:proofErr w:type="gramStart"/>
      <w:r w:rsidRPr="00835B5F">
        <w:rPr>
          <w:rFonts w:ascii="Times New Roman" w:hAnsi="Times New Roman"/>
          <w:i/>
          <w:iCs/>
          <w:lang w:val="en-US"/>
        </w:rPr>
        <w:t>Ibid.,</w:t>
      </w:r>
      <w:proofErr w:type="gramEnd"/>
      <w:r w:rsidRPr="00835B5F">
        <w:rPr>
          <w:rFonts w:ascii="Times New Roman" w:hAnsi="Times New Roman"/>
          <w:i/>
          <w:iCs/>
          <w:lang w:val="en-US"/>
        </w:rPr>
        <w:t xml:space="preserve"> </w:t>
      </w:r>
      <w:r w:rsidRPr="00835B5F">
        <w:rPr>
          <w:rFonts w:ascii="Times New Roman" w:hAnsi="Times New Roman"/>
          <w:lang w:val="en-US"/>
        </w:rPr>
        <w:t>p.140.</w:t>
      </w:r>
    </w:p>
  </w:footnote>
  <w:footnote w:id="157">
    <w:p w:rsidR="006C092A" w:rsidRPr="00E3335D" w:rsidRDefault="006C092A" w:rsidP="00F175B7">
      <w:pPr>
        <w:pStyle w:val="Notedebasdepage"/>
        <w:jc w:val="both"/>
        <w:rPr>
          <w:rFonts w:ascii="Times New Roman" w:hAnsi="Times New Roman"/>
          <w:lang w:val="en-US"/>
        </w:rPr>
      </w:pPr>
      <w:r w:rsidRPr="0052155F">
        <w:rPr>
          <w:rStyle w:val="Appelnotedebasdep"/>
          <w:rFonts w:ascii="Times New Roman" w:hAnsi="Times New Roman"/>
        </w:rPr>
        <w:footnoteRef/>
      </w:r>
      <w:r w:rsidRPr="00E3335D">
        <w:rPr>
          <w:rFonts w:ascii="Times New Roman" w:hAnsi="Times New Roman"/>
          <w:lang w:val="en-US"/>
        </w:rPr>
        <w:t xml:space="preserve">E. L., Sadoulet, cité in Georges Bernanos, </w:t>
      </w:r>
      <w:proofErr w:type="gramStart"/>
      <w:r w:rsidRPr="00E3335D">
        <w:rPr>
          <w:rFonts w:ascii="Times New Roman" w:hAnsi="Times New Roman"/>
          <w:i/>
          <w:iCs/>
          <w:lang w:val="en-US"/>
        </w:rPr>
        <w:t>op.cit.,</w:t>
      </w:r>
      <w:proofErr w:type="gramEnd"/>
      <w:r w:rsidRPr="00E3335D">
        <w:rPr>
          <w:rFonts w:ascii="Times New Roman" w:hAnsi="Times New Roman"/>
          <w:i/>
          <w:iCs/>
          <w:lang w:val="en-US"/>
        </w:rPr>
        <w:t xml:space="preserve"> </w:t>
      </w:r>
      <w:r w:rsidRPr="00E3335D">
        <w:rPr>
          <w:rFonts w:ascii="Times New Roman" w:hAnsi="Times New Roman"/>
          <w:lang w:val="en-US"/>
        </w:rPr>
        <w:t>p.198.</w:t>
      </w:r>
    </w:p>
  </w:footnote>
  <w:footnote w:id="158">
    <w:p w:rsidR="006C092A" w:rsidRPr="0052155F" w:rsidRDefault="006C092A" w:rsidP="0068576A">
      <w:pPr>
        <w:pStyle w:val="Notedebasdepage"/>
        <w:jc w:val="both"/>
        <w:rPr>
          <w:rFonts w:ascii="Times New Roman" w:hAnsi="Times New Roman"/>
        </w:rPr>
      </w:pPr>
      <w:r w:rsidRPr="0052155F">
        <w:rPr>
          <w:rStyle w:val="Appelnotedebasdep"/>
          <w:rFonts w:ascii="Times New Roman" w:hAnsi="Times New Roman"/>
        </w:rPr>
        <w:footnoteRef/>
      </w:r>
      <w:r w:rsidRPr="0052155F">
        <w:rPr>
          <w:rFonts w:ascii="Times New Roman" w:hAnsi="Times New Roman"/>
        </w:rPr>
        <w:t xml:space="preserve">Barnabé </w:t>
      </w:r>
      <w:r w:rsidRPr="00DF739F">
        <w:rPr>
          <w:rFonts w:ascii="Times New Roman" w:hAnsi="Times New Roman"/>
        </w:rPr>
        <w:t>M</w:t>
      </w:r>
      <w:r>
        <w:rPr>
          <w:rFonts w:ascii="Times New Roman" w:hAnsi="Times New Roman"/>
        </w:rPr>
        <w:t>balazé</w:t>
      </w:r>
      <w:r w:rsidRPr="00DF739F">
        <w:rPr>
          <w:rFonts w:ascii="Times New Roman" w:hAnsi="Times New Roman"/>
        </w:rPr>
        <w:t xml:space="preserve">, </w:t>
      </w:r>
      <w:r w:rsidRPr="00DF739F">
        <w:rPr>
          <w:rFonts w:ascii="Times New Roman" w:hAnsi="Times New Roman"/>
          <w:i/>
          <w:iCs/>
        </w:rPr>
        <w:t>La Narratologie revisitée, entre Antée et Protée</w:t>
      </w:r>
      <w:r w:rsidRPr="00DF739F">
        <w:rPr>
          <w:rFonts w:ascii="Times New Roman" w:hAnsi="Times New Roman"/>
        </w:rPr>
        <w:t>, PUY</w:t>
      </w:r>
      <w:r>
        <w:rPr>
          <w:rFonts w:ascii="Times New Roman" w:hAnsi="Times New Roman"/>
        </w:rPr>
        <w:t xml:space="preserve">, </w:t>
      </w:r>
      <w:r w:rsidRPr="00DF739F">
        <w:rPr>
          <w:rFonts w:ascii="Times New Roman" w:hAnsi="Times New Roman"/>
        </w:rPr>
        <w:t>Yaoundé, 2001</w:t>
      </w:r>
      <w:r>
        <w:rPr>
          <w:rFonts w:ascii="Times New Roman" w:hAnsi="Times New Roman"/>
        </w:rPr>
        <w:t>, p.160.</w:t>
      </w:r>
    </w:p>
  </w:footnote>
  <w:footnote w:id="159">
    <w:p w:rsidR="006C092A" w:rsidRPr="0052155F" w:rsidRDefault="006C092A" w:rsidP="00E44C2F">
      <w:pPr>
        <w:pStyle w:val="Notedebasdepage"/>
        <w:jc w:val="both"/>
        <w:rPr>
          <w:rFonts w:ascii="Times New Roman" w:hAnsi="Times New Roman"/>
        </w:rPr>
      </w:pPr>
      <w:r w:rsidRPr="0052155F">
        <w:rPr>
          <w:rStyle w:val="Appelnotedebasdep"/>
          <w:rFonts w:ascii="Times New Roman" w:hAnsi="Times New Roman"/>
        </w:rPr>
        <w:footnoteRef/>
      </w:r>
      <w:r w:rsidRPr="0052155F">
        <w:rPr>
          <w:rFonts w:ascii="Times New Roman" w:hAnsi="Times New Roman"/>
        </w:rPr>
        <w:t>P</w:t>
      </w:r>
      <w:r w:rsidRPr="0023500D">
        <w:rPr>
          <w:rFonts w:ascii="Times New Roman" w:hAnsi="Times New Roman"/>
        </w:rPr>
        <w:t>hilippe H</w:t>
      </w:r>
      <w:r>
        <w:rPr>
          <w:rFonts w:ascii="Times New Roman" w:hAnsi="Times New Roman"/>
        </w:rPr>
        <w:t>amon</w:t>
      </w:r>
      <w:r w:rsidRPr="0023500D">
        <w:rPr>
          <w:rFonts w:ascii="Times New Roman" w:hAnsi="Times New Roman"/>
        </w:rPr>
        <w:t xml:space="preserve">, « Pour un statut sémiologique du personnage » in </w:t>
      </w:r>
      <w:r w:rsidRPr="0023500D">
        <w:rPr>
          <w:rFonts w:ascii="Times New Roman" w:hAnsi="Times New Roman"/>
          <w:i/>
          <w:iCs/>
        </w:rPr>
        <w:t>Poétique du récit</w:t>
      </w:r>
      <w:r w:rsidRPr="0023500D">
        <w:rPr>
          <w:rFonts w:ascii="Times New Roman" w:hAnsi="Times New Roman"/>
        </w:rPr>
        <w:t>, Seuil</w:t>
      </w:r>
      <w:r>
        <w:rPr>
          <w:rFonts w:ascii="Times New Roman" w:hAnsi="Times New Roman"/>
        </w:rPr>
        <w:t xml:space="preserve">, </w:t>
      </w:r>
      <w:r w:rsidRPr="0023500D">
        <w:rPr>
          <w:rFonts w:ascii="Times New Roman" w:hAnsi="Times New Roman"/>
        </w:rPr>
        <w:t>Paris, 1977, p.115–167.</w:t>
      </w:r>
    </w:p>
  </w:footnote>
  <w:footnote w:id="160">
    <w:p w:rsidR="006C092A" w:rsidRPr="00BD58B0" w:rsidRDefault="006C092A" w:rsidP="00263811">
      <w:pPr>
        <w:pStyle w:val="Notedebasdepage"/>
        <w:jc w:val="both"/>
        <w:rPr>
          <w:rFonts w:asciiTheme="majorBidi" w:hAnsiTheme="majorBidi" w:cstheme="majorBidi"/>
        </w:rPr>
      </w:pPr>
      <w:r w:rsidRPr="00BD58B0">
        <w:rPr>
          <w:rStyle w:val="Appelnotedebasdep"/>
          <w:rFonts w:asciiTheme="majorBidi" w:hAnsiTheme="majorBidi" w:cstheme="majorBidi"/>
        </w:rPr>
        <w:footnoteRef/>
      </w:r>
      <w:r w:rsidRPr="00BD58B0">
        <w:rPr>
          <w:rFonts w:asciiTheme="majorBidi" w:hAnsiTheme="majorBidi" w:cstheme="majorBidi"/>
        </w:rPr>
        <w:t>M.L. Messi</w:t>
      </w:r>
      <w:r w:rsidRPr="00BD58B0">
        <w:rPr>
          <w:rFonts w:asciiTheme="majorBidi" w:hAnsiTheme="majorBidi" w:cstheme="majorBidi"/>
          <w:color w:val="00B0F0"/>
        </w:rPr>
        <w:t xml:space="preserve"> </w:t>
      </w:r>
      <w:r w:rsidRPr="00BD58B0">
        <w:rPr>
          <w:rFonts w:asciiTheme="majorBidi" w:hAnsiTheme="majorBidi" w:cstheme="majorBidi"/>
        </w:rPr>
        <w:t xml:space="preserve">Ndongo, « Les modalités d’aventure dans voyage au bout de la nuit de Louis-Ferdinand Céline » in </w:t>
      </w:r>
      <w:r w:rsidRPr="00BD58B0">
        <w:rPr>
          <w:rFonts w:asciiTheme="majorBidi" w:hAnsiTheme="majorBidi" w:cstheme="majorBidi"/>
          <w:i/>
          <w:iCs/>
        </w:rPr>
        <w:t>Ecriture VIII</w:t>
      </w:r>
      <w:r w:rsidRPr="00BD58B0">
        <w:rPr>
          <w:rFonts w:asciiTheme="majorBidi" w:hAnsiTheme="majorBidi" w:cstheme="majorBidi"/>
        </w:rPr>
        <w:t>, clé, Yaoundé, 2001, p.31.</w:t>
      </w:r>
    </w:p>
  </w:footnote>
  <w:footnote w:id="161">
    <w:p w:rsidR="006C092A" w:rsidRPr="00E35F65" w:rsidRDefault="006C092A" w:rsidP="00AE2E11">
      <w:pPr>
        <w:spacing w:after="0" w:line="240" w:lineRule="auto"/>
        <w:jc w:val="both"/>
        <w:rPr>
          <w:rFonts w:asciiTheme="majorBidi" w:hAnsiTheme="majorBidi" w:cstheme="majorBidi"/>
          <w:sz w:val="20"/>
          <w:szCs w:val="20"/>
        </w:rPr>
      </w:pPr>
      <w:r w:rsidRPr="00E35F65">
        <w:rPr>
          <w:rStyle w:val="Appelnotedebasdep"/>
          <w:rFonts w:asciiTheme="majorBidi" w:hAnsiTheme="majorBidi" w:cstheme="majorBidi"/>
          <w:sz w:val="20"/>
          <w:szCs w:val="20"/>
        </w:rPr>
        <w:footnoteRef/>
      </w:r>
      <w:r w:rsidRPr="00E35F65">
        <w:rPr>
          <w:rFonts w:asciiTheme="majorBidi" w:hAnsiTheme="majorBidi" w:cstheme="majorBidi"/>
          <w:sz w:val="20"/>
          <w:szCs w:val="20"/>
        </w:rPr>
        <w:t>Roland B</w:t>
      </w:r>
      <w:r>
        <w:rPr>
          <w:rFonts w:asciiTheme="majorBidi" w:hAnsiTheme="majorBidi" w:cstheme="majorBidi"/>
          <w:sz w:val="20"/>
          <w:szCs w:val="20"/>
        </w:rPr>
        <w:t>arthes</w:t>
      </w:r>
      <w:r w:rsidRPr="00E35F65">
        <w:rPr>
          <w:rFonts w:asciiTheme="majorBidi" w:hAnsiTheme="majorBidi" w:cstheme="majorBidi"/>
          <w:sz w:val="20"/>
          <w:szCs w:val="20"/>
        </w:rPr>
        <w:t xml:space="preserve">, « Introduction à l’analyse structurale des récits » in </w:t>
      </w:r>
      <w:r w:rsidRPr="00E35F65">
        <w:rPr>
          <w:rFonts w:asciiTheme="majorBidi" w:hAnsiTheme="majorBidi" w:cstheme="majorBidi"/>
          <w:i/>
          <w:iCs/>
          <w:sz w:val="20"/>
          <w:szCs w:val="20"/>
        </w:rPr>
        <w:t>Communications 8</w:t>
      </w:r>
      <w:r w:rsidRPr="00E35F65">
        <w:rPr>
          <w:rFonts w:asciiTheme="majorBidi" w:hAnsiTheme="majorBidi" w:cstheme="majorBidi"/>
          <w:sz w:val="20"/>
          <w:szCs w:val="20"/>
        </w:rPr>
        <w:t xml:space="preserve">, Seuil, Paris, 1966, p.17. </w:t>
      </w:r>
    </w:p>
  </w:footnote>
  <w:footnote w:id="162">
    <w:p w:rsidR="006C092A" w:rsidRPr="00A6282E" w:rsidRDefault="006C092A" w:rsidP="001D4835">
      <w:pPr>
        <w:pStyle w:val="Notedebasdepage"/>
        <w:jc w:val="both"/>
        <w:rPr>
          <w:rFonts w:ascii="Times New Roman" w:hAnsi="Times New Roman"/>
        </w:rPr>
      </w:pPr>
      <w:r w:rsidRPr="00A6282E">
        <w:rPr>
          <w:rStyle w:val="Appelnotedebasdep"/>
          <w:rFonts w:ascii="Times New Roman" w:hAnsi="Times New Roman"/>
        </w:rPr>
        <w:footnoteRef/>
      </w:r>
      <w:r w:rsidRPr="00A6282E">
        <w:rPr>
          <w:rFonts w:ascii="Times New Roman" w:hAnsi="Times New Roman"/>
        </w:rPr>
        <w:t>Anne U</w:t>
      </w:r>
      <w:r>
        <w:rPr>
          <w:rFonts w:ascii="Times New Roman" w:hAnsi="Times New Roman"/>
        </w:rPr>
        <w:t>bersfeld</w:t>
      </w:r>
      <w:r w:rsidRPr="00A6282E">
        <w:rPr>
          <w:rFonts w:ascii="Times New Roman" w:hAnsi="Times New Roman"/>
        </w:rPr>
        <w:t xml:space="preserve">, </w:t>
      </w:r>
      <w:r w:rsidRPr="00A6282E">
        <w:rPr>
          <w:rFonts w:ascii="Times New Roman" w:hAnsi="Times New Roman"/>
          <w:i/>
          <w:iCs/>
        </w:rPr>
        <w:t>Lire le théâtre</w:t>
      </w:r>
      <w:r w:rsidRPr="00A6282E">
        <w:rPr>
          <w:rFonts w:ascii="Times New Roman" w:hAnsi="Times New Roman"/>
        </w:rPr>
        <w:t>, Edition sociale</w:t>
      </w:r>
      <w:r>
        <w:rPr>
          <w:rFonts w:ascii="Times New Roman" w:hAnsi="Times New Roman"/>
        </w:rPr>
        <w:t xml:space="preserve">, </w:t>
      </w:r>
      <w:r w:rsidRPr="00A6282E">
        <w:rPr>
          <w:rFonts w:ascii="Times New Roman" w:hAnsi="Times New Roman"/>
        </w:rPr>
        <w:t>Pa</w:t>
      </w:r>
      <w:r>
        <w:rPr>
          <w:rFonts w:ascii="Times New Roman" w:hAnsi="Times New Roman"/>
        </w:rPr>
        <w:t>r</w:t>
      </w:r>
      <w:r w:rsidRPr="00A6282E">
        <w:rPr>
          <w:rFonts w:ascii="Times New Roman" w:hAnsi="Times New Roman"/>
        </w:rPr>
        <w:t>is, 1978, p.79</w:t>
      </w:r>
      <w:r>
        <w:rPr>
          <w:rFonts w:ascii="Times New Roman" w:hAnsi="Times New Roman"/>
        </w:rPr>
        <w:t>.</w:t>
      </w:r>
    </w:p>
  </w:footnote>
  <w:footnote w:id="163">
    <w:p w:rsidR="006C092A" w:rsidRPr="00A6282E" w:rsidRDefault="006C092A" w:rsidP="001D4835">
      <w:pPr>
        <w:autoSpaceDE w:val="0"/>
        <w:autoSpaceDN w:val="0"/>
        <w:adjustRightInd w:val="0"/>
        <w:spacing w:after="0" w:line="240" w:lineRule="auto"/>
        <w:jc w:val="both"/>
        <w:rPr>
          <w:rFonts w:ascii="Times New Roman" w:hAnsi="Times New Roman"/>
          <w:sz w:val="20"/>
          <w:szCs w:val="20"/>
        </w:rPr>
      </w:pPr>
      <w:r w:rsidRPr="00A6282E">
        <w:rPr>
          <w:rStyle w:val="Appelnotedebasdep"/>
          <w:rFonts w:ascii="Times New Roman" w:hAnsi="Times New Roman"/>
          <w:sz w:val="20"/>
          <w:szCs w:val="20"/>
        </w:rPr>
        <w:footnoteRef/>
      </w:r>
      <w:r w:rsidRPr="00A6282E">
        <w:rPr>
          <w:rFonts w:ascii="Times New Roman" w:hAnsi="Times New Roman"/>
          <w:i/>
          <w:iCs/>
          <w:sz w:val="20"/>
          <w:szCs w:val="20"/>
        </w:rPr>
        <w:t>Ibid</w:t>
      </w:r>
      <w:r w:rsidRPr="00A6282E">
        <w:rPr>
          <w:rFonts w:ascii="Times New Roman" w:hAnsi="Times New Roman"/>
          <w:sz w:val="20"/>
          <w:szCs w:val="20"/>
        </w:rPr>
        <w:t>., p.80</w:t>
      </w:r>
      <w:r>
        <w:rPr>
          <w:rFonts w:ascii="Times New Roman" w:hAnsi="Times New Roman"/>
          <w:sz w:val="20"/>
          <w:szCs w:val="20"/>
        </w:rPr>
        <w:t>.</w:t>
      </w:r>
    </w:p>
  </w:footnote>
  <w:footnote w:id="164">
    <w:p w:rsidR="006C092A" w:rsidRPr="001D4835" w:rsidRDefault="006C092A" w:rsidP="001D4835">
      <w:pPr>
        <w:spacing w:after="0" w:line="240" w:lineRule="auto"/>
        <w:jc w:val="both"/>
        <w:rPr>
          <w:rFonts w:ascii="Times New Roman" w:hAnsi="Times New Roman"/>
          <w:sz w:val="20"/>
          <w:szCs w:val="20"/>
        </w:rPr>
      </w:pPr>
      <w:r w:rsidRPr="00A6282E">
        <w:rPr>
          <w:rStyle w:val="Appelnotedebasdep"/>
          <w:rFonts w:ascii="Times New Roman" w:hAnsi="Times New Roman"/>
          <w:sz w:val="20"/>
          <w:szCs w:val="20"/>
        </w:rPr>
        <w:footnoteRef/>
      </w:r>
      <w:r w:rsidRPr="00A6282E">
        <w:rPr>
          <w:rFonts w:ascii="Times New Roman" w:hAnsi="Times New Roman"/>
          <w:sz w:val="20"/>
          <w:szCs w:val="20"/>
          <w:shd w:val="clear" w:color="auto" w:fill="FFFFFF"/>
        </w:rPr>
        <w:t>Patrick C</w:t>
      </w:r>
      <w:r>
        <w:rPr>
          <w:rFonts w:ascii="Times New Roman" w:hAnsi="Times New Roman"/>
          <w:sz w:val="20"/>
          <w:szCs w:val="20"/>
          <w:shd w:val="clear" w:color="auto" w:fill="FFFFFF"/>
        </w:rPr>
        <w:t>haraudeau</w:t>
      </w:r>
      <w:r w:rsidRPr="00A6282E">
        <w:rPr>
          <w:rFonts w:ascii="Times New Roman" w:hAnsi="Times New Roman"/>
          <w:sz w:val="20"/>
          <w:szCs w:val="20"/>
          <w:shd w:val="clear" w:color="auto" w:fill="FFFFFF"/>
        </w:rPr>
        <w:t xml:space="preserve">, </w:t>
      </w:r>
      <w:r>
        <w:rPr>
          <w:rFonts w:ascii="Times New Roman" w:hAnsi="Times New Roman"/>
          <w:sz w:val="20"/>
          <w:szCs w:val="20"/>
          <w:shd w:val="clear" w:color="auto" w:fill="FFFFFF"/>
        </w:rPr>
        <w:t>« </w:t>
      </w:r>
      <w:r w:rsidRPr="00A6282E">
        <w:rPr>
          <w:rFonts w:ascii="Times New Roman" w:hAnsi="Times New Roman"/>
          <w:sz w:val="20"/>
          <w:szCs w:val="20"/>
          <w:shd w:val="clear" w:color="auto" w:fill="FFFFFF"/>
        </w:rPr>
        <w:t>Une analyse sémiolinguistique du discours</w:t>
      </w:r>
      <w:r>
        <w:rPr>
          <w:rFonts w:ascii="Times New Roman" w:hAnsi="Times New Roman"/>
          <w:sz w:val="20"/>
          <w:szCs w:val="20"/>
          <w:shd w:val="clear" w:color="auto" w:fill="FFFFFF"/>
        </w:rPr>
        <w:t> »</w:t>
      </w:r>
      <w:r w:rsidRPr="00A6282E">
        <w:rPr>
          <w:rFonts w:ascii="Times New Roman" w:hAnsi="Times New Roman"/>
          <w:sz w:val="20"/>
          <w:szCs w:val="20"/>
          <w:shd w:val="clear" w:color="auto" w:fill="FFFFFF"/>
        </w:rPr>
        <w:t xml:space="preserve">, </w:t>
      </w:r>
      <w:r>
        <w:rPr>
          <w:rFonts w:ascii="Times New Roman" w:hAnsi="Times New Roman"/>
          <w:sz w:val="20"/>
          <w:szCs w:val="20"/>
          <w:shd w:val="clear" w:color="auto" w:fill="FFFFFF"/>
        </w:rPr>
        <w:t xml:space="preserve">in </w:t>
      </w:r>
      <w:r w:rsidRPr="00A6282E">
        <w:rPr>
          <w:rFonts w:ascii="Times New Roman" w:hAnsi="Times New Roman"/>
          <w:i/>
          <w:iCs/>
          <w:sz w:val="20"/>
          <w:szCs w:val="20"/>
          <w:shd w:val="clear" w:color="auto" w:fill="FFFFFF"/>
        </w:rPr>
        <w:t>Langages</w:t>
      </w:r>
      <w:r w:rsidRPr="00A6282E">
        <w:rPr>
          <w:rStyle w:val="apple-converted-space"/>
          <w:rFonts w:ascii="Times New Roman" w:hAnsi="Times New Roman"/>
          <w:sz w:val="20"/>
          <w:szCs w:val="20"/>
          <w:shd w:val="clear" w:color="auto" w:fill="FFFFFF"/>
        </w:rPr>
        <w:t> </w:t>
      </w:r>
      <w:r w:rsidRPr="00A6282E">
        <w:rPr>
          <w:rFonts w:ascii="Times New Roman" w:hAnsi="Times New Roman"/>
          <w:sz w:val="20"/>
          <w:szCs w:val="20"/>
          <w:shd w:val="clear" w:color="auto" w:fill="FFFFFF"/>
        </w:rPr>
        <w:t xml:space="preserve">n° 117, Larousse, Paris, </w:t>
      </w:r>
      <w:r>
        <w:rPr>
          <w:rFonts w:ascii="Times New Roman" w:hAnsi="Times New Roman"/>
          <w:sz w:val="20"/>
          <w:szCs w:val="20"/>
          <w:shd w:val="clear" w:color="auto" w:fill="FFFFFF"/>
        </w:rPr>
        <w:t xml:space="preserve">[en ligne], mis à jour en </w:t>
      </w:r>
      <w:r w:rsidRPr="00A6282E">
        <w:rPr>
          <w:rFonts w:ascii="Times New Roman" w:hAnsi="Times New Roman"/>
          <w:sz w:val="20"/>
          <w:szCs w:val="20"/>
          <w:shd w:val="clear" w:color="auto" w:fill="FFFFFF"/>
        </w:rPr>
        <w:t>mars, 1995</w:t>
      </w:r>
      <w:r>
        <w:rPr>
          <w:rFonts w:ascii="Times New Roman" w:hAnsi="Times New Roman"/>
          <w:sz w:val="20"/>
          <w:szCs w:val="20"/>
          <w:shd w:val="clear" w:color="auto" w:fill="FFFFFF"/>
        </w:rPr>
        <w:t>. Disponible sur :&lt;</w:t>
      </w:r>
      <w:hyperlink r:id="rId19" w:history="1">
        <w:r w:rsidRPr="001D4835">
          <w:rPr>
            <w:rStyle w:val="Lienhypertexte"/>
            <w:rFonts w:ascii="Times New Roman" w:hAnsi="Times New Roman"/>
            <w:sz w:val="20"/>
            <w:szCs w:val="20"/>
            <w:shd w:val="clear" w:color="auto" w:fill="FFFFFF"/>
          </w:rPr>
          <w:t>http://www.patrick-charaudeau.com/Une-analyse-semiolinguistique-du.html</w:t>
        </w:r>
      </w:hyperlink>
      <w:proofErr w:type="gramStart"/>
      <w:r w:rsidRPr="001D4835">
        <w:rPr>
          <w:rFonts w:ascii="Times New Roman" w:hAnsi="Times New Roman"/>
          <w:sz w:val="20"/>
          <w:szCs w:val="20"/>
          <w:shd w:val="clear" w:color="auto" w:fill="FFFFFF"/>
        </w:rPr>
        <w:t>&gt;</w:t>
      </w:r>
      <w:r>
        <w:rPr>
          <w:rFonts w:ascii="Times New Roman" w:hAnsi="Times New Roman"/>
          <w:sz w:val="20"/>
          <w:szCs w:val="20"/>
          <w:shd w:val="clear" w:color="auto" w:fill="FFFFFF"/>
        </w:rPr>
        <w:t> ,</w:t>
      </w:r>
      <w:proofErr w:type="gramEnd"/>
      <w:r>
        <w:rPr>
          <w:rFonts w:ascii="Times New Roman" w:hAnsi="Times New Roman"/>
          <w:sz w:val="20"/>
          <w:szCs w:val="20"/>
          <w:shd w:val="clear" w:color="auto" w:fill="FFFFFF"/>
        </w:rPr>
        <w:t xml:space="preserve"> </w:t>
      </w:r>
      <w:r w:rsidRPr="00A6282E">
        <w:rPr>
          <w:rFonts w:ascii="Times New Roman" w:hAnsi="Times New Roman"/>
          <w:sz w:val="20"/>
          <w:szCs w:val="20"/>
          <w:shd w:val="clear" w:color="auto" w:fill="FFFFFF"/>
        </w:rPr>
        <w:t xml:space="preserve">consulté le 8 </w:t>
      </w:r>
      <w:r>
        <w:rPr>
          <w:rFonts w:ascii="Times New Roman" w:hAnsi="Times New Roman"/>
          <w:sz w:val="20"/>
          <w:szCs w:val="20"/>
          <w:shd w:val="clear" w:color="auto" w:fill="FFFFFF"/>
        </w:rPr>
        <w:t>M</w:t>
      </w:r>
      <w:r w:rsidRPr="00A6282E">
        <w:rPr>
          <w:rFonts w:ascii="Times New Roman" w:hAnsi="Times New Roman"/>
          <w:sz w:val="20"/>
          <w:szCs w:val="20"/>
          <w:shd w:val="clear" w:color="auto" w:fill="FFFFFF"/>
        </w:rPr>
        <w:t>ai 2016</w:t>
      </w:r>
      <w:r>
        <w:rPr>
          <w:rFonts w:ascii="Times New Roman" w:hAnsi="Times New Roman"/>
          <w:sz w:val="20"/>
          <w:szCs w:val="20"/>
          <w:shd w:val="clear" w:color="auto" w:fill="FFFFFF"/>
        </w:rPr>
        <w:t xml:space="preserve"> à 7h30.</w:t>
      </w:r>
    </w:p>
  </w:footnote>
  <w:footnote w:id="165">
    <w:p w:rsidR="006C092A" w:rsidRPr="00A6282E" w:rsidRDefault="006C092A" w:rsidP="001D4835">
      <w:pPr>
        <w:autoSpaceDE w:val="0"/>
        <w:autoSpaceDN w:val="0"/>
        <w:adjustRightInd w:val="0"/>
        <w:spacing w:after="0" w:line="240" w:lineRule="auto"/>
        <w:jc w:val="both"/>
        <w:rPr>
          <w:rFonts w:ascii="Times New Roman" w:hAnsi="Times New Roman"/>
          <w:sz w:val="20"/>
          <w:szCs w:val="20"/>
        </w:rPr>
      </w:pPr>
      <w:r w:rsidRPr="00A6282E">
        <w:rPr>
          <w:rStyle w:val="Appelnotedebasdep"/>
          <w:rFonts w:ascii="Times New Roman" w:hAnsi="Times New Roman"/>
          <w:sz w:val="20"/>
          <w:szCs w:val="20"/>
        </w:rPr>
        <w:footnoteRef/>
      </w:r>
      <w:r w:rsidRPr="00A6282E">
        <w:rPr>
          <w:rFonts w:ascii="Times New Roman" w:hAnsi="Times New Roman"/>
          <w:sz w:val="20"/>
          <w:szCs w:val="20"/>
        </w:rPr>
        <w:t xml:space="preserve">Classification empruntée à Patrick </w:t>
      </w:r>
      <w:r w:rsidRPr="00A6282E">
        <w:rPr>
          <w:rFonts w:ascii="Times New Roman" w:hAnsi="Times New Roman"/>
          <w:sz w:val="20"/>
          <w:szCs w:val="20"/>
          <w:shd w:val="clear" w:color="auto" w:fill="FFFFFF"/>
        </w:rPr>
        <w:t>C</w:t>
      </w:r>
      <w:r>
        <w:rPr>
          <w:rFonts w:ascii="Times New Roman" w:hAnsi="Times New Roman"/>
          <w:sz w:val="20"/>
          <w:szCs w:val="20"/>
          <w:shd w:val="clear" w:color="auto" w:fill="FFFFFF"/>
        </w:rPr>
        <w:t xml:space="preserve">haraudeau, </w:t>
      </w:r>
      <w:r w:rsidRPr="00A6282E">
        <w:rPr>
          <w:rFonts w:ascii="Times New Roman" w:hAnsi="Times New Roman"/>
          <w:i/>
          <w:iCs/>
          <w:sz w:val="20"/>
          <w:szCs w:val="20"/>
        </w:rPr>
        <w:t>Ibid</w:t>
      </w:r>
      <w:r>
        <w:rPr>
          <w:rFonts w:ascii="Times New Roman" w:hAnsi="Times New Roman"/>
          <w:i/>
          <w:iCs/>
          <w:sz w:val="20"/>
          <w:szCs w:val="20"/>
        </w:rPr>
        <w:t>.</w:t>
      </w:r>
    </w:p>
    <w:p w:rsidR="006C092A" w:rsidRPr="009D620C" w:rsidRDefault="006C092A" w:rsidP="001D4835">
      <w:pPr>
        <w:pStyle w:val="Notedebasdepage"/>
        <w:jc w:val="both"/>
        <w:rPr>
          <w:sz w:val="2"/>
          <w:szCs w:val="2"/>
        </w:rPr>
      </w:pPr>
    </w:p>
  </w:footnote>
  <w:footnote w:id="166">
    <w:p w:rsidR="006C092A" w:rsidRPr="00100CF1" w:rsidRDefault="006C092A" w:rsidP="00100CF1">
      <w:pPr>
        <w:autoSpaceDE w:val="0"/>
        <w:autoSpaceDN w:val="0"/>
        <w:adjustRightInd w:val="0"/>
        <w:spacing w:after="0" w:line="240" w:lineRule="auto"/>
        <w:jc w:val="both"/>
        <w:rPr>
          <w:rFonts w:ascii="Times New Roman" w:hAnsi="Times New Roman"/>
          <w:sz w:val="20"/>
          <w:szCs w:val="20"/>
        </w:rPr>
      </w:pPr>
      <w:r w:rsidRPr="00100CF1">
        <w:rPr>
          <w:rStyle w:val="Appelnotedebasdep"/>
          <w:rFonts w:ascii="Times New Roman" w:hAnsi="Times New Roman"/>
          <w:sz w:val="20"/>
          <w:szCs w:val="20"/>
        </w:rPr>
        <w:footnoteRef/>
      </w:r>
      <w:r w:rsidRPr="00100CF1">
        <w:rPr>
          <w:rFonts w:ascii="Times New Roman" w:hAnsi="Times New Roman"/>
          <w:sz w:val="20"/>
          <w:szCs w:val="20"/>
        </w:rPr>
        <w:t>La grande syntagmatique est une expression empruntée à Christian Metz dont l’article la grande syntagmatique du film narratif décrit le film comme le syntagme maximum du cinéma le syntagme étant une unité formée de plusieurs plans Celui-ci constitue donc une structure où toutes les unités sont régies par le principe de cohérence et de cohésion. La grande syntagmatique serait de ce fait une macro-structure du récit.</w:t>
      </w:r>
    </w:p>
  </w:footnote>
  <w:footnote w:id="167">
    <w:p w:rsidR="006C092A" w:rsidRPr="00100CF1" w:rsidRDefault="006C092A" w:rsidP="00100CF1">
      <w:pPr>
        <w:autoSpaceDE w:val="0"/>
        <w:autoSpaceDN w:val="0"/>
        <w:adjustRightInd w:val="0"/>
        <w:spacing w:after="0" w:line="240" w:lineRule="auto"/>
        <w:jc w:val="both"/>
        <w:rPr>
          <w:rFonts w:ascii="Times New Roman" w:hAnsi="Times New Roman"/>
          <w:sz w:val="20"/>
          <w:szCs w:val="20"/>
        </w:rPr>
      </w:pPr>
      <w:r w:rsidRPr="00100CF1">
        <w:rPr>
          <w:rStyle w:val="Appelnotedebasdep"/>
          <w:rFonts w:ascii="Times New Roman" w:hAnsi="Times New Roman"/>
          <w:sz w:val="20"/>
          <w:szCs w:val="20"/>
        </w:rPr>
        <w:footnoteRef/>
      </w:r>
      <w:r w:rsidRPr="00100CF1">
        <w:rPr>
          <w:rFonts w:ascii="Times New Roman" w:hAnsi="Times New Roman"/>
          <w:sz w:val="20"/>
          <w:szCs w:val="20"/>
        </w:rPr>
        <w:t xml:space="preserve">A-J.Greimas, </w:t>
      </w:r>
      <w:r w:rsidRPr="00100CF1">
        <w:rPr>
          <w:rFonts w:ascii="Times New Roman" w:hAnsi="Times New Roman"/>
          <w:i/>
          <w:iCs/>
          <w:sz w:val="20"/>
          <w:szCs w:val="20"/>
        </w:rPr>
        <w:t>Du sens II</w:t>
      </w:r>
      <w:r w:rsidRPr="00100CF1">
        <w:rPr>
          <w:rFonts w:ascii="Times New Roman" w:hAnsi="Times New Roman"/>
          <w:sz w:val="20"/>
          <w:szCs w:val="20"/>
        </w:rPr>
        <w:t>, Seuil, Paris, 1983, p.51-37.</w:t>
      </w:r>
    </w:p>
  </w:footnote>
  <w:footnote w:id="168">
    <w:p w:rsidR="006C092A" w:rsidRPr="00100CF1" w:rsidRDefault="006C092A" w:rsidP="00100CF1">
      <w:pPr>
        <w:spacing w:after="0" w:line="240" w:lineRule="auto"/>
        <w:jc w:val="both"/>
        <w:rPr>
          <w:rFonts w:ascii="Times New Roman" w:eastAsia="Times New Roman" w:hAnsi="Times New Roman"/>
          <w:sz w:val="20"/>
          <w:szCs w:val="20"/>
        </w:rPr>
      </w:pPr>
      <w:r w:rsidRPr="00100CF1">
        <w:rPr>
          <w:rStyle w:val="Appelnotedebasdep"/>
          <w:rFonts w:ascii="Times New Roman" w:hAnsi="Times New Roman"/>
          <w:sz w:val="20"/>
          <w:szCs w:val="20"/>
        </w:rPr>
        <w:footnoteRef/>
      </w:r>
      <w:r w:rsidRPr="00100CF1">
        <w:rPr>
          <w:rFonts w:ascii="Times New Roman" w:hAnsi="Times New Roman"/>
          <w:sz w:val="20"/>
          <w:szCs w:val="20"/>
        </w:rPr>
        <w:t xml:space="preserve">A-J. </w:t>
      </w:r>
      <w:r w:rsidRPr="00100CF1">
        <w:rPr>
          <w:rFonts w:ascii="Times New Roman" w:eastAsia="Times New Roman" w:hAnsi="Times New Roman"/>
          <w:sz w:val="20"/>
          <w:szCs w:val="20"/>
        </w:rPr>
        <w:t xml:space="preserve">GREIMAS, </w:t>
      </w:r>
      <w:r w:rsidRPr="00100CF1">
        <w:rPr>
          <w:rFonts w:ascii="Times New Roman" w:eastAsia="Times New Roman" w:hAnsi="Times New Roman"/>
          <w:i/>
          <w:iCs/>
          <w:sz w:val="20"/>
          <w:szCs w:val="20"/>
        </w:rPr>
        <w:t>Sémantique structurale</w:t>
      </w:r>
      <w:r w:rsidRPr="00100CF1">
        <w:rPr>
          <w:rFonts w:ascii="Times New Roman" w:eastAsia="Times New Roman" w:hAnsi="Times New Roman"/>
          <w:sz w:val="20"/>
          <w:szCs w:val="20"/>
        </w:rPr>
        <w:t>, P.U.F, Paris, 1986, p.262.</w:t>
      </w:r>
    </w:p>
  </w:footnote>
  <w:footnote w:id="169">
    <w:p w:rsidR="006C092A" w:rsidRPr="00100CF1" w:rsidRDefault="006C092A" w:rsidP="00100CF1">
      <w:pPr>
        <w:spacing w:after="0" w:line="240" w:lineRule="auto"/>
        <w:jc w:val="both"/>
        <w:rPr>
          <w:rFonts w:ascii="Times New Roman" w:eastAsia="Times New Roman" w:hAnsi="Times New Roman"/>
          <w:sz w:val="20"/>
          <w:szCs w:val="20"/>
        </w:rPr>
      </w:pPr>
      <w:r w:rsidRPr="00100CF1">
        <w:rPr>
          <w:rStyle w:val="Appelnotedebasdep"/>
          <w:rFonts w:ascii="Times New Roman" w:hAnsi="Times New Roman"/>
          <w:sz w:val="20"/>
          <w:szCs w:val="20"/>
        </w:rPr>
        <w:footnoteRef/>
      </w:r>
      <w:r w:rsidRPr="00100CF1">
        <w:rPr>
          <w:rFonts w:ascii="Times New Roman" w:hAnsi="Times New Roman"/>
          <w:sz w:val="20"/>
          <w:szCs w:val="20"/>
        </w:rPr>
        <w:t xml:space="preserve">V. </w:t>
      </w:r>
      <w:r w:rsidRPr="00100CF1">
        <w:rPr>
          <w:rFonts w:ascii="Times New Roman" w:eastAsia="Times New Roman" w:hAnsi="Times New Roman"/>
          <w:sz w:val="20"/>
          <w:szCs w:val="20"/>
        </w:rPr>
        <w:t xml:space="preserve">Propp, </w:t>
      </w:r>
      <w:r w:rsidRPr="00100CF1">
        <w:rPr>
          <w:rFonts w:ascii="Times New Roman" w:eastAsia="Times New Roman" w:hAnsi="Times New Roman"/>
          <w:i/>
          <w:iCs/>
          <w:sz w:val="20"/>
          <w:szCs w:val="20"/>
        </w:rPr>
        <w:t>Morphologie du conte</w:t>
      </w:r>
      <w:r w:rsidRPr="00100CF1">
        <w:rPr>
          <w:rFonts w:ascii="Times New Roman" w:eastAsia="Times New Roman" w:hAnsi="Times New Roman"/>
          <w:sz w:val="20"/>
          <w:szCs w:val="20"/>
        </w:rPr>
        <w:t>, Seuil, Paris, 1970, p.254.</w:t>
      </w:r>
    </w:p>
    <w:p w:rsidR="006C092A" w:rsidRPr="00E837FC" w:rsidRDefault="006C092A" w:rsidP="006A4EED">
      <w:pPr>
        <w:pStyle w:val="Notedebasdepage"/>
        <w:rPr>
          <w:sz w:val="2"/>
          <w:szCs w:val="2"/>
        </w:rPr>
      </w:pPr>
    </w:p>
  </w:footnote>
  <w:footnote w:id="170">
    <w:p w:rsidR="006C092A" w:rsidRPr="00080424" w:rsidRDefault="006C092A" w:rsidP="00080424">
      <w:pPr>
        <w:autoSpaceDE w:val="0"/>
        <w:autoSpaceDN w:val="0"/>
        <w:adjustRightInd w:val="0"/>
        <w:spacing w:after="0" w:line="240" w:lineRule="auto"/>
        <w:jc w:val="both"/>
        <w:rPr>
          <w:rFonts w:asciiTheme="majorBidi" w:hAnsiTheme="majorBidi" w:cstheme="majorBidi"/>
          <w:color w:val="000000"/>
          <w:sz w:val="20"/>
          <w:szCs w:val="20"/>
        </w:rPr>
      </w:pPr>
      <w:r w:rsidRPr="00080424">
        <w:rPr>
          <w:rStyle w:val="Appelnotedebasdep"/>
          <w:rFonts w:asciiTheme="majorBidi" w:hAnsiTheme="majorBidi" w:cstheme="majorBidi"/>
          <w:sz w:val="20"/>
          <w:szCs w:val="20"/>
        </w:rPr>
        <w:footnoteRef/>
      </w:r>
      <w:r w:rsidRPr="00080424">
        <w:rPr>
          <w:rFonts w:asciiTheme="majorBidi" w:hAnsiTheme="majorBidi" w:cstheme="majorBidi"/>
          <w:sz w:val="20"/>
          <w:szCs w:val="20"/>
        </w:rPr>
        <w:t xml:space="preserve">Roland Barthes, </w:t>
      </w:r>
      <w:r w:rsidRPr="00080424">
        <w:rPr>
          <w:rFonts w:asciiTheme="majorBidi" w:hAnsiTheme="majorBidi" w:cstheme="majorBidi"/>
          <w:i/>
          <w:iCs/>
          <w:sz w:val="20"/>
          <w:szCs w:val="20"/>
        </w:rPr>
        <w:t xml:space="preserve">L’analyse structurale des récits, </w:t>
      </w:r>
      <w:r w:rsidRPr="00080424">
        <w:rPr>
          <w:rFonts w:asciiTheme="majorBidi" w:hAnsiTheme="majorBidi" w:cstheme="majorBidi"/>
          <w:sz w:val="20"/>
          <w:szCs w:val="20"/>
        </w:rPr>
        <w:t xml:space="preserve"> </w:t>
      </w:r>
      <w:r w:rsidRPr="00080424">
        <w:rPr>
          <w:rFonts w:asciiTheme="majorBidi" w:hAnsiTheme="majorBidi" w:cstheme="majorBidi"/>
          <w:i/>
          <w:iCs/>
          <w:sz w:val="20"/>
          <w:szCs w:val="20"/>
        </w:rPr>
        <w:t xml:space="preserve">op. </w:t>
      </w:r>
      <w:proofErr w:type="gramStart"/>
      <w:r w:rsidRPr="00080424">
        <w:rPr>
          <w:rFonts w:asciiTheme="majorBidi" w:hAnsiTheme="majorBidi" w:cstheme="majorBidi"/>
          <w:i/>
          <w:iCs/>
          <w:sz w:val="20"/>
          <w:szCs w:val="20"/>
        </w:rPr>
        <w:t>cit.</w:t>
      </w:r>
      <w:r w:rsidRPr="00080424">
        <w:rPr>
          <w:rFonts w:asciiTheme="majorBidi" w:hAnsiTheme="majorBidi" w:cstheme="majorBidi"/>
          <w:sz w:val="20"/>
          <w:szCs w:val="20"/>
        </w:rPr>
        <w:t>,</w:t>
      </w:r>
      <w:proofErr w:type="gramEnd"/>
      <w:r w:rsidRPr="00080424">
        <w:rPr>
          <w:rFonts w:asciiTheme="majorBidi" w:hAnsiTheme="majorBidi" w:cstheme="majorBidi"/>
          <w:sz w:val="20"/>
          <w:szCs w:val="20"/>
        </w:rPr>
        <w:t xml:space="preserve"> p.90.</w:t>
      </w:r>
      <w:r w:rsidRPr="00080424">
        <w:rPr>
          <w:rFonts w:asciiTheme="majorBidi" w:hAnsiTheme="majorBidi" w:cstheme="majorBidi"/>
          <w:color w:val="FF0000"/>
          <w:sz w:val="20"/>
          <w:szCs w:val="20"/>
        </w:rPr>
        <w:t> </w:t>
      </w:r>
    </w:p>
  </w:footnote>
  <w:footnote w:id="171">
    <w:p w:rsidR="006C092A" w:rsidRPr="00080424" w:rsidRDefault="006C092A" w:rsidP="00080424">
      <w:pPr>
        <w:autoSpaceDE w:val="0"/>
        <w:autoSpaceDN w:val="0"/>
        <w:adjustRightInd w:val="0"/>
        <w:spacing w:after="0" w:line="240" w:lineRule="auto"/>
        <w:jc w:val="both"/>
        <w:rPr>
          <w:rFonts w:asciiTheme="majorBidi" w:hAnsiTheme="majorBidi" w:cstheme="majorBidi"/>
          <w:color w:val="000000"/>
          <w:sz w:val="20"/>
          <w:szCs w:val="20"/>
        </w:rPr>
      </w:pPr>
      <w:r w:rsidRPr="00080424">
        <w:rPr>
          <w:rStyle w:val="Appelnotedebasdep"/>
          <w:rFonts w:asciiTheme="majorBidi" w:hAnsiTheme="majorBidi" w:cstheme="majorBidi"/>
          <w:sz w:val="20"/>
          <w:szCs w:val="20"/>
        </w:rPr>
        <w:footnoteRef/>
      </w:r>
      <w:r w:rsidRPr="00080424">
        <w:rPr>
          <w:rFonts w:asciiTheme="majorBidi" w:hAnsiTheme="majorBidi" w:cstheme="majorBidi"/>
          <w:i/>
          <w:iCs/>
          <w:color w:val="000000"/>
          <w:sz w:val="20"/>
          <w:szCs w:val="20"/>
        </w:rPr>
        <w:t xml:space="preserve">Ibid., </w:t>
      </w:r>
      <w:r w:rsidRPr="00080424">
        <w:rPr>
          <w:rFonts w:asciiTheme="majorBidi" w:hAnsiTheme="majorBidi" w:cstheme="majorBidi"/>
          <w:color w:val="000000"/>
          <w:sz w:val="20"/>
          <w:szCs w:val="20"/>
        </w:rPr>
        <w:t>p.91.</w:t>
      </w:r>
    </w:p>
    <w:p w:rsidR="006C092A" w:rsidRDefault="006C092A" w:rsidP="006A4EED">
      <w:pPr>
        <w:pStyle w:val="Notedebasdepage"/>
      </w:pPr>
    </w:p>
  </w:footnote>
  <w:footnote w:id="172">
    <w:p w:rsidR="006C092A" w:rsidRPr="00D11E56" w:rsidRDefault="006C092A" w:rsidP="00D11E56">
      <w:pPr>
        <w:spacing w:after="0" w:line="240" w:lineRule="auto"/>
        <w:jc w:val="both"/>
        <w:rPr>
          <w:rFonts w:asciiTheme="majorBidi" w:hAnsiTheme="majorBidi" w:cstheme="majorBidi"/>
          <w:iCs/>
          <w:sz w:val="20"/>
          <w:szCs w:val="20"/>
        </w:rPr>
      </w:pPr>
      <w:r w:rsidRPr="00D11E56">
        <w:rPr>
          <w:rStyle w:val="Appelnotedebasdep"/>
          <w:rFonts w:asciiTheme="majorBidi" w:hAnsiTheme="majorBidi" w:cstheme="majorBidi"/>
          <w:sz w:val="20"/>
          <w:szCs w:val="20"/>
        </w:rPr>
        <w:footnoteRef/>
      </w:r>
      <w:r w:rsidRPr="00D11E56">
        <w:rPr>
          <w:rFonts w:asciiTheme="majorBidi" w:hAnsiTheme="majorBidi" w:cstheme="majorBidi"/>
          <w:sz w:val="20"/>
          <w:szCs w:val="20"/>
        </w:rPr>
        <w:t xml:space="preserve">Onguéné Essono, L.-M, « Construction verbale et transitivité en ewondo : analyse de la complémentation verbale à deux objets », in </w:t>
      </w:r>
      <w:r w:rsidRPr="00D11E56">
        <w:rPr>
          <w:rFonts w:asciiTheme="majorBidi" w:hAnsiTheme="majorBidi" w:cstheme="majorBidi"/>
          <w:i/>
          <w:sz w:val="20"/>
          <w:szCs w:val="20"/>
        </w:rPr>
        <w:t xml:space="preserve">Annales de la Faculté des Arts, </w:t>
      </w:r>
      <w:r w:rsidRPr="00D11E56">
        <w:rPr>
          <w:rFonts w:asciiTheme="majorBidi" w:hAnsiTheme="majorBidi" w:cstheme="majorBidi"/>
          <w:iCs/>
          <w:sz w:val="20"/>
          <w:szCs w:val="20"/>
        </w:rPr>
        <w:t xml:space="preserve">Lettres et Sciences Humaines. Université de Yaoundé 1, Vol. 1, 6, 2007, p.189-206. </w:t>
      </w:r>
    </w:p>
  </w:footnote>
  <w:footnote w:id="173">
    <w:p w:rsidR="006C092A" w:rsidRPr="00367700" w:rsidRDefault="006C092A" w:rsidP="00367700">
      <w:pPr>
        <w:spacing w:after="0" w:line="240" w:lineRule="auto"/>
        <w:jc w:val="both"/>
        <w:rPr>
          <w:rFonts w:asciiTheme="majorBidi" w:hAnsiTheme="majorBidi" w:cstheme="majorBidi"/>
          <w:sz w:val="20"/>
          <w:szCs w:val="20"/>
        </w:rPr>
      </w:pPr>
      <w:r w:rsidRPr="00367700">
        <w:rPr>
          <w:rStyle w:val="Appelnotedebasdep"/>
          <w:rFonts w:asciiTheme="majorBidi" w:hAnsiTheme="majorBidi" w:cstheme="majorBidi"/>
          <w:sz w:val="20"/>
          <w:szCs w:val="20"/>
        </w:rPr>
        <w:footnoteRef/>
      </w:r>
      <w:r w:rsidRPr="00367700">
        <w:rPr>
          <w:rFonts w:asciiTheme="majorBidi" w:hAnsiTheme="majorBidi" w:cstheme="majorBidi"/>
          <w:sz w:val="20"/>
          <w:szCs w:val="20"/>
          <w:shd w:val="clear" w:color="auto" w:fill="FFFFFF"/>
        </w:rPr>
        <w:t>Lectrice de serbo-croate à l’Université de Poitiers où elle a soutenu en 2002 sa thèse de doctorat en littérature comparée sur « La poétique du mythe dans la littérature contemporaine ».</w:t>
      </w:r>
    </w:p>
  </w:footnote>
  <w:footnote w:id="174">
    <w:p w:rsidR="006C092A" w:rsidRPr="00367700" w:rsidRDefault="006C092A" w:rsidP="00367700">
      <w:pPr>
        <w:spacing w:after="0" w:line="240" w:lineRule="auto"/>
        <w:jc w:val="both"/>
        <w:rPr>
          <w:rFonts w:asciiTheme="majorBidi" w:hAnsiTheme="majorBidi" w:cstheme="majorBidi"/>
          <w:sz w:val="20"/>
          <w:szCs w:val="20"/>
        </w:rPr>
      </w:pPr>
      <w:r w:rsidRPr="00367700">
        <w:rPr>
          <w:rStyle w:val="Appelnotedebasdep"/>
          <w:rFonts w:asciiTheme="majorBidi" w:hAnsiTheme="majorBidi" w:cstheme="majorBidi"/>
          <w:sz w:val="20"/>
          <w:szCs w:val="20"/>
        </w:rPr>
        <w:footnoteRef/>
      </w:r>
      <w:r w:rsidRPr="00367700">
        <w:rPr>
          <w:rStyle w:val="lev"/>
          <w:rFonts w:asciiTheme="majorBidi" w:hAnsiTheme="majorBidi" w:cstheme="majorBidi"/>
          <w:b w:val="0"/>
          <w:bCs w:val="0"/>
          <w:color w:val="000000"/>
          <w:sz w:val="20"/>
          <w:szCs w:val="20"/>
          <w:shd w:val="clear" w:color="auto" w:fill="FFFFFF"/>
        </w:rPr>
        <w:t>Sanja</w:t>
      </w:r>
      <w:r w:rsidRPr="00367700">
        <w:rPr>
          <w:rStyle w:val="apple-converted-space"/>
          <w:rFonts w:asciiTheme="majorBidi" w:hAnsiTheme="majorBidi" w:cstheme="majorBidi"/>
          <w:color w:val="000000"/>
          <w:sz w:val="20"/>
          <w:szCs w:val="20"/>
          <w:shd w:val="clear" w:color="auto" w:fill="FFFFFF"/>
        </w:rPr>
        <w:t> </w:t>
      </w:r>
      <w:r w:rsidRPr="00367700">
        <w:rPr>
          <w:rStyle w:val="familyname"/>
          <w:rFonts w:asciiTheme="majorBidi" w:hAnsiTheme="majorBidi" w:cstheme="majorBidi"/>
          <w:color w:val="000000"/>
          <w:sz w:val="20"/>
          <w:szCs w:val="20"/>
          <w:shd w:val="clear" w:color="auto" w:fill="FFFFFF"/>
        </w:rPr>
        <w:t>Boskovic</w:t>
      </w:r>
      <w:r w:rsidRPr="00367700">
        <w:rPr>
          <w:rFonts w:asciiTheme="majorBidi" w:hAnsiTheme="majorBidi" w:cstheme="majorBidi"/>
          <w:color w:val="000000"/>
          <w:sz w:val="20"/>
          <w:szCs w:val="20"/>
          <w:shd w:val="clear" w:color="auto" w:fill="FFFFFF"/>
        </w:rPr>
        <w:t>, « Le temps et l’espace de la conscience mythique à la conscience phénoménologique »</w:t>
      </w:r>
      <w:proofErr w:type="gramStart"/>
      <w:r w:rsidRPr="00367700">
        <w:rPr>
          <w:rFonts w:asciiTheme="majorBidi" w:hAnsiTheme="majorBidi" w:cstheme="majorBidi"/>
          <w:color w:val="000000"/>
          <w:sz w:val="20"/>
          <w:szCs w:val="20"/>
          <w:shd w:val="clear" w:color="auto" w:fill="FFFFFF"/>
        </w:rPr>
        <w:t>,in</w:t>
      </w:r>
      <w:proofErr w:type="gramEnd"/>
      <w:r w:rsidRPr="00367700">
        <w:rPr>
          <w:rFonts w:asciiTheme="majorBidi" w:hAnsiTheme="majorBidi" w:cstheme="majorBidi"/>
          <w:color w:val="000000"/>
          <w:sz w:val="20"/>
          <w:szCs w:val="20"/>
          <w:shd w:val="clear" w:color="auto" w:fill="FFFFFF"/>
        </w:rPr>
        <w:t xml:space="preserve"> </w:t>
      </w:r>
      <w:r w:rsidRPr="00367700">
        <w:rPr>
          <w:rStyle w:val="apple-converted-space"/>
          <w:rFonts w:asciiTheme="majorBidi" w:hAnsiTheme="majorBidi" w:cstheme="majorBidi"/>
          <w:color w:val="000000"/>
          <w:sz w:val="20"/>
          <w:szCs w:val="20"/>
          <w:shd w:val="clear" w:color="auto" w:fill="FFFFFF"/>
        </w:rPr>
        <w:t> </w:t>
      </w:r>
      <w:r w:rsidRPr="00367700">
        <w:rPr>
          <w:rStyle w:val="Accentuation"/>
          <w:rFonts w:asciiTheme="majorBidi" w:hAnsiTheme="majorBidi" w:cstheme="majorBidi"/>
          <w:color w:val="000000"/>
          <w:sz w:val="20"/>
          <w:szCs w:val="20"/>
          <w:shd w:val="clear" w:color="auto" w:fill="FFFFFF"/>
        </w:rPr>
        <w:t>Les Cahiers du MIMMOC</w:t>
      </w:r>
      <w:r w:rsidRPr="00367700">
        <w:rPr>
          <w:rStyle w:val="apple-converted-space"/>
          <w:rFonts w:asciiTheme="majorBidi" w:hAnsiTheme="majorBidi" w:cstheme="majorBidi"/>
          <w:color w:val="000000"/>
          <w:sz w:val="20"/>
          <w:szCs w:val="20"/>
          <w:shd w:val="clear" w:color="auto" w:fill="FFFFFF"/>
        </w:rPr>
        <w:t> </w:t>
      </w:r>
      <w:r w:rsidRPr="00367700">
        <w:rPr>
          <w:rFonts w:asciiTheme="majorBidi" w:hAnsiTheme="majorBidi" w:cstheme="majorBidi"/>
          <w:color w:val="000000"/>
          <w:sz w:val="20"/>
          <w:szCs w:val="20"/>
          <w:shd w:val="clear" w:color="auto" w:fill="FFFFFF"/>
        </w:rPr>
        <w:t xml:space="preserve">[en ligne], 2 | 2006, mis en ligne le 10 Septembre 2006. Disponible sur :&lt; : </w:t>
      </w:r>
      <w:hyperlink r:id="rId20" w:history="1">
        <w:r w:rsidRPr="00367700">
          <w:rPr>
            <w:rStyle w:val="Lienhypertexte"/>
            <w:rFonts w:asciiTheme="majorBidi" w:hAnsiTheme="majorBidi" w:cstheme="majorBidi"/>
            <w:color w:val="auto"/>
            <w:sz w:val="20"/>
            <w:szCs w:val="20"/>
            <w:shd w:val="clear" w:color="auto" w:fill="FFFFFF"/>
          </w:rPr>
          <w:t>http://mimmoc.revues.org/204</w:t>
        </w:r>
      </w:hyperlink>
      <w:r w:rsidRPr="00367700">
        <w:rPr>
          <w:rFonts w:asciiTheme="majorBidi" w:hAnsiTheme="majorBidi" w:cstheme="majorBidi"/>
          <w:sz w:val="20"/>
          <w:szCs w:val="20"/>
        </w:rPr>
        <w:t>&gt;</w:t>
      </w:r>
      <w:r w:rsidRPr="00367700">
        <w:rPr>
          <w:rFonts w:asciiTheme="majorBidi" w:hAnsiTheme="majorBidi" w:cstheme="majorBidi"/>
          <w:color w:val="000000"/>
          <w:sz w:val="20"/>
          <w:szCs w:val="20"/>
          <w:shd w:val="clear" w:color="auto" w:fill="FFFFFF"/>
        </w:rPr>
        <w:t>, consulté le 09 Mai 2016 à 15h40. </w:t>
      </w:r>
    </w:p>
  </w:footnote>
  <w:footnote w:id="175">
    <w:p w:rsidR="006C092A" w:rsidRPr="00367700" w:rsidRDefault="006C092A" w:rsidP="00367700">
      <w:pPr>
        <w:pStyle w:val="Notedebasdepage"/>
        <w:jc w:val="both"/>
        <w:rPr>
          <w:rFonts w:asciiTheme="majorBidi" w:hAnsiTheme="majorBidi" w:cstheme="majorBidi"/>
        </w:rPr>
      </w:pPr>
      <w:r w:rsidRPr="00367700">
        <w:rPr>
          <w:rStyle w:val="Appelnotedebasdep"/>
          <w:rFonts w:asciiTheme="majorBidi" w:hAnsiTheme="majorBidi" w:cstheme="majorBidi"/>
        </w:rPr>
        <w:footnoteRef/>
      </w:r>
      <w:r w:rsidRPr="00367700">
        <w:rPr>
          <w:rFonts w:asciiTheme="majorBidi" w:hAnsiTheme="majorBidi" w:cstheme="majorBidi"/>
        </w:rPr>
        <w:t xml:space="preserve">Mircea Eliade, </w:t>
      </w:r>
      <w:r w:rsidRPr="00367700">
        <w:rPr>
          <w:rFonts w:asciiTheme="majorBidi" w:hAnsiTheme="majorBidi" w:cstheme="majorBidi"/>
          <w:i/>
          <w:iCs/>
        </w:rPr>
        <w:t>Le sacré et le Profane</w:t>
      </w:r>
      <w:r w:rsidRPr="00367700">
        <w:rPr>
          <w:rFonts w:asciiTheme="majorBidi" w:hAnsiTheme="majorBidi" w:cstheme="majorBidi"/>
        </w:rPr>
        <w:t>, Gallimard, Paris, 1963, Folio, p.63-64.</w:t>
      </w:r>
    </w:p>
  </w:footnote>
  <w:footnote w:id="176">
    <w:p w:rsidR="006C092A" w:rsidRPr="00020133" w:rsidRDefault="006C092A" w:rsidP="00020133">
      <w:pPr>
        <w:spacing w:after="0" w:line="240" w:lineRule="auto"/>
        <w:jc w:val="both"/>
        <w:rPr>
          <w:rFonts w:asciiTheme="majorBidi" w:hAnsiTheme="majorBidi" w:cstheme="majorBidi"/>
          <w:sz w:val="20"/>
          <w:szCs w:val="20"/>
        </w:rPr>
      </w:pPr>
      <w:r w:rsidRPr="00020133">
        <w:rPr>
          <w:rStyle w:val="Appelnotedebasdep"/>
          <w:rFonts w:asciiTheme="majorBidi" w:hAnsiTheme="majorBidi" w:cstheme="majorBidi"/>
          <w:sz w:val="20"/>
          <w:szCs w:val="20"/>
        </w:rPr>
        <w:footnoteRef/>
      </w:r>
      <w:r w:rsidRPr="00020133">
        <w:rPr>
          <w:rFonts w:asciiTheme="majorBidi" w:hAnsiTheme="majorBidi" w:cstheme="majorBidi"/>
          <w:sz w:val="20"/>
          <w:szCs w:val="20"/>
        </w:rPr>
        <w:t xml:space="preserve">Pascale Haubruge, Pierre Hannaert, « Le «Barabbas» de Michel de Ghelderode à l'abbaye de Villers-la-Ville Retour d'un héros dans les ruines » (Archives) in </w:t>
      </w:r>
      <w:r w:rsidRPr="00020133">
        <w:rPr>
          <w:rFonts w:asciiTheme="majorBidi" w:hAnsiTheme="majorBidi" w:cstheme="majorBidi"/>
          <w:i/>
          <w:iCs/>
          <w:sz w:val="20"/>
          <w:szCs w:val="20"/>
        </w:rPr>
        <w:t>Le Soir Belgique</w:t>
      </w:r>
      <w:r w:rsidRPr="00020133">
        <w:rPr>
          <w:rFonts w:asciiTheme="majorBidi" w:hAnsiTheme="majorBidi" w:cstheme="majorBidi"/>
          <w:sz w:val="20"/>
          <w:szCs w:val="20"/>
        </w:rPr>
        <w:t>, 19Juillet 1996, p.9.</w:t>
      </w:r>
    </w:p>
  </w:footnote>
  <w:footnote w:id="177">
    <w:p w:rsidR="006C092A" w:rsidRPr="004F398D" w:rsidRDefault="006C092A" w:rsidP="004F398D">
      <w:pPr>
        <w:pStyle w:val="Notedebasdepage"/>
        <w:jc w:val="both"/>
        <w:rPr>
          <w:rFonts w:asciiTheme="majorBidi" w:hAnsiTheme="majorBidi" w:cstheme="majorBidi"/>
        </w:rPr>
      </w:pPr>
      <w:r w:rsidRPr="004F398D">
        <w:rPr>
          <w:rStyle w:val="Appelnotedebasdep"/>
          <w:rFonts w:asciiTheme="majorBidi" w:hAnsiTheme="majorBidi" w:cstheme="majorBidi"/>
        </w:rPr>
        <w:footnoteRef/>
      </w:r>
      <w:r w:rsidRPr="004F398D">
        <w:rPr>
          <w:rFonts w:asciiTheme="majorBidi" w:hAnsiTheme="majorBidi" w:cstheme="majorBidi"/>
          <w:i/>
          <w:iCs/>
        </w:rPr>
        <w:t>Ibid</w:t>
      </w:r>
      <w:r w:rsidRPr="004F398D">
        <w:rPr>
          <w:rFonts w:asciiTheme="majorBidi" w:hAnsiTheme="majorBidi" w:cstheme="majorBidi"/>
        </w:rPr>
        <w:t>.</w:t>
      </w:r>
    </w:p>
  </w:footnote>
  <w:footnote w:id="178">
    <w:p w:rsidR="006C092A" w:rsidRPr="004F398D" w:rsidRDefault="006C092A" w:rsidP="004F398D">
      <w:pPr>
        <w:pStyle w:val="Notedebasdepage"/>
        <w:jc w:val="both"/>
        <w:rPr>
          <w:rFonts w:asciiTheme="majorBidi" w:hAnsiTheme="majorBidi" w:cstheme="majorBidi"/>
        </w:rPr>
      </w:pPr>
      <w:r w:rsidRPr="004F398D">
        <w:rPr>
          <w:rStyle w:val="Appelnotedebasdep"/>
          <w:rFonts w:asciiTheme="majorBidi" w:hAnsiTheme="majorBidi" w:cstheme="majorBidi"/>
        </w:rPr>
        <w:footnoteRef/>
      </w:r>
      <w:r w:rsidRPr="004F398D">
        <w:rPr>
          <w:rFonts w:asciiTheme="majorBidi" w:hAnsiTheme="majorBidi" w:cstheme="majorBidi"/>
          <w:i/>
          <w:iCs/>
        </w:rPr>
        <w:t>Ibid.</w:t>
      </w:r>
    </w:p>
  </w:footnote>
  <w:footnote w:id="179">
    <w:p w:rsidR="006C092A" w:rsidRPr="004F398D" w:rsidRDefault="006C092A" w:rsidP="004F398D">
      <w:pPr>
        <w:pStyle w:val="Notedebasdepage"/>
        <w:jc w:val="both"/>
        <w:rPr>
          <w:rFonts w:asciiTheme="majorBidi" w:hAnsiTheme="majorBidi" w:cstheme="majorBidi"/>
        </w:rPr>
      </w:pPr>
      <w:r w:rsidRPr="004F398D">
        <w:rPr>
          <w:rStyle w:val="Appelnotedebasdep"/>
          <w:rFonts w:asciiTheme="majorBidi" w:hAnsiTheme="majorBidi" w:cstheme="majorBidi"/>
        </w:rPr>
        <w:footnoteRef/>
      </w:r>
      <w:r w:rsidRPr="004F398D">
        <w:rPr>
          <w:rFonts w:asciiTheme="majorBidi" w:hAnsiTheme="majorBidi" w:cstheme="majorBidi"/>
          <w:i/>
          <w:iCs/>
        </w:rPr>
        <w:t>Ibid.</w:t>
      </w:r>
    </w:p>
  </w:footnote>
  <w:footnote w:id="180">
    <w:p w:rsidR="006C092A" w:rsidRPr="004F398D" w:rsidRDefault="006C092A" w:rsidP="004F398D">
      <w:pPr>
        <w:pStyle w:val="Notedebasdepage"/>
        <w:jc w:val="both"/>
        <w:rPr>
          <w:rFonts w:asciiTheme="majorBidi" w:hAnsiTheme="majorBidi" w:cstheme="majorBidi"/>
        </w:rPr>
      </w:pPr>
      <w:r w:rsidRPr="004F398D">
        <w:rPr>
          <w:rStyle w:val="Appelnotedebasdep"/>
          <w:rFonts w:asciiTheme="majorBidi" w:hAnsiTheme="majorBidi" w:cstheme="majorBidi"/>
        </w:rPr>
        <w:footnoteRef/>
      </w:r>
      <w:r w:rsidRPr="004F398D">
        <w:rPr>
          <w:rFonts w:asciiTheme="majorBidi" w:hAnsiTheme="majorBidi" w:cstheme="majorBidi"/>
          <w:i/>
          <w:iCs/>
        </w:rPr>
        <w:t>Ibid.</w:t>
      </w:r>
    </w:p>
  </w:footnote>
  <w:footnote w:id="181">
    <w:p w:rsidR="006C092A" w:rsidRPr="008D719A" w:rsidRDefault="006C092A" w:rsidP="00732760">
      <w:pPr>
        <w:pStyle w:val="Notedebasdepage"/>
        <w:jc w:val="both"/>
        <w:rPr>
          <w:rFonts w:asciiTheme="majorBidi" w:hAnsiTheme="majorBidi" w:cstheme="majorBidi"/>
        </w:rPr>
      </w:pPr>
      <w:r w:rsidRPr="008D719A">
        <w:rPr>
          <w:rStyle w:val="Appelnotedebasdep"/>
          <w:rFonts w:asciiTheme="majorBidi" w:hAnsiTheme="majorBidi" w:cstheme="majorBidi"/>
        </w:rPr>
        <w:footnoteRef/>
      </w:r>
      <w:r w:rsidRPr="008D719A">
        <w:rPr>
          <w:rFonts w:asciiTheme="majorBidi" w:hAnsiTheme="majorBidi" w:cstheme="majorBidi"/>
        </w:rPr>
        <w:t>Claude Br</w:t>
      </w:r>
      <w:r>
        <w:rPr>
          <w:rFonts w:asciiTheme="majorBidi" w:hAnsiTheme="majorBidi" w:cstheme="majorBidi"/>
        </w:rPr>
        <w:t>é</w:t>
      </w:r>
      <w:r w:rsidRPr="008D719A">
        <w:rPr>
          <w:rFonts w:asciiTheme="majorBidi" w:hAnsiTheme="majorBidi" w:cstheme="majorBidi"/>
        </w:rPr>
        <w:t>mon</w:t>
      </w:r>
      <w:r>
        <w:rPr>
          <w:rFonts w:asciiTheme="majorBidi" w:hAnsiTheme="majorBidi" w:cstheme="majorBidi"/>
        </w:rPr>
        <w:t>d</w:t>
      </w:r>
      <w:r w:rsidRPr="008D719A">
        <w:rPr>
          <w:rFonts w:asciiTheme="majorBidi" w:hAnsiTheme="majorBidi" w:cstheme="majorBidi"/>
        </w:rPr>
        <w:t xml:space="preserve">, « La logique des possibles narratifs » in </w:t>
      </w:r>
      <w:r w:rsidRPr="008D719A">
        <w:rPr>
          <w:rFonts w:asciiTheme="majorBidi" w:hAnsiTheme="majorBidi" w:cstheme="majorBidi"/>
          <w:i/>
          <w:iCs/>
        </w:rPr>
        <w:t>Communications 8</w:t>
      </w:r>
      <w:r w:rsidRPr="008D719A">
        <w:rPr>
          <w:rFonts w:asciiTheme="majorBidi" w:hAnsiTheme="majorBidi" w:cstheme="majorBidi"/>
        </w:rPr>
        <w:t>, Seuil, Paris, 1966, p.66-82.</w:t>
      </w:r>
    </w:p>
  </w:footnote>
  <w:footnote w:id="182">
    <w:p w:rsidR="006C092A" w:rsidRPr="00A442F4" w:rsidRDefault="006C092A" w:rsidP="00A442F4">
      <w:pPr>
        <w:spacing w:after="0" w:line="240" w:lineRule="auto"/>
        <w:jc w:val="both"/>
        <w:rPr>
          <w:rFonts w:asciiTheme="majorBidi" w:hAnsiTheme="majorBidi" w:cstheme="majorBidi"/>
          <w:sz w:val="20"/>
          <w:szCs w:val="20"/>
        </w:rPr>
      </w:pPr>
      <w:r w:rsidRPr="00A442F4">
        <w:rPr>
          <w:rStyle w:val="Appelnotedebasdep"/>
          <w:rFonts w:asciiTheme="majorBidi" w:hAnsiTheme="majorBidi" w:cstheme="majorBidi"/>
          <w:sz w:val="20"/>
          <w:szCs w:val="20"/>
        </w:rPr>
        <w:footnoteRef/>
      </w:r>
      <w:r w:rsidRPr="00A442F4">
        <w:rPr>
          <w:rFonts w:asciiTheme="majorBidi" w:hAnsiTheme="majorBidi" w:cstheme="majorBidi"/>
          <w:sz w:val="20"/>
          <w:shd w:val="clear" w:color="auto" w:fill="FFFFFF"/>
        </w:rPr>
        <w:t>Philippe Hamon, « Pour un statut sémiologique du personnage »,</w:t>
      </w:r>
      <w:r w:rsidRPr="00A442F4">
        <w:rPr>
          <w:rStyle w:val="apple-converted-space"/>
          <w:rFonts w:asciiTheme="majorBidi" w:hAnsiTheme="majorBidi" w:cstheme="majorBidi"/>
          <w:sz w:val="20"/>
          <w:shd w:val="clear" w:color="auto" w:fill="FFFFFF"/>
        </w:rPr>
        <w:t xml:space="preserve"> in </w:t>
      </w:r>
      <w:r w:rsidRPr="00A442F4">
        <w:rPr>
          <w:rStyle w:val="Accentuation"/>
          <w:rFonts w:asciiTheme="majorBidi" w:hAnsiTheme="majorBidi" w:cstheme="majorBidi"/>
          <w:sz w:val="20"/>
          <w:bdr w:val="none" w:sz="0" w:space="0" w:color="auto" w:frame="1"/>
          <w:shd w:val="clear" w:color="auto" w:fill="FFFFFF"/>
        </w:rPr>
        <w:t>Littérature</w:t>
      </w:r>
      <w:r w:rsidRPr="00A442F4">
        <w:rPr>
          <w:rFonts w:asciiTheme="majorBidi" w:hAnsiTheme="majorBidi" w:cstheme="majorBidi"/>
          <w:sz w:val="20"/>
          <w:shd w:val="clear" w:color="auto" w:fill="FFFFFF"/>
        </w:rPr>
        <w:t>, vol. 6, n° 6, 1972, p. 86-110.</w:t>
      </w:r>
    </w:p>
  </w:footnote>
  <w:footnote w:id="183">
    <w:p w:rsidR="006C092A" w:rsidRPr="00A442F4" w:rsidRDefault="006C092A" w:rsidP="00A442F4">
      <w:pPr>
        <w:pStyle w:val="Notedebasdepage"/>
        <w:jc w:val="both"/>
        <w:rPr>
          <w:rFonts w:asciiTheme="majorBidi" w:hAnsiTheme="majorBidi" w:cstheme="majorBidi"/>
          <w:lang w:val="en-US"/>
        </w:rPr>
      </w:pPr>
      <w:r w:rsidRPr="00A442F4">
        <w:rPr>
          <w:rStyle w:val="Appelnotedebasdep"/>
          <w:rFonts w:asciiTheme="majorBidi" w:hAnsiTheme="majorBidi" w:cstheme="majorBidi"/>
        </w:rPr>
        <w:footnoteRef/>
      </w:r>
      <w:r w:rsidRPr="00A442F4">
        <w:rPr>
          <w:rFonts w:asciiTheme="majorBidi" w:hAnsiTheme="majorBidi" w:cstheme="majorBidi"/>
          <w:lang w:val="en-US"/>
        </w:rPr>
        <w:t xml:space="preserve">Roland Barthes, </w:t>
      </w:r>
      <w:r w:rsidRPr="00A442F4">
        <w:rPr>
          <w:rFonts w:asciiTheme="majorBidi" w:hAnsiTheme="majorBidi" w:cstheme="majorBidi"/>
          <w:i/>
          <w:iCs/>
          <w:lang w:val="en-US"/>
        </w:rPr>
        <w:t xml:space="preserve">S/Z, </w:t>
      </w:r>
      <w:r w:rsidRPr="00A442F4">
        <w:rPr>
          <w:rFonts w:asciiTheme="majorBidi" w:hAnsiTheme="majorBidi" w:cstheme="majorBidi"/>
          <w:lang w:val="en-US"/>
        </w:rPr>
        <w:t>Seuil, Paris, 1970, p.74.</w:t>
      </w:r>
    </w:p>
  </w:footnote>
  <w:footnote w:id="184">
    <w:p w:rsidR="006C092A" w:rsidRPr="00A52CFB" w:rsidRDefault="006C092A" w:rsidP="00A52CFB">
      <w:pPr>
        <w:pStyle w:val="Notedebasdepage"/>
        <w:jc w:val="both"/>
        <w:rPr>
          <w:rFonts w:ascii="Times New Roman" w:hAnsi="Times New Roman"/>
        </w:rPr>
      </w:pPr>
      <w:r w:rsidRPr="00A52CFB">
        <w:rPr>
          <w:rStyle w:val="Appelnotedebasdep"/>
          <w:rFonts w:ascii="Times New Roman" w:hAnsi="Times New Roman"/>
        </w:rPr>
        <w:footnoteRef/>
      </w:r>
      <w:r w:rsidRPr="00A52CFB">
        <w:rPr>
          <w:rFonts w:ascii="Times New Roman" w:hAnsi="Times New Roman"/>
          <w:i/>
          <w:iCs/>
        </w:rPr>
        <w:t>Ibid</w:t>
      </w:r>
      <w:r w:rsidRPr="00A52CFB">
        <w:rPr>
          <w:rFonts w:ascii="Times New Roman" w:hAnsi="Times New Roman"/>
        </w:rPr>
        <w:t>, p.46.</w:t>
      </w:r>
    </w:p>
  </w:footnote>
  <w:footnote w:id="185">
    <w:p w:rsidR="006C092A" w:rsidRPr="00A52CFB" w:rsidRDefault="006C092A" w:rsidP="00C30765">
      <w:pPr>
        <w:spacing w:after="0" w:line="240" w:lineRule="auto"/>
        <w:jc w:val="both"/>
        <w:rPr>
          <w:rFonts w:ascii="Times New Roman" w:hAnsi="Times New Roman"/>
          <w:sz w:val="20"/>
          <w:szCs w:val="20"/>
        </w:rPr>
      </w:pPr>
      <w:r w:rsidRPr="00A52CFB">
        <w:rPr>
          <w:rStyle w:val="Appelnotedebasdep"/>
          <w:rFonts w:ascii="Times New Roman" w:hAnsi="Times New Roman"/>
          <w:sz w:val="20"/>
          <w:szCs w:val="20"/>
        </w:rPr>
        <w:footnoteRef/>
      </w:r>
      <w:r w:rsidRPr="00A52CFB">
        <w:rPr>
          <w:rFonts w:ascii="Times New Roman" w:hAnsi="Times New Roman"/>
          <w:sz w:val="20"/>
          <w:szCs w:val="20"/>
        </w:rPr>
        <w:t xml:space="preserve">Vincent Jouve, « Pour une analyse de l’effet-personnage» in  </w:t>
      </w:r>
      <w:r w:rsidRPr="00A52CFB">
        <w:rPr>
          <w:rFonts w:ascii="Times New Roman" w:hAnsi="Times New Roman"/>
          <w:i/>
          <w:iCs/>
          <w:sz w:val="20"/>
          <w:szCs w:val="20"/>
        </w:rPr>
        <w:t>Littérature</w:t>
      </w:r>
      <w:r w:rsidRPr="00A52CFB">
        <w:rPr>
          <w:rFonts w:ascii="Times New Roman" w:hAnsi="Times New Roman"/>
          <w:sz w:val="20"/>
          <w:szCs w:val="20"/>
        </w:rPr>
        <w:t xml:space="preserve">,  </w:t>
      </w:r>
      <w:r w:rsidRPr="00A52CFB">
        <w:rPr>
          <w:rFonts w:ascii="Times New Roman" w:hAnsi="Times New Roman"/>
          <w:sz w:val="20"/>
          <w:szCs w:val="20"/>
          <w:shd w:val="clear" w:color="auto" w:fill="FFFFFF"/>
        </w:rPr>
        <w:t>1992, Volume 85, N</w:t>
      </w:r>
      <w:r w:rsidRPr="00C30765">
        <w:rPr>
          <w:rFonts w:ascii="Times New Roman" w:hAnsi="Times New Roman"/>
          <w:sz w:val="20"/>
          <w:szCs w:val="20"/>
          <w:shd w:val="clear" w:color="auto" w:fill="FFFFFF"/>
          <w:vertAlign w:val="superscript"/>
        </w:rPr>
        <w:t>o</w:t>
      </w:r>
      <w:r w:rsidRPr="00A52CFB">
        <w:rPr>
          <w:rFonts w:ascii="Times New Roman" w:hAnsi="Times New Roman"/>
          <w:sz w:val="20"/>
          <w:szCs w:val="20"/>
          <w:shd w:val="clear" w:color="auto" w:fill="FFFFFF"/>
        </w:rPr>
        <w:t>1</w:t>
      </w:r>
      <w:r>
        <w:rPr>
          <w:rFonts w:ascii="Times New Roman" w:hAnsi="Times New Roman"/>
          <w:sz w:val="20"/>
          <w:szCs w:val="20"/>
          <w:shd w:val="clear" w:color="auto" w:fill="FFFFFF"/>
        </w:rPr>
        <w:t xml:space="preserve">, </w:t>
      </w:r>
      <w:r w:rsidRPr="00A52CFB">
        <w:rPr>
          <w:rFonts w:ascii="Times New Roman" w:hAnsi="Times New Roman"/>
          <w:sz w:val="20"/>
          <w:szCs w:val="20"/>
          <w:shd w:val="clear" w:color="auto" w:fill="FFFFFF"/>
        </w:rPr>
        <w:t>p. 103-111</w:t>
      </w:r>
      <w:r w:rsidRPr="00A52CFB">
        <w:rPr>
          <w:rFonts w:ascii="Times New Roman" w:hAnsi="Times New Roman"/>
          <w:sz w:val="20"/>
          <w:szCs w:val="20"/>
        </w:rPr>
        <w:t>.</w:t>
      </w:r>
    </w:p>
  </w:footnote>
  <w:footnote w:id="186">
    <w:p w:rsidR="006C092A" w:rsidRPr="004A5C15" w:rsidRDefault="006C092A" w:rsidP="00FB69DE">
      <w:pPr>
        <w:pStyle w:val="Notedebasdepage"/>
        <w:jc w:val="both"/>
        <w:rPr>
          <w:rFonts w:asciiTheme="majorBidi" w:hAnsiTheme="majorBidi" w:cstheme="majorBidi"/>
        </w:rPr>
      </w:pPr>
      <w:r w:rsidRPr="004A5C15">
        <w:rPr>
          <w:rStyle w:val="Appelnotedebasdep"/>
          <w:rFonts w:asciiTheme="majorBidi" w:hAnsiTheme="majorBidi" w:cstheme="majorBidi"/>
        </w:rPr>
        <w:footnoteRef/>
      </w:r>
      <w:r w:rsidRPr="004A5C15">
        <w:rPr>
          <w:rFonts w:asciiTheme="majorBidi" w:hAnsiTheme="majorBidi" w:cstheme="majorBidi"/>
        </w:rPr>
        <w:t xml:space="preserve">Daniela Roventa, disponible </w:t>
      </w:r>
      <w:r w:rsidR="00FB69DE">
        <w:rPr>
          <w:rFonts w:asciiTheme="majorBidi" w:hAnsiTheme="majorBidi" w:cstheme="majorBidi"/>
        </w:rPr>
        <w:t xml:space="preserve"> </w:t>
      </w:r>
      <w:r w:rsidRPr="004A5C15">
        <w:rPr>
          <w:rFonts w:asciiTheme="majorBidi" w:hAnsiTheme="majorBidi" w:cstheme="majorBidi"/>
        </w:rPr>
        <w:t>sur :&lt;</w:t>
      </w:r>
      <w:hyperlink r:id="rId21" w:history="1">
        <w:r w:rsidRPr="004A5C15">
          <w:rPr>
            <w:rStyle w:val="Lienhypertexte"/>
            <w:rFonts w:asciiTheme="majorBidi" w:hAnsiTheme="majorBidi" w:cstheme="majorBidi"/>
            <w:color w:val="auto"/>
          </w:rPr>
          <w:t>http://www.danielaroventafrumusani.ro/discours_scientifique.html</w:t>
        </w:r>
      </w:hyperlink>
      <w:r w:rsidRPr="004A5C15">
        <w:rPr>
          <w:rFonts w:asciiTheme="majorBidi" w:hAnsiTheme="majorBidi" w:cstheme="majorBidi"/>
        </w:rPr>
        <w:t>&gt;,  consulté le 24 Octobre 2016 à 23h20.</w:t>
      </w:r>
    </w:p>
  </w:footnote>
  <w:footnote w:id="187">
    <w:p w:rsidR="006C092A" w:rsidRPr="00BD48A2" w:rsidRDefault="006C092A" w:rsidP="00BD48A2">
      <w:pPr>
        <w:pStyle w:val="Notedebasdepage"/>
        <w:jc w:val="both"/>
        <w:rPr>
          <w:rFonts w:asciiTheme="majorBidi" w:hAnsiTheme="majorBidi" w:cstheme="majorBidi"/>
        </w:rPr>
      </w:pPr>
      <w:r w:rsidRPr="00BD48A2">
        <w:rPr>
          <w:rStyle w:val="Appelnotedebasdep"/>
          <w:rFonts w:asciiTheme="majorBidi" w:hAnsiTheme="majorBidi" w:cstheme="majorBidi"/>
        </w:rPr>
        <w:footnoteRef/>
      </w:r>
      <w:r w:rsidRPr="00BD48A2">
        <w:rPr>
          <w:rFonts w:asciiTheme="majorBidi" w:hAnsiTheme="majorBidi" w:cstheme="majorBidi"/>
        </w:rPr>
        <w:t xml:space="preserve">Daniel Sangue, </w:t>
      </w:r>
      <w:r w:rsidRPr="00BD48A2">
        <w:rPr>
          <w:rStyle w:val="Accentuation"/>
          <w:rFonts w:asciiTheme="majorBidi" w:hAnsiTheme="majorBidi" w:cstheme="majorBidi"/>
        </w:rPr>
        <w:t>La Parodie</w:t>
      </w:r>
      <w:r w:rsidRPr="00BD48A2">
        <w:rPr>
          <w:rFonts w:asciiTheme="majorBidi" w:hAnsiTheme="majorBidi" w:cstheme="majorBidi"/>
        </w:rPr>
        <w:t>, Hachette Supérieur, Paris, coll.  Contours littéraires, 1994, p.45.</w:t>
      </w:r>
    </w:p>
  </w:footnote>
  <w:footnote w:id="188">
    <w:p w:rsidR="006C092A" w:rsidRPr="00BD48A2" w:rsidRDefault="006C092A" w:rsidP="00BD48A2">
      <w:pPr>
        <w:spacing w:after="0" w:line="240" w:lineRule="auto"/>
        <w:jc w:val="both"/>
        <w:rPr>
          <w:rFonts w:asciiTheme="majorBidi" w:hAnsiTheme="majorBidi" w:cstheme="majorBidi"/>
          <w:sz w:val="20"/>
          <w:szCs w:val="20"/>
        </w:rPr>
      </w:pPr>
      <w:r w:rsidRPr="00BD48A2">
        <w:rPr>
          <w:rStyle w:val="Appelnotedebasdep"/>
          <w:rFonts w:asciiTheme="majorBidi" w:hAnsiTheme="majorBidi" w:cstheme="majorBidi"/>
          <w:sz w:val="20"/>
          <w:szCs w:val="20"/>
        </w:rPr>
        <w:footnoteRef/>
      </w:r>
      <w:r w:rsidRPr="00BD48A2">
        <w:rPr>
          <w:rFonts w:asciiTheme="majorBidi" w:hAnsiTheme="majorBidi" w:cstheme="majorBidi"/>
          <w:sz w:val="20"/>
          <w:szCs w:val="20"/>
        </w:rPr>
        <w:t xml:space="preserve">B. Tomachevski, « Thématique », in </w:t>
      </w:r>
      <w:r w:rsidRPr="00BD48A2">
        <w:rPr>
          <w:rStyle w:val="Accentuation"/>
          <w:rFonts w:asciiTheme="majorBidi" w:hAnsiTheme="majorBidi" w:cstheme="majorBidi"/>
          <w:sz w:val="20"/>
          <w:szCs w:val="20"/>
        </w:rPr>
        <w:t>Théorie de la littérature</w:t>
      </w:r>
      <w:r w:rsidRPr="00BD48A2">
        <w:rPr>
          <w:rStyle w:val="Accentuation"/>
          <w:rFonts w:asciiTheme="majorBidi" w:hAnsiTheme="majorBidi" w:cstheme="majorBidi"/>
          <w:i w:val="0"/>
          <w:iCs w:val="0"/>
          <w:sz w:val="20"/>
          <w:szCs w:val="20"/>
        </w:rPr>
        <w:t xml:space="preserve"> (</w:t>
      </w:r>
      <w:r w:rsidRPr="00BD48A2">
        <w:rPr>
          <w:rFonts w:asciiTheme="majorBidi" w:hAnsiTheme="majorBidi" w:cstheme="majorBidi"/>
          <w:sz w:val="20"/>
          <w:szCs w:val="20"/>
        </w:rPr>
        <w:t>textes des formalistes russes réunis, présentés et traduits par T. Todorov, Seuil, Paris, 1965,</w:t>
      </w:r>
      <w:r w:rsidRPr="00BD48A2">
        <w:rPr>
          <w:rFonts w:asciiTheme="majorBidi" w:hAnsiTheme="majorBidi" w:cstheme="majorBidi"/>
          <w:sz w:val="20"/>
          <w:szCs w:val="20"/>
          <w:shd w:val="clear" w:color="auto" w:fill="FFFFFF"/>
        </w:rPr>
        <w:t xml:space="preserve"> p. 263-307.</w:t>
      </w:r>
    </w:p>
  </w:footnote>
  <w:footnote w:id="189">
    <w:p w:rsidR="006C092A" w:rsidRPr="005E7ACE" w:rsidRDefault="006C092A" w:rsidP="00C45B3B">
      <w:pPr>
        <w:autoSpaceDE w:val="0"/>
        <w:autoSpaceDN w:val="0"/>
        <w:adjustRightInd w:val="0"/>
        <w:spacing w:after="0" w:line="240" w:lineRule="auto"/>
        <w:jc w:val="both"/>
        <w:rPr>
          <w:rFonts w:asciiTheme="majorBidi" w:hAnsiTheme="majorBidi" w:cstheme="majorBidi"/>
          <w:sz w:val="20"/>
          <w:szCs w:val="20"/>
        </w:rPr>
      </w:pPr>
      <w:r w:rsidRPr="005E7ACE">
        <w:rPr>
          <w:rStyle w:val="Appelnotedebasdep"/>
          <w:rFonts w:asciiTheme="majorBidi" w:hAnsiTheme="majorBidi" w:cstheme="majorBidi"/>
          <w:sz w:val="20"/>
          <w:szCs w:val="20"/>
        </w:rPr>
        <w:footnoteRef/>
      </w:r>
      <w:r w:rsidRPr="005E7ACE">
        <w:rPr>
          <w:rFonts w:asciiTheme="majorBidi" w:hAnsiTheme="majorBidi" w:cstheme="majorBidi"/>
          <w:sz w:val="20"/>
          <w:szCs w:val="20"/>
        </w:rPr>
        <w:t xml:space="preserve">Roland Barthes, « Introduction à l’analyse structurale des récits » in </w:t>
      </w:r>
      <w:r w:rsidRPr="005E7ACE">
        <w:rPr>
          <w:rFonts w:asciiTheme="majorBidi" w:hAnsiTheme="majorBidi" w:cstheme="majorBidi"/>
          <w:i/>
          <w:iCs/>
          <w:sz w:val="20"/>
          <w:szCs w:val="20"/>
        </w:rPr>
        <w:t xml:space="preserve">Communications </w:t>
      </w:r>
      <w:r w:rsidRPr="005E7ACE">
        <w:rPr>
          <w:rFonts w:asciiTheme="majorBidi" w:hAnsiTheme="majorBidi" w:cstheme="majorBidi"/>
          <w:sz w:val="20"/>
          <w:szCs w:val="20"/>
        </w:rPr>
        <w:t>8, Seuil</w:t>
      </w:r>
      <w:r>
        <w:rPr>
          <w:rFonts w:asciiTheme="majorBidi" w:hAnsiTheme="majorBidi" w:cstheme="majorBidi"/>
          <w:sz w:val="20"/>
          <w:szCs w:val="20"/>
        </w:rPr>
        <w:t xml:space="preserve">, </w:t>
      </w:r>
      <w:r w:rsidRPr="005E7ACE">
        <w:rPr>
          <w:rFonts w:asciiTheme="majorBidi" w:hAnsiTheme="majorBidi" w:cstheme="majorBidi"/>
          <w:sz w:val="20"/>
          <w:szCs w:val="20"/>
        </w:rPr>
        <w:t xml:space="preserve">Paris, </w:t>
      </w:r>
    </w:p>
    <w:p w:rsidR="006C092A" w:rsidRPr="005E7ACE" w:rsidRDefault="006C092A" w:rsidP="005E7ACE">
      <w:pPr>
        <w:autoSpaceDE w:val="0"/>
        <w:autoSpaceDN w:val="0"/>
        <w:adjustRightInd w:val="0"/>
        <w:spacing w:after="0" w:line="240" w:lineRule="auto"/>
        <w:jc w:val="both"/>
        <w:rPr>
          <w:rFonts w:asciiTheme="majorBidi" w:hAnsiTheme="majorBidi" w:cstheme="majorBidi"/>
          <w:color w:val="000000"/>
          <w:sz w:val="20"/>
          <w:szCs w:val="20"/>
        </w:rPr>
      </w:pPr>
      <w:r w:rsidRPr="005E7ACE">
        <w:rPr>
          <w:rFonts w:asciiTheme="majorBidi" w:hAnsiTheme="majorBidi" w:cstheme="majorBidi"/>
          <w:sz w:val="20"/>
          <w:szCs w:val="20"/>
        </w:rPr>
        <w:t>1966, p.7-33.</w:t>
      </w:r>
    </w:p>
  </w:footnote>
  <w:footnote w:id="190">
    <w:p w:rsidR="006C092A" w:rsidRPr="005E7ACE" w:rsidRDefault="006C092A" w:rsidP="005E7ACE">
      <w:pPr>
        <w:autoSpaceDE w:val="0"/>
        <w:autoSpaceDN w:val="0"/>
        <w:adjustRightInd w:val="0"/>
        <w:spacing w:after="0" w:line="240" w:lineRule="auto"/>
        <w:jc w:val="both"/>
        <w:rPr>
          <w:rFonts w:asciiTheme="majorBidi" w:hAnsiTheme="majorBidi" w:cstheme="majorBidi"/>
          <w:color w:val="000000"/>
          <w:sz w:val="20"/>
          <w:szCs w:val="20"/>
        </w:rPr>
      </w:pPr>
      <w:r w:rsidRPr="005E7ACE">
        <w:rPr>
          <w:rStyle w:val="Appelnotedebasdep"/>
          <w:rFonts w:asciiTheme="majorBidi" w:hAnsiTheme="majorBidi" w:cstheme="majorBidi"/>
          <w:sz w:val="20"/>
          <w:szCs w:val="20"/>
        </w:rPr>
        <w:footnoteRef/>
      </w:r>
      <w:r w:rsidRPr="005E7ACE">
        <w:rPr>
          <w:rFonts w:asciiTheme="majorBidi" w:hAnsiTheme="majorBidi" w:cstheme="majorBidi"/>
          <w:i/>
          <w:iCs/>
          <w:sz w:val="20"/>
          <w:szCs w:val="20"/>
        </w:rPr>
        <w:t>Ibid.</w:t>
      </w:r>
    </w:p>
  </w:footnote>
  <w:footnote w:id="191">
    <w:p w:rsidR="006C092A" w:rsidRPr="005E7ACE" w:rsidRDefault="006C092A" w:rsidP="005E7ACE">
      <w:pPr>
        <w:spacing w:after="0" w:line="240" w:lineRule="auto"/>
        <w:jc w:val="both"/>
        <w:rPr>
          <w:rFonts w:asciiTheme="majorBidi" w:hAnsiTheme="majorBidi" w:cstheme="majorBidi"/>
          <w:sz w:val="20"/>
          <w:szCs w:val="20"/>
        </w:rPr>
      </w:pPr>
      <w:r w:rsidRPr="005E7ACE">
        <w:rPr>
          <w:rStyle w:val="Appelnotedebasdep"/>
          <w:rFonts w:asciiTheme="majorBidi" w:hAnsiTheme="majorBidi" w:cstheme="majorBidi"/>
          <w:sz w:val="20"/>
          <w:szCs w:val="20"/>
        </w:rPr>
        <w:footnoteRef/>
      </w:r>
      <w:r w:rsidRPr="005E7ACE">
        <w:rPr>
          <w:rFonts w:asciiTheme="majorBidi" w:hAnsiTheme="majorBidi" w:cstheme="majorBidi"/>
          <w:sz w:val="20"/>
          <w:szCs w:val="20"/>
        </w:rPr>
        <w:t xml:space="preserve">Claude Brémond, </w:t>
      </w:r>
      <w:r w:rsidRPr="005E7ACE">
        <w:rPr>
          <w:rFonts w:asciiTheme="majorBidi" w:hAnsiTheme="majorBidi" w:cstheme="majorBidi"/>
          <w:i/>
          <w:iCs/>
          <w:color w:val="000000"/>
          <w:sz w:val="20"/>
          <w:szCs w:val="20"/>
        </w:rPr>
        <w:t xml:space="preserve">op. </w:t>
      </w:r>
      <w:proofErr w:type="gramStart"/>
      <w:r w:rsidRPr="005E7ACE">
        <w:rPr>
          <w:rFonts w:asciiTheme="majorBidi" w:hAnsiTheme="majorBidi" w:cstheme="majorBidi"/>
          <w:i/>
          <w:iCs/>
          <w:color w:val="000000"/>
          <w:sz w:val="20"/>
          <w:szCs w:val="20"/>
        </w:rPr>
        <w:t>cit</w:t>
      </w:r>
      <w:proofErr w:type="gramEnd"/>
      <w:r w:rsidRPr="005E7ACE">
        <w:rPr>
          <w:rFonts w:asciiTheme="majorBidi" w:hAnsiTheme="majorBidi" w:cstheme="majorBidi"/>
          <w:sz w:val="20"/>
          <w:szCs w:val="20"/>
        </w:rPr>
        <w:t>.</w:t>
      </w:r>
    </w:p>
  </w:footnote>
  <w:footnote w:id="192">
    <w:p w:rsidR="006C092A" w:rsidRPr="00152DAC" w:rsidRDefault="006C092A" w:rsidP="00910B62">
      <w:pPr>
        <w:autoSpaceDE w:val="0"/>
        <w:autoSpaceDN w:val="0"/>
        <w:adjustRightInd w:val="0"/>
        <w:spacing w:after="0" w:line="240" w:lineRule="auto"/>
        <w:jc w:val="both"/>
        <w:rPr>
          <w:rFonts w:ascii="Times New Roman" w:hAnsi="Times New Roman"/>
          <w:color w:val="000000"/>
          <w:sz w:val="20"/>
          <w:szCs w:val="20"/>
        </w:rPr>
      </w:pPr>
      <w:r w:rsidRPr="00152DAC">
        <w:rPr>
          <w:rStyle w:val="Appelnotedebasdep"/>
          <w:rFonts w:ascii="Times New Roman" w:hAnsi="Times New Roman"/>
          <w:sz w:val="20"/>
          <w:szCs w:val="20"/>
        </w:rPr>
        <w:footnoteRef/>
      </w:r>
      <w:r w:rsidRPr="00152DAC">
        <w:rPr>
          <w:rFonts w:ascii="Times New Roman" w:hAnsi="Times New Roman"/>
          <w:color w:val="000000"/>
          <w:sz w:val="20"/>
          <w:szCs w:val="20"/>
        </w:rPr>
        <w:t>Définition de M</w:t>
      </w:r>
      <w:r>
        <w:rPr>
          <w:rFonts w:ascii="Times New Roman" w:hAnsi="Times New Roman"/>
          <w:color w:val="000000"/>
          <w:sz w:val="20"/>
          <w:szCs w:val="20"/>
        </w:rPr>
        <w:t xml:space="preserve">. </w:t>
      </w:r>
      <w:r w:rsidRPr="00152DAC">
        <w:rPr>
          <w:rFonts w:ascii="Times New Roman" w:hAnsi="Times New Roman"/>
          <w:color w:val="000000"/>
          <w:sz w:val="20"/>
          <w:szCs w:val="20"/>
        </w:rPr>
        <w:t xml:space="preserve">Mbatsogo Zacharie, dans un article intitulé </w:t>
      </w:r>
      <w:r>
        <w:rPr>
          <w:rFonts w:ascii="Times New Roman" w:hAnsi="Times New Roman"/>
          <w:color w:val="000000"/>
          <w:sz w:val="20"/>
          <w:szCs w:val="20"/>
        </w:rPr>
        <w:t>« </w:t>
      </w:r>
      <w:r w:rsidRPr="00152DAC">
        <w:rPr>
          <w:rFonts w:ascii="Times New Roman" w:hAnsi="Times New Roman"/>
          <w:color w:val="000000"/>
          <w:sz w:val="20"/>
          <w:szCs w:val="20"/>
        </w:rPr>
        <w:t>La lecture suivie en approche communicative</w:t>
      </w:r>
      <w:r>
        <w:rPr>
          <w:rFonts w:ascii="Times New Roman" w:hAnsi="Times New Roman"/>
          <w:color w:val="000000"/>
          <w:sz w:val="20"/>
          <w:szCs w:val="20"/>
        </w:rPr>
        <w:t> »</w:t>
      </w:r>
      <w:r w:rsidRPr="00152DAC">
        <w:rPr>
          <w:rFonts w:ascii="Times New Roman" w:hAnsi="Times New Roman"/>
          <w:color w:val="000000"/>
          <w:sz w:val="20"/>
          <w:szCs w:val="20"/>
        </w:rPr>
        <w:t xml:space="preserve"> in </w:t>
      </w:r>
      <w:r w:rsidRPr="00152DAC">
        <w:rPr>
          <w:rFonts w:ascii="Times New Roman" w:hAnsi="Times New Roman"/>
          <w:i/>
          <w:color w:val="000000"/>
          <w:sz w:val="20"/>
          <w:szCs w:val="20"/>
        </w:rPr>
        <w:t>L’Ecole francophone d’été: dossier II</w:t>
      </w:r>
      <w:r w:rsidRPr="00152DAC">
        <w:rPr>
          <w:rFonts w:ascii="Times New Roman" w:hAnsi="Times New Roman"/>
          <w:color w:val="000000"/>
          <w:sz w:val="20"/>
          <w:szCs w:val="20"/>
        </w:rPr>
        <w:t xml:space="preserve">: didactique du français, session 1993, </w:t>
      </w:r>
      <w:r w:rsidRPr="000D649D">
        <w:rPr>
          <w:rFonts w:ascii="Times New Roman" w:hAnsi="Times New Roman"/>
          <w:sz w:val="20"/>
          <w:szCs w:val="20"/>
        </w:rPr>
        <w:t>p</w:t>
      </w:r>
      <w:r>
        <w:rPr>
          <w:rFonts w:ascii="Times New Roman" w:hAnsi="Times New Roman"/>
          <w:color w:val="00B0F0"/>
          <w:sz w:val="20"/>
          <w:szCs w:val="20"/>
        </w:rPr>
        <w:t>.</w:t>
      </w:r>
      <w:r w:rsidRPr="00152DAC">
        <w:rPr>
          <w:rFonts w:ascii="Times New Roman" w:hAnsi="Times New Roman"/>
          <w:color w:val="000000"/>
          <w:sz w:val="20"/>
          <w:szCs w:val="20"/>
        </w:rPr>
        <w:t xml:space="preserve"> 24</w:t>
      </w:r>
      <w:r>
        <w:rPr>
          <w:rFonts w:ascii="Times New Roman" w:hAnsi="Times New Roman"/>
          <w:color w:val="000000"/>
          <w:sz w:val="20"/>
          <w:szCs w:val="20"/>
        </w:rPr>
        <w:t>-</w:t>
      </w:r>
      <w:r w:rsidRPr="00152DAC">
        <w:rPr>
          <w:rFonts w:ascii="Times New Roman" w:hAnsi="Times New Roman"/>
          <w:color w:val="000000"/>
          <w:sz w:val="20"/>
          <w:szCs w:val="20"/>
        </w:rPr>
        <w:t>40</w:t>
      </w:r>
      <w:r>
        <w:rPr>
          <w:rFonts w:ascii="Times New Roman" w:hAnsi="Times New Roman"/>
          <w:color w:val="000000"/>
          <w:sz w:val="20"/>
          <w:szCs w:val="20"/>
        </w:rPr>
        <w:t>.</w:t>
      </w:r>
    </w:p>
  </w:footnote>
  <w:footnote w:id="193">
    <w:p w:rsidR="006C092A" w:rsidRPr="00F03F6E" w:rsidRDefault="006C092A" w:rsidP="00910B62">
      <w:pPr>
        <w:pStyle w:val="Notedebasdepage"/>
        <w:jc w:val="both"/>
        <w:rPr>
          <w:rFonts w:ascii="Times New Roman" w:hAnsi="Times New Roman"/>
          <w:lang w:val="en-US"/>
        </w:rPr>
      </w:pPr>
      <w:r w:rsidRPr="00152DAC">
        <w:rPr>
          <w:rStyle w:val="Appelnotedebasdep"/>
          <w:rFonts w:ascii="Times New Roman" w:hAnsi="Times New Roman"/>
        </w:rPr>
        <w:footnoteRef/>
      </w:r>
      <w:r w:rsidRPr="00F03F6E">
        <w:rPr>
          <w:rFonts w:ascii="Times New Roman" w:hAnsi="Times New Roman"/>
          <w:i/>
          <w:iCs/>
          <w:lang w:val="en-US"/>
        </w:rPr>
        <w:t>Ibid.</w:t>
      </w:r>
    </w:p>
  </w:footnote>
  <w:footnote w:id="194">
    <w:p w:rsidR="006C092A" w:rsidRPr="00F03F6E" w:rsidRDefault="006C092A" w:rsidP="008024FD">
      <w:pPr>
        <w:autoSpaceDE w:val="0"/>
        <w:autoSpaceDN w:val="0"/>
        <w:adjustRightInd w:val="0"/>
        <w:spacing w:after="0" w:line="240" w:lineRule="auto"/>
        <w:jc w:val="both"/>
        <w:rPr>
          <w:rFonts w:asciiTheme="majorBidi" w:hAnsiTheme="majorBidi" w:cstheme="majorBidi"/>
          <w:sz w:val="20"/>
          <w:szCs w:val="20"/>
          <w:lang w:val="en-US"/>
        </w:rPr>
      </w:pPr>
      <w:r w:rsidRPr="008024FD">
        <w:rPr>
          <w:rStyle w:val="Appelnotedebasdep"/>
          <w:rFonts w:asciiTheme="majorBidi" w:hAnsiTheme="majorBidi" w:cstheme="majorBidi"/>
          <w:sz w:val="20"/>
          <w:szCs w:val="20"/>
        </w:rPr>
        <w:footnoteRef/>
      </w:r>
      <w:r w:rsidRPr="00F03F6E">
        <w:rPr>
          <w:rFonts w:asciiTheme="majorBidi" w:hAnsiTheme="majorBidi" w:cstheme="majorBidi"/>
          <w:i/>
          <w:iCs/>
          <w:sz w:val="20"/>
          <w:szCs w:val="20"/>
          <w:lang w:val="en-US"/>
        </w:rPr>
        <w:t>Ibid.</w:t>
      </w:r>
    </w:p>
  </w:footnote>
  <w:footnote w:id="195">
    <w:p w:rsidR="006C092A" w:rsidRPr="00F03F6E" w:rsidRDefault="006C092A" w:rsidP="00540A10">
      <w:pPr>
        <w:spacing w:after="0" w:line="240" w:lineRule="auto"/>
        <w:jc w:val="both"/>
        <w:rPr>
          <w:rFonts w:asciiTheme="majorBidi" w:hAnsiTheme="majorBidi" w:cstheme="majorBidi"/>
          <w:sz w:val="20"/>
          <w:szCs w:val="20"/>
          <w:lang w:val="en-US"/>
        </w:rPr>
      </w:pPr>
      <w:r w:rsidRPr="00540A10">
        <w:rPr>
          <w:rStyle w:val="Appelnotedebasdep"/>
          <w:rFonts w:asciiTheme="majorBidi" w:hAnsiTheme="majorBidi" w:cstheme="majorBidi"/>
          <w:sz w:val="20"/>
          <w:szCs w:val="20"/>
        </w:rPr>
        <w:footnoteRef/>
      </w:r>
      <w:proofErr w:type="gramStart"/>
      <w:r w:rsidRPr="00F03F6E">
        <w:rPr>
          <w:rFonts w:asciiTheme="majorBidi" w:hAnsiTheme="majorBidi" w:cstheme="majorBidi"/>
          <w:i/>
          <w:iCs/>
          <w:sz w:val="20"/>
          <w:szCs w:val="20"/>
          <w:lang w:val="en-US"/>
        </w:rPr>
        <w:t>Ibid</w:t>
      </w:r>
      <w:r w:rsidRPr="00F03F6E">
        <w:rPr>
          <w:rFonts w:asciiTheme="majorBidi" w:hAnsiTheme="majorBidi" w:cstheme="majorBidi"/>
          <w:sz w:val="20"/>
          <w:szCs w:val="20"/>
          <w:lang w:val="en-US"/>
        </w:rPr>
        <w:t>, p.116.</w:t>
      </w:r>
      <w:proofErr w:type="gramEnd"/>
    </w:p>
    <w:p w:rsidR="006C092A" w:rsidRPr="00F03F6E" w:rsidRDefault="006C092A">
      <w:pPr>
        <w:pStyle w:val="Notedebasdepage"/>
        <w:rPr>
          <w:sz w:val="2"/>
          <w:szCs w:val="2"/>
          <w:lang w:val="en-US"/>
        </w:rPr>
      </w:pPr>
    </w:p>
  </w:footnote>
  <w:footnote w:id="196">
    <w:p w:rsidR="006C092A" w:rsidRPr="002E6B28" w:rsidRDefault="006C092A" w:rsidP="00F03F6E">
      <w:pPr>
        <w:autoSpaceDE w:val="0"/>
        <w:autoSpaceDN w:val="0"/>
        <w:adjustRightInd w:val="0"/>
        <w:spacing w:after="0" w:line="240" w:lineRule="auto"/>
        <w:jc w:val="both"/>
        <w:rPr>
          <w:rFonts w:asciiTheme="majorBidi" w:hAnsiTheme="majorBidi" w:cstheme="majorBidi"/>
          <w:color w:val="000000"/>
          <w:sz w:val="20"/>
          <w:szCs w:val="20"/>
          <w:lang w:val="en-US"/>
        </w:rPr>
      </w:pPr>
      <w:r w:rsidRPr="00F03F6E">
        <w:rPr>
          <w:rStyle w:val="Appelnotedebasdep"/>
          <w:rFonts w:asciiTheme="majorBidi" w:hAnsiTheme="majorBidi" w:cstheme="majorBidi"/>
          <w:sz w:val="20"/>
          <w:szCs w:val="20"/>
        </w:rPr>
        <w:footnoteRef/>
      </w:r>
      <w:r w:rsidRPr="002E6B28">
        <w:rPr>
          <w:rFonts w:asciiTheme="majorBidi" w:hAnsiTheme="majorBidi" w:cstheme="majorBidi"/>
          <w:sz w:val="20"/>
          <w:szCs w:val="20"/>
          <w:lang w:val="en-US"/>
        </w:rPr>
        <w:t xml:space="preserve">Claude Brémond, </w:t>
      </w:r>
      <w:r w:rsidRPr="002E6B28">
        <w:rPr>
          <w:rFonts w:asciiTheme="majorBidi" w:hAnsiTheme="majorBidi" w:cstheme="majorBidi"/>
          <w:i/>
          <w:iCs/>
          <w:color w:val="000000"/>
          <w:sz w:val="20"/>
          <w:szCs w:val="20"/>
          <w:lang w:val="en-US"/>
        </w:rPr>
        <w:t>op. cit</w:t>
      </w:r>
      <w:r w:rsidRPr="002E6B28">
        <w:rPr>
          <w:rFonts w:asciiTheme="majorBidi" w:hAnsiTheme="majorBidi" w:cstheme="majorBidi"/>
          <w:sz w:val="20"/>
          <w:szCs w:val="20"/>
          <w:lang w:val="en-US"/>
        </w:rPr>
        <w:t>.</w:t>
      </w:r>
    </w:p>
  </w:footnote>
  <w:footnote w:id="197">
    <w:p w:rsidR="006C092A" w:rsidRPr="00F03F6E" w:rsidRDefault="006C092A" w:rsidP="00F03F6E">
      <w:pPr>
        <w:spacing w:after="0" w:line="240" w:lineRule="auto"/>
        <w:jc w:val="both"/>
        <w:rPr>
          <w:rFonts w:asciiTheme="majorBidi" w:hAnsiTheme="majorBidi" w:cstheme="majorBidi"/>
          <w:sz w:val="20"/>
          <w:szCs w:val="20"/>
        </w:rPr>
      </w:pPr>
      <w:r w:rsidRPr="00F03F6E">
        <w:rPr>
          <w:rStyle w:val="Appelnotedebasdep"/>
          <w:rFonts w:asciiTheme="majorBidi" w:hAnsiTheme="majorBidi" w:cstheme="majorBidi"/>
          <w:sz w:val="20"/>
          <w:szCs w:val="20"/>
        </w:rPr>
        <w:footnoteRef/>
      </w:r>
      <w:r w:rsidRPr="00F03F6E">
        <w:rPr>
          <w:rFonts w:asciiTheme="majorBidi" w:hAnsiTheme="majorBidi" w:cstheme="majorBidi"/>
          <w:sz w:val="20"/>
          <w:szCs w:val="20"/>
        </w:rPr>
        <w:t xml:space="preserve">Adama Coulibaly, (2004), « Onomastique et création romanesque chez Amadou Kourouma : le cas d’Allah n’est pas obligé. » in </w:t>
      </w:r>
      <w:r w:rsidRPr="00F03F6E">
        <w:rPr>
          <w:rFonts w:asciiTheme="majorBidi" w:hAnsiTheme="majorBidi" w:cstheme="majorBidi"/>
          <w:i/>
          <w:iCs/>
          <w:sz w:val="20"/>
          <w:szCs w:val="20"/>
        </w:rPr>
        <w:t>Ethiopiques. N°73, Littérature, philosophie et art</w:t>
      </w:r>
      <w:r w:rsidRPr="00F03F6E">
        <w:rPr>
          <w:rFonts w:asciiTheme="majorBidi" w:hAnsiTheme="majorBidi" w:cstheme="majorBidi"/>
          <w:sz w:val="20"/>
          <w:szCs w:val="20"/>
        </w:rPr>
        <w:t>, 2</w:t>
      </w:r>
      <w:r w:rsidRPr="00F03F6E">
        <w:rPr>
          <w:rFonts w:asciiTheme="majorBidi" w:hAnsiTheme="majorBidi" w:cstheme="majorBidi"/>
          <w:sz w:val="20"/>
          <w:szCs w:val="20"/>
          <w:vertAlign w:val="superscript"/>
        </w:rPr>
        <w:t>e</w:t>
      </w:r>
      <w:r w:rsidRPr="00F03F6E">
        <w:rPr>
          <w:rFonts w:asciiTheme="majorBidi" w:hAnsiTheme="majorBidi" w:cstheme="majorBidi"/>
          <w:sz w:val="20"/>
          <w:szCs w:val="20"/>
        </w:rPr>
        <w:t xml:space="preserve">semestre, [en ligne]. Disponible sur le site :&lt; </w:t>
      </w:r>
      <w:hyperlink r:id="rId22" w:history="1">
        <w:r w:rsidRPr="00F03F6E">
          <w:rPr>
            <w:rStyle w:val="Lienhypertexte"/>
            <w:rFonts w:asciiTheme="majorBidi" w:hAnsiTheme="majorBidi" w:cstheme="majorBidi"/>
            <w:color w:val="auto"/>
            <w:sz w:val="20"/>
            <w:szCs w:val="20"/>
          </w:rPr>
          <w:t>www.refer.sn/ethiopiques</w:t>
        </w:r>
      </w:hyperlink>
      <w:r w:rsidRPr="00F03F6E">
        <w:rPr>
          <w:rFonts w:asciiTheme="majorBidi" w:hAnsiTheme="majorBidi" w:cstheme="majorBidi"/>
          <w:sz w:val="20"/>
          <w:szCs w:val="20"/>
        </w:rPr>
        <w:t xml:space="preserve">&gt;, consulté le 12 mai 2015 à 22h35.  </w:t>
      </w:r>
    </w:p>
  </w:footnote>
  <w:footnote w:id="198">
    <w:p w:rsidR="006C092A" w:rsidRPr="00F03F6E" w:rsidRDefault="006C092A" w:rsidP="00F03F6E">
      <w:pPr>
        <w:pStyle w:val="Notedebasdepage"/>
        <w:jc w:val="both"/>
        <w:rPr>
          <w:rFonts w:asciiTheme="majorBidi" w:hAnsiTheme="majorBidi" w:cstheme="majorBidi"/>
        </w:rPr>
      </w:pPr>
      <w:r w:rsidRPr="00F03F6E">
        <w:rPr>
          <w:rStyle w:val="Appelnotedebasdep"/>
          <w:rFonts w:asciiTheme="majorBidi" w:hAnsiTheme="majorBidi" w:cstheme="majorBidi"/>
        </w:rPr>
        <w:footnoteRef/>
      </w:r>
      <w:r w:rsidRPr="00F03F6E">
        <w:rPr>
          <w:rFonts w:asciiTheme="majorBidi" w:hAnsiTheme="majorBidi" w:cstheme="majorBidi"/>
        </w:rPr>
        <w:t xml:space="preserve">Pour Roland Barthes, « comme signe le nom propre s’offre à une exploration, à un déchiffrement… C’est un signe volumineux, un signe toujours gros, d’une épaisseur touffue de sens, qu’aucun usage ne vient réduire, aplatir, contrairement au nom commun, qui ne livre jamais qu’un de ses sens par syntagme » « Proust et les noms » ; in </w:t>
      </w:r>
      <w:r w:rsidRPr="00F03F6E">
        <w:rPr>
          <w:rFonts w:asciiTheme="majorBidi" w:hAnsiTheme="majorBidi" w:cstheme="majorBidi"/>
          <w:i/>
        </w:rPr>
        <w:t>Nouveaux Essais critiques</w:t>
      </w:r>
      <w:r w:rsidRPr="00F03F6E">
        <w:rPr>
          <w:rFonts w:asciiTheme="majorBidi" w:hAnsiTheme="majorBidi" w:cstheme="majorBidi"/>
        </w:rPr>
        <w:t>, Seuil, Paris, 1953, p.125.</w:t>
      </w:r>
    </w:p>
  </w:footnote>
  <w:footnote w:id="199">
    <w:p w:rsidR="006C092A" w:rsidRPr="007E0CAD" w:rsidRDefault="006C092A" w:rsidP="00BA689E">
      <w:pPr>
        <w:autoSpaceDE w:val="0"/>
        <w:autoSpaceDN w:val="0"/>
        <w:adjustRightInd w:val="0"/>
        <w:spacing w:after="0" w:line="240" w:lineRule="auto"/>
        <w:jc w:val="both"/>
        <w:rPr>
          <w:rFonts w:ascii="Times New Roman" w:hAnsi="Times New Roman"/>
          <w:color w:val="000000"/>
          <w:sz w:val="20"/>
          <w:szCs w:val="20"/>
        </w:rPr>
      </w:pPr>
      <w:r w:rsidRPr="007E0CAD">
        <w:rPr>
          <w:rStyle w:val="Appelnotedebasdep"/>
          <w:rFonts w:ascii="Times New Roman" w:hAnsi="Times New Roman"/>
          <w:sz w:val="20"/>
          <w:szCs w:val="20"/>
        </w:rPr>
        <w:footnoteRef/>
      </w:r>
      <w:r w:rsidRPr="007E0CAD">
        <w:rPr>
          <w:rFonts w:ascii="Times New Roman" w:hAnsi="Times New Roman"/>
          <w:color w:val="000000"/>
          <w:sz w:val="20"/>
          <w:szCs w:val="20"/>
        </w:rPr>
        <w:t>Pause au sens todorovien du terme de suspension du temps de la narration,</w:t>
      </w:r>
      <w:r>
        <w:rPr>
          <w:rFonts w:ascii="Times New Roman" w:hAnsi="Times New Roman"/>
          <w:color w:val="000000"/>
          <w:sz w:val="20"/>
          <w:szCs w:val="20"/>
        </w:rPr>
        <w:t xml:space="preserve"> </w:t>
      </w:r>
      <w:r w:rsidRPr="007E0CAD">
        <w:rPr>
          <w:rFonts w:ascii="Times New Roman" w:hAnsi="Times New Roman"/>
          <w:color w:val="000000"/>
          <w:sz w:val="20"/>
          <w:szCs w:val="20"/>
        </w:rPr>
        <w:t>qui se réalise lorsque au temps du discours, ne correspond aucun temps fictionnel: ce sera le cas de la description, des réflexions</w:t>
      </w:r>
      <w:r>
        <w:rPr>
          <w:rFonts w:ascii="Times New Roman" w:hAnsi="Times New Roman"/>
          <w:color w:val="000000"/>
          <w:sz w:val="20"/>
          <w:szCs w:val="20"/>
        </w:rPr>
        <w:t>, cité in « </w:t>
      </w:r>
      <w:r w:rsidRPr="007E0CAD">
        <w:rPr>
          <w:rFonts w:ascii="Times New Roman" w:hAnsi="Times New Roman"/>
          <w:color w:val="000000"/>
          <w:sz w:val="20"/>
          <w:szCs w:val="20"/>
        </w:rPr>
        <w:t>Qu’est-ce que le structuralisme</w:t>
      </w:r>
      <w:r>
        <w:rPr>
          <w:rFonts w:ascii="Times New Roman" w:hAnsi="Times New Roman"/>
          <w:color w:val="000000"/>
          <w:sz w:val="20"/>
          <w:szCs w:val="20"/>
        </w:rPr>
        <w:t xml:space="preserve"> ?» in </w:t>
      </w:r>
      <w:r w:rsidRPr="00F53D07">
        <w:rPr>
          <w:rFonts w:ascii="Times New Roman" w:hAnsi="Times New Roman"/>
          <w:i/>
          <w:iCs/>
          <w:color w:val="000000"/>
          <w:sz w:val="20"/>
          <w:szCs w:val="20"/>
        </w:rPr>
        <w:t>Poétique</w:t>
      </w:r>
      <w:r w:rsidRPr="007E0CAD">
        <w:rPr>
          <w:rFonts w:ascii="Times New Roman" w:hAnsi="Times New Roman"/>
          <w:color w:val="000000"/>
          <w:sz w:val="20"/>
          <w:szCs w:val="20"/>
        </w:rPr>
        <w:t>, seuil</w:t>
      </w:r>
      <w:r>
        <w:rPr>
          <w:rFonts w:ascii="Times New Roman" w:hAnsi="Times New Roman"/>
          <w:color w:val="000000"/>
          <w:sz w:val="20"/>
          <w:szCs w:val="20"/>
        </w:rPr>
        <w:t xml:space="preserve">, </w:t>
      </w:r>
      <w:r w:rsidRPr="00C5710D">
        <w:rPr>
          <w:rFonts w:ascii="Times New Roman" w:hAnsi="Times New Roman"/>
          <w:sz w:val="20"/>
          <w:szCs w:val="20"/>
        </w:rPr>
        <w:t>Paris</w:t>
      </w:r>
      <w:r>
        <w:rPr>
          <w:rFonts w:ascii="Times New Roman" w:hAnsi="Times New Roman"/>
          <w:color w:val="000000"/>
          <w:sz w:val="20"/>
          <w:szCs w:val="20"/>
        </w:rPr>
        <w:t xml:space="preserve">, </w:t>
      </w:r>
      <w:r w:rsidRPr="007E0CAD">
        <w:rPr>
          <w:rFonts w:ascii="Times New Roman" w:hAnsi="Times New Roman"/>
          <w:color w:val="000000"/>
          <w:sz w:val="20"/>
          <w:szCs w:val="20"/>
        </w:rPr>
        <w:t>1968</w:t>
      </w:r>
      <w:r>
        <w:rPr>
          <w:rFonts w:ascii="Times New Roman" w:hAnsi="Times New Roman"/>
          <w:color w:val="000000"/>
          <w:sz w:val="20"/>
          <w:szCs w:val="20"/>
        </w:rPr>
        <w:t>.</w:t>
      </w:r>
    </w:p>
  </w:footnote>
  <w:footnote w:id="200">
    <w:p w:rsidR="006C092A" w:rsidRDefault="006C092A" w:rsidP="00BA689E">
      <w:pPr>
        <w:spacing w:after="0" w:line="240" w:lineRule="auto"/>
        <w:jc w:val="both"/>
        <w:rPr>
          <w:rFonts w:ascii="Times New Roman" w:hAnsi="Times New Roman"/>
          <w:sz w:val="20"/>
          <w:szCs w:val="20"/>
        </w:rPr>
      </w:pPr>
      <w:r w:rsidRPr="007E0CAD">
        <w:rPr>
          <w:rStyle w:val="Appelnotedebasdep"/>
          <w:rFonts w:ascii="Times New Roman" w:hAnsi="Times New Roman"/>
          <w:sz w:val="20"/>
          <w:szCs w:val="20"/>
        </w:rPr>
        <w:footnoteRef/>
      </w:r>
      <w:r w:rsidRPr="00286A1B">
        <w:rPr>
          <w:rFonts w:ascii="Times New Roman" w:hAnsi="Times New Roman"/>
          <w:sz w:val="20"/>
          <w:szCs w:val="20"/>
        </w:rPr>
        <w:t xml:space="preserve">L’indice pour Prieto est un fait immédiatement perceptible qui nous renseigne sur un autre fait qui ne l’est pas. Ainsi, les nuages peuvent être indices de pluie in Luis-J </w:t>
      </w:r>
      <w:r>
        <w:rPr>
          <w:rFonts w:ascii="Times New Roman" w:hAnsi="Times New Roman"/>
          <w:sz w:val="20"/>
          <w:szCs w:val="20"/>
        </w:rPr>
        <w:t>pierto</w:t>
      </w:r>
      <w:r w:rsidRPr="00286A1B">
        <w:rPr>
          <w:rFonts w:ascii="Times New Roman" w:hAnsi="Times New Roman"/>
          <w:sz w:val="20"/>
          <w:szCs w:val="20"/>
        </w:rPr>
        <w:t xml:space="preserve">, </w:t>
      </w:r>
      <w:r w:rsidRPr="00286A1B">
        <w:rPr>
          <w:rFonts w:ascii="Times New Roman" w:hAnsi="Times New Roman"/>
          <w:i/>
          <w:iCs/>
          <w:sz w:val="20"/>
          <w:szCs w:val="20"/>
        </w:rPr>
        <w:t>Messages et signaux</w:t>
      </w:r>
      <w:r w:rsidRPr="00286A1B">
        <w:rPr>
          <w:rFonts w:ascii="Times New Roman" w:hAnsi="Times New Roman"/>
          <w:sz w:val="20"/>
          <w:szCs w:val="20"/>
        </w:rPr>
        <w:t xml:space="preserve">, Presse universitaire de </w:t>
      </w:r>
      <w:r>
        <w:rPr>
          <w:rFonts w:ascii="Times New Roman" w:hAnsi="Times New Roman"/>
          <w:sz w:val="20"/>
          <w:szCs w:val="20"/>
        </w:rPr>
        <w:t xml:space="preserve">France, </w:t>
      </w:r>
      <w:r w:rsidRPr="00286A1B">
        <w:rPr>
          <w:rFonts w:ascii="Times New Roman" w:hAnsi="Times New Roman"/>
          <w:sz w:val="20"/>
          <w:szCs w:val="20"/>
        </w:rPr>
        <w:t xml:space="preserve">Paris, 1966, </w:t>
      </w:r>
      <w:r>
        <w:rPr>
          <w:rFonts w:ascii="Times New Roman" w:hAnsi="Times New Roman"/>
          <w:sz w:val="20"/>
          <w:szCs w:val="20"/>
        </w:rPr>
        <w:t>p.165</w:t>
      </w:r>
      <w:r w:rsidRPr="00286A1B">
        <w:rPr>
          <w:rFonts w:ascii="Times New Roman" w:hAnsi="Times New Roman"/>
          <w:sz w:val="20"/>
          <w:szCs w:val="20"/>
        </w:rPr>
        <w:t>. </w:t>
      </w:r>
    </w:p>
    <w:p w:rsidR="006C092A" w:rsidRPr="00C5710D" w:rsidRDefault="006C092A" w:rsidP="00BA689E">
      <w:pPr>
        <w:autoSpaceDE w:val="0"/>
        <w:autoSpaceDN w:val="0"/>
        <w:adjustRightInd w:val="0"/>
        <w:spacing w:after="0" w:line="240" w:lineRule="auto"/>
        <w:jc w:val="both"/>
        <w:rPr>
          <w:sz w:val="2"/>
          <w:szCs w:val="2"/>
        </w:rPr>
      </w:pPr>
    </w:p>
  </w:footnote>
  <w:footnote w:id="201">
    <w:p w:rsidR="006C092A" w:rsidRPr="0053380A" w:rsidRDefault="006C092A" w:rsidP="0021304C">
      <w:pPr>
        <w:autoSpaceDE w:val="0"/>
        <w:autoSpaceDN w:val="0"/>
        <w:adjustRightInd w:val="0"/>
        <w:spacing w:after="0" w:line="240" w:lineRule="auto"/>
        <w:jc w:val="both"/>
        <w:rPr>
          <w:rFonts w:ascii="Times New Roman" w:hAnsi="Times New Roman"/>
          <w:color w:val="000000"/>
          <w:sz w:val="20"/>
          <w:szCs w:val="20"/>
        </w:rPr>
      </w:pPr>
      <w:r w:rsidRPr="0053380A">
        <w:rPr>
          <w:rStyle w:val="Appelnotedebasdep"/>
          <w:rFonts w:ascii="Times New Roman" w:hAnsi="Times New Roman"/>
          <w:sz w:val="20"/>
          <w:szCs w:val="20"/>
        </w:rPr>
        <w:footnoteRef/>
      </w:r>
      <w:r w:rsidRPr="006F55CE">
        <w:rPr>
          <w:rFonts w:ascii="Times New Roman" w:hAnsi="Times New Roman"/>
          <w:sz w:val="20"/>
          <w:szCs w:val="20"/>
        </w:rPr>
        <w:t>Zvetan T</w:t>
      </w:r>
      <w:r>
        <w:rPr>
          <w:rFonts w:ascii="Times New Roman" w:hAnsi="Times New Roman"/>
          <w:sz w:val="20"/>
          <w:szCs w:val="20"/>
        </w:rPr>
        <w:t>odorov</w:t>
      </w:r>
      <w:r w:rsidRPr="006F55CE">
        <w:rPr>
          <w:rFonts w:ascii="Times New Roman" w:hAnsi="Times New Roman"/>
          <w:sz w:val="20"/>
          <w:szCs w:val="20"/>
        </w:rPr>
        <w:t xml:space="preserve">, « Qu’est-ce que le structuralisme ? » </w:t>
      </w:r>
      <w:r w:rsidRPr="006F55CE">
        <w:rPr>
          <w:rFonts w:ascii="Times New Roman" w:hAnsi="Times New Roman"/>
          <w:i/>
          <w:iCs/>
          <w:sz w:val="20"/>
          <w:szCs w:val="20"/>
        </w:rPr>
        <w:t>op.cit.</w:t>
      </w:r>
    </w:p>
  </w:footnote>
  <w:footnote w:id="202">
    <w:p w:rsidR="006C092A" w:rsidRPr="0053380A" w:rsidRDefault="006C092A" w:rsidP="0021304C">
      <w:pPr>
        <w:pStyle w:val="Notedebasdepage"/>
        <w:jc w:val="both"/>
        <w:rPr>
          <w:rFonts w:ascii="Times New Roman" w:hAnsi="Times New Roman"/>
        </w:rPr>
      </w:pPr>
      <w:r w:rsidRPr="0053380A">
        <w:rPr>
          <w:rStyle w:val="Appelnotedebasdep"/>
          <w:rFonts w:ascii="Times New Roman" w:hAnsi="Times New Roman"/>
        </w:rPr>
        <w:footnoteRef/>
      </w:r>
      <w:r w:rsidRPr="0053380A">
        <w:rPr>
          <w:rFonts w:ascii="Times New Roman" w:hAnsi="Times New Roman"/>
          <w:color w:val="000000"/>
        </w:rPr>
        <w:t>Termes empruntés à Jaap Liwelt in Essai de typologie narrative, Corti</w:t>
      </w:r>
      <w:r>
        <w:rPr>
          <w:rFonts w:ascii="Times New Roman" w:hAnsi="Times New Roman"/>
          <w:color w:val="000000"/>
        </w:rPr>
        <w:t xml:space="preserve">, </w:t>
      </w:r>
      <w:r w:rsidRPr="0053380A">
        <w:rPr>
          <w:rFonts w:ascii="Times New Roman" w:hAnsi="Times New Roman"/>
          <w:color w:val="000000"/>
        </w:rPr>
        <w:t>Paris,</w:t>
      </w:r>
      <w:r>
        <w:rPr>
          <w:rFonts w:ascii="Times New Roman" w:hAnsi="Times New Roman"/>
          <w:color w:val="000000"/>
        </w:rPr>
        <w:t xml:space="preserve"> </w:t>
      </w:r>
      <w:r w:rsidRPr="0053380A">
        <w:rPr>
          <w:rFonts w:ascii="Times New Roman" w:hAnsi="Times New Roman"/>
          <w:color w:val="000000"/>
        </w:rPr>
        <w:t xml:space="preserve">1981, </w:t>
      </w:r>
      <w:r>
        <w:rPr>
          <w:rFonts w:ascii="Times New Roman" w:hAnsi="Times New Roman"/>
          <w:color w:val="000000"/>
        </w:rPr>
        <w:t>p.</w:t>
      </w:r>
      <w:r w:rsidRPr="0053380A">
        <w:rPr>
          <w:rFonts w:ascii="Times New Roman" w:hAnsi="Times New Roman"/>
          <w:color w:val="000000"/>
        </w:rPr>
        <w:t>116. Selon Liwelt</w:t>
      </w:r>
      <w:r>
        <w:rPr>
          <w:rFonts w:ascii="Times New Roman" w:hAnsi="Times New Roman"/>
          <w:color w:val="000000"/>
        </w:rPr>
        <w:t xml:space="preserve">, </w:t>
      </w:r>
      <w:r w:rsidRPr="0053380A">
        <w:rPr>
          <w:rFonts w:ascii="Times New Roman" w:hAnsi="Times New Roman"/>
          <w:color w:val="000000"/>
        </w:rPr>
        <w:t>la notion de panorama ne se limite pas à ce que nous avons nommé le sommaire, mais implique en outre la faculté d’omniscience et d’omniprésence du narrateur.</w:t>
      </w:r>
    </w:p>
  </w:footnote>
  <w:footnote w:id="203">
    <w:p w:rsidR="006C092A" w:rsidRPr="0007636A" w:rsidRDefault="006C092A" w:rsidP="00DB06E0">
      <w:pPr>
        <w:autoSpaceDE w:val="0"/>
        <w:autoSpaceDN w:val="0"/>
        <w:adjustRightInd w:val="0"/>
        <w:spacing w:after="0" w:line="240" w:lineRule="auto"/>
        <w:jc w:val="both"/>
        <w:rPr>
          <w:rFonts w:ascii="Times New Roman" w:hAnsi="Times New Roman"/>
          <w:sz w:val="20"/>
          <w:szCs w:val="20"/>
        </w:rPr>
      </w:pPr>
      <w:r w:rsidRPr="00651F3F">
        <w:rPr>
          <w:rStyle w:val="Appelnotedebasdep"/>
          <w:rFonts w:ascii="Times New Roman" w:hAnsi="Times New Roman"/>
          <w:sz w:val="20"/>
          <w:szCs w:val="20"/>
        </w:rPr>
        <w:footnoteRef/>
      </w:r>
      <w:r w:rsidRPr="00651F3F">
        <w:rPr>
          <w:rFonts w:ascii="Times New Roman" w:hAnsi="Times New Roman"/>
          <w:color w:val="000000"/>
          <w:sz w:val="20"/>
          <w:szCs w:val="20"/>
        </w:rPr>
        <w:t xml:space="preserve">Claude </w:t>
      </w:r>
      <w:r w:rsidRPr="0007636A">
        <w:rPr>
          <w:rFonts w:ascii="Times New Roman" w:hAnsi="Times New Roman"/>
          <w:sz w:val="20"/>
          <w:szCs w:val="20"/>
        </w:rPr>
        <w:t>B</w:t>
      </w:r>
      <w:r>
        <w:rPr>
          <w:rFonts w:ascii="Times New Roman" w:hAnsi="Times New Roman"/>
          <w:sz w:val="20"/>
          <w:szCs w:val="20"/>
        </w:rPr>
        <w:t xml:space="preserve">rémond y </w:t>
      </w:r>
      <w:r w:rsidRPr="0007636A">
        <w:rPr>
          <w:rFonts w:ascii="Times New Roman" w:hAnsi="Times New Roman"/>
          <w:sz w:val="20"/>
          <w:szCs w:val="20"/>
        </w:rPr>
        <w:t>distingue:</w:t>
      </w:r>
    </w:p>
    <w:p w:rsidR="006C092A" w:rsidRPr="00651F3F" w:rsidRDefault="006C092A" w:rsidP="00DB06E0">
      <w:pPr>
        <w:autoSpaceDE w:val="0"/>
        <w:autoSpaceDN w:val="0"/>
        <w:adjustRightInd w:val="0"/>
        <w:spacing w:after="0" w:line="240" w:lineRule="auto"/>
        <w:jc w:val="both"/>
        <w:rPr>
          <w:rFonts w:ascii="Times New Roman" w:hAnsi="Times New Roman"/>
          <w:color w:val="000000"/>
          <w:sz w:val="20"/>
          <w:szCs w:val="20"/>
        </w:rPr>
      </w:pPr>
      <w:r w:rsidRPr="0007636A">
        <w:rPr>
          <w:rFonts w:ascii="Times New Roman" w:hAnsi="Times New Roman"/>
          <w:sz w:val="20"/>
          <w:szCs w:val="20"/>
        </w:rPr>
        <w:t>- l’enchaînem</w:t>
      </w:r>
      <w:r w:rsidRPr="00651F3F">
        <w:rPr>
          <w:rFonts w:ascii="Times New Roman" w:hAnsi="Times New Roman"/>
          <w:color w:val="000000"/>
          <w:sz w:val="20"/>
          <w:szCs w:val="20"/>
        </w:rPr>
        <w:t>ent ‘’bout à bout’’: un même évènement remplit simultanément dans la perspective d’un même rôle deux fonctions distinctes.</w:t>
      </w:r>
    </w:p>
    <w:p w:rsidR="006C092A" w:rsidRPr="00651F3F" w:rsidRDefault="006C092A" w:rsidP="00DB06E0">
      <w:pPr>
        <w:autoSpaceDE w:val="0"/>
        <w:autoSpaceDN w:val="0"/>
        <w:adjustRightInd w:val="0"/>
        <w:spacing w:after="0" w:line="240" w:lineRule="auto"/>
        <w:jc w:val="both"/>
        <w:rPr>
          <w:rFonts w:ascii="Times New Roman" w:hAnsi="Times New Roman"/>
          <w:color w:val="000000"/>
          <w:sz w:val="20"/>
          <w:szCs w:val="20"/>
        </w:rPr>
      </w:pPr>
      <w:r w:rsidRPr="00651F3F">
        <w:rPr>
          <w:rFonts w:ascii="Times New Roman" w:hAnsi="Times New Roman"/>
          <w:color w:val="000000"/>
          <w:sz w:val="20"/>
          <w:szCs w:val="20"/>
        </w:rPr>
        <w:t>- l’accolement: le même évènement qui remplit une fonction a dans la perspective d’un agent A, remplit une fonction b si l’on passe dans la perspective B</w:t>
      </w:r>
    </w:p>
    <w:p w:rsidR="006C092A" w:rsidRPr="0053380A" w:rsidRDefault="006C092A" w:rsidP="00DB06E0">
      <w:pPr>
        <w:autoSpaceDE w:val="0"/>
        <w:autoSpaceDN w:val="0"/>
        <w:adjustRightInd w:val="0"/>
        <w:spacing w:after="0" w:line="240" w:lineRule="auto"/>
        <w:jc w:val="both"/>
        <w:rPr>
          <w:rFonts w:ascii="Times New Roman" w:hAnsi="Times New Roman"/>
          <w:color w:val="000000"/>
          <w:sz w:val="20"/>
          <w:szCs w:val="20"/>
        </w:rPr>
      </w:pPr>
      <w:r w:rsidRPr="00651F3F">
        <w:rPr>
          <w:rFonts w:ascii="Times New Roman" w:hAnsi="Times New Roman"/>
          <w:color w:val="000000"/>
          <w:sz w:val="20"/>
          <w:szCs w:val="20"/>
        </w:rPr>
        <w:t xml:space="preserve">- de l’enclave </w:t>
      </w:r>
    </w:p>
  </w:footnote>
  <w:footnote w:id="204">
    <w:p w:rsidR="006C092A" w:rsidRDefault="006C092A" w:rsidP="00DB06E0">
      <w:pPr>
        <w:autoSpaceDE w:val="0"/>
        <w:autoSpaceDN w:val="0"/>
        <w:adjustRightInd w:val="0"/>
        <w:spacing w:after="0" w:line="240" w:lineRule="auto"/>
        <w:jc w:val="both"/>
      </w:pPr>
      <w:r w:rsidRPr="0053380A">
        <w:rPr>
          <w:rStyle w:val="Appelnotedebasdep"/>
          <w:rFonts w:ascii="Times New Roman" w:hAnsi="Times New Roman"/>
          <w:sz w:val="20"/>
          <w:szCs w:val="20"/>
        </w:rPr>
        <w:footnoteRef/>
      </w:r>
      <w:r w:rsidRPr="0007636A">
        <w:rPr>
          <w:rFonts w:ascii="Times New Roman" w:hAnsi="Times New Roman"/>
          <w:sz w:val="20"/>
          <w:szCs w:val="20"/>
        </w:rPr>
        <w:t xml:space="preserve">Cité in </w:t>
      </w:r>
      <w:r w:rsidRPr="0007636A">
        <w:rPr>
          <w:rFonts w:ascii="Times New Roman" w:hAnsi="Times New Roman"/>
          <w:i/>
          <w:iCs/>
          <w:sz w:val="20"/>
          <w:szCs w:val="20"/>
        </w:rPr>
        <w:t>Communications 8</w:t>
      </w:r>
      <w:r w:rsidRPr="0007636A">
        <w:rPr>
          <w:rFonts w:ascii="Times New Roman" w:hAnsi="Times New Roman"/>
          <w:sz w:val="20"/>
          <w:szCs w:val="20"/>
        </w:rPr>
        <w:t xml:space="preserve">, </w:t>
      </w:r>
      <w:r w:rsidRPr="0007636A">
        <w:rPr>
          <w:rFonts w:ascii="Times New Roman" w:hAnsi="Times New Roman"/>
          <w:i/>
          <w:iCs/>
          <w:sz w:val="20"/>
          <w:szCs w:val="20"/>
        </w:rPr>
        <w:t xml:space="preserve">op.cit., </w:t>
      </w:r>
      <w:r w:rsidRPr="0007636A">
        <w:rPr>
          <w:rFonts w:ascii="Times New Roman" w:hAnsi="Times New Roman"/>
          <w:sz w:val="20"/>
          <w:szCs w:val="20"/>
        </w:rPr>
        <w:t>p. 67- 82.</w:t>
      </w:r>
    </w:p>
  </w:footnote>
  <w:footnote w:id="205">
    <w:p w:rsidR="006C092A" w:rsidRPr="008564B7" w:rsidRDefault="006C092A" w:rsidP="008564B7">
      <w:pPr>
        <w:pStyle w:val="Notedebasdepage"/>
        <w:jc w:val="both"/>
        <w:rPr>
          <w:rFonts w:asciiTheme="majorBidi" w:hAnsiTheme="majorBidi" w:cstheme="majorBidi"/>
        </w:rPr>
      </w:pPr>
      <w:r w:rsidRPr="008564B7">
        <w:rPr>
          <w:rStyle w:val="Appelnotedebasdep"/>
          <w:rFonts w:asciiTheme="majorBidi" w:hAnsiTheme="majorBidi" w:cstheme="majorBidi"/>
        </w:rPr>
        <w:footnoteRef/>
      </w:r>
      <w:r w:rsidRPr="008564B7">
        <w:rPr>
          <w:rFonts w:asciiTheme="majorBidi" w:hAnsiTheme="majorBidi" w:cstheme="majorBidi"/>
        </w:rPr>
        <w:t xml:space="preserve">Myreille Pawliez, « Narratologie et étude du personnage : un cas de figure. Caractérisation dans Dis-moi que je vis de Michèle Mailho » in </w:t>
      </w:r>
      <w:r w:rsidRPr="008564B7">
        <w:rPr>
          <w:rFonts w:asciiTheme="majorBidi" w:hAnsiTheme="majorBidi" w:cstheme="majorBidi"/>
          <w:i/>
        </w:rPr>
        <w:t>Revue internationale d’études canadiennes</w:t>
      </w:r>
      <w:r w:rsidRPr="008564B7">
        <w:rPr>
          <w:rFonts w:asciiTheme="majorBidi" w:hAnsiTheme="majorBidi" w:cstheme="majorBidi"/>
        </w:rPr>
        <w:t>, N</w:t>
      </w:r>
      <w:r w:rsidRPr="008564B7">
        <w:rPr>
          <w:rFonts w:asciiTheme="majorBidi" w:hAnsiTheme="majorBidi" w:cstheme="majorBidi"/>
          <w:vertAlign w:val="superscript"/>
        </w:rPr>
        <w:t>o</w:t>
      </w:r>
      <w:r w:rsidRPr="008564B7">
        <w:rPr>
          <w:rFonts w:asciiTheme="majorBidi" w:hAnsiTheme="majorBidi" w:cstheme="majorBidi"/>
        </w:rPr>
        <w:t xml:space="preserve"> 43, 2011, p.189-204. </w:t>
      </w:r>
    </w:p>
  </w:footnote>
  <w:footnote w:id="206">
    <w:p w:rsidR="006C092A" w:rsidRDefault="006C092A" w:rsidP="00A054D8">
      <w:pPr>
        <w:autoSpaceDE w:val="0"/>
        <w:autoSpaceDN w:val="0"/>
        <w:adjustRightInd w:val="0"/>
        <w:spacing w:after="0" w:line="240" w:lineRule="auto"/>
        <w:jc w:val="both"/>
      </w:pPr>
      <w:r w:rsidRPr="00C41AA6">
        <w:rPr>
          <w:rStyle w:val="Appelnotedebasdep"/>
          <w:rFonts w:ascii="Times New Roman" w:hAnsi="Times New Roman"/>
          <w:sz w:val="20"/>
          <w:szCs w:val="20"/>
        </w:rPr>
        <w:footnoteRef/>
      </w:r>
      <w:r w:rsidRPr="00C41AA6">
        <w:rPr>
          <w:rFonts w:ascii="Times New Roman" w:hAnsi="Times New Roman"/>
          <w:color w:val="000000"/>
          <w:sz w:val="20"/>
          <w:szCs w:val="20"/>
        </w:rPr>
        <w:t xml:space="preserve">Philippe </w:t>
      </w:r>
      <w:r w:rsidRPr="0007636A">
        <w:rPr>
          <w:rFonts w:ascii="Times New Roman" w:hAnsi="Times New Roman"/>
          <w:sz w:val="20"/>
          <w:szCs w:val="20"/>
        </w:rPr>
        <w:t>H</w:t>
      </w:r>
      <w:r>
        <w:rPr>
          <w:rFonts w:ascii="Times New Roman" w:hAnsi="Times New Roman"/>
          <w:sz w:val="20"/>
          <w:szCs w:val="20"/>
        </w:rPr>
        <w:t>amon</w:t>
      </w:r>
      <w:r w:rsidRPr="0007636A">
        <w:rPr>
          <w:rFonts w:ascii="Times New Roman" w:hAnsi="Times New Roman"/>
          <w:sz w:val="20"/>
          <w:szCs w:val="20"/>
        </w:rPr>
        <w:t xml:space="preserve">, « Pour un statut sémiologique du personnage » in </w:t>
      </w:r>
      <w:r w:rsidRPr="0007636A">
        <w:rPr>
          <w:rFonts w:ascii="Times New Roman" w:hAnsi="Times New Roman"/>
          <w:i/>
          <w:iCs/>
          <w:sz w:val="20"/>
          <w:szCs w:val="20"/>
        </w:rPr>
        <w:t>Poétique du récit</w:t>
      </w:r>
      <w:r w:rsidRPr="0007636A">
        <w:rPr>
          <w:rFonts w:ascii="Times New Roman" w:hAnsi="Times New Roman"/>
          <w:sz w:val="20"/>
          <w:szCs w:val="20"/>
        </w:rPr>
        <w:t>, Seuil</w:t>
      </w:r>
      <w:r>
        <w:rPr>
          <w:rFonts w:ascii="Times New Roman" w:hAnsi="Times New Roman"/>
          <w:sz w:val="20"/>
          <w:szCs w:val="20"/>
        </w:rPr>
        <w:t xml:space="preserve">, </w:t>
      </w:r>
      <w:r w:rsidRPr="0007636A">
        <w:rPr>
          <w:rFonts w:ascii="Times New Roman" w:hAnsi="Times New Roman"/>
          <w:sz w:val="20"/>
          <w:szCs w:val="20"/>
        </w:rPr>
        <w:t>Paris, 1977, p.115 – 167.</w:t>
      </w:r>
    </w:p>
  </w:footnote>
  <w:footnote w:id="207">
    <w:p w:rsidR="0063586E" w:rsidRPr="006E00E0" w:rsidRDefault="0063586E" w:rsidP="0063586E">
      <w:pPr>
        <w:autoSpaceDE w:val="0"/>
        <w:autoSpaceDN w:val="0"/>
        <w:adjustRightInd w:val="0"/>
        <w:spacing w:after="0" w:line="240" w:lineRule="auto"/>
        <w:jc w:val="both"/>
        <w:rPr>
          <w:rFonts w:asciiTheme="majorBidi" w:hAnsiTheme="majorBidi" w:cstheme="majorBidi"/>
          <w:sz w:val="20"/>
          <w:szCs w:val="20"/>
        </w:rPr>
      </w:pPr>
      <w:r w:rsidRPr="006E00E0">
        <w:rPr>
          <w:rStyle w:val="Appelnotedebasdep"/>
          <w:rFonts w:asciiTheme="majorBidi" w:hAnsiTheme="majorBidi" w:cstheme="majorBidi"/>
          <w:sz w:val="20"/>
          <w:szCs w:val="20"/>
        </w:rPr>
        <w:footnoteRef/>
      </w:r>
      <w:r w:rsidRPr="006E00E0">
        <w:rPr>
          <w:rFonts w:asciiTheme="majorBidi" w:hAnsiTheme="majorBidi" w:cstheme="majorBidi"/>
          <w:color w:val="000000"/>
          <w:sz w:val="20"/>
          <w:szCs w:val="20"/>
        </w:rPr>
        <w:t xml:space="preserve">Roland Barthes, « L’analyse structurale des récits »,  in </w:t>
      </w:r>
      <w:r w:rsidRPr="006E00E0">
        <w:rPr>
          <w:rFonts w:asciiTheme="majorBidi" w:hAnsiTheme="majorBidi" w:cstheme="majorBidi"/>
          <w:i/>
          <w:iCs/>
          <w:color w:val="000000"/>
          <w:sz w:val="20"/>
          <w:szCs w:val="20"/>
        </w:rPr>
        <w:t>Communications 8</w:t>
      </w:r>
      <w:r w:rsidRPr="006E00E0">
        <w:rPr>
          <w:rFonts w:asciiTheme="majorBidi" w:hAnsiTheme="majorBidi" w:cstheme="majorBidi"/>
          <w:color w:val="000000"/>
          <w:sz w:val="20"/>
          <w:szCs w:val="20"/>
        </w:rPr>
        <w:t xml:space="preserve">, </w:t>
      </w:r>
      <w:r w:rsidRPr="006E00E0">
        <w:rPr>
          <w:rFonts w:asciiTheme="majorBidi" w:hAnsiTheme="majorBidi" w:cstheme="majorBidi"/>
          <w:i/>
          <w:iCs/>
          <w:color w:val="000000"/>
          <w:sz w:val="20"/>
          <w:szCs w:val="20"/>
        </w:rPr>
        <w:t xml:space="preserve">op.cit., </w:t>
      </w:r>
      <w:r w:rsidRPr="006E00E0">
        <w:rPr>
          <w:rFonts w:asciiTheme="majorBidi" w:hAnsiTheme="majorBidi" w:cstheme="majorBidi"/>
          <w:color w:val="000000"/>
          <w:sz w:val="20"/>
          <w:szCs w:val="20"/>
        </w:rPr>
        <w:t>p.7- 33.</w:t>
      </w:r>
    </w:p>
  </w:footnote>
  <w:footnote w:id="208">
    <w:p w:rsidR="006C092A" w:rsidRPr="006E00E0" w:rsidRDefault="006C092A" w:rsidP="006E00E0">
      <w:pPr>
        <w:spacing w:after="0" w:line="240" w:lineRule="auto"/>
        <w:jc w:val="both"/>
        <w:rPr>
          <w:rFonts w:asciiTheme="majorBidi" w:hAnsiTheme="majorBidi" w:cstheme="majorBidi"/>
          <w:sz w:val="20"/>
          <w:szCs w:val="20"/>
        </w:rPr>
      </w:pPr>
      <w:r w:rsidRPr="006E00E0">
        <w:rPr>
          <w:rStyle w:val="Appelnotedebasdep"/>
          <w:rFonts w:asciiTheme="majorBidi" w:hAnsiTheme="majorBidi" w:cstheme="majorBidi"/>
          <w:sz w:val="20"/>
          <w:szCs w:val="20"/>
        </w:rPr>
        <w:footnoteRef/>
      </w:r>
      <w:r w:rsidRPr="006E00E0">
        <w:rPr>
          <w:rFonts w:asciiTheme="majorBidi" w:hAnsiTheme="majorBidi" w:cstheme="majorBidi"/>
          <w:sz w:val="20"/>
          <w:szCs w:val="20"/>
        </w:rPr>
        <w:t xml:space="preserve">Anne Ubersfeld, </w:t>
      </w:r>
      <w:r w:rsidRPr="006E00E0">
        <w:rPr>
          <w:rFonts w:asciiTheme="majorBidi" w:hAnsiTheme="majorBidi" w:cstheme="majorBidi"/>
          <w:bCs/>
          <w:i/>
          <w:iCs/>
          <w:sz w:val="20"/>
          <w:szCs w:val="20"/>
        </w:rPr>
        <w:t>op.cit.</w:t>
      </w:r>
      <w:r w:rsidRPr="006E00E0">
        <w:rPr>
          <w:rFonts w:asciiTheme="majorBidi" w:hAnsiTheme="majorBidi" w:cstheme="majorBidi"/>
          <w:bCs/>
          <w:i/>
          <w:iCs/>
          <w:color w:val="00B0F0"/>
          <w:sz w:val="20"/>
          <w:szCs w:val="20"/>
        </w:rPr>
        <w:t xml:space="preserve"> </w:t>
      </w:r>
      <w:r w:rsidRPr="006E00E0">
        <w:rPr>
          <w:rFonts w:asciiTheme="majorBidi" w:hAnsiTheme="majorBidi" w:cstheme="majorBidi"/>
          <w:bCs/>
          <w:i/>
          <w:iCs/>
          <w:sz w:val="20"/>
          <w:szCs w:val="20"/>
        </w:rPr>
        <w:t xml:space="preserve"> </w:t>
      </w:r>
    </w:p>
  </w:footnote>
  <w:footnote w:id="209">
    <w:p w:rsidR="006C092A" w:rsidRPr="00945452" w:rsidRDefault="006C092A" w:rsidP="00AF3F3D">
      <w:pPr>
        <w:spacing w:after="0" w:line="240" w:lineRule="auto"/>
        <w:jc w:val="both"/>
        <w:rPr>
          <w:rFonts w:asciiTheme="majorBidi" w:hAnsiTheme="majorBidi" w:cstheme="majorBidi"/>
          <w:sz w:val="20"/>
          <w:szCs w:val="20"/>
        </w:rPr>
      </w:pPr>
      <w:r w:rsidRPr="00945452">
        <w:rPr>
          <w:rStyle w:val="Appelnotedebasdep"/>
          <w:rFonts w:asciiTheme="majorBidi" w:hAnsiTheme="majorBidi" w:cstheme="majorBidi"/>
          <w:sz w:val="20"/>
          <w:szCs w:val="20"/>
        </w:rPr>
        <w:footnoteRef/>
      </w:r>
      <w:r w:rsidRPr="00945452">
        <w:rPr>
          <w:rFonts w:asciiTheme="majorBidi" w:hAnsiTheme="majorBidi" w:cstheme="majorBidi"/>
          <w:sz w:val="20"/>
          <w:szCs w:val="20"/>
        </w:rPr>
        <w:t xml:space="preserve">Algirda-Julien Greimas, </w:t>
      </w:r>
      <w:r w:rsidRPr="00AF3F3D">
        <w:rPr>
          <w:rFonts w:asciiTheme="majorBidi" w:hAnsiTheme="majorBidi" w:cstheme="majorBidi"/>
          <w:sz w:val="20"/>
          <w:szCs w:val="20"/>
        </w:rPr>
        <w:t>«</w:t>
      </w:r>
      <w:r w:rsidRPr="00945452">
        <w:rPr>
          <w:rStyle w:val="Accentuation"/>
          <w:rFonts w:asciiTheme="majorBidi" w:hAnsiTheme="majorBidi" w:cstheme="majorBidi"/>
          <w:i w:val="0"/>
          <w:iCs w:val="0"/>
          <w:color w:val="000000"/>
          <w:sz w:val="20"/>
          <w:szCs w:val="20"/>
          <w:shd w:val="clear" w:color="auto" w:fill="FFFFFF"/>
        </w:rPr>
        <w:t>Sémantique structurale »</w:t>
      </w:r>
      <w:r w:rsidRPr="00945452">
        <w:rPr>
          <w:rStyle w:val="Accentuation"/>
          <w:rFonts w:asciiTheme="majorBidi" w:hAnsiTheme="majorBidi" w:cstheme="majorBidi"/>
          <w:color w:val="000000"/>
          <w:sz w:val="20"/>
          <w:szCs w:val="20"/>
          <w:shd w:val="clear" w:color="auto" w:fill="FFFFFF"/>
        </w:rPr>
        <w:t xml:space="preserve"> in L’Homme</w:t>
      </w:r>
      <w:r w:rsidRPr="00945452">
        <w:rPr>
          <w:rStyle w:val="Accentuation"/>
          <w:rFonts w:asciiTheme="majorBidi" w:hAnsiTheme="majorBidi" w:cstheme="majorBidi"/>
          <w:i w:val="0"/>
          <w:iCs w:val="0"/>
          <w:sz w:val="20"/>
          <w:szCs w:val="20"/>
          <w:shd w:val="clear" w:color="auto" w:fill="FFFFFF"/>
        </w:rPr>
        <w:t xml:space="preserve"> </w:t>
      </w:r>
      <w:r w:rsidRPr="00945452">
        <w:rPr>
          <w:rFonts w:asciiTheme="majorBidi" w:hAnsiTheme="majorBidi" w:cstheme="majorBidi"/>
          <w:sz w:val="20"/>
          <w:szCs w:val="20"/>
          <w:shd w:val="clear" w:color="auto" w:fill="FFFFFF"/>
        </w:rPr>
        <w:t>Vol 6,</w:t>
      </w:r>
      <w:r w:rsidRPr="00945452">
        <w:rPr>
          <w:rFonts w:asciiTheme="majorBidi" w:hAnsiTheme="majorBidi" w:cstheme="majorBidi"/>
          <w:i/>
          <w:iCs/>
          <w:sz w:val="20"/>
          <w:szCs w:val="20"/>
          <w:shd w:val="clear" w:color="auto" w:fill="FFFFFF"/>
        </w:rPr>
        <w:t xml:space="preserve"> </w:t>
      </w:r>
      <w:r w:rsidRPr="00945452">
        <w:rPr>
          <w:rStyle w:val="Accentuation"/>
          <w:rFonts w:asciiTheme="majorBidi" w:hAnsiTheme="majorBidi" w:cstheme="majorBidi"/>
          <w:i w:val="0"/>
          <w:iCs w:val="0"/>
          <w:sz w:val="20"/>
          <w:szCs w:val="20"/>
          <w:shd w:val="clear" w:color="auto" w:fill="FFFFFF"/>
        </w:rPr>
        <w:t>n</w:t>
      </w:r>
      <w:r w:rsidRPr="00945452">
        <w:rPr>
          <w:rStyle w:val="Accentuation"/>
          <w:rFonts w:asciiTheme="majorBidi" w:hAnsiTheme="majorBidi" w:cstheme="majorBidi"/>
          <w:i w:val="0"/>
          <w:iCs w:val="0"/>
          <w:sz w:val="20"/>
          <w:szCs w:val="20"/>
          <w:shd w:val="clear" w:color="auto" w:fill="FFFFFF"/>
          <w:vertAlign w:val="superscript"/>
        </w:rPr>
        <w:t>0</w:t>
      </w:r>
      <w:r w:rsidRPr="00945452">
        <w:rPr>
          <w:rStyle w:val="Accentuation"/>
          <w:rFonts w:asciiTheme="majorBidi" w:hAnsiTheme="majorBidi" w:cstheme="majorBidi"/>
          <w:i w:val="0"/>
          <w:iCs w:val="0"/>
          <w:sz w:val="20"/>
          <w:szCs w:val="20"/>
          <w:shd w:val="clear" w:color="auto" w:fill="FFFFFF"/>
        </w:rPr>
        <w:t>4</w:t>
      </w:r>
      <w:r w:rsidRPr="00945452">
        <w:rPr>
          <w:rFonts w:asciiTheme="majorBidi" w:hAnsiTheme="majorBidi" w:cstheme="majorBidi"/>
          <w:color w:val="000000"/>
          <w:sz w:val="20"/>
          <w:szCs w:val="20"/>
          <w:shd w:val="clear" w:color="auto" w:fill="FFFFFF"/>
        </w:rPr>
        <w:t>, P.U.F, Paris, 1966, p. 121-123.</w:t>
      </w:r>
    </w:p>
  </w:footnote>
  <w:footnote w:id="210">
    <w:p w:rsidR="006C092A" w:rsidRPr="007B594F" w:rsidRDefault="006C092A" w:rsidP="007B594F">
      <w:pPr>
        <w:pStyle w:val="Notedebasdepage"/>
        <w:jc w:val="both"/>
        <w:rPr>
          <w:rFonts w:asciiTheme="majorBidi" w:hAnsiTheme="majorBidi" w:cstheme="majorBidi"/>
        </w:rPr>
      </w:pPr>
      <w:r w:rsidRPr="007B594F">
        <w:rPr>
          <w:rStyle w:val="Appelnotedebasdep"/>
          <w:rFonts w:asciiTheme="majorBidi" w:hAnsiTheme="majorBidi" w:cstheme="majorBidi"/>
        </w:rPr>
        <w:footnoteRef/>
      </w:r>
      <w:r w:rsidRPr="007B594F">
        <w:rPr>
          <w:rFonts w:asciiTheme="majorBidi" w:hAnsiTheme="majorBidi" w:cstheme="majorBidi"/>
        </w:rPr>
        <w:t xml:space="preserve">Louis Hébert, (2006), « Le modèle actantiel », in </w:t>
      </w:r>
      <w:r w:rsidRPr="007B594F">
        <w:rPr>
          <w:rStyle w:val="Accentuation"/>
          <w:rFonts w:asciiTheme="majorBidi" w:hAnsiTheme="majorBidi" w:cstheme="majorBidi"/>
        </w:rPr>
        <w:t>Signo</w:t>
      </w:r>
      <w:r w:rsidRPr="007B594F">
        <w:rPr>
          <w:rFonts w:asciiTheme="majorBidi" w:hAnsiTheme="majorBidi" w:cstheme="majorBidi"/>
        </w:rPr>
        <w:t xml:space="preserve"> [en ligne], Rimouski (Québec). Disponible sur le site :&lt; </w:t>
      </w:r>
      <w:hyperlink r:id="rId23" w:tooltip="Signo" w:history="1">
        <w:r w:rsidRPr="007B594F">
          <w:rPr>
            <w:rStyle w:val="Lienhypertexte"/>
            <w:rFonts w:asciiTheme="majorBidi" w:hAnsiTheme="majorBidi" w:cstheme="majorBidi"/>
            <w:color w:val="auto"/>
          </w:rPr>
          <w:t>http://www.signosemio.com/greimas/modele-actantiel.asp</w:t>
        </w:r>
      </w:hyperlink>
      <w:r w:rsidRPr="007B594F">
        <w:rPr>
          <w:rFonts w:asciiTheme="majorBidi" w:hAnsiTheme="majorBidi" w:cstheme="majorBidi"/>
        </w:rPr>
        <w:t>&gt;, consulté le</w:t>
      </w:r>
      <w:r w:rsidRPr="007B594F">
        <w:rPr>
          <w:rFonts w:asciiTheme="majorBidi" w:hAnsiTheme="majorBidi" w:cstheme="majorBidi"/>
          <w:color w:val="FF0000"/>
        </w:rPr>
        <w:t> </w:t>
      </w:r>
      <w:r w:rsidRPr="007B594F">
        <w:rPr>
          <w:rFonts w:asciiTheme="majorBidi" w:hAnsiTheme="majorBidi" w:cstheme="majorBidi"/>
        </w:rPr>
        <w:t>12 Mai 2014 à 13h45.</w:t>
      </w:r>
    </w:p>
  </w:footnote>
  <w:footnote w:id="211">
    <w:p w:rsidR="006C092A" w:rsidRPr="004365C1" w:rsidRDefault="006C092A" w:rsidP="004365C1">
      <w:pPr>
        <w:pStyle w:val="Notedebasdepage"/>
        <w:jc w:val="both"/>
        <w:rPr>
          <w:rFonts w:asciiTheme="majorBidi" w:hAnsiTheme="majorBidi" w:cstheme="majorBidi"/>
        </w:rPr>
      </w:pPr>
      <w:r w:rsidRPr="004365C1">
        <w:rPr>
          <w:rStyle w:val="Appelnotedebasdep"/>
          <w:rFonts w:asciiTheme="majorBidi" w:hAnsiTheme="majorBidi" w:cstheme="majorBidi"/>
        </w:rPr>
        <w:footnoteRef/>
      </w:r>
      <w:r w:rsidRPr="004365C1">
        <w:rPr>
          <w:rFonts w:asciiTheme="majorBidi" w:hAnsiTheme="majorBidi" w:cstheme="majorBidi"/>
          <w:i/>
          <w:iCs/>
        </w:rPr>
        <w:t>Ibid.</w:t>
      </w:r>
    </w:p>
  </w:footnote>
  <w:footnote w:id="212">
    <w:p w:rsidR="006C092A" w:rsidRPr="00356D21" w:rsidRDefault="006C092A" w:rsidP="00EA209E">
      <w:pPr>
        <w:autoSpaceDE w:val="0"/>
        <w:autoSpaceDN w:val="0"/>
        <w:adjustRightInd w:val="0"/>
        <w:spacing w:after="0" w:line="240" w:lineRule="auto"/>
        <w:jc w:val="both"/>
        <w:rPr>
          <w:rFonts w:ascii="Times New Roman" w:hAnsi="Times New Roman"/>
          <w:color w:val="000000"/>
          <w:sz w:val="20"/>
          <w:szCs w:val="20"/>
        </w:rPr>
      </w:pPr>
      <w:r w:rsidRPr="00356D21">
        <w:rPr>
          <w:rStyle w:val="Appelnotedebasdep"/>
          <w:rFonts w:ascii="Times New Roman" w:hAnsi="Times New Roman"/>
          <w:sz w:val="20"/>
          <w:szCs w:val="20"/>
        </w:rPr>
        <w:footnoteRef/>
      </w:r>
      <w:r w:rsidRPr="002B7B1C">
        <w:rPr>
          <w:rFonts w:ascii="Times New Roman" w:hAnsi="Times New Roman"/>
          <w:sz w:val="20"/>
          <w:szCs w:val="20"/>
        </w:rPr>
        <w:t>Algirdas-Julien G</w:t>
      </w:r>
      <w:r>
        <w:rPr>
          <w:rFonts w:ascii="Times New Roman" w:hAnsi="Times New Roman"/>
          <w:sz w:val="20"/>
          <w:szCs w:val="20"/>
        </w:rPr>
        <w:t>reimas</w:t>
      </w:r>
      <w:r w:rsidRPr="002B7B1C">
        <w:rPr>
          <w:rFonts w:ascii="Times New Roman" w:hAnsi="Times New Roman"/>
          <w:sz w:val="20"/>
          <w:szCs w:val="20"/>
        </w:rPr>
        <w:t>, «Pour une sémiotique topologique » in Sémiotique de l’espace Architecture Urbanisme Sortir de l’impasse, Denoël/ Gonthier</w:t>
      </w:r>
      <w:r>
        <w:rPr>
          <w:rFonts w:ascii="Times New Roman" w:hAnsi="Times New Roman"/>
          <w:sz w:val="20"/>
          <w:szCs w:val="20"/>
        </w:rPr>
        <w:t xml:space="preserve">, </w:t>
      </w:r>
      <w:r w:rsidRPr="002B7B1C">
        <w:rPr>
          <w:rFonts w:ascii="Times New Roman" w:hAnsi="Times New Roman"/>
          <w:sz w:val="20"/>
          <w:szCs w:val="20"/>
        </w:rPr>
        <w:t>Paris, 1979, p.11- 47.</w:t>
      </w:r>
    </w:p>
  </w:footnote>
  <w:footnote w:id="213">
    <w:p w:rsidR="006C092A" w:rsidRPr="00356D21" w:rsidRDefault="006C092A" w:rsidP="00F37179">
      <w:pPr>
        <w:autoSpaceDE w:val="0"/>
        <w:autoSpaceDN w:val="0"/>
        <w:adjustRightInd w:val="0"/>
        <w:spacing w:after="0" w:line="240" w:lineRule="auto"/>
        <w:rPr>
          <w:rFonts w:ascii="Times New Roman" w:hAnsi="Times New Roman"/>
          <w:color w:val="000000"/>
          <w:sz w:val="20"/>
          <w:szCs w:val="20"/>
        </w:rPr>
      </w:pPr>
      <w:r w:rsidRPr="00356D21">
        <w:rPr>
          <w:rStyle w:val="Appelnotedebasdep"/>
          <w:rFonts w:ascii="Times New Roman" w:hAnsi="Times New Roman"/>
          <w:sz w:val="20"/>
          <w:szCs w:val="20"/>
        </w:rPr>
        <w:footnoteRef/>
      </w:r>
      <w:r w:rsidRPr="00356D21">
        <w:rPr>
          <w:rFonts w:ascii="Times New Roman" w:hAnsi="Times New Roman"/>
          <w:color w:val="000000"/>
          <w:sz w:val="20"/>
          <w:szCs w:val="20"/>
        </w:rPr>
        <w:t xml:space="preserve">Roland </w:t>
      </w:r>
      <w:r w:rsidRPr="00344EBB">
        <w:rPr>
          <w:rFonts w:ascii="Times New Roman" w:hAnsi="Times New Roman"/>
          <w:sz w:val="20"/>
          <w:szCs w:val="20"/>
        </w:rPr>
        <w:t>B</w:t>
      </w:r>
      <w:r>
        <w:rPr>
          <w:rFonts w:ascii="Times New Roman" w:hAnsi="Times New Roman"/>
          <w:sz w:val="20"/>
          <w:szCs w:val="20"/>
        </w:rPr>
        <w:t>oumeuf</w:t>
      </w:r>
      <w:r w:rsidRPr="00344EBB">
        <w:rPr>
          <w:rFonts w:ascii="Times New Roman" w:hAnsi="Times New Roman"/>
          <w:sz w:val="20"/>
          <w:szCs w:val="20"/>
        </w:rPr>
        <w:t xml:space="preserve"> et</w:t>
      </w:r>
      <w:r w:rsidRPr="00356D21">
        <w:rPr>
          <w:rFonts w:ascii="Times New Roman" w:hAnsi="Times New Roman"/>
          <w:color w:val="000000"/>
          <w:sz w:val="20"/>
          <w:szCs w:val="20"/>
        </w:rPr>
        <w:t xml:space="preserve"> Réal O</w:t>
      </w:r>
      <w:r>
        <w:rPr>
          <w:rFonts w:ascii="Times New Roman" w:hAnsi="Times New Roman"/>
          <w:color w:val="000000"/>
          <w:sz w:val="20"/>
          <w:szCs w:val="20"/>
        </w:rPr>
        <w:t>uellet</w:t>
      </w:r>
      <w:r w:rsidRPr="002D1FFE">
        <w:rPr>
          <w:rFonts w:ascii="Times New Roman" w:hAnsi="Times New Roman"/>
          <w:i/>
          <w:color w:val="000000"/>
          <w:sz w:val="20"/>
          <w:szCs w:val="20"/>
        </w:rPr>
        <w:t>,</w:t>
      </w:r>
      <w:r w:rsidR="00F37179">
        <w:rPr>
          <w:rFonts w:ascii="Times New Roman" w:hAnsi="Times New Roman"/>
          <w:i/>
          <w:color w:val="000000"/>
          <w:sz w:val="20"/>
          <w:szCs w:val="20"/>
        </w:rPr>
        <w:t xml:space="preserve"> </w:t>
      </w:r>
      <w:r>
        <w:rPr>
          <w:rFonts w:ascii="Times New Roman" w:hAnsi="Times New Roman"/>
          <w:i/>
          <w:color w:val="000000"/>
          <w:sz w:val="20"/>
          <w:szCs w:val="20"/>
        </w:rPr>
        <w:t>L</w:t>
      </w:r>
      <w:r w:rsidRPr="002D1FFE">
        <w:rPr>
          <w:rFonts w:ascii="Times New Roman" w:hAnsi="Times New Roman"/>
          <w:i/>
          <w:color w:val="000000"/>
          <w:sz w:val="20"/>
          <w:szCs w:val="20"/>
        </w:rPr>
        <w:t>’Univers</w:t>
      </w:r>
      <w:r w:rsidR="00F37179">
        <w:rPr>
          <w:rFonts w:ascii="Times New Roman" w:hAnsi="Times New Roman"/>
          <w:i/>
          <w:color w:val="000000"/>
          <w:sz w:val="20"/>
          <w:szCs w:val="20"/>
        </w:rPr>
        <w:t xml:space="preserve"> </w:t>
      </w:r>
      <w:r w:rsidRPr="002D1FFE">
        <w:rPr>
          <w:rFonts w:ascii="Times New Roman" w:hAnsi="Times New Roman"/>
          <w:i/>
          <w:color w:val="000000"/>
          <w:sz w:val="20"/>
          <w:szCs w:val="20"/>
        </w:rPr>
        <w:t>du Roman</w:t>
      </w:r>
      <w:r w:rsidRPr="00356D21">
        <w:rPr>
          <w:rFonts w:ascii="Times New Roman" w:hAnsi="Times New Roman"/>
          <w:color w:val="000000"/>
          <w:sz w:val="20"/>
          <w:szCs w:val="20"/>
        </w:rPr>
        <w:t>, P. U F</w:t>
      </w:r>
      <w:r>
        <w:rPr>
          <w:rFonts w:ascii="Times New Roman" w:hAnsi="Times New Roman"/>
          <w:color w:val="000000"/>
          <w:sz w:val="20"/>
          <w:szCs w:val="20"/>
        </w:rPr>
        <w:t>, Paris, Littératures modernes, 1972.</w:t>
      </w:r>
    </w:p>
  </w:footnote>
  <w:footnote w:id="214">
    <w:p w:rsidR="006C092A" w:rsidRPr="002B7B1C" w:rsidRDefault="006C092A" w:rsidP="000A2A3E">
      <w:pPr>
        <w:autoSpaceDE w:val="0"/>
        <w:autoSpaceDN w:val="0"/>
        <w:adjustRightInd w:val="0"/>
        <w:spacing w:after="0" w:line="240" w:lineRule="auto"/>
        <w:jc w:val="both"/>
        <w:rPr>
          <w:rFonts w:ascii="Times New Roman" w:hAnsi="Times New Roman"/>
          <w:i/>
          <w:iCs/>
          <w:sz w:val="20"/>
          <w:szCs w:val="20"/>
        </w:rPr>
      </w:pPr>
      <w:r w:rsidRPr="00356D21">
        <w:rPr>
          <w:rStyle w:val="Appelnotedebasdep"/>
          <w:rFonts w:ascii="Times New Roman" w:hAnsi="Times New Roman"/>
          <w:sz w:val="20"/>
          <w:szCs w:val="20"/>
        </w:rPr>
        <w:footnoteRef/>
      </w:r>
      <w:r w:rsidRPr="002577A4">
        <w:rPr>
          <w:rFonts w:ascii="Times New Roman" w:hAnsi="Times New Roman"/>
          <w:i/>
          <w:iCs/>
          <w:sz w:val="20"/>
          <w:szCs w:val="20"/>
        </w:rPr>
        <w:t>I</w:t>
      </w:r>
      <w:r>
        <w:rPr>
          <w:rFonts w:ascii="Times New Roman" w:hAnsi="Times New Roman"/>
          <w:i/>
          <w:iCs/>
          <w:color w:val="000000"/>
          <w:sz w:val="20"/>
          <w:szCs w:val="20"/>
        </w:rPr>
        <w:t>bid</w:t>
      </w:r>
      <w:r w:rsidRPr="002B7B1C">
        <w:rPr>
          <w:rFonts w:ascii="Times New Roman" w:hAnsi="Times New Roman"/>
          <w:i/>
          <w:iCs/>
          <w:sz w:val="20"/>
          <w:szCs w:val="20"/>
        </w:rPr>
        <w:t xml:space="preserve">. </w:t>
      </w:r>
    </w:p>
  </w:footnote>
  <w:footnote w:id="215">
    <w:p w:rsidR="006C092A" w:rsidRPr="00356D21" w:rsidRDefault="006C092A" w:rsidP="003E2291">
      <w:pPr>
        <w:autoSpaceDE w:val="0"/>
        <w:autoSpaceDN w:val="0"/>
        <w:adjustRightInd w:val="0"/>
        <w:spacing w:after="0" w:line="240" w:lineRule="auto"/>
        <w:jc w:val="both"/>
        <w:rPr>
          <w:rFonts w:ascii="Times New Roman" w:hAnsi="Times New Roman"/>
          <w:color w:val="000000"/>
          <w:sz w:val="20"/>
          <w:szCs w:val="20"/>
        </w:rPr>
      </w:pPr>
      <w:r w:rsidRPr="002B7B1C">
        <w:rPr>
          <w:rStyle w:val="Appelnotedebasdep"/>
          <w:rFonts w:ascii="Times New Roman" w:hAnsi="Times New Roman"/>
          <w:sz w:val="20"/>
          <w:szCs w:val="20"/>
        </w:rPr>
        <w:footnoteRef/>
      </w:r>
      <w:r w:rsidRPr="002B7B1C">
        <w:rPr>
          <w:rFonts w:ascii="Times New Roman" w:hAnsi="Times New Roman"/>
          <w:sz w:val="20"/>
          <w:szCs w:val="20"/>
        </w:rPr>
        <w:t>Tzvetan T</w:t>
      </w:r>
      <w:r>
        <w:rPr>
          <w:rFonts w:ascii="Times New Roman" w:hAnsi="Times New Roman"/>
          <w:sz w:val="20"/>
          <w:szCs w:val="20"/>
        </w:rPr>
        <w:t>odorov</w:t>
      </w:r>
      <w:r w:rsidRPr="002B7B1C">
        <w:rPr>
          <w:rFonts w:ascii="Times New Roman" w:hAnsi="Times New Roman"/>
          <w:sz w:val="20"/>
          <w:szCs w:val="20"/>
        </w:rPr>
        <w:t>, «Les</w:t>
      </w:r>
      <w:r w:rsidRPr="00356D21">
        <w:rPr>
          <w:rFonts w:ascii="Times New Roman" w:hAnsi="Times New Roman"/>
          <w:color w:val="000000"/>
          <w:sz w:val="20"/>
          <w:szCs w:val="20"/>
        </w:rPr>
        <w:t xml:space="preserve"> catégories du récit littéraire</w:t>
      </w:r>
      <w:r>
        <w:rPr>
          <w:rFonts w:ascii="Times New Roman" w:hAnsi="Times New Roman"/>
          <w:color w:val="000000"/>
          <w:sz w:val="20"/>
          <w:szCs w:val="20"/>
        </w:rPr>
        <w:t xml:space="preserve"> » </w:t>
      </w:r>
      <w:r w:rsidRPr="00356D21">
        <w:rPr>
          <w:rFonts w:ascii="Times New Roman" w:hAnsi="Times New Roman"/>
          <w:color w:val="000000"/>
          <w:sz w:val="20"/>
          <w:szCs w:val="20"/>
        </w:rPr>
        <w:t xml:space="preserve"> in </w:t>
      </w:r>
      <w:r w:rsidRPr="0000616C">
        <w:rPr>
          <w:rFonts w:ascii="Times New Roman" w:hAnsi="Times New Roman"/>
          <w:i/>
          <w:iCs/>
          <w:color w:val="000000"/>
          <w:sz w:val="20"/>
          <w:szCs w:val="20"/>
        </w:rPr>
        <w:t>Communications</w:t>
      </w:r>
      <w:r>
        <w:rPr>
          <w:rFonts w:ascii="Times New Roman" w:hAnsi="Times New Roman"/>
          <w:i/>
          <w:iCs/>
          <w:color w:val="000000"/>
          <w:sz w:val="20"/>
          <w:szCs w:val="20"/>
        </w:rPr>
        <w:t xml:space="preserve"> </w:t>
      </w:r>
      <w:r w:rsidRPr="0000616C">
        <w:rPr>
          <w:rFonts w:ascii="Times New Roman" w:hAnsi="Times New Roman"/>
          <w:i/>
          <w:iCs/>
          <w:color w:val="000000"/>
          <w:sz w:val="20"/>
          <w:szCs w:val="20"/>
        </w:rPr>
        <w:t>8</w:t>
      </w:r>
      <w:r>
        <w:rPr>
          <w:rFonts w:ascii="Times New Roman" w:hAnsi="Times New Roman"/>
          <w:i/>
          <w:iCs/>
          <w:color w:val="000000"/>
          <w:sz w:val="20"/>
          <w:szCs w:val="20"/>
        </w:rPr>
        <w:t xml:space="preserve">, op.cit, </w:t>
      </w:r>
      <w:r w:rsidRPr="0000616C">
        <w:rPr>
          <w:rFonts w:ascii="Times New Roman" w:hAnsi="Times New Roman"/>
          <w:color w:val="000000"/>
          <w:sz w:val="20"/>
          <w:szCs w:val="20"/>
        </w:rPr>
        <w:t>p.</w:t>
      </w:r>
      <w:r w:rsidRPr="00356D21">
        <w:rPr>
          <w:rFonts w:ascii="Times New Roman" w:hAnsi="Times New Roman"/>
          <w:color w:val="000000"/>
          <w:sz w:val="20"/>
          <w:szCs w:val="20"/>
        </w:rPr>
        <w:t>131- 157</w:t>
      </w:r>
      <w:r>
        <w:rPr>
          <w:rFonts w:ascii="Times New Roman" w:hAnsi="Times New Roman"/>
          <w:color w:val="000000"/>
          <w:sz w:val="20"/>
          <w:szCs w:val="20"/>
        </w:rPr>
        <w:t>.</w:t>
      </w:r>
    </w:p>
  </w:footnote>
  <w:footnote w:id="216">
    <w:p w:rsidR="006C092A" w:rsidRPr="00356D21" w:rsidRDefault="006C092A" w:rsidP="003E2291">
      <w:pPr>
        <w:pStyle w:val="Notedebasdepage"/>
        <w:jc w:val="both"/>
        <w:rPr>
          <w:rFonts w:ascii="Times New Roman" w:hAnsi="Times New Roman"/>
        </w:rPr>
      </w:pPr>
      <w:r w:rsidRPr="00356D21">
        <w:rPr>
          <w:rStyle w:val="Appelnotedebasdep"/>
          <w:rFonts w:ascii="Times New Roman" w:hAnsi="Times New Roman"/>
        </w:rPr>
        <w:footnoteRef/>
      </w:r>
      <w:r w:rsidRPr="002B7B1C">
        <w:rPr>
          <w:rFonts w:ascii="Times New Roman" w:hAnsi="Times New Roman"/>
        </w:rPr>
        <w:t>Mikaïl B</w:t>
      </w:r>
      <w:r>
        <w:rPr>
          <w:rFonts w:ascii="Times New Roman" w:hAnsi="Times New Roman"/>
        </w:rPr>
        <w:t>akhtine</w:t>
      </w:r>
      <w:r w:rsidRPr="002B7B1C">
        <w:rPr>
          <w:rFonts w:ascii="Times New Roman" w:hAnsi="Times New Roman"/>
        </w:rPr>
        <w:t>,</w:t>
      </w:r>
      <w:r>
        <w:rPr>
          <w:rFonts w:ascii="Times New Roman" w:hAnsi="Times New Roman"/>
          <w:color w:val="00B0F0"/>
        </w:rPr>
        <w:t xml:space="preserve"> </w:t>
      </w:r>
      <w:r w:rsidRPr="00356D21">
        <w:rPr>
          <w:rFonts w:ascii="Times New Roman" w:hAnsi="Times New Roman"/>
          <w:i/>
          <w:iCs/>
        </w:rPr>
        <w:t>Esthétique et théorie du roman</w:t>
      </w:r>
      <w:r w:rsidRPr="00356D21">
        <w:rPr>
          <w:rFonts w:ascii="Times New Roman" w:hAnsi="Times New Roman"/>
        </w:rPr>
        <w:t>, Gallimard</w:t>
      </w:r>
      <w:r>
        <w:rPr>
          <w:rFonts w:ascii="Times New Roman" w:hAnsi="Times New Roman"/>
        </w:rPr>
        <w:t xml:space="preserve">, </w:t>
      </w:r>
      <w:r w:rsidRPr="00356D21">
        <w:rPr>
          <w:rFonts w:ascii="Times New Roman" w:hAnsi="Times New Roman"/>
        </w:rPr>
        <w:t xml:space="preserve">Paris, </w:t>
      </w:r>
      <w:r w:rsidRPr="00E8644F">
        <w:rPr>
          <w:rFonts w:ascii="Times New Roman" w:hAnsi="Times New Roman"/>
        </w:rPr>
        <w:t>1975, p</w:t>
      </w:r>
      <w:r w:rsidRPr="00356D21">
        <w:rPr>
          <w:rFonts w:ascii="Times New Roman" w:hAnsi="Times New Roman"/>
        </w:rPr>
        <w:t>, 76</w:t>
      </w:r>
      <w:r>
        <w:rPr>
          <w:rFonts w:ascii="Times New Roman" w:hAnsi="Times New Roman"/>
        </w:rPr>
        <w:t>.</w:t>
      </w:r>
    </w:p>
  </w:footnote>
  <w:footnote w:id="217">
    <w:p w:rsidR="006C092A" w:rsidRPr="00356D21" w:rsidRDefault="006C092A" w:rsidP="003E2291">
      <w:pPr>
        <w:pStyle w:val="Notedebasdepage"/>
        <w:jc w:val="both"/>
        <w:rPr>
          <w:rFonts w:ascii="Times New Roman" w:hAnsi="Times New Roman"/>
        </w:rPr>
      </w:pPr>
      <w:r w:rsidRPr="00356D21">
        <w:rPr>
          <w:rStyle w:val="Appelnotedebasdep"/>
          <w:rFonts w:ascii="Times New Roman" w:hAnsi="Times New Roman"/>
        </w:rPr>
        <w:footnoteRef/>
      </w:r>
      <w:r w:rsidRPr="00E8644F">
        <w:rPr>
          <w:rFonts w:ascii="Times New Roman" w:hAnsi="Times New Roman"/>
        </w:rPr>
        <w:t>Anne</w:t>
      </w:r>
      <w:r>
        <w:rPr>
          <w:rFonts w:ascii="Times New Roman" w:hAnsi="Times New Roman"/>
        </w:rPr>
        <w:t xml:space="preserve"> Ubersfeld</w:t>
      </w:r>
      <w:r w:rsidRPr="00E8644F">
        <w:rPr>
          <w:rFonts w:ascii="Times New Roman" w:hAnsi="Times New Roman"/>
        </w:rPr>
        <w:t xml:space="preserve">,  </w:t>
      </w:r>
      <w:r w:rsidRPr="00E8644F">
        <w:rPr>
          <w:rStyle w:val="ouvrage2"/>
          <w:rFonts w:ascii="Times New Roman" w:hAnsi="Times New Roman"/>
        </w:rPr>
        <w:t>Lire le théâtre III</w:t>
      </w:r>
      <w:r w:rsidRPr="00E8644F">
        <w:rPr>
          <w:rFonts w:ascii="Times New Roman" w:hAnsi="Times New Roman"/>
        </w:rPr>
        <w:t>.</w:t>
      </w:r>
      <w:r>
        <w:rPr>
          <w:rFonts w:ascii="Times New Roman" w:hAnsi="Times New Roman"/>
        </w:rPr>
        <w:t xml:space="preserve">, </w:t>
      </w:r>
      <w:r w:rsidRPr="00E8644F">
        <w:rPr>
          <w:rFonts w:ascii="Times New Roman" w:hAnsi="Times New Roman"/>
        </w:rPr>
        <w:t>Belin</w:t>
      </w:r>
      <w:r>
        <w:rPr>
          <w:rFonts w:ascii="Times New Roman" w:hAnsi="Times New Roman"/>
        </w:rPr>
        <w:t xml:space="preserve">, </w:t>
      </w:r>
      <w:r w:rsidRPr="00E8644F">
        <w:rPr>
          <w:rFonts w:ascii="Times New Roman" w:hAnsi="Times New Roman"/>
        </w:rPr>
        <w:t>Paris,</w:t>
      </w:r>
      <w:r>
        <w:rPr>
          <w:rFonts w:ascii="Times New Roman" w:hAnsi="Times New Roman"/>
          <w:color w:val="000000"/>
        </w:rPr>
        <w:t xml:space="preserve"> </w:t>
      </w:r>
      <w:r w:rsidRPr="00356D21">
        <w:rPr>
          <w:rFonts w:ascii="Times New Roman" w:hAnsi="Times New Roman"/>
          <w:color w:val="000000"/>
        </w:rPr>
        <w:t>1996, p</w:t>
      </w:r>
      <w:r>
        <w:rPr>
          <w:rFonts w:ascii="Times New Roman" w:hAnsi="Times New Roman"/>
          <w:color w:val="000000"/>
        </w:rPr>
        <w:t>.</w:t>
      </w:r>
      <w:r w:rsidRPr="00356D21">
        <w:rPr>
          <w:rFonts w:ascii="Times New Roman" w:hAnsi="Times New Roman"/>
          <w:color w:val="000000"/>
        </w:rPr>
        <w:t xml:space="preserve"> 25</w:t>
      </w:r>
      <w:r>
        <w:rPr>
          <w:rFonts w:ascii="Times New Roman" w:hAnsi="Times New Roman"/>
          <w:color w:val="000000"/>
        </w:rPr>
        <w:t>.</w:t>
      </w:r>
    </w:p>
  </w:footnote>
  <w:footnote w:id="218">
    <w:p w:rsidR="006C092A" w:rsidRPr="00410088" w:rsidRDefault="006C092A" w:rsidP="003E2291">
      <w:pPr>
        <w:spacing w:after="0" w:line="240" w:lineRule="auto"/>
        <w:jc w:val="both"/>
        <w:outlineLvl w:val="1"/>
        <w:rPr>
          <w:rFonts w:ascii="Times New Roman" w:hAnsi="Times New Roman"/>
          <w:color w:val="000000"/>
          <w:sz w:val="20"/>
          <w:szCs w:val="20"/>
        </w:rPr>
      </w:pPr>
      <w:r w:rsidRPr="00356D21">
        <w:rPr>
          <w:rStyle w:val="Appelnotedebasdep"/>
          <w:rFonts w:ascii="Times New Roman" w:hAnsi="Times New Roman"/>
          <w:sz w:val="20"/>
          <w:szCs w:val="20"/>
        </w:rPr>
        <w:footnoteRef/>
      </w:r>
      <w:r w:rsidRPr="00356D21">
        <w:rPr>
          <w:rFonts w:ascii="Times New Roman" w:hAnsi="Times New Roman"/>
          <w:sz w:val="20"/>
          <w:szCs w:val="20"/>
        </w:rPr>
        <w:t xml:space="preserve"> </w:t>
      </w:r>
      <w:r w:rsidRPr="00356D21">
        <w:rPr>
          <w:rFonts w:ascii="Times New Roman" w:hAnsi="Times New Roman"/>
          <w:color w:val="000000"/>
          <w:kern w:val="36"/>
          <w:sz w:val="20"/>
          <w:szCs w:val="20"/>
        </w:rPr>
        <w:t xml:space="preserve">Daniel </w:t>
      </w:r>
      <w:r w:rsidRPr="00E8644F">
        <w:rPr>
          <w:rFonts w:ascii="Times New Roman" w:hAnsi="Times New Roman"/>
          <w:kern w:val="36"/>
          <w:sz w:val="20"/>
          <w:szCs w:val="20"/>
        </w:rPr>
        <w:t>C</w:t>
      </w:r>
      <w:r>
        <w:rPr>
          <w:rFonts w:ascii="Times New Roman" w:hAnsi="Times New Roman"/>
          <w:kern w:val="36"/>
          <w:sz w:val="20"/>
          <w:szCs w:val="20"/>
        </w:rPr>
        <w:t>haperon</w:t>
      </w:r>
      <w:r w:rsidRPr="00E8644F">
        <w:rPr>
          <w:rFonts w:ascii="Times New Roman" w:hAnsi="Times New Roman"/>
          <w:kern w:val="36"/>
          <w:sz w:val="20"/>
          <w:szCs w:val="20"/>
        </w:rPr>
        <w:t xml:space="preserve">, </w:t>
      </w:r>
      <w:r w:rsidRPr="00E8644F">
        <w:rPr>
          <w:rFonts w:ascii="Times New Roman" w:hAnsi="Times New Roman"/>
          <w:i/>
          <w:iCs/>
          <w:kern w:val="36"/>
          <w:sz w:val="20"/>
          <w:szCs w:val="20"/>
        </w:rPr>
        <w:t>L’œuvre dramatique </w:t>
      </w:r>
      <w:r>
        <w:rPr>
          <w:rFonts w:ascii="Times New Roman" w:hAnsi="Times New Roman"/>
          <w:i/>
          <w:iCs/>
          <w:color w:val="000000"/>
          <w:kern w:val="36"/>
          <w:sz w:val="20"/>
          <w:szCs w:val="20"/>
        </w:rPr>
        <w:t>:</w:t>
      </w:r>
      <w:r w:rsidRPr="00356D21">
        <w:rPr>
          <w:rFonts w:ascii="Times New Roman" w:hAnsi="Times New Roman"/>
          <w:i/>
          <w:iCs/>
          <w:color w:val="000000"/>
          <w:kern w:val="36"/>
          <w:sz w:val="20"/>
          <w:szCs w:val="20"/>
        </w:rPr>
        <w:t> méthodes et problèmes</w:t>
      </w:r>
      <w:r w:rsidRPr="00356D21">
        <w:rPr>
          <w:rFonts w:ascii="Times New Roman" w:hAnsi="Times New Roman"/>
          <w:color w:val="000000"/>
          <w:kern w:val="36"/>
          <w:sz w:val="20"/>
          <w:szCs w:val="20"/>
        </w:rPr>
        <w:t xml:space="preserve">, </w:t>
      </w:r>
      <w:r w:rsidRPr="00356D21">
        <w:rPr>
          <w:rFonts w:ascii="Times New Roman" w:hAnsi="Times New Roman"/>
          <w:color w:val="000000"/>
          <w:sz w:val="20"/>
          <w:szCs w:val="20"/>
        </w:rPr>
        <w:t>Université de Lausanne, 2004,  p</w:t>
      </w:r>
      <w:r>
        <w:rPr>
          <w:rFonts w:ascii="Times New Roman" w:hAnsi="Times New Roman"/>
          <w:color w:val="000000"/>
          <w:sz w:val="20"/>
          <w:szCs w:val="20"/>
        </w:rPr>
        <w:t>.</w:t>
      </w:r>
      <w:r w:rsidRPr="00356D21">
        <w:rPr>
          <w:rFonts w:ascii="Times New Roman" w:hAnsi="Times New Roman"/>
          <w:color w:val="000000"/>
          <w:sz w:val="20"/>
          <w:szCs w:val="20"/>
        </w:rPr>
        <w:t>120</w:t>
      </w:r>
      <w:r>
        <w:rPr>
          <w:rFonts w:ascii="Times New Roman" w:hAnsi="Times New Roman"/>
          <w:color w:val="000000"/>
          <w:sz w:val="20"/>
          <w:szCs w:val="20"/>
        </w:rPr>
        <w:t>.</w:t>
      </w:r>
    </w:p>
  </w:footnote>
  <w:footnote w:id="219">
    <w:p w:rsidR="006C092A" w:rsidRPr="00356D21" w:rsidRDefault="006C092A" w:rsidP="00E15BBC">
      <w:pPr>
        <w:autoSpaceDE w:val="0"/>
        <w:autoSpaceDN w:val="0"/>
        <w:adjustRightInd w:val="0"/>
        <w:spacing w:after="0" w:line="240" w:lineRule="auto"/>
        <w:jc w:val="both"/>
        <w:rPr>
          <w:rFonts w:ascii="Times New Roman" w:hAnsi="Times New Roman"/>
          <w:color w:val="000000"/>
          <w:sz w:val="20"/>
          <w:szCs w:val="20"/>
        </w:rPr>
      </w:pPr>
      <w:r w:rsidRPr="00356D21">
        <w:rPr>
          <w:rStyle w:val="Appelnotedebasdep"/>
          <w:rFonts w:ascii="Times New Roman" w:hAnsi="Times New Roman"/>
          <w:sz w:val="20"/>
          <w:szCs w:val="20"/>
        </w:rPr>
        <w:footnoteRef/>
      </w:r>
      <w:r w:rsidRPr="00344EBB">
        <w:rPr>
          <w:rFonts w:ascii="Times New Roman" w:hAnsi="Times New Roman"/>
          <w:sz w:val="20"/>
          <w:szCs w:val="20"/>
        </w:rPr>
        <w:t>Henri M</w:t>
      </w:r>
      <w:r>
        <w:rPr>
          <w:rFonts w:ascii="Times New Roman" w:hAnsi="Times New Roman"/>
          <w:sz w:val="20"/>
          <w:szCs w:val="20"/>
        </w:rPr>
        <w:t>ittérand</w:t>
      </w:r>
      <w:r w:rsidRPr="00344EBB">
        <w:rPr>
          <w:rFonts w:ascii="Times New Roman" w:hAnsi="Times New Roman"/>
          <w:sz w:val="20"/>
          <w:szCs w:val="20"/>
        </w:rPr>
        <w:t xml:space="preserve">, </w:t>
      </w:r>
      <w:r w:rsidRPr="00344EBB">
        <w:rPr>
          <w:rFonts w:ascii="Times New Roman" w:hAnsi="Times New Roman"/>
          <w:i/>
          <w:iCs/>
          <w:sz w:val="20"/>
          <w:szCs w:val="20"/>
        </w:rPr>
        <w:t>L</w:t>
      </w:r>
      <w:r>
        <w:rPr>
          <w:rFonts w:ascii="Times New Roman" w:hAnsi="Times New Roman"/>
          <w:i/>
          <w:iCs/>
          <w:sz w:val="20"/>
          <w:szCs w:val="20"/>
        </w:rPr>
        <w:t xml:space="preserve">e discours </w:t>
      </w:r>
      <w:r w:rsidRPr="00344EBB">
        <w:rPr>
          <w:rFonts w:ascii="Times New Roman" w:hAnsi="Times New Roman"/>
          <w:i/>
          <w:iCs/>
          <w:sz w:val="20"/>
          <w:szCs w:val="20"/>
        </w:rPr>
        <w:t xml:space="preserve"> du roman</w:t>
      </w:r>
      <w:r w:rsidRPr="00344EBB">
        <w:rPr>
          <w:rFonts w:ascii="Times New Roman" w:hAnsi="Times New Roman"/>
          <w:sz w:val="20"/>
          <w:szCs w:val="20"/>
        </w:rPr>
        <w:t>, PUF</w:t>
      </w:r>
      <w:r>
        <w:rPr>
          <w:rFonts w:ascii="Times New Roman" w:hAnsi="Times New Roman"/>
          <w:sz w:val="20"/>
          <w:szCs w:val="20"/>
        </w:rPr>
        <w:t xml:space="preserve">, Paris, </w:t>
      </w:r>
      <w:r w:rsidRPr="00344EBB">
        <w:rPr>
          <w:rFonts w:ascii="Times New Roman" w:hAnsi="Times New Roman"/>
          <w:sz w:val="20"/>
          <w:szCs w:val="20"/>
        </w:rPr>
        <w:t>Écriture, 1980, p.1.</w:t>
      </w:r>
      <w:r>
        <w:rPr>
          <w:rFonts w:ascii="Times New Roman" w:hAnsi="Times New Roman"/>
          <w:color w:val="FF0000"/>
          <w:sz w:val="20"/>
          <w:szCs w:val="20"/>
        </w:rPr>
        <w:t> </w:t>
      </w:r>
    </w:p>
    <w:p w:rsidR="006C092A" w:rsidRDefault="006C092A" w:rsidP="006A4EED">
      <w:pPr>
        <w:pStyle w:val="Notedebasdepage"/>
      </w:pPr>
    </w:p>
  </w:footnote>
  <w:footnote w:id="220">
    <w:p w:rsidR="006C092A" w:rsidRPr="00632783" w:rsidRDefault="006C092A" w:rsidP="00632783">
      <w:pPr>
        <w:spacing w:after="0" w:line="240" w:lineRule="auto"/>
        <w:jc w:val="both"/>
        <w:rPr>
          <w:rFonts w:ascii="Times New Roman" w:hAnsi="Times New Roman"/>
          <w:sz w:val="20"/>
          <w:szCs w:val="20"/>
          <w:lang w:val="en-US"/>
        </w:rPr>
      </w:pPr>
      <w:r w:rsidRPr="00632783">
        <w:rPr>
          <w:rStyle w:val="Appelnotedebasdep"/>
          <w:rFonts w:ascii="Times New Roman" w:hAnsi="Times New Roman"/>
          <w:sz w:val="20"/>
          <w:szCs w:val="20"/>
        </w:rPr>
        <w:footnoteRef/>
      </w:r>
      <w:r w:rsidRPr="00632783">
        <w:rPr>
          <w:rFonts w:ascii="Times New Roman" w:hAnsi="Times New Roman"/>
          <w:sz w:val="20"/>
          <w:szCs w:val="20"/>
          <w:lang w:val="en-US"/>
        </w:rPr>
        <w:t xml:space="preserve">Anne Ubersfeld, </w:t>
      </w:r>
      <w:proofErr w:type="gramStart"/>
      <w:r w:rsidRPr="00632783">
        <w:rPr>
          <w:rFonts w:ascii="Times New Roman" w:hAnsi="Times New Roman"/>
          <w:i/>
          <w:iCs/>
          <w:sz w:val="20"/>
          <w:szCs w:val="20"/>
          <w:lang w:val="en-US"/>
        </w:rPr>
        <w:t>op.cit.</w:t>
      </w:r>
      <w:r w:rsidRPr="00632783">
        <w:rPr>
          <w:rFonts w:ascii="Times New Roman" w:hAnsi="Times New Roman"/>
          <w:sz w:val="20"/>
          <w:szCs w:val="20"/>
          <w:lang w:val="en-US"/>
        </w:rPr>
        <w:t>,</w:t>
      </w:r>
      <w:proofErr w:type="gramEnd"/>
      <w:r w:rsidRPr="00632783">
        <w:rPr>
          <w:rFonts w:ascii="Times New Roman" w:hAnsi="Times New Roman"/>
          <w:sz w:val="20"/>
          <w:szCs w:val="20"/>
          <w:lang w:val="en-US"/>
        </w:rPr>
        <w:t xml:space="preserve"> p.98.</w:t>
      </w:r>
    </w:p>
  </w:footnote>
  <w:footnote w:id="221">
    <w:p w:rsidR="006C092A" w:rsidRPr="00632783" w:rsidRDefault="006C092A" w:rsidP="00632783">
      <w:pPr>
        <w:autoSpaceDE w:val="0"/>
        <w:autoSpaceDN w:val="0"/>
        <w:adjustRightInd w:val="0"/>
        <w:spacing w:after="0" w:line="240" w:lineRule="auto"/>
        <w:jc w:val="both"/>
        <w:rPr>
          <w:rFonts w:ascii="Times New Roman" w:hAnsi="Times New Roman"/>
          <w:color w:val="000000"/>
          <w:sz w:val="20"/>
          <w:szCs w:val="20"/>
        </w:rPr>
      </w:pPr>
      <w:r w:rsidRPr="00632783">
        <w:rPr>
          <w:rStyle w:val="Appelnotedebasdep"/>
          <w:rFonts w:ascii="Times New Roman" w:hAnsi="Times New Roman"/>
          <w:sz w:val="20"/>
          <w:szCs w:val="20"/>
        </w:rPr>
        <w:footnoteRef/>
      </w:r>
      <w:r w:rsidRPr="00632783">
        <w:rPr>
          <w:rFonts w:ascii="Times New Roman" w:hAnsi="Times New Roman"/>
          <w:sz w:val="20"/>
          <w:szCs w:val="20"/>
        </w:rPr>
        <w:t>Tzvetan Todorov, «</w:t>
      </w:r>
      <w:r w:rsidRPr="00632783">
        <w:rPr>
          <w:rFonts w:ascii="Times New Roman" w:hAnsi="Times New Roman"/>
          <w:color w:val="00B0F0"/>
          <w:sz w:val="20"/>
          <w:szCs w:val="20"/>
        </w:rPr>
        <w:t> </w:t>
      </w:r>
      <w:r w:rsidRPr="00632783">
        <w:rPr>
          <w:rFonts w:ascii="Times New Roman" w:hAnsi="Times New Roman"/>
          <w:color w:val="000000"/>
          <w:sz w:val="20"/>
          <w:szCs w:val="20"/>
        </w:rPr>
        <w:t xml:space="preserve">Qu’est ce que le structuralisme? », </w:t>
      </w:r>
      <w:r w:rsidRPr="00632783">
        <w:rPr>
          <w:rFonts w:ascii="Times New Roman" w:hAnsi="Times New Roman"/>
          <w:i/>
          <w:iCs/>
          <w:color w:val="000000"/>
          <w:sz w:val="20"/>
          <w:szCs w:val="20"/>
        </w:rPr>
        <w:t>op.cit.</w:t>
      </w:r>
    </w:p>
  </w:footnote>
  <w:footnote w:id="222">
    <w:p w:rsidR="006C092A" w:rsidRPr="00B11836" w:rsidRDefault="006C092A" w:rsidP="00C37027">
      <w:pPr>
        <w:spacing w:after="0" w:line="240" w:lineRule="auto"/>
        <w:jc w:val="both"/>
        <w:rPr>
          <w:rFonts w:ascii="Times New Roman" w:hAnsi="Times New Roman"/>
          <w:color w:val="000000"/>
          <w:sz w:val="20"/>
          <w:szCs w:val="20"/>
        </w:rPr>
      </w:pPr>
      <w:r w:rsidRPr="00344EBB">
        <w:rPr>
          <w:rStyle w:val="Appelnotedebasdep"/>
          <w:rFonts w:ascii="Times New Roman" w:hAnsi="Times New Roman"/>
          <w:sz w:val="20"/>
          <w:szCs w:val="20"/>
        </w:rPr>
        <w:footnoteRef/>
      </w:r>
      <w:r w:rsidRPr="00344EBB">
        <w:rPr>
          <w:rFonts w:ascii="Times New Roman" w:hAnsi="Times New Roman"/>
          <w:sz w:val="20"/>
          <w:szCs w:val="20"/>
        </w:rPr>
        <w:t>Michel V</w:t>
      </w:r>
      <w:r>
        <w:rPr>
          <w:rFonts w:ascii="Times New Roman" w:hAnsi="Times New Roman"/>
          <w:sz w:val="20"/>
          <w:szCs w:val="20"/>
        </w:rPr>
        <w:t>inaver</w:t>
      </w:r>
      <w:r w:rsidRPr="00344EBB">
        <w:rPr>
          <w:rFonts w:ascii="Times New Roman" w:hAnsi="Times New Roman"/>
          <w:sz w:val="20"/>
          <w:szCs w:val="20"/>
        </w:rPr>
        <w:t xml:space="preserve">, </w:t>
      </w:r>
      <w:r w:rsidRPr="00344EBB">
        <w:rPr>
          <w:rFonts w:ascii="Times New Roman" w:hAnsi="Times New Roman"/>
          <w:i/>
          <w:iCs/>
          <w:sz w:val="20"/>
          <w:szCs w:val="20"/>
        </w:rPr>
        <w:t>É</w:t>
      </w:r>
      <w:r w:rsidRPr="00344EBB">
        <w:rPr>
          <w:rStyle w:val="ouvrage2"/>
          <w:rFonts w:ascii="Times New Roman" w:hAnsi="Times New Roman"/>
          <w:sz w:val="20"/>
          <w:szCs w:val="20"/>
        </w:rPr>
        <w:t>critures</w:t>
      </w:r>
      <w:r w:rsidRPr="00B11836">
        <w:rPr>
          <w:rStyle w:val="ouvrage2"/>
          <w:rFonts w:ascii="Times New Roman" w:hAnsi="Times New Roman"/>
          <w:color w:val="000000"/>
          <w:sz w:val="20"/>
          <w:szCs w:val="20"/>
        </w:rPr>
        <w:t xml:space="preserve"> dramatiques</w:t>
      </w:r>
      <w:r>
        <w:rPr>
          <w:rFonts w:ascii="Times New Roman" w:hAnsi="Times New Roman"/>
          <w:color w:val="000000"/>
          <w:sz w:val="20"/>
          <w:szCs w:val="20"/>
        </w:rPr>
        <w:t xml:space="preserve">, </w:t>
      </w:r>
      <w:r w:rsidRPr="00B11836">
        <w:rPr>
          <w:rFonts w:ascii="Times New Roman" w:hAnsi="Times New Roman"/>
          <w:color w:val="000000"/>
          <w:sz w:val="20"/>
          <w:szCs w:val="20"/>
        </w:rPr>
        <w:t>Actes Sud Arles</w:t>
      </w:r>
      <w:r>
        <w:rPr>
          <w:rFonts w:ascii="Times New Roman" w:hAnsi="Times New Roman"/>
          <w:color w:val="000000"/>
          <w:sz w:val="20"/>
          <w:szCs w:val="20"/>
        </w:rPr>
        <w:t xml:space="preserve">, </w:t>
      </w:r>
      <w:r w:rsidRPr="00B11836">
        <w:rPr>
          <w:rFonts w:ascii="Times New Roman" w:hAnsi="Times New Roman"/>
          <w:color w:val="000000"/>
          <w:sz w:val="20"/>
          <w:szCs w:val="20"/>
        </w:rPr>
        <w:t>1993, p.36</w:t>
      </w:r>
      <w:r>
        <w:rPr>
          <w:rFonts w:ascii="Times New Roman" w:hAnsi="Times New Roman"/>
          <w:color w:val="000000"/>
          <w:sz w:val="20"/>
          <w:szCs w:val="20"/>
        </w:rPr>
        <w:t>.</w:t>
      </w:r>
      <w:r w:rsidRPr="00B11836">
        <w:rPr>
          <w:rFonts w:ascii="Times New Roman" w:hAnsi="Times New Roman"/>
          <w:color w:val="000000"/>
          <w:sz w:val="20"/>
          <w:szCs w:val="20"/>
        </w:rPr>
        <w:t xml:space="preserve">  </w:t>
      </w:r>
    </w:p>
    <w:p w:rsidR="006C092A" w:rsidRPr="00514A50" w:rsidRDefault="006C092A" w:rsidP="006A4EED">
      <w:pPr>
        <w:pStyle w:val="Notedebasdepage"/>
        <w:rPr>
          <w:rFonts w:ascii="Times New Roman" w:hAnsi="Times New Roman"/>
        </w:rPr>
      </w:pPr>
    </w:p>
  </w:footnote>
  <w:footnote w:id="223">
    <w:p w:rsidR="006C092A" w:rsidRPr="001233BC" w:rsidRDefault="006C092A" w:rsidP="001233BC">
      <w:pPr>
        <w:pStyle w:val="Notedebasdepage"/>
        <w:jc w:val="both"/>
        <w:rPr>
          <w:rFonts w:asciiTheme="majorBidi" w:hAnsiTheme="majorBidi" w:cstheme="majorBidi"/>
          <w:lang w:val="en-US"/>
        </w:rPr>
      </w:pPr>
      <w:r w:rsidRPr="001233BC">
        <w:rPr>
          <w:rStyle w:val="Appelnotedebasdep"/>
          <w:rFonts w:asciiTheme="majorBidi" w:hAnsiTheme="majorBidi" w:cstheme="majorBidi"/>
        </w:rPr>
        <w:footnoteRef/>
      </w:r>
      <w:r w:rsidRPr="001233BC">
        <w:rPr>
          <w:rFonts w:asciiTheme="majorBidi" w:hAnsiTheme="majorBidi" w:cstheme="majorBidi"/>
          <w:lang w:val="en-US"/>
        </w:rPr>
        <w:t xml:space="preserve">Anne Ubersfeld, </w:t>
      </w:r>
      <w:proofErr w:type="gramStart"/>
      <w:r w:rsidRPr="001233BC">
        <w:rPr>
          <w:rFonts w:asciiTheme="majorBidi" w:hAnsiTheme="majorBidi" w:cstheme="majorBidi"/>
          <w:i/>
          <w:iCs/>
          <w:lang w:val="en-US"/>
        </w:rPr>
        <w:t>op.cit</w:t>
      </w:r>
      <w:r w:rsidRPr="001233BC">
        <w:rPr>
          <w:rFonts w:asciiTheme="majorBidi" w:hAnsiTheme="majorBidi" w:cstheme="majorBidi"/>
          <w:lang w:val="en-US"/>
        </w:rPr>
        <w:t xml:space="preserve"> ,</w:t>
      </w:r>
      <w:proofErr w:type="gramEnd"/>
      <w:r w:rsidRPr="001233BC">
        <w:rPr>
          <w:rFonts w:asciiTheme="majorBidi" w:hAnsiTheme="majorBidi" w:cstheme="majorBidi"/>
          <w:lang w:val="en-US"/>
        </w:rPr>
        <w:t xml:space="preserve"> p.92.</w:t>
      </w:r>
    </w:p>
    <w:p w:rsidR="006C092A" w:rsidRPr="00145307" w:rsidRDefault="006C092A" w:rsidP="006A4EED">
      <w:pPr>
        <w:pStyle w:val="Notedebasdepage"/>
        <w:rPr>
          <w:lang w:val="en-US"/>
        </w:rPr>
      </w:pPr>
    </w:p>
  </w:footnote>
  <w:footnote w:id="224">
    <w:p w:rsidR="006C092A" w:rsidRPr="00C41219" w:rsidRDefault="006C092A" w:rsidP="00C41219">
      <w:pPr>
        <w:pStyle w:val="Notedebasdepage"/>
        <w:jc w:val="both"/>
        <w:rPr>
          <w:rFonts w:asciiTheme="majorBidi" w:hAnsiTheme="majorBidi" w:cstheme="majorBidi"/>
        </w:rPr>
      </w:pPr>
      <w:r w:rsidRPr="00C41219">
        <w:rPr>
          <w:rStyle w:val="Appelnotedebasdep"/>
          <w:rFonts w:asciiTheme="majorBidi" w:hAnsiTheme="majorBidi" w:cstheme="majorBidi"/>
        </w:rPr>
        <w:footnoteRef/>
      </w:r>
      <w:r w:rsidRPr="00C41219">
        <w:rPr>
          <w:rFonts w:asciiTheme="majorBidi" w:hAnsiTheme="majorBidi" w:cstheme="majorBidi"/>
          <w:lang w:eastAsia="fr-FR"/>
        </w:rPr>
        <w:t xml:space="preserve">Gabrielle Hegyesi, « L’héritage classique dans l’œuvre de Michel de Ghelderode » in  </w:t>
      </w:r>
      <w:r w:rsidRPr="00C41219">
        <w:rPr>
          <w:rFonts w:asciiTheme="majorBidi" w:hAnsiTheme="majorBidi" w:cstheme="majorBidi"/>
          <w:i/>
          <w:iCs/>
          <w:lang w:eastAsia="fr-FR"/>
        </w:rPr>
        <w:t>Revue d’Études Françaises</w:t>
      </w:r>
      <w:r w:rsidRPr="00C41219">
        <w:rPr>
          <w:rFonts w:asciiTheme="majorBidi" w:hAnsiTheme="majorBidi" w:cstheme="majorBidi"/>
          <w:lang w:eastAsia="fr-FR"/>
        </w:rPr>
        <w:t xml:space="preserve">   N</w:t>
      </w:r>
      <w:r w:rsidRPr="00C41219">
        <w:rPr>
          <w:rFonts w:asciiTheme="majorBidi" w:hAnsiTheme="majorBidi" w:cstheme="majorBidi"/>
          <w:vertAlign w:val="superscript"/>
          <w:lang w:eastAsia="fr-FR"/>
        </w:rPr>
        <w:t>o</w:t>
      </w:r>
      <w:r w:rsidRPr="00C41219">
        <w:rPr>
          <w:rFonts w:asciiTheme="majorBidi" w:hAnsiTheme="majorBidi" w:cstheme="majorBidi"/>
          <w:lang w:eastAsia="fr-FR"/>
        </w:rPr>
        <w:t xml:space="preserve"> 12,  2007, p.4.</w:t>
      </w:r>
    </w:p>
  </w:footnote>
  <w:footnote w:id="225">
    <w:p w:rsidR="006C092A" w:rsidRPr="00C41219" w:rsidRDefault="006C092A" w:rsidP="00C41219">
      <w:pPr>
        <w:pStyle w:val="Notedebasdepage"/>
        <w:jc w:val="both"/>
        <w:rPr>
          <w:rFonts w:asciiTheme="majorBidi" w:hAnsiTheme="majorBidi" w:cstheme="majorBidi"/>
        </w:rPr>
      </w:pPr>
      <w:r w:rsidRPr="00C41219">
        <w:rPr>
          <w:rStyle w:val="Appelnotedebasdep"/>
          <w:rFonts w:asciiTheme="majorBidi" w:hAnsiTheme="majorBidi" w:cstheme="majorBidi"/>
        </w:rPr>
        <w:footnoteRef/>
      </w:r>
      <w:r w:rsidRPr="00C41219">
        <w:rPr>
          <w:rFonts w:asciiTheme="majorBidi" w:hAnsiTheme="majorBidi" w:cstheme="majorBidi"/>
          <w:lang w:eastAsia="fr-FR"/>
        </w:rPr>
        <w:t xml:space="preserve">Michel De Ghelderode, </w:t>
      </w:r>
      <w:r w:rsidRPr="00C41219">
        <w:rPr>
          <w:rFonts w:asciiTheme="majorBidi" w:hAnsiTheme="majorBidi" w:cstheme="majorBidi"/>
          <w:i/>
          <w:iCs/>
          <w:lang w:eastAsia="fr-FR"/>
        </w:rPr>
        <w:t>Les Entretiens d’Ostende</w:t>
      </w:r>
      <w:r w:rsidRPr="00C41219">
        <w:rPr>
          <w:rFonts w:asciiTheme="majorBidi" w:hAnsiTheme="majorBidi" w:cstheme="majorBidi"/>
          <w:lang w:eastAsia="fr-FR"/>
        </w:rPr>
        <w:t>, L’Ether Vague, Toulouse, 1992, p.85.</w:t>
      </w:r>
    </w:p>
  </w:footnote>
  <w:footnote w:id="226">
    <w:p w:rsidR="006C092A" w:rsidRPr="00822D20" w:rsidRDefault="006C092A" w:rsidP="00822D20">
      <w:pPr>
        <w:pStyle w:val="Notedebasdepage"/>
        <w:jc w:val="both"/>
        <w:rPr>
          <w:rFonts w:asciiTheme="majorBidi" w:hAnsiTheme="majorBidi" w:cstheme="majorBidi"/>
        </w:rPr>
      </w:pPr>
      <w:r w:rsidRPr="00822D20">
        <w:rPr>
          <w:rStyle w:val="Appelnotedebasdep"/>
          <w:rFonts w:asciiTheme="majorBidi" w:hAnsiTheme="majorBidi" w:cstheme="majorBidi"/>
        </w:rPr>
        <w:footnoteRef/>
      </w:r>
      <w:r w:rsidRPr="00822D20">
        <w:rPr>
          <w:rFonts w:asciiTheme="majorBidi" w:hAnsiTheme="majorBidi" w:cstheme="majorBidi"/>
          <w:lang w:eastAsia="fr-FR"/>
        </w:rPr>
        <w:t xml:space="preserve">Gabrielle Hegyesi, </w:t>
      </w:r>
      <w:r w:rsidRPr="00822D20">
        <w:rPr>
          <w:rFonts w:asciiTheme="majorBidi" w:hAnsiTheme="majorBidi" w:cstheme="majorBidi"/>
          <w:i/>
          <w:iCs/>
          <w:lang w:eastAsia="fr-FR"/>
        </w:rPr>
        <w:t xml:space="preserve">op.cit., </w:t>
      </w:r>
      <w:r w:rsidRPr="00822D20">
        <w:rPr>
          <w:rFonts w:asciiTheme="majorBidi" w:hAnsiTheme="majorBidi" w:cstheme="majorBidi"/>
          <w:lang w:eastAsia="fr-FR"/>
        </w:rPr>
        <w:t>p.62.</w:t>
      </w:r>
    </w:p>
  </w:footnote>
  <w:footnote w:id="227">
    <w:p w:rsidR="006C092A" w:rsidRPr="003D73B8" w:rsidRDefault="006C092A" w:rsidP="003D73B8">
      <w:pPr>
        <w:pStyle w:val="Notedebasdepage"/>
        <w:jc w:val="both"/>
        <w:rPr>
          <w:rFonts w:asciiTheme="majorBidi" w:hAnsiTheme="majorBidi" w:cstheme="majorBidi"/>
        </w:rPr>
      </w:pPr>
      <w:r w:rsidRPr="003D73B8">
        <w:rPr>
          <w:rStyle w:val="Appelnotedebasdep"/>
          <w:rFonts w:asciiTheme="majorBidi" w:hAnsiTheme="majorBidi" w:cstheme="majorBidi"/>
        </w:rPr>
        <w:footnoteRef/>
      </w:r>
      <w:r w:rsidRPr="003D73B8">
        <w:rPr>
          <w:rFonts w:asciiTheme="majorBidi" w:hAnsiTheme="majorBidi" w:cstheme="majorBidi"/>
          <w:i/>
          <w:iCs/>
        </w:rPr>
        <w:t>Ibid</w:t>
      </w:r>
      <w:r w:rsidRPr="003D73B8">
        <w:rPr>
          <w:rFonts w:asciiTheme="majorBidi" w:hAnsiTheme="majorBidi" w:cstheme="majorBidi"/>
        </w:rPr>
        <w:t>., p.126.</w:t>
      </w:r>
    </w:p>
  </w:footnote>
  <w:footnote w:id="228">
    <w:p w:rsidR="006C092A" w:rsidRPr="003D73B8" w:rsidRDefault="006C092A" w:rsidP="003D73B8">
      <w:pPr>
        <w:pStyle w:val="Notedebasdepage"/>
        <w:jc w:val="both"/>
        <w:rPr>
          <w:rFonts w:asciiTheme="majorBidi" w:hAnsiTheme="majorBidi" w:cstheme="majorBidi"/>
        </w:rPr>
      </w:pPr>
      <w:r w:rsidRPr="003D73B8">
        <w:rPr>
          <w:rStyle w:val="Appelnotedebasdep"/>
          <w:rFonts w:asciiTheme="majorBidi" w:hAnsiTheme="majorBidi" w:cstheme="majorBidi"/>
        </w:rPr>
        <w:footnoteRef/>
      </w:r>
      <w:r w:rsidRPr="003D73B8">
        <w:rPr>
          <w:rFonts w:asciiTheme="majorBidi" w:hAnsiTheme="majorBidi" w:cstheme="majorBidi"/>
          <w:lang w:eastAsia="fr-FR"/>
        </w:rPr>
        <w:t xml:space="preserve">Gabrielle Hegyesi, « L’héritage classique dans l’œuvre de Michel de Ghelderode », </w:t>
      </w:r>
      <w:r w:rsidRPr="003D73B8">
        <w:rPr>
          <w:rFonts w:asciiTheme="majorBidi" w:hAnsiTheme="majorBidi" w:cstheme="majorBidi"/>
          <w:i/>
          <w:iCs/>
          <w:lang w:eastAsia="fr-FR"/>
        </w:rPr>
        <w:t xml:space="preserve">op.cit., </w:t>
      </w:r>
      <w:r w:rsidRPr="003D73B8">
        <w:rPr>
          <w:rFonts w:asciiTheme="majorBidi" w:hAnsiTheme="majorBidi" w:cstheme="majorBidi"/>
          <w:lang w:eastAsia="fr-FR"/>
        </w:rPr>
        <w:t xml:space="preserve">p.65.  </w:t>
      </w:r>
      <w:r w:rsidRPr="003D73B8">
        <w:rPr>
          <w:rFonts w:asciiTheme="majorBidi" w:hAnsiTheme="majorBidi" w:cstheme="majorBidi"/>
        </w:rPr>
        <w:t xml:space="preserve"> </w:t>
      </w:r>
    </w:p>
  </w:footnote>
  <w:footnote w:id="229">
    <w:p w:rsidR="006C092A" w:rsidRPr="003D73B8" w:rsidRDefault="006C092A" w:rsidP="003D73B8">
      <w:pPr>
        <w:pStyle w:val="Notedebasdepage"/>
        <w:jc w:val="both"/>
        <w:rPr>
          <w:rFonts w:asciiTheme="majorBidi" w:hAnsiTheme="majorBidi" w:cstheme="majorBidi"/>
          <w:lang w:val="en-US"/>
        </w:rPr>
      </w:pPr>
      <w:r w:rsidRPr="003D73B8">
        <w:rPr>
          <w:rStyle w:val="Appelnotedebasdep"/>
          <w:rFonts w:asciiTheme="majorBidi" w:hAnsiTheme="majorBidi" w:cstheme="majorBidi"/>
        </w:rPr>
        <w:footnoteRef/>
      </w:r>
      <w:r w:rsidRPr="003D73B8">
        <w:rPr>
          <w:rFonts w:asciiTheme="majorBidi" w:hAnsiTheme="majorBidi" w:cstheme="majorBidi"/>
          <w:lang w:val="en-US" w:eastAsia="fr-FR"/>
        </w:rPr>
        <w:t>Roland Beyen</w:t>
      </w:r>
      <w:proofErr w:type="gramStart"/>
      <w:r w:rsidRPr="003D73B8">
        <w:rPr>
          <w:rFonts w:asciiTheme="majorBidi" w:hAnsiTheme="majorBidi" w:cstheme="majorBidi"/>
          <w:lang w:val="en-US" w:eastAsia="fr-FR"/>
        </w:rPr>
        <w:t>,</w:t>
      </w:r>
      <w:r w:rsidRPr="003D73B8">
        <w:rPr>
          <w:rFonts w:asciiTheme="majorBidi" w:hAnsiTheme="majorBidi" w:cstheme="majorBidi"/>
          <w:color w:val="00B0F0"/>
          <w:lang w:val="en-US" w:eastAsia="fr-FR"/>
        </w:rPr>
        <w:t xml:space="preserve"> </w:t>
      </w:r>
      <w:r w:rsidRPr="003D73B8">
        <w:rPr>
          <w:rFonts w:asciiTheme="majorBidi" w:hAnsiTheme="majorBidi" w:cstheme="majorBidi"/>
          <w:lang w:val="en-US" w:eastAsia="fr-FR"/>
        </w:rPr>
        <w:t xml:space="preserve"> </w:t>
      </w:r>
      <w:r w:rsidRPr="003D73B8">
        <w:rPr>
          <w:rFonts w:asciiTheme="majorBidi" w:hAnsiTheme="majorBidi" w:cstheme="majorBidi"/>
          <w:i/>
          <w:iCs/>
          <w:lang w:val="en-US" w:eastAsia="fr-FR"/>
        </w:rPr>
        <w:t>op</w:t>
      </w:r>
      <w:proofErr w:type="gramEnd"/>
      <w:r w:rsidRPr="003D73B8">
        <w:rPr>
          <w:rFonts w:asciiTheme="majorBidi" w:hAnsiTheme="majorBidi" w:cstheme="majorBidi"/>
          <w:i/>
          <w:iCs/>
          <w:lang w:val="en-US" w:eastAsia="fr-FR"/>
        </w:rPr>
        <w:t xml:space="preserve">. cit. </w:t>
      </w:r>
      <w:r w:rsidRPr="003D73B8">
        <w:rPr>
          <w:rFonts w:asciiTheme="majorBidi" w:hAnsiTheme="majorBidi" w:cstheme="majorBidi"/>
          <w:lang w:val="en-US" w:eastAsia="fr-FR"/>
        </w:rPr>
        <w:t xml:space="preserve"> </w:t>
      </w:r>
      <w:proofErr w:type="gramStart"/>
      <w:r w:rsidRPr="003D73B8">
        <w:rPr>
          <w:rFonts w:asciiTheme="majorBidi" w:hAnsiTheme="majorBidi" w:cstheme="majorBidi"/>
          <w:lang w:val="en-US" w:eastAsia="fr-FR"/>
        </w:rPr>
        <w:t>p.45.</w:t>
      </w:r>
      <w:proofErr w:type="gramEnd"/>
    </w:p>
  </w:footnote>
  <w:footnote w:id="230">
    <w:p w:rsidR="006C092A" w:rsidRPr="00387AA7" w:rsidRDefault="006C092A" w:rsidP="00387AA7">
      <w:pPr>
        <w:autoSpaceDE w:val="0"/>
        <w:autoSpaceDN w:val="0"/>
        <w:adjustRightInd w:val="0"/>
        <w:spacing w:after="0" w:line="240" w:lineRule="auto"/>
        <w:jc w:val="both"/>
        <w:rPr>
          <w:rFonts w:asciiTheme="majorBidi" w:hAnsiTheme="majorBidi" w:cstheme="majorBidi"/>
          <w:sz w:val="20"/>
          <w:szCs w:val="20"/>
        </w:rPr>
      </w:pPr>
      <w:r w:rsidRPr="00387AA7">
        <w:rPr>
          <w:rStyle w:val="Appelnotedebasdep"/>
          <w:rFonts w:asciiTheme="majorBidi" w:hAnsiTheme="majorBidi" w:cstheme="majorBidi"/>
          <w:sz w:val="20"/>
          <w:szCs w:val="20"/>
        </w:rPr>
        <w:footnoteRef/>
      </w:r>
      <w:r w:rsidRPr="00387AA7">
        <w:rPr>
          <w:rFonts w:asciiTheme="majorBidi" w:hAnsiTheme="majorBidi" w:cstheme="majorBidi"/>
          <w:sz w:val="20"/>
          <w:szCs w:val="20"/>
          <w:lang w:eastAsia="fr-FR"/>
        </w:rPr>
        <w:t xml:space="preserve">Roland Beyen </w:t>
      </w:r>
      <w:r w:rsidRPr="00387AA7">
        <w:rPr>
          <w:rFonts w:asciiTheme="majorBidi" w:hAnsiTheme="majorBidi" w:cstheme="majorBidi"/>
          <w:i/>
          <w:iCs/>
          <w:sz w:val="20"/>
          <w:szCs w:val="20"/>
          <w:lang w:eastAsia="fr-FR"/>
        </w:rPr>
        <w:t>Michel de Ghelderode ou la Hantise du masque</w:t>
      </w:r>
      <w:r w:rsidRPr="00387AA7">
        <w:rPr>
          <w:rFonts w:asciiTheme="majorBidi" w:hAnsiTheme="majorBidi" w:cstheme="majorBidi"/>
          <w:sz w:val="20"/>
          <w:szCs w:val="20"/>
          <w:lang w:eastAsia="fr-FR"/>
        </w:rPr>
        <w:t>, Palais des Académies, Bruxelles, 1971, p. 468-480.</w:t>
      </w:r>
    </w:p>
  </w:footnote>
  <w:footnote w:id="231">
    <w:p w:rsidR="006C092A" w:rsidRPr="00387AA7" w:rsidRDefault="006C092A" w:rsidP="00387AA7">
      <w:pPr>
        <w:autoSpaceDE w:val="0"/>
        <w:autoSpaceDN w:val="0"/>
        <w:adjustRightInd w:val="0"/>
        <w:spacing w:after="0" w:line="240" w:lineRule="auto"/>
        <w:jc w:val="both"/>
        <w:rPr>
          <w:rFonts w:asciiTheme="majorBidi" w:hAnsiTheme="majorBidi" w:cstheme="majorBidi"/>
          <w:sz w:val="20"/>
          <w:szCs w:val="20"/>
        </w:rPr>
      </w:pPr>
      <w:r w:rsidRPr="00387AA7">
        <w:rPr>
          <w:rStyle w:val="Appelnotedebasdep"/>
          <w:rFonts w:asciiTheme="majorBidi" w:hAnsiTheme="majorBidi" w:cstheme="majorBidi"/>
          <w:sz w:val="20"/>
          <w:szCs w:val="20"/>
        </w:rPr>
        <w:footnoteRef/>
      </w:r>
      <w:r w:rsidRPr="00387AA7">
        <w:rPr>
          <w:rFonts w:asciiTheme="majorBidi" w:hAnsiTheme="majorBidi" w:cstheme="majorBidi"/>
          <w:sz w:val="20"/>
          <w:szCs w:val="20"/>
        </w:rPr>
        <w:t>« </w:t>
      </w:r>
      <w:r w:rsidRPr="00387AA7">
        <w:rPr>
          <w:rFonts w:asciiTheme="majorBidi" w:hAnsiTheme="majorBidi" w:cstheme="majorBidi"/>
          <w:sz w:val="20"/>
          <w:szCs w:val="20"/>
          <w:lang w:eastAsia="fr-FR"/>
        </w:rPr>
        <w:t xml:space="preserve">Tragédie-bouffe en un acte, rédaction : 1936-37, publication : 1943, 1950, création : 1949 » in Roland Beyen, </w:t>
      </w:r>
      <w:r w:rsidRPr="00387AA7">
        <w:rPr>
          <w:rFonts w:asciiTheme="majorBidi" w:hAnsiTheme="majorBidi" w:cstheme="majorBidi"/>
          <w:i/>
          <w:iCs/>
          <w:sz w:val="20"/>
          <w:szCs w:val="20"/>
          <w:lang w:eastAsia="fr-FR"/>
        </w:rPr>
        <w:t>Ghelderode</w:t>
      </w:r>
      <w:r w:rsidRPr="00387AA7">
        <w:rPr>
          <w:rFonts w:asciiTheme="majorBidi" w:hAnsiTheme="majorBidi" w:cstheme="majorBidi"/>
          <w:sz w:val="20"/>
          <w:szCs w:val="20"/>
          <w:lang w:eastAsia="fr-FR"/>
        </w:rPr>
        <w:t>, Seghers, Paris, 1974, p. 104.</w:t>
      </w:r>
    </w:p>
  </w:footnote>
  <w:footnote w:id="232">
    <w:p w:rsidR="006C092A" w:rsidRPr="00387AA7" w:rsidRDefault="006C092A" w:rsidP="00387AA7">
      <w:pPr>
        <w:autoSpaceDE w:val="0"/>
        <w:autoSpaceDN w:val="0"/>
        <w:adjustRightInd w:val="0"/>
        <w:spacing w:after="0" w:line="240" w:lineRule="auto"/>
        <w:jc w:val="both"/>
        <w:rPr>
          <w:rFonts w:asciiTheme="majorBidi" w:hAnsiTheme="majorBidi" w:cstheme="majorBidi"/>
          <w:sz w:val="20"/>
          <w:szCs w:val="20"/>
        </w:rPr>
      </w:pPr>
      <w:r w:rsidRPr="00387AA7">
        <w:rPr>
          <w:rStyle w:val="Appelnotedebasdep"/>
          <w:rFonts w:asciiTheme="majorBidi" w:hAnsiTheme="majorBidi" w:cstheme="majorBidi"/>
          <w:sz w:val="20"/>
          <w:szCs w:val="20"/>
        </w:rPr>
        <w:footnoteRef/>
      </w:r>
      <w:r w:rsidRPr="00387AA7">
        <w:rPr>
          <w:rFonts w:asciiTheme="majorBidi" w:hAnsiTheme="majorBidi" w:cstheme="majorBidi"/>
          <w:sz w:val="20"/>
          <w:szCs w:val="20"/>
          <w:lang w:eastAsia="fr-FR"/>
        </w:rPr>
        <w:t>Michel Otten, « Le sacrificiel dans Barabbas »</w:t>
      </w:r>
      <w:r w:rsidRPr="00387AA7">
        <w:rPr>
          <w:rFonts w:asciiTheme="majorBidi" w:hAnsiTheme="majorBidi" w:cstheme="majorBidi"/>
          <w:i/>
          <w:iCs/>
          <w:sz w:val="20"/>
          <w:szCs w:val="20"/>
          <w:lang w:eastAsia="fr-FR"/>
        </w:rPr>
        <w:t xml:space="preserve"> </w:t>
      </w:r>
      <w:r w:rsidRPr="00387AA7">
        <w:rPr>
          <w:rFonts w:asciiTheme="majorBidi" w:hAnsiTheme="majorBidi" w:cstheme="majorBidi"/>
          <w:sz w:val="20"/>
          <w:szCs w:val="20"/>
          <w:lang w:eastAsia="fr-FR"/>
        </w:rPr>
        <w:t xml:space="preserve"> in </w:t>
      </w:r>
      <w:r w:rsidRPr="00387AA7">
        <w:rPr>
          <w:rFonts w:asciiTheme="majorBidi" w:hAnsiTheme="majorBidi" w:cstheme="majorBidi"/>
          <w:i/>
          <w:iCs/>
          <w:sz w:val="20"/>
          <w:szCs w:val="20"/>
          <w:lang w:eastAsia="fr-FR"/>
        </w:rPr>
        <w:t xml:space="preserve">Michel de </w:t>
      </w:r>
      <w:r w:rsidRPr="00387AA7">
        <w:rPr>
          <w:rFonts w:asciiTheme="majorBidi" w:hAnsiTheme="majorBidi" w:cstheme="majorBidi"/>
          <w:sz w:val="20"/>
          <w:szCs w:val="20"/>
          <w:lang w:eastAsia="fr-FR"/>
        </w:rPr>
        <w:t>Ghederode</w:t>
      </w:r>
      <w:r w:rsidRPr="00387AA7">
        <w:rPr>
          <w:rFonts w:asciiTheme="majorBidi" w:hAnsiTheme="majorBidi" w:cstheme="majorBidi"/>
          <w:i/>
          <w:iCs/>
          <w:sz w:val="20"/>
          <w:szCs w:val="20"/>
          <w:lang w:eastAsia="fr-FR"/>
        </w:rPr>
        <w:t>, Dramaturge et conteur</w:t>
      </w:r>
      <w:r w:rsidRPr="00387AA7">
        <w:rPr>
          <w:rFonts w:asciiTheme="majorBidi" w:hAnsiTheme="majorBidi" w:cstheme="majorBidi"/>
          <w:sz w:val="20"/>
          <w:szCs w:val="20"/>
          <w:lang w:eastAsia="fr-FR"/>
        </w:rPr>
        <w:t>, Université de Bruxelles, Bruxelles, 1983, p. 67-77.</w:t>
      </w:r>
    </w:p>
  </w:footnote>
  <w:footnote w:id="233">
    <w:p w:rsidR="006C092A" w:rsidRPr="00387AA7" w:rsidRDefault="006C092A" w:rsidP="00387AA7">
      <w:pPr>
        <w:pStyle w:val="Notedebasdepage"/>
        <w:jc w:val="both"/>
        <w:rPr>
          <w:rFonts w:asciiTheme="majorBidi" w:hAnsiTheme="majorBidi" w:cstheme="majorBidi"/>
        </w:rPr>
      </w:pPr>
      <w:r w:rsidRPr="00387AA7">
        <w:rPr>
          <w:rStyle w:val="Appelnotedebasdep"/>
          <w:rFonts w:asciiTheme="majorBidi" w:hAnsiTheme="majorBidi" w:cstheme="majorBidi"/>
        </w:rPr>
        <w:footnoteRef/>
      </w:r>
      <w:r w:rsidRPr="00387AA7">
        <w:rPr>
          <w:rFonts w:asciiTheme="majorBidi" w:hAnsiTheme="majorBidi" w:cstheme="majorBidi"/>
          <w:lang w:eastAsia="fr-FR"/>
        </w:rPr>
        <w:t xml:space="preserve">Gabrielle Hegyesi, «L’héritage classique dans l’œuvre de Michel de Ghelderode », </w:t>
      </w:r>
      <w:r w:rsidRPr="00387AA7">
        <w:rPr>
          <w:rFonts w:asciiTheme="majorBidi" w:hAnsiTheme="majorBidi" w:cstheme="majorBidi"/>
          <w:i/>
          <w:iCs/>
          <w:lang w:eastAsia="fr-FR"/>
        </w:rPr>
        <w:t xml:space="preserve">op.cit., </w:t>
      </w:r>
      <w:r w:rsidRPr="00387AA7">
        <w:rPr>
          <w:rFonts w:asciiTheme="majorBidi" w:hAnsiTheme="majorBidi" w:cstheme="majorBidi"/>
          <w:lang w:eastAsia="fr-FR"/>
        </w:rPr>
        <w:t>p.12.</w:t>
      </w:r>
      <w:r w:rsidRPr="00387AA7">
        <w:rPr>
          <w:rFonts w:asciiTheme="majorBidi" w:hAnsiTheme="majorBidi" w:cstheme="majorBidi"/>
          <w:color w:val="FF0000"/>
          <w:lang w:eastAsia="fr-FR"/>
        </w:rPr>
        <w:t> </w:t>
      </w:r>
    </w:p>
  </w:footnote>
  <w:footnote w:id="234">
    <w:p w:rsidR="006C092A" w:rsidRPr="00F6480F" w:rsidRDefault="006C092A" w:rsidP="00F6480F">
      <w:pPr>
        <w:pStyle w:val="Notedebasdepage"/>
        <w:jc w:val="both"/>
        <w:rPr>
          <w:rFonts w:asciiTheme="majorBidi" w:hAnsiTheme="majorBidi" w:cstheme="majorBidi"/>
        </w:rPr>
      </w:pPr>
      <w:r w:rsidRPr="00F6480F">
        <w:rPr>
          <w:rStyle w:val="Appelnotedebasdep"/>
          <w:rFonts w:asciiTheme="majorBidi" w:hAnsiTheme="majorBidi" w:cstheme="majorBidi"/>
        </w:rPr>
        <w:footnoteRef/>
      </w:r>
      <w:r w:rsidRPr="00F6480F">
        <w:rPr>
          <w:rFonts w:asciiTheme="majorBidi" w:hAnsiTheme="majorBidi" w:cstheme="majorBidi"/>
          <w:bCs/>
        </w:rPr>
        <w:t>Henri Vanlier</w:t>
      </w:r>
      <w:r w:rsidRPr="00F6480F">
        <w:rPr>
          <w:rFonts w:asciiTheme="majorBidi" w:hAnsiTheme="majorBidi" w:cstheme="majorBidi"/>
        </w:rPr>
        <w:t xml:space="preserve">, « Le bruxellois, ce sémiologue né : </w:t>
      </w:r>
      <w:r w:rsidRPr="00F6480F">
        <w:rPr>
          <w:rStyle w:val="titrelivre"/>
          <w:rFonts w:asciiTheme="majorBidi" w:hAnsiTheme="majorBidi" w:cstheme="majorBidi"/>
          <w:bCs/>
        </w:rPr>
        <w:t>une sémiotique bruitée, basale et bourrue »,</w:t>
      </w:r>
      <w:r w:rsidRPr="00F6480F">
        <w:rPr>
          <w:rFonts w:asciiTheme="majorBidi" w:hAnsiTheme="majorBidi" w:cstheme="majorBidi"/>
        </w:rPr>
        <w:t xml:space="preserve"> </w:t>
      </w:r>
      <w:r w:rsidRPr="00F6480F">
        <w:rPr>
          <w:rFonts w:asciiTheme="majorBidi" w:hAnsiTheme="majorBidi" w:cstheme="majorBidi"/>
          <w:bCs/>
        </w:rPr>
        <w:t xml:space="preserve">in </w:t>
      </w:r>
      <w:r w:rsidRPr="00F6480F">
        <w:rPr>
          <w:rFonts w:asciiTheme="majorBidi" w:hAnsiTheme="majorBidi" w:cstheme="majorBidi"/>
          <w:bCs/>
          <w:i/>
          <w:iCs/>
        </w:rPr>
        <w:t>La Revue Nouvelle</w:t>
      </w:r>
      <w:r w:rsidRPr="00F6480F">
        <w:rPr>
          <w:rFonts w:asciiTheme="majorBidi" w:hAnsiTheme="majorBidi" w:cstheme="majorBidi"/>
          <w:bCs/>
        </w:rPr>
        <w:t>, Belgique, 1968,  p.1.</w:t>
      </w:r>
      <w:r w:rsidRPr="00F6480F">
        <w:rPr>
          <w:rFonts w:asciiTheme="majorBidi" w:hAnsiTheme="majorBidi" w:cstheme="majorBidi"/>
          <w:bCs/>
          <w:color w:val="FF0000"/>
        </w:rPr>
        <w:t> </w:t>
      </w:r>
    </w:p>
  </w:footnote>
  <w:footnote w:id="235">
    <w:p w:rsidR="006C092A" w:rsidRPr="000A57E5" w:rsidRDefault="006C092A" w:rsidP="000A57E5">
      <w:pPr>
        <w:pStyle w:val="Notedebasdepage"/>
        <w:jc w:val="both"/>
        <w:rPr>
          <w:rFonts w:asciiTheme="majorBidi" w:hAnsiTheme="majorBidi" w:cstheme="majorBidi"/>
        </w:rPr>
      </w:pPr>
      <w:r w:rsidRPr="000A57E5">
        <w:rPr>
          <w:rStyle w:val="Appelnotedebasdep"/>
          <w:rFonts w:asciiTheme="majorBidi" w:hAnsiTheme="majorBidi" w:cstheme="majorBidi"/>
        </w:rPr>
        <w:footnoteRef/>
      </w:r>
      <w:r w:rsidRPr="000A57E5">
        <w:rPr>
          <w:rFonts w:asciiTheme="majorBidi" w:hAnsiTheme="majorBidi" w:cstheme="majorBidi"/>
        </w:rPr>
        <w:t>Dossier « Analyse sémiotique », par le Cabinet Semiopolis</w:t>
      </w:r>
      <w:r w:rsidRPr="000A57E5">
        <w:rPr>
          <w:rFonts w:asciiTheme="majorBidi" w:hAnsiTheme="majorBidi" w:cstheme="majorBidi"/>
          <w:color w:val="00B0F0"/>
        </w:rPr>
        <w:t xml:space="preserve">, </w:t>
      </w:r>
      <w:r w:rsidRPr="000A57E5">
        <w:rPr>
          <w:rFonts w:asciiTheme="majorBidi" w:hAnsiTheme="majorBidi" w:cstheme="majorBidi"/>
        </w:rPr>
        <w:t>[en ligne]. Disponible sur : &lt;</w:t>
      </w:r>
      <w:hyperlink r:id="rId24" w:history="1">
        <w:r w:rsidRPr="000A57E5">
          <w:rPr>
            <w:rStyle w:val="Lienhypertexte"/>
            <w:rFonts w:asciiTheme="majorBidi" w:hAnsiTheme="majorBidi" w:cstheme="majorBidi"/>
            <w:color w:val="auto"/>
          </w:rPr>
          <w:t>www.semiopolis.fr</w:t>
        </w:r>
      </w:hyperlink>
      <w:r w:rsidRPr="000A57E5">
        <w:rPr>
          <w:rFonts w:asciiTheme="majorBidi" w:hAnsiTheme="majorBidi" w:cstheme="majorBidi"/>
        </w:rPr>
        <w:t>&gt;, consulté le 15 Août 2015à 16h00.</w:t>
      </w:r>
    </w:p>
  </w:footnote>
  <w:footnote w:id="236">
    <w:p w:rsidR="006C092A" w:rsidRPr="000A57E5" w:rsidRDefault="006C092A" w:rsidP="000A57E5">
      <w:pPr>
        <w:pStyle w:val="Notedebasdepage"/>
        <w:jc w:val="both"/>
        <w:rPr>
          <w:rFonts w:asciiTheme="majorBidi" w:hAnsiTheme="majorBidi" w:cstheme="majorBidi"/>
          <w:i/>
          <w:iCs/>
          <w:lang w:val="en-GB"/>
        </w:rPr>
      </w:pPr>
      <w:r w:rsidRPr="000A57E5">
        <w:rPr>
          <w:rStyle w:val="Appelnotedebasdep"/>
          <w:rFonts w:asciiTheme="majorBidi" w:hAnsiTheme="majorBidi" w:cstheme="majorBidi"/>
        </w:rPr>
        <w:footnoteRef/>
      </w:r>
      <w:r w:rsidRPr="000A57E5">
        <w:rPr>
          <w:rFonts w:asciiTheme="majorBidi" w:hAnsiTheme="majorBidi" w:cstheme="majorBidi"/>
          <w:i/>
          <w:iCs/>
          <w:lang w:val="en-GB"/>
        </w:rPr>
        <w:t>Ibid.</w:t>
      </w:r>
    </w:p>
  </w:footnote>
  <w:footnote w:id="237">
    <w:p w:rsidR="006C092A" w:rsidRPr="000A57E5" w:rsidRDefault="006C092A" w:rsidP="000A57E5">
      <w:pPr>
        <w:pStyle w:val="Notedebasdepage"/>
        <w:jc w:val="both"/>
        <w:rPr>
          <w:rFonts w:asciiTheme="majorBidi" w:hAnsiTheme="majorBidi" w:cstheme="majorBidi"/>
        </w:rPr>
      </w:pPr>
      <w:r w:rsidRPr="000A57E5">
        <w:rPr>
          <w:rStyle w:val="Appelnotedebasdep"/>
          <w:rFonts w:asciiTheme="majorBidi" w:hAnsiTheme="majorBidi" w:cstheme="majorBidi"/>
        </w:rPr>
        <w:footnoteRef/>
      </w:r>
      <w:r w:rsidRPr="000A57E5">
        <w:rPr>
          <w:rFonts w:asciiTheme="majorBidi" w:hAnsiTheme="majorBidi" w:cstheme="majorBidi"/>
          <w:lang w:val="en-GB"/>
        </w:rPr>
        <w:t>Charles William Morris, «</w:t>
      </w:r>
      <w:r w:rsidRPr="000A57E5">
        <w:rPr>
          <w:rFonts w:asciiTheme="majorBidi" w:hAnsiTheme="majorBidi" w:cstheme="majorBidi"/>
          <w:iCs/>
          <w:lang w:val="en-GB"/>
        </w:rPr>
        <w:t>Foundations of the Theory of Signs»</w:t>
      </w:r>
      <w:r w:rsidRPr="000A57E5">
        <w:rPr>
          <w:rFonts w:asciiTheme="majorBidi" w:hAnsiTheme="majorBidi" w:cstheme="majorBidi"/>
          <w:lang w:val="en-GB"/>
        </w:rPr>
        <w:t xml:space="preserve">, in </w:t>
      </w:r>
      <w:r w:rsidRPr="000A57E5">
        <w:rPr>
          <w:rFonts w:asciiTheme="majorBidi" w:hAnsiTheme="majorBidi" w:cstheme="majorBidi"/>
          <w:i/>
          <w:iCs/>
          <w:lang w:val="en-GB"/>
        </w:rPr>
        <w:t>International Encyclopedia of Unified Science</w:t>
      </w:r>
      <w:r w:rsidRPr="000A57E5">
        <w:rPr>
          <w:rFonts w:asciiTheme="majorBidi" w:hAnsiTheme="majorBidi" w:cstheme="majorBidi"/>
          <w:lang w:val="en-GB"/>
        </w:rPr>
        <w:t xml:space="preserve">, 1938. </w:t>
      </w:r>
      <w:r w:rsidRPr="000A57E5">
        <w:rPr>
          <w:rFonts w:asciiTheme="majorBidi" w:hAnsiTheme="majorBidi" w:cstheme="majorBidi"/>
        </w:rPr>
        <w:t xml:space="preserve">Trad. fr. par J.-P. Paillet, </w:t>
      </w:r>
      <w:r w:rsidRPr="000A57E5">
        <w:rPr>
          <w:rFonts w:asciiTheme="majorBidi" w:hAnsiTheme="majorBidi" w:cstheme="majorBidi"/>
          <w:i/>
          <w:iCs/>
        </w:rPr>
        <w:t>Langages</w:t>
      </w:r>
      <w:r w:rsidRPr="000A57E5">
        <w:rPr>
          <w:rFonts w:asciiTheme="majorBidi" w:hAnsiTheme="majorBidi" w:cstheme="majorBidi"/>
        </w:rPr>
        <w:t>, n</w:t>
      </w:r>
      <w:r w:rsidRPr="000A57E5">
        <w:rPr>
          <w:rFonts w:asciiTheme="majorBidi" w:hAnsiTheme="majorBidi" w:cstheme="majorBidi"/>
          <w:vertAlign w:val="superscript"/>
        </w:rPr>
        <w:t>o</w:t>
      </w:r>
      <w:r w:rsidRPr="000A57E5">
        <w:rPr>
          <w:rFonts w:asciiTheme="majorBidi" w:hAnsiTheme="majorBidi" w:cstheme="majorBidi"/>
        </w:rPr>
        <w:t xml:space="preserve"> 35, </w:t>
      </w:r>
      <w:proofErr w:type="gramStart"/>
      <w:r w:rsidRPr="000A57E5">
        <w:rPr>
          <w:rFonts w:asciiTheme="majorBidi" w:hAnsiTheme="majorBidi" w:cstheme="majorBidi"/>
        </w:rPr>
        <w:t>Larousse ,</w:t>
      </w:r>
      <w:proofErr w:type="gramEnd"/>
      <w:r w:rsidRPr="000A57E5">
        <w:rPr>
          <w:rFonts w:asciiTheme="majorBidi" w:hAnsiTheme="majorBidi" w:cstheme="majorBidi"/>
        </w:rPr>
        <w:t xml:space="preserve"> septembre 1974, </w:t>
      </w:r>
    </w:p>
  </w:footnote>
  <w:footnote w:id="238">
    <w:p w:rsidR="006C092A" w:rsidRPr="005953E0" w:rsidRDefault="006C092A" w:rsidP="005953E0">
      <w:pPr>
        <w:pStyle w:val="Notedebasdepage"/>
        <w:jc w:val="both"/>
        <w:rPr>
          <w:rFonts w:asciiTheme="majorBidi" w:hAnsiTheme="majorBidi" w:cstheme="majorBidi"/>
        </w:rPr>
      </w:pPr>
      <w:r w:rsidRPr="005953E0">
        <w:rPr>
          <w:rStyle w:val="Appelnotedebasdep"/>
          <w:rFonts w:asciiTheme="majorBidi" w:hAnsiTheme="majorBidi" w:cstheme="majorBidi"/>
        </w:rPr>
        <w:footnoteRef/>
      </w:r>
      <w:r w:rsidRPr="005953E0">
        <w:rPr>
          <w:rFonts w:asciiTheme="majorBidi" w:hAnsiTheme="majorBidi" w:cstheme="majorBidi"/>
          <w:i/>
          <w:iCs/>
        </w:rPr>
        <w:t>Ibid.</w:t>
      </w:r>
    </w:p>
  </w:footnote>
  <w:footnote w:id="239">
    <w:p w:rsidR="006C092A" w:rsidRPr="005953E0" w:rsidRDefault="006C092A" w:rsidP="005953E0">
      <w:pPr>
        <w:pStyle w:val="Notedebasdepage"/>
        <w:jc w:val="both"/>
        <w:rPr>
          <w:rFonts w:asciiTheme="majorBidi" w:hAnsiTheme="majorBidi" w:cstheme="majorBidi"/>
        </w:rPr>
      </w:pPr>
      <w:r w:rsidRPr="005953E0">
        <w:rPr>
          <w:rStyle w:val="Appelnotedebasdep"/>
          <w:rFonts w:asciiTheme="majorBidi" w:hAnsiTheme="majorBidi" w:cstheme="majorBidi"/>
        </w:rPr>
        <w:footnoteRef/>
      </w:r>
      <w:r w:rsidRPr="005953E0">
        <w:rPr>
          <w:rFonts w:asciiTheme="majorBidi" w:hAnsiTheme="majorBidi" w:cstheme="majorBidi"/>
        </w:rPr>
        <w:t xml:space="preserve"> </w:t>
      </w:r>
      <w:hyperlink r:id="rId25" w:tooltip="Ferdinand de Saussure" w:history="1">
        <w:r w:rsidRPr="005953E0">
          <w:rPr>
            <w:rFonts w:asciiTheme="majorBidi" w:hAnsiTheme="majorBidi" w:cstheme="majorBidi"/>
            <w:iCs/>
          </w:rPr>
          <w:t>Ferdinand De Saussure</w:t>
        </w:r>
      </w:hyperlink>
      <w:r w:rsidRPr="005953E0">
        <w:rPr>
          <w:rFonts w:asciiTheme="majorBidi" w:hAnsiTheme="majorBidi" w:cstheme="majorBidi"/>
          <w:iCs/>
        </w:rPr>
        <w:t xml:space="preserve"> (</w:t>
      </w:r>
      <w:hyperlink r:id="rId26" w:tooltip="1857" w:history="1">
        <w:r w:rsidRPr="005953E0">
          <w:rPr>
            <w:rFonts w:asciiTheme="majorBidi" w:hAnsiTheme="majorBidi" w:cstheme="majorBidi"/>
            <w:iCs/>
          </w:rPr>
          <w:t>1857</w:t>
        </w:r>
      </w:hyperlink>
      <w:r w:rsidRPr="005953E0">
        <w:rPr>
          <w:rFonts w:asciiTheme="majorBidi" w:hAnsiTheme="majorBidi" w:cstheme="majorBidi"/>
          <w:iCs/>
        </w:rPr>
        <w:t>-</w:t>
      </w:r>
      <w:hyperlink r:id="rId27" w:tooltip="1913" w:history="1">
        <w:r w:rsidRPr="005953E0">
          <w:rPr>
            <w:rFonts w:asciiTheme="majorBidi" w:hAnsiTheme="majorBidi" w:cstheme="majorBidi"/>
            <w:iCs/>
          </w:rPr>
          <w:t>1913</w:t>
        </w:r>
      </w:hyperlink>
      <w:r w:rsidRPr="005953E0">
        <w:rPr>
          <w:rFonts w:asciiTheme="majorBidi" w:hAnsiTheme="majorBidi" w:cstheme="majorBidi"/>
          <w:iCs/>
        </w:rPr>
        <w:t xml:space="preserve">), est souvent considéré comme le père de la </w:t>
      </w:r>
      <w:hyperlink r:id="rId28" w:tooltip="Linguistique" w:history="1">
        <w:r w:rsidRPr="005953E0">
          <w:rPr>
            <w:rFonts w:asciiTheme="majorBidi" w:hAnsiTheme="majorBidi" w:cstheme="majorBidi"/>
            <w:iCs/>
          </w:rPr>
          <w:t>linguistique</w:t>
        </w:r>
      </w:hyperlink>
      <w:r w:rsidRPr="005953E0">
        <w:rPr>
          <w:rFonts w:asciiTheme="majorBidi" w:hAnsiTheme="majorBidi" w:cstheme="majorBidi"/>
          <w:iCs/>
        </w:rPr>
        <w:t xml:space="preserve"> moderne. Il considère la sémiotique comme la science qui étudie la vie des signes au sein de la vie sociale. Selon lui, les signes établissent la relation entre un signifiant et un signifié. La ligne de sémioticiens consécutifs à De Saussure compte </w:t>
      </w:r>
      <w:hyperlink r:id="rId29" w:tooltip="Louis Hjelmslev" w:history="1">
        <w:r w:rsidRPr="005953E0">
          <w:rPr>
            <w:rFonts w:asciiTheme="majorBidi" w:hAnsiTheme="majorBidi" w:cstheme="majorBidi"/>
            <w:iCs/>
          </w:rPr>
          <w:t>Louis Hjelmslev</w:t>
        </w:r>
      </w:hyperlink>
      <w:r w:rsidRPr="005953E0">
        <w:rPr>
          <w:rFonts w:asciiTheme="majorBidi" w:hAnsiTheme="majorBidi" w:cstheme="majorBidi"/>
          <w:iCs/>
        </w:rPr>
        <w:t xml:space="preserve"> et </w:t>
      </w:r>
      <w:hyperlink r:id="rId30" w:tooltip="Algirdas Julien Greimas" w:history="1">
        <w:r w:rsidRPr="005953E0">
          <w:rPr>
            <w:rFonts w:asciiTheme="majorBidi" w:hAnsiTheme="majorBidi" w:cstheme="majorBidi"/>
            <w:iCs/>
          </w:rPr>
          <w:t>Algirdas Julien Greimas</w:t>
        </w:r>
      </w:hyperlink>
      <w:r w:rsidRPr="005953E0">
        <w:rPr>
          <w:rFonts w:asciiTheme="majorBidi" w:hAnsiTheme="majorBidi" w:cstheme="majorBidi"/>
          <w:iCs/>
        </w:rPr>
        <w:t xml:space="preserve">, sémioticiens promurent le principe de l'immanence dans la description des systèmes de signes. C’est donc sous l’impulsion  de De Saussure que la </w:t>
      </w:r>
      <w:hyperlink r:id="rId31" w:tooltip="Linguistique" w:history="1">
        <w:r w:rsidRPr="005953E0">
          <w:rPr>
            <w:rFonts w:asciiTheme="majorBidi" w:hAnsiTheme="majorBidi" w:cstheme="majorBidi"/>
            <w:iCs/>
          </w:rPr>
          <w:t>linguistique</w:t>
        </w:r>
      </w:hyperlink>
      <w:r w:rsidRPr="005953E0">
        <w:rPr>
          <w:rFonts w:asciiTheme="majorBidi" w:hAnsiTheme="majorBidi" w:cstheme="majorBidi"/>
          <w:iCs/>
        </w:rPr>
        <w:t xml:space="preserve"> a longtemps offert ses canons méthodologiques à la sémiotique comme jeune discipline. Les travaux de </w:t>
      </w:r>
      <w:hyperlink r:id="rId32" w:tooltip="Roland Barthes" w:history="1">
        <w:r w:rsidRPr="005953E0">
          <w:rPr>
            <w:rFonts w:asciiTheme="majorBidi" w:hAnsiTheme="majorBidi" w:cstheme="majorBidi"/>
            <w:iCs/>
          </w:rPr>
          <w:t>Roland Barthes</w:t>
        </w:r>
      </w:hyperlink>
      <w:r w:rsidRPr="005953E0">
        <w:rPr>
          <w:rFonts w:asciiTheme="majorBidi" w:hAnsiTheme="majorBidi" w:cstheme="majorBidi"/>
          <w:iCs/>
        </w:rPr>
        <w:t xml:space="preserve"> s’inscriront dans la même logique et en sont un parfait témoignage.</w:t>
      </w:r>
    </w:p>
  </w:footnote>
  <w:footnote w:id="240">
    <w:p w:rsidR="006C092A" w:rsidRPr="005953E0" w:rsidRDefault="006C092A" w:rsidP="005953E0">
      <w:pPr>
        <w:pStyle w:val="Notedebasdepage"/>
        <w:jc w:val="both"/>
        <w:rPr>
          <w:rFonts w:asciiTheme="majorBidi" w:hAnsiTheme="majorBidi" w:cstheme="majorBidi"/>
        </w:rPr>
      </w:pPr>
      <w:r w:rsidRPr="005953E0">
        <w:rPr>
          <w:rStyle w:val="Appelnotedebasdep"/>
          <w:rFonts w:asciiTheme="majorBidi" w:hAnsiTheme="majorBidi" w:cstheme="majorBidi"/>
        </w:rPr>
        <w:footnoteRef/>
      </w:r>
      <w:r w:rsidRPr="005953E0">
        <w:rPr>
          <w:rFonts w:asciiTheme="majorBidi" w:eastAsia="Times New Roman" w:hAnsiTheme="majorBidi" w:cstheme="majorBidi"/>
          <w:lang w:eastAsia="fr-FR"/>
        </w:rPr>
        <w:t xml:space="preserve">Nijolė </w:t>
      </w:r>
      <w:r w:rsidRPr="005953E0">
        <w:rPr>
          <w:rFonts w:asciiTheme="majorBidi" w:hAnsiTheme="majorBidi" w:cstheme="majorBidi"/>
        </w:rPr>
        <w:t>Kersyté, « Les interactions discursives : entre sémiotique narrative et narratologie</w:t>
      </w:r>
      <w:r w:rsidRPr="005953E0">
        <w:rPr>
          <w:rFonts w:asciiTheme="majorBidi" w:hAnsiTheme="majorBidi" w:cstheme="majorBidi"/>
          <w:i/>
          <w:iCs/>
        </w:rPr>
        <w:t xml:space="preserve"> » in Synergies Pays Riverains de la Baltique n°5</w:t>
      </w:r>
      <w:r w:rsidRPr="005953E0">
        <w:rPr>
          <w:rFonts w:asciiTheme="majorBidi" w:hAnsiTheme="majorBidi" w:cstheme="majorBidi"/>
        </w:rPr>
        <w:t>, 2008, p.85-104.</w:t>
      </w:r>
    </w:p>
  </w:footnote>
  <w:footnote w:id="241">
    <w:p w:rsidR="006C092A" w:rsidRPr="005953E0" w:rsidRDefault="006C092A" w:rsidP="005953E0">
      <w:pPr>
        <w:pStyle w:val="Notedebasdepage"/>
        <w:jc w:val="both"/>
        <w:rPr>
          <w:rFonts w:asciiTheme="majorBidi" w:hAnsiTheme="majorBidi" w:cstheme="majorBidi"/>
        </w:rPr>
      </w:pPr>
      <w:r w:rsidRPr="005953E0">
        <w:rPr>
          <w:rStyle w:val="Appelnotedebasdep"/>
          <w:rFonts w:asciiTheme="majorBidi" w:hAnsiTheme="majorBidi" w:cstheme="majorBidi"/>
        </w:rPr>
        <w:footnoteRef/>
      </w:r>
      <w:r w:rsidRPr="005953E0">
        <w:rPr>
          <w:rFonts w:asciiTheme="majorBidi" w:hAnsiTheme="majorBidi" w:cstheme="majorBidi"/>
          <w:i/>
          <w:iCs/>
        </w:rPr>
        <w:t>Ibid.</w:t>
      </w:r>
    </w:p>
  </w:footnote>
  <w:footnote w:id="242">
    <w:p w:rsidR="006C092A" w:rsidRPr="00C179FD" w:rsidRDefault="006C092A" w:rsidP="00C179FD">
      <w:pPr>
        <w:pStyle w:val="Notedebasdepage"/>
        <w:jc w:val="both"/>
        <w:rPr>
          <w:rFonts w:asciiTheme="majorBidi" w:hAnsiTheme="majorBidi" w:cstheme="majorBidi"/>
        </w:rPr>
      </w:pPr>
      <w:r w:rsidRPr="00C179FD">
        <w:rPr>
          <w:rStyle w:val="Appelnotedebasdep"/>
          <w:rFonts w:asciiTheme="majorBidi" w:hAnsiTheme="majorBidi" w:cstheme="majorBidi"/>
        </w:rPr>
        <w:footnoteRef/>
      </w:r>
      <w:r w:rsidRPr="00C179FD">
        <w:rPr>
          <w:rFonts w:asciiTheme="majorBidi" w:hAnsiTheme="majorBidi" w:cstheme="majorBidi"/>
          <w:i/>
          <w:iCs/>
        </w:rPr>
        <w:t xml:space="preserve">Ibid. </w:t>
      </w:r>
      <w:r w:rsidRPr="00C179FD">
        <w:rPr>
          <w:rFonts w:asciiTheme="majorBidi" w:hAnsiTheme="majorBidi" w:cstheme="majorBidi"/>
          <w:iCs/>
        </w:rPr>
        <w:t>p.4.</w:t>
      </w:r>
    </w:p>
  </w:footnote>
  <w:footnote w:id="243">
    <w:p w:rsidR="006C092A" w:rsidRPr="00C179FD" w:rsidRDefault="006C092A" w:rsidP="00C179FD">
      <w:pPr>
        <w:pStyle w:val="Notedebasdepage"/>
        <w:jc w:val="both"/>
        <w:rPr>
          <w:rFonts w:asciiTheme="majorBidi" w:hAnsiTheme="majorBidi" w:cstheme="majorBidi"/>
        </w:rPr>
      </w:pPr>
      <w:r w:rsidRPr="00C179FD">
        <w:rPr>
          <w:rStyle w:val="Appelnotedebasdep"/>
          <w:rFonts w:asciiTheme="majorBidi" w:hAnsiTheme="majorBidi" w:cstheme="majorBidi"/>
        </w:rPr>
        <w:footnoteRef/>
      </w:r>
      <w:r w:rsidRPr="00C179FD">
        <w:rPr>
          <w:rFonts w:asciiTheme="majorBidi" w:hAnsiTheme="majorBidi" w:cstheme="majorBidi"/>
          <w:i/>
          <w:iCs/>
        </w:rPr>
        <w:t>Ibid.</w:t>
      </w:r>
    </w:p>
  </w:footnote>
  <w:footnote w:id="244">
    <w:p w:rsidR="006C092A" w:rsidRPr="008B5FF4" w:rsidRDefault="006C092A" w:rsidP="008B5FF4">
      <w:pPr>
        <w:pStyle w:val="Notedebasdepage"/>
        <w:jc w:val="both"/>
        <w:rPr>
          <w:rFonts w:asciiTheme="majorBidi" w:hAnsiTheme="majorBidi" w:cstheme="majorBidi"/>
        </w:rPr>
      </w:pPr>
      <w:r w:rsidRPr="008B5FF4">
        <w:rPr>
          <w:rStyle w:val="Appelnotedebasdep"/>
          <w:rFonts w:asciiTheme="majorBidi" w:hAnsiTheme="majorBidi" w:cstheme="majorBidi"/>
        </w:rPr>
        <w:footnoteRef/>
      </w:r>
      <w:r w:rsidRPr="008B5FF4">
        <w:rPr>
          <w:rFonts w:asciiTheme="majorBidi" w:hAnsiTheme="majorBidi" w:cstheme="majorBidi"/>
        </w:rPr>
        <w:t>D. Bertrand (</w:t>
      </w:r>
      <w:r w:rsidRPr="008B5FF4">
        <w:rPr>
          <w:rFonts w:asciiTheme="majorBidi" w:hAnsiTheme="majorBidi" w:cstheme="majorBidi"/>
          <w:i/>
          <w:iCs/>
        </w:rPr>
        <w:t>et al</w:t>
      </w:r>
      <w:r w:rsidRPr="008B5FF4">
        <w:rPr>
          <w:rFonts w:asciiTheme="majorBidi" w:hAnsiTheme="majorBidi" w:cstheme="majorBidi"/>
        </w:rPr>
        <w:t xml:space="preserve">), </w:t>
      </w:r>
      <w:r w:rsidRPr="008B5FF4">
        <w:rPr>
          <w:rFonts w:asciiTheme="majorBidi" w:hAnsiTheme="majorBidi" w:cstheme="majorBidi"/>
          <w:i/>
          <w:iCs/>
        </w:rPr>
        <w:t>La transversalité du sens. Parcours sémiotiques, </w:t>
      </w:r>
      <w:r w:rsidRPr="008B5FF4">
        <w:rPr>
          <w:rFonts w:asciiTheme="majorBidi" w:hAnsiTheme="majorBidi" w:cstheme="majorBidi"/>
        </w:rPr>
        <w:t>Saint-Denis, PUV, 2007.</w:t>
      </w:r>
    </w:p>
  </w:footnote>
  <w:footnote w:id="245">
    <w:p w:rsidR="006C092A" w:rsidRPr="008B5FF4" w:rsidRDefault="006C092A" w:rsidP="008B5FF4">
      <w:pPr>
        <w:pStyle w:val="Notedebasdepage"/>
        <w:jc w:val="both"/>
        <w:rPr>
          <w:rFonts w:asciiTheme="majorBidi" w:hAnsiTheme="majorBidi" w:cstheme="majorBidi"/>
        </w:rPr>
      </w:pPr>
      <w:r w:rsidRPr="008B5FF4">
        <w:rPr>
          <w:rStyle w:val="Appelnotedebasdep"/>
          <w:rFonts w:asciiTheme="majorBidi" w:hAnsiTheme="majorBidi" w:cstheme="majorBidi"/>
        </w:rPr>
        <w:footnoteRef/>
      </w:r>
      <w:r w:rsidRPr="008B5FF4">
        <w:rPr>
          <w:rFonts w:asciiTheme="majorBidi" w:hAnsiTheme="majorBidi" w:cstheme="majorBidi"/>
        </w:rPr>
        <w:t xml:space="preserve">D. Bertrand, </w:t>
      </w:r>
      <w:r w:rsidRPr="008B5FF4">
        <w:rPr>
          <w:rFonts w:asciiTheme="majorBidi" w:hAnsiTheme="majorBidi" w:cstheme="majorBidi"/>
          <w:i/>
          <w:iCs/>
        </w:rPr>
        <w:t>Précis de Sémiotique Littéraire</w:t>
      </w:r>
      <w:r w:rsidRPr="008B5FF4">
        <w:rPr>
          <w:rFonts w:asciiTheme="majorBidi" w:hAnsiTheme="majorBidi" w:cstheme="majorBidi"/>
        </w:rPr>
        <w:t>, Nathan, Paris, 2000.</w:t>
      </w:r>
    </w:p>
  </w:footnote>
  <w:footnote w:id="246">
    <w:p w:rsidR="006C092A" w:rsidRPr="008B5FF4" w:rsidRDefault="006C092A" w:rsidP="008B5FF4">
      <w:pPr>
        <w:pStyle w:val="Notedebasdepage"/>
        <w:jc w:val="both"/>
        <w:rPr>
          <w:rFonts w:asciiTheme="majorBidi" w:hAnsiTheme="majorBidi" w:cstheme="majorBidi"/>
        </w:rPr>
      </w:pPr>
      <w:r w:rsidRPr="008B5FF4">
        <w:rPr>
          <w:rStyle w:val="Appelnotedebasdep"/>
          <w:rFonts w:asciiTheme="majorBidi" w:hAnsiTheme="majorBidi" w:cstheme="majorBidi"/>
        </w:rPr>
        <w:footnoteRef/>
      </w:r>
      <w:r w:rsidRPr="008B5FF4">
        <w:rPr>
          <w:rFonts w:asciiTheme="majorBidi" w:hAnsiTheme="majorBidi" w:cstheme="majorBidi"/>
        </w:rPr>
        <w:t>D. Bertrand,  « Sémiotique du discours et lecture des textes », in J. Fontanille, éd., « Sémiotique et enseignement du français », </w:t>
      </w:r>
      <w:r w:rsidRPr="008B5FF4">
        <w:rPr>
          <w:rFonts w:asciiTheme="majorBidi" w:hAnsiTheme="majorBidi" w:cstheme="majorBidi"/>
          <w:i/>
          <w:iCs/>
        </w:rPr>
        <w:t>Langue française</w:t>
      </w:r>
      <w:r w:rsidRPr="008B5FF4">
        <w:rPr>
          <w:rFonts w:asciiTheme="majorBidi" w:hAnsiTheme="majorBidi" w:cstheme="majorBidi"/>
        </w:rPr>
        <w:t>, 61, Paris : Larousse, 1983, p. 9-26</w:t>
      </w:r>
    </w:p>
  </w:footnote>
  <w:footnote w:id="247">
    <w:p w:rsidR="006C092A" w:rsidRPr="008B5FF4" w:rsidRDefault="006C092A" w:rsidP="008B5FF4">
      <w:pPr>
        <w:pStyle w:val="Notedebasdepage"/>
        <w:jc w:val="both"/>
        <w:rPr>
          <w:rFonts w:asciiTheme="majorBidi" w:hAnsiTheme="majorBidi" w:cstheme="majorBidi"/>
        </w:rPr>
      </w:pPr>
      <w:r w:rsidRPr="008B5FF4">
        <w:rPr>
          <w:rStyle w:val="Appelnotedebasdep"/>
          <w:rFonts w:asciiTheme="majorBidi" w:hAnsiTheme="majorBidi" w:cstheme="majorBidi"/>
        </w:rPr>
        <w:footnoteRef/>
      </w:r>
      <w:r w:rsidRPr="008B5FF4">
        <w:rPr>
          <w:rFonts w:asciiTheme="majorBidi" w:hAnsiTheme="majorBidi" w:cstheme="majorBidi"/>
        </w:rPr>
        <w:t>J. Fontanille, </w:t>
      </w:r>
      <w:r w:rsidRPr="008B5FF4">
        <w:rPr>
          <w:rFonts w:asciiTheme="majorBidi" w:hAnsiTheme="majorBidi" w:cstheme="majorBidi"/>
          <w:i/>
          <w:iCs/>
        </w:rPr>
        <w:t>Modes du sensible et syntaxe figurative</w:t>
      </w:r>
      <w:r w:rsidRPr="008B5FF4">
        <w:rPr>
          <w:rFonts w:asciiTheme="majorBidi" w:hAnsiTheme="majorBidi" w:cstheme="majorBidi"/>
        </w:rPr>
        <w:t>, Nouveaux actes sémiotiques(Limoges) 061-63, 1-68, Université de Limoges, 1999. Voir aussi  J. Greimas et J. Fontanille,</w:t>
      </w:r>
      <w:r w:rsidRPr="008B5FF4">
        <w:rPr>
          <w:rFonts w:asciiTheme="majorBidi" w:hAnsiTheme="majorBidi" w:cstheme="majorBidi"/>
          <w:i/>
          <w:iCs/>
        </w:rPr>
        <w:t xml:space="preserve"> sémiotique des passions. Des états de choses aux états d'âme</w:t>
      </w:r>
      <w:r w:rsidRPr="008B5FF4">
        <w:rPr>
          <w:rFonts w:asciiTheme="majorBidi" w:hAnsiTheme="majorBidi" w:cstheme="majorBidi"/>
        </w:rPr>
        <w:t>, Seuil, Paris, 1991.</w:t>
      </w:r>
    </w:p>
  </w:footnote>
  <w:footnote w:id="248">
    <w:p w:rsidR="006C092A" w:rsidRPr="008B5FF4" w:rsidRDefault="006C092A" w:rsidP="008B5FF4">
      <w:pPr>
        <w:pStyle w:val="Notedebasdepage"/>
        <w:jc w:val="both"/>
        <w:rPr>
          <w:rFonts w:asciiTheme="majorBidi" w:hAnsiTheme="majorBidi" w:cstheme="majorBidi"/>
        </w:rPr>
      </w:pPr>
      <w:r w:rsidRPr="008B5FF4">
        <w:rPr>
          <w:rStyle w:val="Appelnotedebasdep"/>
          <w:rFonts w:asciiTheme="majorBidi" w:hAnsiTheme="majorBidi" w:cstheme="majorBidi"/>
        </w:rPr>
        <w:footnoteRef/>
      </w:r>
      <w:r w:rsidRPr="008B5FF4">
        <w:rPr>
          <w:rFonts w:asciiTheme="majorBidi" w:hAnsiTheme="majorBidi" w:cstheme="majorBidi"/>
        </w:rPr>
        <w:t>D. Bertrand, </w:t>
      </w:r>
      <w:r w:rsidRPr="008B5FF4">
        <w:rPr>
          <w:rFonts w:asciiTheme="majorBidi" w:hAnsiTheme="majorBidi" w:cstheme="majorBidi"/>
          <w:i/>
          <w:iCs/>
        </w:rPr>
        <w:t xml:space="preserve">Parler pour convaincre. Rhétorique et discours, </w:t>
      </w:r>
      <w:r w:rsidRPr="008B5FF4">
        <w:rPr>
          <w:rFonts w:asciiTheme="majorBidi" w:hAnsiTheme="majorBidi" w:cstheme="majorBidi"/>
          <w:iCs/>
        </w:rPr>
        <w:t>Gallimard, Paris, 1999.</w:t>
      </w:r>
    </w:p>
  </w:footnote>
  <w:footnote w:id="249">
    <w:p w:rsidR="006C092A" w:rsidRPr="00FB25B4" w:rsidRDefault="006C092A" w:rsidP="00FB25B4">
      <w:pPr>
        <w:pStyle w:val="Notedebasdepage"/>
        <w:jc w:val="both"/>
        <w:rPr>
          <w:rFonts w:asciiTheme="majorBidi" w:hAnsiTheme="majorBidi" w:cstheme="majorBidi"/>
          <w:b/>
          <w:bCs/>
        </w:rPr>
      </w:pPr>
      <w:r w:rsidRPr="00FB25B4">
        <w:rPr>
          <w:rStyle w:val="Appelnotedebasdep"/>
          <w:rFonts w:asciiTheme="majorBidi" w:hAnsiTheme="majorBidi" w:cstheme="majorBidi"/>
        </w:rPr>
        <w:footnoteRef/>
      </w:r>
      <w:r w:rsidRPr="00FB25B4">
        <w:rPr>
          <w:rFonts w:asciiTheme="majorBidi" w:hAnsiTheme="majorBidi" w:cstheme="majorBidi"/>
        </w:rPr>
        <w:t>Suivant la structuration proposé par L. Panier, « La sémiotique discursive : une analyse de la signification et de ses Fonctionnements ; une pratique de la lecture des textes », Fiche académique, Université Lyon Lumière 2, 2009</w:t>
      </w:r>
      <w:r>
        <w:rPr>
          <w:rFonts w:asciiTheme="majorBidi" w:hAnsiTheme="majorBidi" w:cstheme="majorBidi"/>
        </w:rPr>
        <w:t>.</w:t>
      </w:r>
    </w:p>
  </w:footnote>
  <w:footnote w:id="250">
    <w:p w:rsidR="006C092A" w:rsidRPr="00FB25B4" w:rsidRDefault="006C092A" w:rsidP="00FB25B4">
      <w:pPr>
        <w:pStyle w:val="Notedebasdepage"/>
        <w:jc w:val="both"/>
        <w:rPr>
          <w:rFonts w:asciiTheme="majorBidi" w:hAnsiTheme="majorBidi" w:cstheme="majorBidi"/>
          <w:lang w:val="en-US"/>
        </w:rPr>
      </w:pPr>
      <w:r w:rsidRPr="00FB25B4">
        <w:rPr>
          <w:rStyle w:val="Appelnotedebasdep"/>
          <w:rFonts w:asciiTheme="majorBidi" w:hAnsiTheme="majorBidi" w:cstheme="majorBidi"/>
        </w:rPr>
        <w:footnoteRef/>
      </w:r>
      <w:r w:rsidRPr="00FB25B4">
        <w:rPr>
          <w:rFonts w:asciiTheme="majorBidi" w:hAnsiTheme="majorBidi" w:cstheme="majorBidi"/>
          <w:lang w:val="en-US"/>
        </w:rPr>
        <w:t xml:space="preserve">L. Panier, </w:t>
      </w:r>
      <w:proofErr w:type="gramStart"/>
      <w:r w:rsidRPr="00FB25B4">
        <w:rPr>
          <w:rFonts w:asciiTheme="majorBidi" w:hAnsiTheme="majorBidi" w:cstheme="majorBidi"/>
          <w:i/>
          <w:iCs/>
          <w:lang w:val="en-US"/>
        </w:rPr>
        <w:t>op.cit.,</w:t>
      </w:r>
      <w:proofErr w:type="gramEnd"/>
      <w:r w:rsidRPr="00FB25B4">
        <w:rPr>
          <w:rFonts w:asciiTheme="majorBidi" w:hAnsiTheme="majorBidi" w:cstheme="majorBidi"/>
          <w:i/>
          <w:iCs/>
          <w:lang w:val="en-US"/>
        </w:rPr>
        <w:t xml:space="preserve"> </w:t>
      </w:r>
      <w:r w:rsidRPr="00FB25B4">
        <w:rPr>
          <w:rFonts w:asciiTheme="majorBidi" w:hAnsiTheme="majorBidi" w:cstheme="majorBidi"/>
          <w:lang w:val="en-US"/>
        </w:rPr>
        <w:t>p.4</w:t>
      </w:r>
      <w:r>
        <w:rPr>
          <w:rFonts w:asciiTheme="majorBidi" w:hAnsiTheme="majorBidi" w:cstheme="majorBidi"/>
          <w:lang w:val="en-US"/>
        </w:rPr>
        <w:t>.</w:t>
      </w:r>
    </w:p>
  </w:footnote>
  <w:footnote w:id="251">
    <w:p w:rsidR="006C092A" w:rsidRPr="00FB25B4" w:rsidRDefault="006C092A" w:rsidP="00FB25B4">
      <w:pPr>
        <w:pStyle w:val="Notedebasdepage"/>
        <w:jc w:val="both"/>
        <w:rPr>
          <w:rFonts w:asciiTheme="majorBidi" w:hAnsiTheme="majorBidi" w:cstheme="majorBidi"/>
          <w:b/>
          <w:bCs/>
          <w:lang w:val="en-US"/>
        </w:rPr>
      </w:pPr>
      <w:r w:rsidRPr="00FB25B4">
        <w:rPr>
          <w:rStyle w:val="Appelnotedebasdep"/>
          <w:rFonts w:asciiTheme="majorBidi" w:hAnsiTheme="majorBidi" w:cstheme="majorBidi"/>
        </w:rPr>
        <w:footnoteRef/>
      </w:r>
      <w:proofErr w:type="gramStart"/>
      <w:r w:rsidRPr="00FB25B4">
        <w:rPr>
          <w:rFonts w:asciiTheme="majorBidi" w:hAnsiTheme="majorBidi" w:cstheme="majorBidi"/>
          <w:i/>
          <w:iCs/>
          <w:lang w:val="en-US"/>
        </w:rPr>
        <w:t>Ibid</w:t>
      </w:r>
      <w:r w:rsidRPr="00FB25B4">
        <w:rPr>
          <w:rFonts w:asciiTheme="majorBidi" w:hAnsiTheme="majorBidi" w:cstheme="majorBidi"/>
          <w:lang w:val="en-US"/>
        </w:rPr>
        <w:t>, p.5</w:t>
      </w:r>
      <w:r>
        <w:rPr>
          <w:rFonts w:asciiTheme="majorBidi" w:hAnsiTheme="majorBidi" w:cstheme="majorBidi"/>
          <w:lang w:val="en-US"/>
        </w:rPr>
        <w:t>.</w:t>
      </w:r>
      <w:proofErr w:type="gramEnd"/>
    </w:p>
  </w:footnote>
  <w:footnote w:id="252">
    <w:p w:rsidR="006C092A" w:rsidRPr="007804BB" w:rsidRDefault="006C092A" w:rsidP="007804BB">
      <w:pPr>
        <w:pStyle w:val="Notedebasdepage"/>
        <w:jc w:val="both"/>
        <w:rPr>
          <w:rFonts w:asciiTheme="majorBidi" w:hAnsiTheme="majorBidi" w:cstheme="majorBidi"/>
        </w:rPr>
      </w:pPr>
      <w:r w:rsidRPr="007804BB">
        <w:rPr>
          <w:rStyle w:val="Appelnotedebasdep"/>
          <w:rFonts w:asciiTheme="majorBidi" w:hAnsiTheme="majorBidi" w:cstheme="majorBidi"/>
        </w:rPr>
        <w:footnoteRef/>
      </w:r>
      <w:r w:rsidRPr="007804BB">
        <w:rPr>
          <w:rFonts w:asciiTheme="majorBidi" w:hAnsiTheme="majorBidi" w:cstheme="majorBidi"/>
          <w:i/>
          <w:iCs/>
        </w:rPr>
        <w:t>Ibid</w:t>
      </w:r>
      <w:r w:rsidRPr="007804BB">
        <w:rPr>
          <w:rFonts w:asciiTheme="majorBidi" w:hAnsiTheme="majorBidi" w:cstheme="majorBidi"/>
        </w:rPr>
        <w:t>, p.6</w:t>
      </w:r>
    </w:p>
  </w:footnote>
  <w:footnote w:id="253">
    <w:p w:rsidR="006C092A" w:rsidRPr="007804BB" w:rsidRDefault="006C092A" w:rsidP="007804BB">
      <w:pPr>
        <w:pStyle w:val="Notedebasdepage"/>
        <w:jc w:val="both"/>
        <w:rPr>
          <w:rFonts w:asciiTheme="majorBidi" w:hAnsiTheme="majorBidi" w:cstheme="majorBidi"/>
        </w:rPr>
      </w:pPr>
      <w:r w:rsidRPr="007804BB">
        <w:rPr>
          <w:rStyle w:val="Appelnotedebasdep"/>
          <w:rFonts w:asciiTheme="majorBidi" w:hAnsiTheme="majorBidi" w:cstheme="majorBidi"/>
        </w:rPr>
        <w:footnoteRef/>
      </w:r>
      <w:r w:rsidRPr="007804BB">
        <w:rPr>
          <w:rFonts w:asciiTheme="majorBidi" w:hAnsiTheme="majorBidi" w:cstheme="majorBidi"/>
          <w:i/>
        </w:rPr>
        <w:t>Ibid</w:t>
      </w:r>
      <w:r w:rsidRPr="007804BB">
        <w:rPr>
          <w:rFonts w:asciiTheme="majorBidi" w:hAnsiTheme="majorBidi" w:cstheme="majorBidi"/>
          <w:iCs/>
        </w:rPr>
        <w:t>. p.2</w:t>
      </w:r>
    </w:p>
  </w:footnote>
  <w:footnote w:id="254">
    <w:p w:rsidR="006C092A" w:rsidRPr="007804BB" w:rsidRDefault="006C092A" w:rsidP="007804BB">
      <w:pPr>
        <w:pStyle w:val="Notedebasdepage"/>
        <w:jc w:val="both"/>
        <w:rPr>
          <w:rFonts w:asciiTheme="majorBidi" w:hAnsiTheme="majorBidi" w:cstheme="majorBidi"/>
        </w:rPr>
      </w:pPr>
      <w:r w:rsidRPr="007804BB">
        <w:rPr>
          <w:rStyle w:val="Appelnotedebasdep"/>
          <w:rFonts w:asciiTheme="majorBidi" w:hAnsiTheme="majorBidi" w:cstheme="majorBidi"/>
        </w:rPr>
        <w:footnoteRef/>
      </w:r>
      <w:r w:rsidRPr="007804BB">
        <w:rPr>
          <w:rFonts w:asciiTheme="majorBidi" w:hAnsiTheme="majorBidi" w:cstheme="majorBidi"/>
        </w:rPr>
        <w:t xml:space="preserve"> Michel Mathieu-Cplas, « Frontières de la narratologie », in </w:t>
      </w:r>
      <w:r w:rsidRPr="007804BB">
        <w:rPr>
          <w:rFonts w:asciiTheme="majorBidi" w:hAnsiTheme="majorBidi" w:cstheme="majorBidi"/>
          <w:i/>
          <w:iCs/>
        </w:rPr>
        <w:t>Poétique</w:t>
      </w:r>
      <w:r w:rsidRPr="007804BB">
        <w:rPr>
          <w:rFonts w:asciiTheme="majorBidi" w:hAnsiTheme="majorBidi" w:cstheme="majorBidi"/>
        </w:rPr>
        <w:t xml:space="preserve"> n°65, février 1986, Seuil, Paris, p. 91-110.</w:t>
      </w:r>
    </w:p>
  </w:footnote>
  <w:footnote w:id="255">
    <w:p w:rsidR="006C092A" w:rsidRPr="007804BB" w:rsidRDefault="006C092A" w:rsidP="007804BB">
      <w:pPr>
        <w:autoSpaceDE w:val="0"/>
        <w:autoSpaceDN w:val="0"/>
        <w:adjustRightInd w:val="0"/>
        <w:spacing w:after="0" w:line="240" w:lineRule="auto"/>
        <w:jc w:val="both"/>
        <w:rPr>
          <w:rFonts w:asciiTheme="majorBidi" w:hAnsiTheme="majorBidi" w:cstheme="majorBidi"/>
          <w:sz w:val="20"/>
          <w:szCs w:val="20"/>
        </w:rPr>
      </w:pPr>
      <w:r w:rsidRPr="007804BB">
        <w:rPr>
          <w:rStyle w:val="Appelnotedebasdep"/>
          <w:rFonts w:asciiTheme="majorBidi" w:hAnsiTheme="majorBidi" w:cstheme="majorBidi"/>
          <w:sz w:val="20"/>
          <w:szCs w:val="20"/>
        </w:rPr>
        <w:footnoteRef/>
      </w:r>
      <w:r w:rsidRPr="007804BB">
        <w:rPr>
          <w:rFonts w:asciiTheme="majorBidi" w:hAnsiTheme="majorBidi" w:cstheme="majorBidi"/>
          <w:sz w:val="20"/>
          <w:szCs w:val="20"/>
        </w:rPr>
        <w:t xml:space="preserve">« Retracez-lui d’Esther l’histoire glorieuse (...) », Fait dire Racine à la Piété, s’adressant aux actrices qui s’apprêtent à jouer (Prologue </w:t>
      </w:r>
      <w:r w:rsidRPr="007804BB">
        <w:rPr>
          <w:rFonts w:asciiTheme="majorBidi" w:hAnsiTheme="majorBidi" w:cstheme="majorBidi"/>
          <w:i/>
          <w:iCs/>
          <w:sz w:val="20"/>
          <w:szCs w:val="20"/>
        </w:rPr>
        <w:t>d’Esther</w:t>
      </w:r>
      <w:r w:rsidRPr="007804BB">
        <w:rPr>
          <w:rFonts w:asciiTheme="majorBidi" w:hAnsiTheme="majorBidi" w:cstheme="majorBidi"/>
          <w:sz w:val="20"/>
          <w:szCs w:val="20"/>
        </w:rPr>
        <w:t>).</w:t>
      </w:r>
    </w:p>
  </w:footnote>
  <w:footnote w:id="256">
    <w:p w:rsidR="006C092A" w:rsidRPr="00BF384C" w:rsidRDefault="006C092A" w:rsidP="00BF384C">
      <w:pPr>
        <w:autoSpaceDE w:val="0"/>
        <w:autoSpaceDN w:val="0"/>
        <w:adjustRightInd w:val="0"/>
        <w:spacing w:after="0" w:line="240" w:lineRule="auto"/>
        <w:jc w:val="both"/>
        <w:rPr>
          <w:rFonts w:ascii="Times New Roman" w:hAnsi="Times New Roman"/>
          <w:i/>
          <w:iCs/>
          <w:sz w:val="20"/>
          <w:szCs w:val="20"/>
        </w:rPr>
      </w:pPr>
      <w:r w:rsidRPr="00BF384C">
        <w:rPr>
          <w:rStyle w:val="Appelnotedebasdep"/>
          <w:rFonts w:ascii="Times New Roman" w:hAnsi="Times New Roman"/>
          <w:sz w:val="20"/>
          <w:szCs w:val="20"/>
        </w:rPr>
        <w:footnoteRef/>
      </w:r>
      <w:r w:rsidRPr="00BF384C">
        <w:rPr>
          <w:rFonts w:ascii="Times New Roman" w:hAnsi="Times New Roman"/>
          <w:i/>
          <w:iCs/>
          <w:sz w:val="20"/>
          <w:szCs w:val="20"/>
        </w:rPr>
        <w:t xml:space="preserve">Dictionnaire du théâtre, op. </w:t>
      </w:r>
      <w:proofErr w:type="gramStart"/>
      <w:r w:rsidRPr="00BF384C">
        <w:rPr>
          <w:rFonts w:ascii="Times New Roman" w:hAnsi="Times New Roman"/>
          <w:i/>
          <w:iCs/>
          <w:sz w:val="20"/>
          <w:szCs w:val="20"/>
        </w:rPr>
        <w:t>cit.,</w:t>
      </w:r>
      <w:proofErr w:type="gramEnd"/>
      <w:r w:rsidRPr="00BF384C">
        <w:rPr>
          <w:rFonts w:ascii="Times New Roman" w:hAnsi="Times New Roman"/>
          <w:i/>
          <w:iCs/>
          <w:sz w:val="20"/>
          <w:szCs w:val="20"/>
        </w:rPr>
        <w:t xml:space="preserve"> </w:t>
      </w:r>
      <w:r w:rsidRPr="00BF384C">
        <w:rPr>
          <w:rFonts w:ascii="Times New Roman" w:hAnsi="Times New Roman"/>
          <w:sz w:val="20"/>
          <w:szCs w:val="20"/>
        </w:rPr>
        <w:t xml:space="preserve">p. 35 (« par </w:t>
      </w:r>
      <w:r w:rsidRPr="00BF384C">
        <w:rPr>
          <w:rFonts w:ascii="Times New Roman" w:hAnsi="Times New Roman"/>
          <w:i/>
          <w:iCs/>
          <w:sz w:val="20"/>
          <w:szCs w:val="20"/>
        </w:rPr>
        <w:t xml:space="preserve">analyse du récit, </w:t>
      </w:r>
      <w:r w:rsidRPr="00BF384C">
        <w:rPr>
          <w:rFonts w:ascii="Times New Roman" w:hAnsi="Times New Roman"/>
          <w:sz w:val="20"/>
          <w:szCs w:val="20"/>
        </w:rPr>
        <w:t xml:space="preserve">on entend non pas l’examen </w:t>
      </w:r>
      <w:r w:rsidRPr="00BF384C">
        <w:rPr>
          <w:rFonts w:ascii="Times New Roman" w:hAnsi="Times New Roman"/>
          <w:i/>
          <w:iCs/>
          <w:sz w:val="20"/>
          <w:szCs w:val="20"/>
        </w:rPr>
        <w:t xml:space="preserve">des </w:t>
      </w:r>
      <w:r w:rsidRPr="00BF384C">
        <w:rPr>
          <w:rFonts w:ascii="Times New Roman" w:hAnsi="Times New Roman"/>
          <w:sz w:val="20"/>
          <w:szCs w:val="20"/>
        </w:rPr>
        <w:t>récits des personnages, mais l’étude de la narrativité au théâtre »). On observera ici la justification</w:t>
      </w:r>
      <w:r w:rsidRPr="00BF384C">
        <w:rPr>
          <w:rFonts w:ascii="Times New Roman" w:hAnsi="Times New Roman"/>
          <w:i/>
          <w:iCs/>
          <w:sz w:val="20"/>
          <w:szCs w:val="20"/>
        </w:rPr>
        <w:t xml:space="preserve"> </w:t>
      </w:r>
      <w:r w:rsidRPr="00BF384C">
        <w:rPr>
          <w:rFonts w:ascii="Times New Roman" w:hAnsi="Times New Roman"/>
          <w:sz w:val="20"/>
          <w:szCs w:val="20"/>
        </w:rPr>
        <w:t>modale de la métonymie : est récit, au théâtre, ce qui pourrait être narré. Comme l’indique Jacques</w:t>
      </w:r>
      <w:r w:rsidRPr="00BF384C">
        <w:rPr>
          <w:rFonts w:ascii="Times New Roman" w:hAnsi="Times New Roman"/>
          <w:i/>
          <w:iCs/>
          <w:sz w:val="20"/>
          <w:szCs w:val="20"/>
        </w:rPr>
        <w:t xml:space="preserve"> </w:t>
      </w:r>
      <w:r w:rsidRPr="00BF384C">
        <w:rPr>
          <w:rFonts w:ascii="Times New Roman" w:hAnsi="Times New Roman"/>
          <w:sz w:val="20"/>
          <w:szCs w:val="20"/>
        </w:rPr>
        <w:t xml:space="preserve">Schérer à propos de </w:t>
      </w:r>
      <w:r w:rsidRPr="00BF384C">
        <w:rPr>
          <w:rFonts w:ascii="Times New Roman" w:hAnsi="Times New Roman"/>
          <w:i/>
          <w:iCs/>
          <w:sz w:val="20"/>
          <w:szCs w:val="20"/>
        </w:rPr>
        <w:t xml:space="preserve">Dom Juan, </w:t>
      </w:r>
      <w:r w:rsidRPr="00BF384C">
        <w:rPr>
          <w:rFonts w:ascii="Times New Roman" w:hAnsi="Times New Roman"/>
          <w:sz w:val="20"/>
          <w:szCs w:val="20"/>
        </w:rPr>
        <w:t>« on découperait aisément la pièce de Molière en une douzaine</w:t>
      </w:r>
      <w:r w:rsidRPr="00BF384C">
        <w:rPr>
          <w:rFonts w:ascii="Times New Roman" w:hAnsi="Times New Roman"/>
          <w:i/>
          <w:iCs/>
          <w:sz w:val="20"/>
          <w:szCs w:val="20"/>
        </w:rPr>
        <w:t xml:space="preserve"> </w:t>
      </w:r>
      <w:r w:rsidRPr="00BF384C">
        <w:rPr>
          <w:rFonts w:ascii="Times New Roman" w:hAnsi="Times New Roman"/>
          <w:sz w:val="20"/>
          <w:szCs w:val="20"/>
        </w:rPr>
        <w:t>d’épisodes qui raconteraient, à loisir mais significativement, la chronique de Dom Juan » (</w:t>
      </w:r>
      <w:r w:rsidRPr="00BF384C">
        <w:rPr>
          <w:rFonts w:ascii="Times New Roman" w:hAnsi="Times New Roman"/>
          <w:i/>
          <w:iCs/>
          <w:sz w:val="20"/>
          <w:szCs w:val="20"/>
        </w:rPr>
        <w:t xml:space="preserve">Sur le « Dom Juan » de Molière, </w:t>
      </w:r>
      <w:r w:rsidRPr="00BF384C">
        <w:rPr>
          <w:rFonts w:ascii="Times New Roman" w:hAnsi="Times New Roman"/>
          <w:sz w:val="20"/>
          <w:szCs w:val="20"/>
        </w:rPr>
        <w:t>Sedes, 1967, p. 69). Entendue en ce sens, la fable constitue « l’arrière-plan</w:t>
      </w:r>
      <w:r w:rsidRPr="00BF384C">
        <w:rPr>
          <w:rFonts w:ascii="Times New Roman" w:hAnsi="Times New Roman"/>
          <w:i/>
          <w:iCs/>
          <w:sz w:val="20"/>
          <w:szCs w:val="20"/>
        </w:rPr>
        <w:t xml:space="preserve"> </w:t>
      </w:r>
      <w:r w:rsidRPr="00BF384C">
        <w:rPr>
          <w:rFonts w:ascii="Times New Roman" w:hAnsi="Times New Roman"/>
          <w:sz w:val="20"/>
          <w:szCs w:val="20"/>
        </w:rPr>
        <w:t>narratif de la pièce : ce à quoi se réduirait l’action si elle était racontée comme un reportage ». [P. Charvet (</w:t>
      </w:r>
      <w:r w:rsidRPr="00BF384C">
        <w:rPr>
          <w:rFonts w:ascii="Times New Roman" w:hAnsi="Times New Roman"/>
          <w:i/>
          <w:iCs/>
          <w:sz w:val="20"/>
          <w:szCs w:val="20"/>
        </w:rPr>
        <w:t>et al)</w:t>
      </w:r>
      <w:r w:rsidRPr="00BF384C">
        <w:rPr>
          <w:rFonts w:ascii="Times New Roman" w:hAnsi="Times New Roman"/>
          <w:sz w:val="20"/>
          <w:szCs w:val="20"/>
        </w:rPr>
        <w:t xml:space="preserve"> </w:t>
      </w:r>
      <w:r w:rsidRPr="00BF384C">
        <w:rPr>
          <w:rFonts w:ascii="Times New Roman" w:hAnsi="Times New Roman"/>
          <w:i/>
          <w:iCs/>
          <w:sz w:val="20"/>
          <w:szCs w:val="20"/>
        </w:rPr>
        <w:t xml:space="preserve">Pour pratiquer les textes de théâtre, </w:t>
      </w:r>
      <w:r w:rsidRPr="00BF384C">
        <w:rPr>
          <w:rFonts w:ascii="Times New Roman" w:hAnsi="Times New Roman"/>
          <w:sz w:val="20"/>
          <w:szCs w:val="20"/>
        </w:rPr>
        <w:t>A. de Boeck, Duculot, 1979, p. 22)].</w:t>
      </w:r>
    </w:p>
  </w:footnote>
  <w:footnote w:id="257">
    <w:p w:rsidR="006C092A" w:rsidRPr="00BF384C" w:rsidRDefault="006C092A" w:rsidP="00BF384C">
      <w:pPr>
        <w:autoSpaceDE w:val="0"/>
        <w:autoSpaceDN w:val="0"/>
        <w:adjustRightInd w:val="0"/>
        <w:spacing w:after="0" w:line="240" w:lineRule="auto"/>
        <w:jc w:val="both"/>
        <w:rPr>
          <w:rFonts w:ascii="Times New Roman" w:hAnsi="Times New Roman"/>
          <w:i/>
          <w:iCs/>
          <w:sz w:val="20"/>
          <w:szCs w:val="20"/>
        </w:rPr>
      </w:pPr>
      <w:r w:rsidRPr="00BF384C">
        <w:rPr>
          <w:rStyle w:val="Appelnotedebasdep"/>
          <w:rFonts w:asciiTheme="majorBidi" w:hAnsiTheme="majorBidi" w:cstheme="majorBidi"/>
          <w:sz w:val="20"/>
          <w:szCs w:val="20"/>
        </w:rPr>
        <w:footnoteRef/>
      </w:r>
      <w:r w:rsidRPr="00BF384C">
        <w:rPr>
          <w:rFonts w:asciiTheme="majorBidi" w:hAnsiTheme="majorBidi" w:cstheme="majorBidi"/>
          <w:sz w:val="20"/>
          <w:szCs w:val="20"/>
        </w:rPr>
        <w:t>Tzvetan</w:t>
      </w:r>
      <w:r>
        <w:t xml:space="preserve"> </w:t>
      </w:r>
      <w:r w:rsidRPr="00BF384C">
        <w:rPr>
          <w:rFonts w:ascii="Times New Roman" w:hAnsi="Times New Roman"/>
          <w:sz w:val="20"/>
          <w:szCs w:val="20"/>
        </w:rPr>
        <w:t>Todorov</w:t>
      </w:r>
      <w:r w:rsidRPr="00BF384C">
        <w:rPr>
          <w:rFonts w:ascii="Times New Roman" w:hAnsi="Times New Roman"/>
          <w:color w:val="FF0000"/>
          <w:sz w:val="20"/>
          <w:szCs w:val="20"/>
        </w:rPr>
        <w:t xml:space="preserve">, </w:t>
      </w:r>
      <w:r w:rsidRPr="00BF384C">
        <w:rPr>
          <w:rFonts w:ascii="Times New Roman" w:hAnsi="Times New Roman"/>
          <w:sz w:val="20"/>
          <w:szCs w:val="20"/>
        </w:rPr>
        <w:t xml:space="preserve">« Les catégories du récit littéraire», </w:t>
      </w:r>
      <w:r w:rsidRPr="00BF384C">
        <w:rPr>
          <w:rFonts w:ascii="Times New Roman" w:hAnsi="Times New Roman"/>
          <w:i/>
          <w:iCs/>
          <w:sz w:val="20"/>
          <w:szCs w:val="20"/>
        </w:rPr>
        <w:t xml:space="preserve">op.cit., </w:t>
      </w:r>
      <w:r w:rsidRPr="00BF384C">
        <w:rPr>
          <w:rFonts w:ascii="Times New Roman" w:hAnsi="Times New Roman"/>
          <w:sz w:val="20"/>
          <w:szCs w:val="20"/>
        </w:rPr>
        <w:t>p. 127</w:t>
      </w:r>
      <w:r w:rsidRPr="00BF384C">
        <w:rPr>
          <w:rFonts w:ascii="Times New Roman" w:hAnsi="Times New Roman"/>
          <w:i/>
          <w:iCs/>
          <w:sz w:val="20"/>
          <w:szCs w:val="20"/>
        </w:rPr>
        <w:t>.</w:t>
      </w:r>
      <w:r w:rsidRPr="00BF384C">
        <w:rPr>
          <w:rFonts w:ascii="Times New Roman" w:hAnsi="Times New Roman"/>
          <w:sz w:val="20"/>
          <w:szCs w:val="20"/>
        </w:rPr>
        <w:t xml:space="preserve"> </w:t>
      </w:r>
    </w:p>
  </w:footnote>
  <w:footnote w:id="258">
    <w:p w:rsidR="006C092A" w:rsidRPr="00BF384C" w:rsidRDefault="006C092A" w:rsidP="00BF384C">
      <w:pPr>
        <w:autoSpaceDE w:val="0"/>
        <w:autoSpaceDN w:val="0"/>
        <w:adjustRightInd w:val="0"/>
        <w:spacing w:after="0" w:line="240" w:lineRule="auto"/>
        <w:jc w:val="both"/>
        <w:rPr>
          <w:rFonts w:ascii="Times New Roman" w:hAnsi="Times New Roman"/>
          <w:sz w:val="20"/>
          <w:szCs w:val="20"/>
        </w:rPr>
      </w:pPr>
      <w:r w:rsidRPr="00BF384C">
        <w:rPr>
          <w:rStyle w:val="Appelnotedebasdep"/>
          <w:rFonts w:ascii="Times New Roman" w:hAnsi="Times New Roman"/>
          <w:sz w:val="20"/>
          <w:szCs w:val="20"/>
        </w:rPr>
        <w:footnoteRef/>
      </w:r>
      <w:r w:rsidRPr="00BF384C">
        <w:rPr>
          <w:rFonts w:ascii="Times New Roman" w:hAnsi="Times New Roman"/>
          <w:sz w:val="20"/>
          <w:szCs w:val="20"/>
        </w:rPr>
        <w:t xml:space="preserve"> Claude Brémond, « Logique du récit », </w:t>
      </w:r>
      <w:r w:rsidRPr="00BF384C">
        <w:rPr>
          <w:rFonts w:ascii="Times New Roman" w:hAnsi="Times New Roman"/>
          <w:i/>
          <w:iCs/>
          <w:sz w:val="20"/>
          <w:szCs w:val="20"/>
        </w:rPr>
        <w:t>op.</w:t>
      </w:r>
      <w:r w:rsidRPr="00BF384C">
        <w:rPr>
          <w:rFonts w:ascii="Times New Roman" w:hAnsi="Times New Roman"/>
          <w:sz w:val="20"/>
          <w:szCs w:val="20"/>
        </w:rPr>
        <w:t xml:space="preserve">cit, p. 102-321 et le groupe </w:t>
      </w:r>
      <w:proofErr w:type="gramStart"/>
      <w:r w:rsidRPr="00BF384C">
        <w:rPr>
          <w:rFonts w:ascii="Times New Roman" w:hAnsi="Times New Roman"/>
          <w:sz w:val="20"/>
          <w:szCs w:val="20"/>
        </w:rPr>
        <w:t>μ ,</w:t>
      </w:r>
      <w:proofErr w:type="gramEnd"/>
      <w:r w:rsidRPr="00BF384C">
        <w:rPr>
          <w:rFonts w:ascii="Times New Roman" w:hAnsi="Times New Roman"/>
          <w:sz w:val="20"/>
          <w:szCs w:val="20"/>
        </w:rPr>
        <w:t xml:space="preserve"> </w:t>
      </w:r>
      <w:r w:rsidRPr="00BF384C">
        <w:rPr>
          <w:rFonts w:ascii="Times New Roman" w:hAnsi="Times New Roman"/>
          <w:i/>
          <w:iCs/>
          <w:sz w:val="20"/>
          <w:szCs w:val="20"/>
        </w:rPr>
        <w:t>Rhétorique générale</w:t>
      </w:r>
      <w:r w:rsidRPr="00BF384C">
        <w:rPr>
          <w:rFonts w:ascii="Times New Roman" w:hAnsi="Times New Roman"/>
          <w:sz w:val="20"/>
          <w:szCs w:val="20"/>
        </w:rPr>
        <w:t xml:space="preserve">, Larousse, 1970, p.172 : distinguent dans tout message narratif le </w:t>
      </w:r>
      <w:r w:rsidRPr="00BF384C">
        <w:rPr>
          <w:rFonts w:ascii="Times New Roman" w:hAnsi="Times New Roman"/>
          <w:i/>
          <w:iCs/>
          <w:sz w:val="20"/>
          <w:szCs w:val="20"/>
        </w:rPr>
        <w:t xml:space="preserve">récit racontant </w:t>
      </w:r>
      <w:r w:rsidRPr="00BF384C">
        <w:rPr>
          <w:rFonts w:ascii="Times New Roman" w:hAnsi="Times New Roman"/>
          <w:sz w:val="20"/>
          <w:szCs w:val="20"/>
        </w:rPr>
        <w:t xml:space="preserve">et le </w:t>
      </w:r>
      <w:r w:rsidRPr="00BF384C">
        <w:rPr>
          <w:rFonts w:ascii="Times New Roman" w:hAnsi="Times New Roman"/>
          <w:i/>
          <w:iCs/>
          <w:sz w:val="20"/>
          <w:szCs w:val="20"/>
        </w:rPr>
        <w:t>récit raconté</w:t>
      </w:r>
      <w:r w:rsidRPr="00BF384C">
        <w:rPr>
          <w:rFonts w:ascii="Times New Roman" w:hAnsi="Times New Roman"/>
          <w:sz w:val="20"/>
          <w:szCs w:val="20"/>
        </w:rPr>
        <w:t>. C’est ce dernier, en réalité, qui constitue pour eux le récit « proprement dit », et c’est dans ce</w:t>
      </w:r>
      <w:r w:rsidRPr="00BF384C">
        <w:rPr>
          <w:rFonts w:ascii="Times New Roman" w:hAnsi="Times New Roman"/>
          <w:i/>
          <w:iCs/>
          <w:sz w:val="20"/>
          <w:szCs w:val="20"/>
        </w:rPr>
        <w:t xml:space="preserve"> </w:t>
      </w:r>
      <w:r w:rsidRPr="00BF384C">
        <w:rPr>
          <w:rFonts w:ascii="Times New Roman" w:hAnsi="Times New Roman"/>
          <w:sz w:val="20"/>
          <w:szCs w:val="20"/>
        </w:rPr>
        <w:t xml:space="preserve">sens précis qu’ils utilisent le terme. « Ce que Propp étudie dans le conte russe – déclarait déjà BREMOND en 1964, c’est une couche de signification autonome, dotée d’une structure qui peut être isolée de l’ensemble du message : le </w:t>
      </w:r>
      <w:r w:rsidRPr="00BF384C">
        <w:rPr>
          <w:rFonts w:ascii="Times New Roman" w:hAnsi="Times New Roman"/>
          <w:i/>
          <w:iCs/>
          <w:sz w:val="20"/>
          <w:szCs w:val="20"/>
        </w:rPr>
        <w:t xml:space="preserve">récit </w:t>
      </w:r>
      <w:r w:rsidRPr="00BF384C">
        <w:rPr>
          <w:rFonts w:ascii="Times New Roman" w:hAnsi="Times New Roman"/>
          <w:sz w:val="20"/>
          <w:szCs w:val="20"/>
        </w:rPr>
        <w:t xml:space="preserve">» (repris dans </w:t>
      </w:r>
      <w:r w:rsidRPr="00BF384C">
        <w:rPr>
          <w:rFonts w:ascii="Times New Roman" w:hAnsi="Times New Roman"/>
          <w:i/>
          <w:iCs/>
          <w:sz w:val="20"/>
          <w:szCs w:val="20"/>
        </w:rPr>
        <w:t>Logique du récit</w:t>
      </w:r>
      <w:r w:rsidRPr="00BF384C">
        <w:rPr>
          <w:rFonts w:ascii="Times New Roman" w:hAnsi="Times New Roman"/>
          <w:sz w:val="20"/>
          <w:szCs w:val="20"/>
        </w:rPr>
        <w:t xml:space="preserve">, p. 11-12). De même les membres du groupe μ, parlant de </w:t>
      </w:r>
      <w:r w:rsidRPr="00BF384C">
        <w:rPr>
          <w:rFonts w:ascii="Times New Roman" w:hAnsi="Times New Roman"/>
          <w:i/>
          <w:iCs/>
          <w:sz w:val="20"/>
          <w:szCs w:val="20"/>
        </w:rPr>
        <w:t xml:space="preserve">Britannicus, </w:t>
      </w:r>
      <w:r w:rsidRPr="00BF384C">
        <w:rPr>
          <w:rFonts w:ascii="Times New Roman" w:hAnsi="Times New Roman"/>
          <w:sz w:val="20"/>
          <w:szCs w:val="20"/>
        </w:rPr>
        <w:t>affirment que « le récit est en train quand le rideau se lève (Néron a fait enlever Junie), et que le récit se poursuit quand il tombe... » (</w:t>
      </w:r>
      <w:r w:rsidRPr="00BF384C">
        <w:rPr>
          <w:rFonts w:ascii="Times New Roman" w:hAnsi="Times New Roman"/>
          <w:i/>
          <w:iCs/>
          <w:sz w:val="20"/>
          <w:szCs w:val="20"/>
        </w:rPr>
        <w:t xml:space="preserve">Ibid., </w:t>
      </w:r>
      <w:r w:rsidRPr="00BF384C">
        <w:rPr>
          <w:rFonts w:ascii="Times New Roman" w:hAnsi="Times New Roman"/>
          <w:sz w:val="20"/>
          <w:szCs w:val="20"/>
        </w:rPr>
        <w:t xml:space="preserve">p. 176). Entendu de la sorte, le récit, c’est l’histoire. Genette, naturellement, ne méconnaît pas cette acception (Cf. </w:t>
      </w:r>
      <w:r w:rsidRPr="00BF384C">
        <w:rPr>
          <w:rFonts w:ascii="Times New Roman" w:hAnsi="Times New Roman"/>
          <w:i/>
          <w:iCs/>
          <w:sz w:val="20"/>
          <w:szCs w:val="20"/>
        </w:rPr>
        <w:t>Figures III</w:t>
      </w:r>
      <w:r w:rsidRPr="00BF384C">
        <w:rPr>
          <w:rFonts w:ascii="Times New Roman" w:hAnsi="Times New Roman"/>
          <w:sz w:val="20"/>
          <w:szCs w:val="20"/>
        </w:rPr>
        <w:t xml:space="preserve">, Éd. du Seuil, 1972, p. 7l), mais il se garde de l’adopter. </w:t>
      </w:r>
    </w:p>
  </w:footnote>
  <w:footnote w:id="259">
    <w:p w:rsidR="006C092A" w:rsidRPr="00B87021" w:rsidRDefault="006C092A" w:rsidP="00242C0F">
      <w:pPr>
        <w:autoSpaceDE w:val="0"/>
        <w:autoSpaceDN w:val="0"/>
        <w:adjustRightInd w:val="0"/>
        <w:spacing w:after="0" w:line="240" w:lineRule="auto"/>
        <w:jc w:val="both"/>
        <w:rPr>
          <w:rFonts w:ascii="Times New Roman" w:hAnsi="Times New Roman"/>
          <w:sz w:val="20"/>
          <w:szCs w:val="20"/>
        </w:rPr>
      </w:pPr>
      <w:r w:rsidRPr="00BF384C">
        <w:rPr>
          <w:rStyle w:val="Appelnotedebasdep"/>
          <w:rFonts w:ascii="Times New Roman" w:hAnsi="Times New Roman"/>
          <w:sz w:val="20"/>
          <w:szCs w:val="20"/>
        </w:rPr>
        <w:footnoteRef/>
      </w:r>
      <w:r w:rsidRPr="00BF384C">
        <w:rPr>
          <w:rFonts w:ascii="Times New Roman" w:hAnsi="Times New Roman"/>
          <w:sz w:val="20"/>
          <w:szCs w:val="20"/>
        </w:rPr>
        <w:t xml:space="preserve">Todorov présente explicitement sa </w:t>
      </w:r>
      <w:r w:rsidRPr="00BF384C">
        <w:rPr>
          <w:rFonts w:ascii="Times New Roman" w:hAnsi="Times New Roman"/>
          <w:i/>
          <w:iCs/>
          <w:sz w:val="20"/>
          <w:szCs w:val="20"/>
        </w:rPr>
        <w:t xml:space="preserve">Grammaire du « Décaméron » </w:t>
      </w:r>
      <w:r w:rsidRPr="00BF384C">
        <w:rPr>
          <w:rFonts w:ascii="Times New Roman" w:hAnsi="Times New Roman"/>
          <w:sz w:val="20"/>
          <w:szCs w:val="20"/>
        </w:rPr>
        <w:t xml:space="preserve">comme une « grammaire de la narration » (« Les catégories du récit littéraire», </w:t>
      </w:r>
      <w:r w:rsidRPr="00BF384C">
        <w:rPr>
          <w:rFonts w:ascii="Times New Roman" w:hAnsi="Times New Roman"/>
          <w:i/>
          <w:iCs/>
          <w:sz w:val="20"/>
          <w:szCs w:val="20"/>
        </w:rPr>
        <w:t xml:space="preserve">op. </w:t>
      </w:r>
      <w:proofErr w:type="gramStart"/>
      <w:r w:rsidRPr="00BF384C">
        <w:rPr>
          <w:rFonts w:ascii="Times New Roman" w:hAnsi="Times New Roman"/>
          <w:i/>
          <w:iCs/>
          <w:sz w:val="20"/>
          <w:szCs w:val="20"/>
        </w:rPr>
        <w:t>cit.,</w:t>
      </w:r>
      <w:proofErr w:type="gramEnd"/>
      <w:r w:rsidRPr="00BF384C">
        <w:rPr>
          <w:rFonts w:ascii="Times New Roman" w:hAnsi="Times New Roman"/>
          <w:i/>
          <w:iCs/>
          <w:sz w:val="20"/>
          <w:szCs w:val="20"/>
        </w:rPr>
        <w:t xml:space="preserve"> </w:t>
      </w:r>
      <w:r w:rsidRPr="00BF384C">
        <w:rPr>
          <w:rFonts w:ascii="Times New Roman" w:hAnsi="Times New Roman"/>
          <w:sz w:val="20"/>
          <w:szCs w:val="20"/>
        </w:rPr>
        <w:t>p. 9-11) ; de même, pour A. J. Greimas, « la théorie de la narration » essaie de rendre compte de « la forme sémiotique du contenu » (</w:t>
      </w:r>
      <w:r w:rsidRPr="00BF384C">
        <w:rPr>
          <w:rFonts w:ascii="Times New Roman" w:hAnsi="Times New Roman"/>
          <w:i/>
          <w:iCs/>
          <w:sz w:val="20"/>
          <w:szCs w:val="20"/>
        </w:rPr>
        <w:t xml:space="preserve">Du sens II, </w:t>
      </w:r>
      <w:r w:rsidRPr="00BF384C">
        <w:rPr>
          <w:rFonts w:ascii="Times New Roman" w:hAnsi="Times New Roman"/>
          <w:sz w:val="20"/>
          <w:szCs w:val="20"/>
        </w:rPr>
        <w:t>Paris</w:t>
      </w:r>
      <w:r w:rsidRPr="00BF384C">
        <w:rPr>
          <w:rFonts w:ascii="Times New Roman" w:hAnsi="Times New Roman"/>
          <w:color w:val="00B0F0"/>
          <w:sz w:val="20"/>
          <w:szCs w:val="20"/>
        </w:rPr>
        <w:t> :</w:t>
      </w:r>
      <w:r w:rsidRPr="00BF384C">
        <w:rPr>
          <w:rFonts w:ascii="Times New Roman" w:hAnsi="Times New Roman"/>
          <w:sz w:val="20"/>
          <w:szCs w:val="20"/>
        </w:rPr>
        <w:t xml:space="preserve">Seuil, 1983, p. 59). On notera qu’au XVIIIe siècle, s’il faut en croire le </w:t>
      </w:r>
      <w:r w:rsidRPr="00BF384C">
        <w:rPr>
          <w:rFonts w:ascii="Times New Roman" w:hAnsi="Times New Roman"/>
          <w:i/>
          <w:iCs/>
          <w:sz w:val="20"/>
          <w:szCs w:val="20"/>
        </w:rPr>
        <w:t>Dictionnaire de Trévoux</w:t>
      </w:r>
      <w:r w:rsidRPr="00BF384C">
        <w:rPr>
          <w:rFonts w:ascii="Times New Roman" w:hAnsi="Times New Roman"/>
          <w:sz w:val="20"/>
          <w:szCs w:val="20"/>
        </w:rPr>
        <w:t xml:space="preserve">, le terme de </w:t>
      </w:r>
      <w:r w:rsidRPr="00BF384C">
        <w:rPr>
          <w:rFonts w:ascii="Times New Roman" w:hAnsi="Times New Roman"/>
          <w:i/>
          <w:iCs/>
          <w:sz w:val="20"/>
          <w:szCs w:val="20"/>
        </w:rPr>
        <w:t xml:space="preserve">narration </w:t>
      </w:r>
      <w:r w:rsidRPr="00BF384C">
        <w:rPr>
          <w:rFonts w:ascii="Times New Roman" w:hAnsi="Times New Roman"/>
          <w:sz w:val="20"/>
          <w:szCs w:val="20"/>
        </w:rPr>
        <w:t>pouvait signifier l’«événement qui fait le sujet du poème épique » ; le moyen français</w:t>
      </w:r>
      <w:r w:rsidRPr="00B87021">
        <w:rPr>
          <w:rFonts w:ascii="Times New Roman" w:hAnsi="Times New Roman"/>
          <w:sz w:val="20"/>
          <w:szCs w:val="20"/>
        </w:rPr>
        <w:t xml:space="preserve"> connaissait également le substantif </w:t>
      </w:r>
      <w:r w:rsidRPr="00B87021">
        <w:rPr>
          <w:rFonts w:ascii="Times New Roman" w:hAnsi="Times New Roman"/>
          <w:i/>
          <w:iCs/>
          <w:sz w:val="20"/>
          <w:szCs w:val="20"/>
        </w:rPr>
        <w:t xml:space="preserve">narratif, </w:t>
      </w:r>
      <w:r w:rsidRPr="00B87021">
        <w:rPr>
          <w:rFonts w:ascii="Times New Roman" w:hAnsi="Times New Roman"/>
          <w:sz w:val="20"/>
          <w:szCs w:val="20"/>
        </w:rPr>
        <w:t xml:space="preserve">au sens de « contenu de ce qui est raconté... » (W. von Wartburg, </w:t>
      </w:r>
      <w:r w:rsidRPr="00B87021">
        <w:rPr>
          <w:rFonts w:ascii="Times New Roman" w:hAnsi="Times New Roman"/>
          <w:i/>
          <w:iCs/>
          <w:sz w:val="20"/>
          <w:szCs w:val="20"/>
        </w:rPr>
        <w:t>Französisches</w:t>
      </w:r>
      <w:r w:rsidRPr="00B87021">
        <w:rPr>
          <w:rFonts w:ascii="Times New Roman" w:hAnsi="Times New Roman"/>
          <w:sz w:val="20"/>
          <w:szCs w:val="20"/>
        </w:rPr>
        <w:t xml:space="preserve"> </w:t>
      </w:r>
      <w:r w:rsidRPr="00B87021">
        <w:rPr>
          <w:rFonts w:ascii="Times New Roman" w:hAnsi="Times New Roman"/>
          <w:i/>
          <w:iCs/>
          <w:sz w:val="20"/>
          <w:szCs w:val="20"/>
        </w:rPr>
        <w:t>Etymologisches Wörterbuch</w:t>
      </w:r>
      <w:r w:rsidRPr="00B87021">
        <w:rPr>
          <w:rFonts w:ascii="Times New Roman" w:hAnsi="Times New Roman"/>
          <w:sz w:val="20"/>
          <w:szCs w:val="20"/>
        </w:rPr>
        <w:t xml:space="preserve">, s.v. </w:t>
      </w:r>
      <w:r w:rsidRPr="00B87021">
        <w:rPr>
          <w:rFonts w:ascii="Times New Roman" w:hAnsi="Times New Roman"/>
          <w:i/>
          <w:iCs/>
          <w:sz w:val="20"/>
          <w:szCs w:val="20"/>
        </w:rPr>
        <w:t>narrare</w:t>
      </w:r>
      <w:r w:rsidRPr="00B87021">
        <w:rPr>
          <w:rFonts w:ascii="Times New Roman" w:hAnsi="Times New Roman"/>
          <w:sz w:val="20"/>
          <w:szCs w:val="20"/>
        </w:rPr>
        <w:t>)</w:t>
      </w:r>
      <w:r w:rsidRPr="00B87021">
        <w:rPr>
          <w:rFonts w:ascii="Times New Roman" w:hAnsi="Times New Roman"/>
          <w:i/>
          <w:iCs/>
          <w:sz w:val="20"/>
          <w:szCs w:val="20"/>
        </w:rPr>
        <w:t>.</w:t>
      </w:r>
    </w:p>
  </w:footnote>
  <w:footnote w:id="260">
    <w:p w:rsidR="006C092A" w:rsidRPr="00B87021" w:rsidRDefault="006C092A" w:rsidP="00242C0F">
      <w:pPr>
        <w:autoSpaceDE w:val="0"/>
        <w:autoSpaceDN w:val="0"/>
        <w:adjustRightInd w:val="0"/>
        <w:spacing w:after="0" w:line="240" w:lineRule="auto"/>
        <w:jc w:val="both"/>
        <w:rPr>
          <w:rFonts w:ascii="Times New Roman" w:hAnsi="Times New Roman"/>
          <w:sz w:val="20"/>
          <w:szCs w:val="20"/>
        </w:rPr>
      </w:pPr>
      <w:r w:rsidRPr="00B87021">
        <w:rPr>
          <w:rStyle w:val="Appelnotedebasdep"/>
          <w:rFonts w:ascii="Times New Roman" w:hAnsi="Times New Roman"/>
          <w:sz w:val="20"/>
          <w:szCs w:val="20"/>
        </w:rPr>
        <w:footnoteRef/>
      </w:r>
      <w:r w:rsidRPr="00B87021">
        <w:rPr>
          <w:rFonts w:ascii="Times New Roman" w:hAnsi="Times New Roman"/>
          <w:sz w:val="20"/>
          <w:szCs w:val="20"/>
        </w:rPr>
        <w:t xml:space="preserve"> </w:t>
      </w:r>
      <w:r w:rsidRPr="00626ECE">
        <w:rPr>
          <w:rFonts w:ascii="Times New Roman" w:hAnsi="Times New Roman"/>
          <w:sz w:val="20"/>
          <w:szCs w:val="20"/>
        </w:rPr>
        <w:t>Algirdas Julien G</w:t>
      </w:r>
      <w:r>
        <w:rPr>
          <w:rFonts w:ascii="Times New Roman" w:hAnsi="Times New Roman"/>
          <w:sz w:val="20"/>
          <w:szCs w:val="20"/>
        </w:rPr>
        <w:t>reimas</w:t>
      </w:r>
      <w:r w:rsidRPr="00626ECE">
        <w:rPr>
          <w:rFonts w:ascii="Times New Roman" w:hAnsi="Times New Roman"/>
          <w:sz w:val="20"/>
          <w:szCs w:val="20"/>
        </w:rPr>
        <w:t xml:space="preserve">, « Éléments d’une grammaire narrative », </w:t>
      </w:r>
      <w:r>
        <w:rPr>
          <w:rFonts w:ascii="Times New Roman" w:hAnsi="Times New Roman"/>
          <w:sz w:val="20"/>
          <w:szCs w:val="20"/>
        </w:rPr>
        <w:t xml:space="preserve">in </w:t>
      </w:r>
      <w:r w:rsidRPr="00626ECE">
        <w:rPr>
          <w:rFonts w:ascii="Times New Roman" w:hAnsi="Times New Roman"/>
          <w:i/>
          <w:iCs/>
          <w:sz w:val="20"/>
          <w:szCs w:val="20"/>
        </w:rPr>
        <w:t xml:space="preserve">Du sens, </w:t>
      </w:r>
      <w:r w:rsidRPr="00D75BDC">
        <w:rPr>
          <w:rFonts w:ascii="Times New Roman" w:hAnsi="Times New Roman"/>
          <w:sz w:val="20"/>
          <w:szCs w:val="20"/>
        </w:rPr>
        <w:t>Seui</w:t>
      </w:r>
      <w:r>
        <w:rPr>
          <w:rFonts w:ascii="Times New Roman" w:hAnsi="Times New Roman"/>
          <w:sz w:val="20"/>
          <w:szCs w:val="20"/>
        </w:rPr>
        <w:t xml:space="preserve">l, </w:t>
      </w:r>
      <w:r w:rsidRPr="00626ECE">
        <w:rPr>
          <w:rFonts w:ascii="Times New Roman" w:hAnsi="Times New Roman"/>
          <w:sz w:val="20"/>
          <w:szCs w:val="20"/>
        </w:rPr>
        <w:t>Paris</w:t>
      </w:r>
      <w:r w:rsidRPr="00B87021">
        <w:rPr>
          <w:rFonts w:ascii="Times New Roman" w:hAnsi="Times New Roman"/>
          <w:sz w:val="20"/>
          <w:szCs w:val="20"/>
        </w:rPr>
        <w:t>, 1970, p. 158</w:t>
      </w:r>
      <w:r>
        <w:rPr>
          <w:rFonts w:ascii="Times New Roman" w:hAnsi="Times New Roman"/>
          <w:sz w:val="20"/>
          <w:szCs w:val="20"/>
        </w:rPr>
        <w:t>.</w:t>
      </w:r>
    </w:p>
  </w:footnote>
  <w:footnote w:id="261">
    <w:p w:rsidR="006C092A" w:rsidRPr="00B87021" w:rsidRDefault="006C092A" w:rsidP="009D6606">
      <w:pPr>
        <w:autoSpaceDE w:val="0"/>
        <w:autoSpaceDN w:val="0"/>
        <w:adjustRightInd w:val="0"/>
        <w:spacing w:after="0" w:line="240" w:lineRule="auto"/>
        <w:jc w:val="both"/>
        <w:rPr>
          <w:rFonts w:ascii="Times New Roman" w:hAnsi="Times New Roman"/>
          <w:sz w:val="20"/>
          <w:szCs w:val="20"/>
        </w:rPr>
      </w:pPr>
      <w:r w:rsidRPr="00B87021">
        <w:rPr>
          <w:rStyle w:val="Appelnotedebasdep"/>
          <w:rFonts w:ascii="Times New Roman" w:hAnsi="Times New Roman"/>
          <w:sz w:val="20"/>
          <w:szCs w:val="20"/>
        </w:rPr>
        <w:footnoteRef/>
      </w:r>
      <w:r w:rsidRPr="00626ECE">
        <w:rPr>
          <w:rFonts w:ascii="Times New Roman" w:hAnsi="Times New Roman"/>
          <w:sz w:val="20"/>
          <w:szCs w:val="20"/>
        </w:rPr>
        <w:t>Tzvetan T</w:t>
      </w:r>
      <w:r>
        <w:rPr>
          <w:rFonts w:ascii="Times New Roman" w:hAnsi="Times New Roman"/>
          <w:sz w:val="20"/>
          <w:szCs w:val="20"/>
        </w:rPr>
        <w:t xml:space="preserve">odorov, </w:t>
      </w:r>
      <w:r w:rsidRPr="00626ECE">
        <w:rPr>
          <w:rFonts w:ascii="Times New Roman" w:hAnsi="Times New Roman"/>
          <w:sz w:val="20"/>
          <w:szCs w:val="20"/>
        </w:rPr>
        <w:t>« </w:t>
      </w:r>
      <w:r w:rsidRPr="00626ECE">
        <w:rPr>
          <w:rFonts w:ascii="Times New Roman" w:hAnsi="Times New Roman"/>
          <w:i/>
          <w:iCs/>
          <w:sz w:val="20"/>
          <w:szCs w:val="20"/>
        </w:rPr>
        <w:t xml:space="preserve">Grammaire du « Décaméron », op. </w:t>
      </w:r>
      <w:proofErr w:type="gramStart"/>
      <w:r w:rsidRPr="00626ECE">
        <w:rPr>
          <w:rFonts w:ascii="Times New Roman" w:hAnsi="Times New Roman"/>
          <w:i/>
          <w:iCs/>
          <w:sz w:val="20"/>
          <w:szCs w:val="20"/>
        </w:rPr>
        <w:t>cit.,</w:t>
      </w:r>
      <w:proofErr w:type="gramEnd"/>
      <w:r w:rsidRPr="00626ECE">
        <w:rPr>
          <w:rFonts w:ascii="Times New Roman" w:hAnsi="Times New Roman"/>
          <w:i/>
          <w:iCs/>
          <w:sz w:val="20"/>
          <w:szCs w:val="20"/>
        </w:rPr>
        <w:t xml:space="preserve"> </w:t>
      </w:r>
      <w:r w:rsidRPr="00626ECE">
        <w:rPr>
          <w:rFonts w:ascii="Times New Roman" w:hAnsi="Times New Roman"/>
          <w:sz w:val="20"/>
          <w:szCs w:val="20"/>
        </w:rPr>
        <w:t xml:space="preserve">p.10 : «(...) </w:t>
      </w:r>
      <w:r w:rsidRPr="00626ECE">
        <w:rPr>
          <w:rFonts w:ascii="Times New Roman" w:hAnsi="Times New Roman"/>
          <w:i/>
          <w:iCs/>
          <w:sz w:val="20"/>
          <w:szCs w:val="20"/>
        </w:rPr>
        <w:t>cet ouvrage relève d’une science qui n’existe pas encore, disons la NARRATOLOGIE, la science du récit</w:t>
      </w:r>
      <w:r w:rsidRPr="00626ECE">
        <w:rPr>
          <w:rFonts w:ascii="Times New Roman" w:hAnsi="Times New Roman"/>
          <w:sz w:val="20"/>
          <w:szCs w:val="20"/>
        </w:rPr>
        <w:t xml:space="preserve"> ». Le </w:t>
      </w:r>
      <w:r w:rsidRPr="00626ECE">
        <w:rPr>
          <w:rFonts w:ascii="Times New Roman" w:hAnsi="Times New Roman"/>
          <w:i/>
          <w:iCs/>
          <w:sz w:val="20"/>
          <w:szCs w:val="20"/>
        </w:rPr>
        <w:t>Grand</w:t>
      </w:r>
      <w:r w:rsidRPr="00B87021">
        <w:rPr>
          <w:rFonts w:ascii="Times New Roman" w:hAnsi="Times New Roman"/>
          <w:i/>
          <w:iCs/>
          <w:sz w:val="20"/>
          <w:szCs w:val="20"/>
        </w:rPr>
        <w:t xml:space="preserve"> Larousse de la langue française</w:t>
      </w:r>
      <w:r w:rsidRPr="00B87021">
        <w:rPr>
          <w:rFonts w:ascii="Times New Roman" w:hAnsi="Times New Roman"/>
          <w:sz w:val="20"/>
          <w:szCs w:val="20"/>
        </w:rPr>
        <w:t xml:space="preserve"> et le nouveau </w:t>
      </w:r>
      <w:r w:rsidRPr="00B87021">
        <w:rPr>
          <w:rFonts w:ascii="Times New Roman" w:hAnsi="Times New Roman"/>
          <w:i/>
          <w:iCs/>
          <w:sz w:val="20"/>
          <w:szCs w:val="20"/>
        </w:rPr>
        <w:t xml:space="preserve">Grand Robert, </w:t>
      </w:r>
      <w:r w:rsidRPr="00B87021">
        <w:rPr>
          <w:rFonts w:ascii="Times New Roman" w:hAnsi="Times New Roman"/>
          <w:sz w:val="20"/>
          <w:szCs w:val="20"/>
        </w:rPr>
        <w:t>curieusement, passent sous silence cette référence et datent le terme de 1972 (</w:t>
      </w:r>
      <w:r w:rsidRPr="00B87021">
        <w:rPr>
          <w:rFonts w:ascii="Times New Roman" w:hAnsi="Times New Roman"/>
          <w:i/>
          <w:iCs/>
          <w:sz w:val="20"/>
          <w:szCs w:val="20"/>
        </w:rPr>
        <w:t>Figures III</w:t>
      </w:r>
      <w:r w:rsidRPr="00B87021">
        <w:rPr>
          <w:rFonts w:ascii="Times New Roman" w:hAnsi="Times New Roman"/>
          <w:sz w:val="20"/>
          <w:szCs w:val="20"/>
        </w:rPr>
        <w:t>)</w:t>
      </w:r>
      <w:r w:rsidRPr="00B87021">
        <w:rPr>
          <w:rFonts w:ascii="Times New Roman" w:hAnsi="Times New Roman"/>
          <w:i/>
          <w:iCs/>
          <w:sz w:val="20"/>
          <w:szCs w:val="20"/>
        </w:rPr>
        <w:t xml:space="preserve">, </w:t>
      </w:r>
      <w:r w:rsidRPr="00B87021">
        <w:rPr>
          <w:rFonts w:ascii="Times New Roman" w:hAnsi="Times New Roman"/>
          <w:sz w:val="20"/>
          <w:szCs w:val="20"/>
        </w:rPr>
        <w:t xml:space="preserve">quand il reçoit précisément un sens plus restrictif. Est-ce à dire que le sens large soit resté lettre morte ? « Il se trouve, affirme Genette dans le </w:t>
      </w:r>
      <w:r w:rsidRPr="00B87021">
        <w:rPr>
          <w:rFonts w:ascii="Times New Roman" w:hAnsi="Times New Roman"/>
          <w:i/>
          <w:iCs/>
          <w:sz w:val="20"/>
          <w:szCs w:val="20"/>
        </w:rPr>
        <w:t xml:space="preserve">Nouveau Discours, </w:t>
      </w:r>
      <w:r w:rsidRPr="00B87021">
        <w:rPr>
          <w:rFonts w:ascii="Times New Roman" w:hAnsi="Times New Roman"/>
          <w:sz w:val="20"/>
          <w:szCs w:val="20"/>
        </w:rPr>
        <w:t>que les analyses de contenu, grammaires, logiques et sémiotiques narratives, n’ont guère jusqu’ici revendiqué le terme de narratologie</w:t>
      </w:r>
    </w:p>
    <w:p w:rsidR="006C092A" w:rsidRPr="00B87021" w:rsidRDefault="006C092A" w:rsidP="00242C0F">
      <w:pPr>
        <w:autoSpaceDE w:val="0"/>
        <w:autoSpaceDN w:val="0"/>
        <w:adjustRightInd w:val="0"/>
        <w:spacing w:after="0" w:line="240" w:lineRule="auto"/>
        <w:jc w:val="both"/>
        <w:rPr>
          <w:rFonts w:ascii="Times New Roman" w:hAnsi="Times New Roman"/>
          <w:sz w:val="20"/>
          <w:szCs w:val="20"/>
        </w:rPr>
      </w:pPr>
      <w:r w:rsidRPr="00B87021">
        <w:rPr>
          <w:rFonts w:ascii="Times New Roman" w:hAnsi="Times New Roman"/>
          <w:sz w:val="20"/>
          <w:szCs w:val="20"/>
        </w:rPr>
        <w:t xml:space="preserve">analystes du mode narratif » </w:t>
      </w:r>
      <w:r w:rsidRPr="00B87021">
        <w:rPr>
          <w:rFonts w:ascii="Times New Roman" w:hAnsi="Times New Roman"/>
          <w:i/>
          <w:iCs/>
          <w:sz w:val="20"/>
          <w:szCs w:val="20"/>
        </w:rPr>
        <w:t xml:space="preserve">(op. </w:t>
      </w:r>
      <w:proofErr w:type="gramStart"/>
      <w:r w:rsidRPr="00B87021">
        <w:rPr>
          <w:rFonts w:ascii="Times New Roman" w:hAnsi="Times New Roman"/>
          <w:i/>
          <w:iCs/>
          <w:sz w:val="20"/>
          <w:szCs w:val="20"/>
        </w:rPr>
        <w:t>cit.,</w:t>
      </w:r>
      <w:proofErr w:type="gramEnd"/>
      <w:r w:rsidRPr="00B87021">
        <w:rPr>
          <w:rFonts w:ascii="Times New Roman" w:hAnsi="Times New Roman"/>
          <w:i/>
          <w:iCs/>
          <w:sz w:val="20"/>
          <w:szCs w:val="20"/>
        </w:rPr>
        <w:t xml:space="preserve"> </w:t>
      </w:r>
      <w:r w:rsidRPr="00B87021">
        <w:rPr>
          <w:rFonts w:ascii="Times New Roman" w:hAnsi="Times New Roman"/>
          <w:sz w:val="20"/>
          <w:szCs w:val="20"/>
        </w:rPr>
        <w:t>p. 12). Aussi bien J. Demers, L. Gauvin et M. Cambron, dans leur excellente bibliographie sur le conte, distinguent résolument l’approche narratologique (grammaire « discursive», proche de la rhétorique) de l’approche « morphologique » (qualifiée toutefois de « grammaire narrative »...) (</w:t>
      </w:r>
      <w:r w:rsidRPr="00B87021">
        <w:rPr>
          <w:rFonts w:ascii="Times New Roman" w:hAnsi="Times New Roman"/>
          <w:i/>
          <w:iCs/>
          <w:sz w:val="20"/>
          <w:szCs w:val="20"/>
        </w:rPr>
        <w:t>Littérature</w:t>
      </w:r>
      <w:r w:rsidRPr="00B87021">
        <w:rPr>
          <w:rFonts w:ascii="Times New Roman" w:hAnsi="Times New Roman"/>
          <w:sz w:val="20"/>
          <w:szCs w:val="20"/>
        </w:rPr>
        <w:t>, 45, 1982, p. 113). Cependant rien n’est joué : outre l’exemple de G. Prince, on peut citer T. G. Pavel (</w:t>
      </w:r>
      <w:r w:rsidRPr="00B87021">
        <w:rPr>
          <w:rFonts w:ascii="Times New Roman" w:hAnsi="Times New Roman"/>
          <w:i/>
          <w:iCs/>
          <w:sz w:val="20"/>
          <w:szCs w:val="20"/>
        </w:rPr>
        <w:t>Syntaxe narrative des tragédies de Corneille</w:t>
      </w:r>
      <w:r w:rsidRPr="00B87021">
        <w:rPr>
          <w:rFonts w:ascii="Times New Roman" w:hAnsi="Times New Roman"/>
          <w:sz w:val="20"/>
          <w:szCs w:val="20"/>
        </w:rPr>
        <w:t>, Klincksieck, 1976, Introduction), P. Pavis (</w:t>
      </w:r>
      <w:r w:rsidRPr="00B87021">
        <w:rPr>
          <w:rFonts w:ascii="Times New Roman" w:hAnsi="Times New Roman"/>
          <w:i/>
          <w:iCs/>
          <w:sz w:val="20"/>
          <w:szCs w:val="20"/>
        </w:rPr>
        <w:t>Dictionnaire du théâtre</w:t>
      </w:r>
      <w:r w:rsidRPr="00B87021">
        <w:rPr>
          <w:rFonts w:ascii="Times New Roman" w:hAnsi="Times New Roman"/>
          <w:sz w:val="20"/>
          <w:szCs w:val="20"/>
        </w:rPr>
        <w:t>, Éd. sociales, 1980, p. 168 : « une logique des actions ou narratologie »), et plus récemment Anne Hénault (</w:t>
      </w:r>
      <w:r w:rsidRPr="00B87021">
        <w:rPr>
          <w:rFonts w:ascii="Times New Roman" w:hAnsi="Times New Roman"/>
          <w:i/>
          <w:iCs/>
          <w:sz w:val="20"/>
          <w:szCs w:val="20"/>
        </w:rPr>
        <w:t>Narratologie, Sémiotique</w:t>
      </w:r>
      <w:r w:rsidRPr="00B87021">
        <w:rPr>
          <w:rFonts w:ascii="Times New Roman" w:hAnsi="Times New Roman"/>
          <w:sz w:val="20"/>
          <w:szCs w:val="20"/>
        </w:rPr>
        <w:t xml:space="preserve"> </w:t>
      </w:r>
      <w:r w:rsidRPr="00B87021">
        <w:rPr>
          <w:rFonts w:ascii="Times New Roman" w:hAnsi="Times New Roman"/>
          <w:i/>
          <w:iCs/>
          <w:sz w:val="20"/>
          <w:szCs w:val="20"/>
        </w:rPr>
        <w:t xml:space="preserve">générale, </w:t>
      </w:r>
      <w:r w:rsidRPr="00B87021">
        <w:rPr>
          <w:rFonts w:ascii="Times New Roman" w:hAnsi="Times New Roman"/>
          <w:sz w:val="20"/>
          <w:szCs w:val="20"/>
        </w:rPr>
        <w:t>PUF, 1983). J.-M. Adam, quant à lui, fait remonter la narratologie à Propp (</w:t>
      </w:r>
      <w:r w:rsidRPr="00B87021">
        <w:rPr>
          <w:rFonts w:ascii="Times New Roman" w:hAnsi="Times New Roman"/>
          <w:i/>
          <w:iCs/>
          <w:sz w:val="20"/>
          <w:szCs w:val="20"/>
        </w:rPr>
        <w:t xml:space="preserve">le Récit, op. </w:t>
      </w:r>
      <w:proofErr w:type="gramStart"/>
      <w:r w:rsidRPr="00B87021">
        <w:rPr>
          <w:rFonts w:ascii="Times New Roman" w:hAnsi="Times New Roman"/>
          <w:i/>
          <w:iCs/>
          <w:sz w:val="20"/>
          <w:szCs w:val="20"/>
        </w:rPr>
        <w:t>cit.,</w:t>
      </w:r>
      <w:proofErr w:type="gramEnd"/>
      <w:r w:rsidRPr="00B87021">
        <w:rPr>
          <w:rFonts w:ascii="Times New Roman" w:hAnsi="Times New Roman"/>
          <w:i/>
          <w:iCs/>
          <w:sz w:val="20"/>
          <w:szCs w:val="20"/>
        </w:rPr>
        <w:t xml:space="preserve"> </w:t>
      </w:r>
      <w:r w:rsidRPr="00B87021">
        <w:rPr>
          <w:rFonts w:ascii="Times New Roman" w:hAnsi="Times New Roman"/>
          <w:sz w:val="20"/>
          <w:szCs w:val="20"/>
        </w:rPr>
        <w:t>p. 5).</w:t>
      </w:r>
    </w:p>
  </w:footnote>
  <w:footnote w:id="262">
    <w:p w:rsidR="006C092A" w:rsidRPr="005331D4" w:rsidRDefault="006C092A" w:rsidP="009D6606">
      <w:pPr>
        <w:pStyle w:val="Notedebasdepage"/>
        <w:jc w:val="both"/>
        <w:rPr>
          <w:b/>
          <w:bCs/>
          <w:i/>
          <w:iCs/>
        </w:rPr>
      </w:pPr>
      <w:r w:rsidRPr="00B87021">
        <w:rPr>
          <w:rStyle w:val="Appelnotedebasdep"/>
          <w:rFonts w:ascii="Times New Roman" w:hAnsi="Times New Roman"/>
        </w:rPr>
        <w:footnoteRef/>
      </w:r>
      <w:r w:rsidRPr="00B87021">
        <w:rPr>
          <w:rFonts w:ascii="Times New Roman" w:hAnsi="Times New Roman"/>
          <w:bCs/>
        </w:rPr>
        <w:t xml:space="preserve">A. Helbo, J.D. Johansen, P. Payis, A. Ubersfeld, (sous la dir), </w:t>
      </w:r>
      <w:r w:rsidRPr="00B87021">
        <w:rPr>
          <w:rFonts w:ascii="Times New Roman" w:hAnsi="Times New Roman"/>
          <w:bCs/>
          <w:i/>
          <w:iCs/>
        </w:rPr>
        <w:t xml:space="preserve">Théâtre/Modes d'approche, </w:t>
      </w:r>
      <w:r w:rsidRPr="00B87021">
        <w:rPr>
          <w:rFonts w:ascii="Times New Roman" w:hAnsi="Times New Roman"/>
          <w:bCs/>
        </w:rPr>
        <w:t>Labor et Méridiens Klincksieck</w:t>
      </w:r>
      <w:r>
        <w:rPr>
          <w:rFonts w:ascii="Times New Roman" w:hAnsi="Times New Roman"/>
          <w:bCs/>
        </w:rPr>
        <w:t xml:space="preserve">, </w:t>
      </w:r>
      <w:r w:rsidRPr="00B87021">
        <w:rPr>
          <w:rFonts w:ascii="Times New Roman" w:hAnsi="Times New Roman"/>
          <w:bCs/>
        </w:rPr>
        <w:t>Bruxelles, 1987,</w:t>
      </w:r>
      <w:r w:rsidRPr="00B87021">
        <w:rPr>
          <w:rFonts w:ascii="Times New Roman" w:hAnsi="Times New Roman"/>
          <w:bCs/>
          <w:i/>
          <w:iCs/>
        </w:rPr>
        <w:t xml:space="preserve"> </w:t>
      </w:r>
      <w:r w:rsidRPr="00B87021">
        <w:rPr>
          <w:rFonts w:ascii="Times New Roman" w:hAnsi="Times New Roman"/>
          <w:bCs/>
        </w:rPr>
        <w:t>p.13.</w:t>
      </w:r>
    </w:p>
  </w:footnote>
  <w:footnote w:id="263">
    <w:p w:rsidR="006C092A" w:rsidRPr="003D598E" w:rsidRDefault="006C092A" w:rsidP="009D6606">
      <w:pPr>
        <w:pStyle w:val="Notedebasdepage"/>
        <w:jc w:val="both"/>
        <w:rPr>
          <w:rFonts w:ascii="Times New Roman" w:hAnsi="Times New Roman"/>
        </w:rPr>
      </w:pPr>
      <w:r w:rsidRPr="003D598E">
        <w:rPr>
          <w:rStyle w:val="Appelnotedebasdep"/>
          <w:rFonts w:ascii="Times New Roman" w:hAnsi="Times New Roman"/>
        </w:rPr>
        <w:footnoteRef/>
      </w:r>
      <w:r w:rsidRPr="003D598E">
        <w:rPr>
          <w:rFonts w:ascii="Times New Roman" w:hAnsi="Times New Roman"/>
        </w:rPr>
        <w:t>Louise V</w:t>
      </w:r>
      <w:r>
        <w:rPr>
          <w:rFonts w:ascii="Times New Roman" w:hAnsi="Times New Roman"/>
        </w:rPr>
        <w:t>igeant</w:t>
      </w:r>
      <w:r w:rsidRPr="003D598E">
        <w:rPr>
          <w:rFonts w:ascii="Times New Roman" w:hAnsi="Times New Roman"/>
        </w:rPr>
        <w:t>, « </w:t>
      </w:r>
      <w:r w:rsidRPr="003D598E">
        <w:rPr>
          <w:rFonts w:ascii="Times New Roman" w:hAnsi="Times New Roman"/>
          <w:iCs/>
        </w:rPr>
        <w:t xml:space="preserve">Les objets de la </w:t>
      </w:r>
      <w:r>
        <w:rPr>
          <w:rFonts w:ascii="Times New Roman" w:hAnsi="Times New Roman"/>
          <w:iCs/>
        </w:rPr>
        <w:t>sémiotique</w:t>
      </w:r>
      <w:r w:rsidRPr="003D598E">
        <w:rPr>
          <w:rFonts w:ascii="Times New Roman" w:hAnsi="Times New Roman"/>
          <w:iCs/>
        </w:rPr>
        <w:t xml:space="preserve"> théâtrale : le texte et le spectacle »</w:t>
      </w:r>
      <w:r w:rsidRPr="003D598E">
        <w:rPr>
          <w:rFonts w:ascii="Times New Roman" w:hAnsi="Times New Roman"/>
        </w:rPr>
        <w:t>, in</w:t>
      </w:r>
      <w:r w:rsidRPr="003D598E">
        <w:rPr>
          <w:rFonts w:ascii="Times New Roman" w:hAnsi="Times New Roman"/>
          <w:color w:val="00B0F0"/>
        </w:rPr>
        <w:t xml:space="preserve"> </w:t>
      </w:r>
      <w:r w:rsidRPr="003D598E">
        <w:rPr>
          <w:rFonts w:ascii="Times New Roman" w:hAnsi="Times New Roman"/>
          <w:i/>
          <w:iCs/>
        </w:rPr>
        <w:t>Horizons  philosophiques</w:t>
      </w:r>
      <w:r w:rsidRPr="003D598E">
        <w:rPr>
          <w:rFonts w:ascii="Times New Roman" w:hAnsi="Times New Roman"/>
        </w:rPr>
        <w:t>, vol.1, n° 1, 1990, p.57-79.</w:t>
      </w:r>
    </w:p>
  </w:footnote>
  <w:footnote w:id="264">
    <w:p w:rsidR="006C092A" w:rsidRDefault="006C092A" w:rsidP="009D6606">
      <w:pPr>
        <w:pStyle w:val="Notedebasdepage"/>
        <w:jc w:val="both"/>
      </w:pPr>
      <w:r w:rsidRPr="003D598E">
        <w:rPr>
          <w:rStyle w:val="Appelnotedebasdep"/>
          <w:rFonts w:ascii="Times New Roman" w:hAnsi="Times New Roman"/>
        </w:rPr>
        <w:footnoteRef/>
      </w:r>
      <w:r w:rsidRPr="003D598E">
        <w:rPr>
          <w:rFonts w:ascii="Times New Roman" w:hAnsi="Times New Roman"/>
          <w:i/>
        </w:rPr>
        <w:t>Ibid</w:t>
      </w:r>
      <w:r w:rsidRPr="003D598E">
        <w:rPr>
          <w:rFonts w:ascii="Times New Roman" w:hAnsi="Times New Roman"/>
        </w:rPr>
        <w:t>.</w:t>
      </w:r>
    </w:p>
  </w:footnote>
  <w:footnote w:id="265">
    <w:p w:rsidR="006C092A" w:rsidRPr="00CB3ACD" w:rsidRDefault="006C092A" w:rsidP="0016164A">
      <w:pPr>
        <w:pStyle w:val="Notedebasdepage"/>
        <w:jc w:val="both"/>
        <w:rPr>
          <w:rFonts w:asciiTheme="majorBidi" w:hAnsiTheme="majorBidi" w:cstheme="majorBidi"/>
          <w:bCs/>
        </w:rPr>
      </w:pPr>
      <w:r w:rsidRPr="00CB3ACD">
        <w:rPr>
          <w:rStyle w:val="Appelnotedebasdep"/>
          <w:rFonts w:asciiTheme="majorBidi" w:hAnsiTheme="majorBidi" w:cstheme="majorBidi"/>
        </w:rPr>
        <w:footnoteRef/>
      </w:r>
      <w:r w:rsidRPr="00CB3ACD">
        <w:rPr>
          <w:rFonts w:asciiTheme="majorBidi" w:hAnsiTheme="majorBidi" w:cstheme="majorBidi"/>
          <w:bCs/>
        </w:rPr>
        <w:t xml:space="preserve">Évelyne Ertel, «Éléments pour une sémiotique du théâtre», in </w:t>
      </w:r>
      <w:r w:rsidRPr="00CB3ACD">
        <w:rPr>
          <w:rFonts w:asciiTheme="majorBidi" w:hAnsiTheme="majorBidi" w:cstheme="majorBidi"/>
          <w:bCs/>
          <w:i/>
          <w:iCs/>
        </w:rPr>
        <w:t xml:space="preserve">Travail théâtral, </w:t>
      </w:r>
      <w:r w:rsidRPr="00CB3ACD">
        <w:rPr>
          <w:rFonts w:asciiTheme="majorBidi" w:hAnsiTheme="majorBidi" w:cstheme="majorBidi"/>
          <w:bCs/>
        </w:rPr>
        <w:t>n° 29, 1977, p. 141.</w:t>
      </w:r>
    </w:p>
  </w:footnote>
  <w:footnote w:id="266">
    <w:p w:rsidR="006C092A" w:rsidRPr="00CB3ACD" w:rsidRDefault="006C092A" w:rsidP="0016164A">
      <w:pPr>
        <w:pStyle w:val="Notedebasdepage"/>
        <w:jc w:val="both"/>
        <w:rPr>
          <w:rFonts w:asciiTheme="majorBidi" w:hAnsiTheme="majorBidi" w:cstheme="majorBidi"/>
        </w:rPr>
      </w:pPr>
      <w:r w:rsidRPr="00CB3ACD">
        <w:rPr>
          <w:rStyle w:val="Appelnotedebasdep"/>
          <w:rFonts w:asciiTheme="majorBidi" w:hAnsiTheme="majorBidi" w:cstheme="majorBidi"/>
        </w:rPr>
        <w:footnoteRef/>
      </w:r>
      <w:r w:rsidRPr="00CB3ACD">
        <w:rPr>
          <w:rFonts w:asciiTheme="majorBidi" w:hAnsiTheme="majorBidi" w:cstheme="majorBidi"/>
        </w:rPr>
        <w:t>Sylvie Leleu-Merviel, « Nouvelles écritures de théâtre. Le texte est tout le problème...», </w:t>
      </w:r>
      <w:r w:rsidRPr="00CB3ACD">
        <w:rPr>
          <w:rFonts w:asciiTheme="majorBidi" w:hAnsiTheme="majorBidi" w:cstheme="majorBidi"/>
          <w:i/>
          <w:iCs/>
        </w:rPr>
        <w:t>Document numérique</w:t>
      </w:r>
      <w:r w:rsidRPr="00CB3ACD">
        <w:rPr>
          <w:rFonts w:asciiTheme="majorBidi" w:hAnsiTheme="majorBidi" w:cstheme="majorBidi"/>
        </w:rPr>
        <w:t xml:space="preserve"> 1/2001 (Vol. 5), p. 33-82.</w:t>
      </w:r>
    </w:p>
  </w:footnote>
  <w:footnote w:id="267">
    <w:p w:rsidR="006C092A" w:rsidRPr="00CB3ACD" w:rsidRDefault="006C092A" w:rsidP="00CB3ACD">
      <w:pPr>
        <w:pStyle w:val="Notedebasdepage"/>
        <w:jc w:val="both"/>
        <w:rPr>
          <w:rFonts w:asciiTheme="majorBidi" w:hAnsiTheme="majorBidi" w:cstheme="majorBidi"/>
        </w:rPr>
      </w:pPr>
      <w:r w:rsidRPr="00CB3ACD">
        <w:rPr>
          <w:rStyle w:val="Appelnotedebasdep"/>
          <w:rFonts w:asciiTheme="majorBidi" w:hAnsiTheme="majorBidi" w:cstheme="majorBidi"/>
        </w:rPr>
        <w:footnoteRef/>
      </w:r>
      <w:r w:rsidRPr="00CB3ACD">
        <w:rPr>
          <w:rFonts w:asciiTheme="majorBidi" w:hAnsiTheme="majorBidi" w:cstheme="majorBidi"/>
          <w:i/>
          <w:iCs/>
        </w:rPr>
        <w:t>Ibid.</w:t>
      </w:r>
    </w:p>
  </w:footnote>
  <w:footnote w:id="268">
    <w:p w:rsidR="006C092A" w:rsidRPr="00CB3ACD" w:rsidRDefault="006C092A" w:rsidP="00CB3ACD">
      <w:pPr>
        <w:pStyle w:val="Notedebasdepage"/>
        <w:jc w:val="both"/>
        <w:rPr>
          <w:rFonts w:asciiTheme="majorBidi" w:hAnsiTheme="majorBidi" w:cstheme="majorBidi"/>
        </w:rPr>
      </w:pPr>
      <w:r w:rsidRPr="00CB3ACD">
        <w:rPr>
          <w:rStyle w:val="Appelnotedebasdep"/>
          <w:rFonts w:asciiTheme="majorBidi" w:hAnsiTheme="majorBidi" w:cstheme="majorBidi"/>
        </w:rPr>
        <w:footnoteRef/>
      </w:r>
      <w:r w:rsidRPr="00CB3ACD">
        <w:rPr>
          <w:rFonts w:asciiTheme="majorBidi" w:hAnsiTheme="majorBidi" w:cstheme="majorBidi"/>
        </w:rPr>
        <w:t xml:space="preserve">Cité par P. </w:t>
      </w:r>
      <w:r w:rsidRPr="00CB3ACD">
        <w:rPr>
          <w:rStyle w:val="marquage"/>
          <w:rFonts w:asciiTheme="majorBidi" w:hAnsiTheme="majorBidi" w:cstheme="majorBidi"/>
        </w:rPr>
        <w:t>Pavis</w:t>
      </w:r>
      <w:r w:rsidRPr="00CB3ACD">
        <w:rPr>
          <w:rFonts w:asciiTheme="majorBidi" w:hAnsiTheme="majorBidi" w:cstheme="majorBidi"/>
        </w:rPr>
        <w:t>., théâtre bourgeois</w:t>
      </w:r>
      <w:r w:rsidRPr="00CB3ACD">
        <w:rPr>
          <w:rStyle w:val="Accentuation"/>
          <w:rFonts w:asciiTheme="majorBidi" w:hAnsiTheme="majorBidi" w:cstheme="majorBidi"/>
        </w:rPr>
        <w:t>, Dictionnaire du théâtre</w:t>
      </w:r>
      <w:r w:rsidRPr="00CB3ACD">
        <w:rPr>
          <w:rFonts w:asciiTheme="majorBidi" w:hAnsiTheme="majorBidi" w:cstheme="majorBidi"/>
        </w:rPr>
        <w:t>, Dunod, Paris, 1996, p.362.</w:t>
      </w:r>
    </w:p>
  </w:footnote>
  <w:footnote w:id="269">
    <w:p w:rsidR="006C092A" w:rsidRPr="008F20FD" w:rsidRDefault="006C092A" w:rsidP="005B1E93">
      <w:pPr>
        <w:pStyle w:val="Notedebasdepage"/>
        <w:jc w:val="both"/>
        <w:rPr>
          <w:rFonts w:asciiTheme="majorBidi" w:hAnsiTheme="majorBidi" w:cstheme="majorBidi"/>
        </w:rPr>
      </w:pPr>
      <w:r w:rsidRPr="008F20FD">
        <w:rPr>
          <w:rStyle w:val="Appelnotedebasdep"/>
          <w:rFonts w:asciiTheme="majorBidi" w:hAnsiTheme="majorBidi" w:cstheme="majorBidi"/>
        </w:rPr>
        <w:footnoteRef/>
      </w:r>
      <w:r w:rsidRPr="008F20FD">
        <w:rPr>
          <w:rFonts w:asciiTheme="majorBidi" w:hAnsiTheme="majorBidi" w:cstheme="majorBidi"/>
        </w:rPr>
        <w:t>Leleu-Merviel Sylvie, « Nouvelles écritures de théâtre. Le texte est tout le problème...», </w:t>
      </w:r>
      <w:r w:rsidRPr="008F20FD">
        <w:rPr>
          <w:rFonts w:asciiTheme="majorBidi" w:hAnsiTheme="majorBidi" w:cstheme="majorBidi"/>
          <w:i/>
          <w:iCs/>
        </w:rPr>
        <w:t>Document numérique</w:t>
      </w:r>
      <w:r w:rsidRPr="008F20FD">
        <w:rPr>
          <w:rFonts w:asciiTheme="majorBidi" w:hAnsiTheme="majorBidi" w:cstheme="majorBidi"/>
        </w:rPr>
        <w:t xml:space="preserve"> 1/2001 (Vol. 5), p. 42</w:t>
      </w:r>
    </w:p>
  </w:footnote>
  <w:footnote w:id="270">
    <w:p w:rsidR="006C092A" w:rsidRPr="008F20FD" w:rsidRDefault="006C092A" w:rsidP="005B1E93">
      <w:pPr>
        <w:pStyle w:val="Notedebasdepage"/>
        <w:jc w:val="both"/>
        <w:rPr>
          <w:rFonts w:asciiTheme="majorBidi" w:hAnsiTheme="majorBidi" w:cstheme="majorBidi"/>
        </w:rPr>
      </w:pPr>
      <w:r w:rsidRPr="008F20FD">
        <w:rPr>
          <w:rStyle w:val="Appelnotedebasdep"/>
          <w:rFonts w:asciiTheme="majorBidi" w:hAnsiTheme="majorBidi" w:cstheme="majorBidi"/>
        </w:rPr>
        <w:footnoteRef/>
      </w:r>
      <w:r w:rsidRPr="005B1E93">
        <w:rPr>
          <w:rFonts w:asciiTheme="majorBidi" w:hAnsiTheme="majorBidi" w:cstheme="majorBidi"/>
          <w:i/>
          <w:iCs/>
        </w:rPr>
        <w:t>Ibid</w:t>
      </w:r>
      <w:r>
        <w:rPr>
          <w:rFonts w:asciiTheme="majorBidi" w:hAnsiTheme="majorBidi" w:cstheme="majorBidi"/>
        </w:rPr>
        <w:t>.</w:t>
      </w:r>
    </w:p>
  </w:footnote>
  <w:footnote w:id="271">
    <w:p w:rsidR="006C092A" w:rsidRPr="008F20FD" w:rsidRDefault="006C092A" w:rsidP="005B1E93">
      <w:pPr>
        <w:pStyle w:val="Notedebasdepage"/>
        <w:jc w:val="both"/>
        <w:rPr>
          <w:rFonts w:asciiTheme="majorBidi" w:hAnsiTheme="majorBidi" w:cstheme="majorBidi"/>
        </w:rPr>
      </w:pPr>
      <w:r w:rsidRPr="008F20FD">
        <w:rPr>
          <w:rStyle w:val="Appelnotedebasdep"/>
          <w:rFonts w:asciiTheme="majorBidi" w:hAnsiTheme="majorBidi" w:cstheme="majorBidi"/>
        </w:rPr>
        <w:footnoteRef/>
      </w:r>
      <w:r w:rsidRPr="008F20FD">
        <w:rPr>
          <w:rFonts w:asciiTheme="majorBidi" w:hAnsiTheme="majorBidi" w:cstheme="majorBidi"/>
        </w:rPr>
        <w:t>Antonin</w:t>
      </w:r>
      <w:r>
        <w:rPr>
          <w:rFonts w:asciiTheme="majorBidi" w:hAnsiTheme="majorBidi" w:cstheme="majorBidi"/>
        </w:rPr>
        <w:t xml:space="preserve"> Artaud</w:t>
      </w:r>
      <w:r w:rsidRPr="008F20FD">
        <w:rPr>
          <w:rFonts w:asciiTheme="majorBidi" w:hAnsiTheme="majorBidi" w:cstheme="majorBidi"/>
        </w:rPr>
        <w:t xml:space="preserve">, </w:t>
      </w:r>
      <w:r w:rsidRPr="008F20FD">
        <w:rPr>
          <w:rFonts w:asciiTheme="majorBidi" w:hAnsiTheme="majorBidi" w:cstheme="majorBidi"/>
          <w:i/>
          <w:iCs/>
        </w:rPr>
        <w:t>Le théâtre et son double</w:t>
      </w:r>
      <w:r w:rsidRPr="008F20FD">
        <w:rPr>
          <w:rFonts w:asciiTheme="majorBidi" w:hAnsiTheme="majorBidi" w:cstheme="majorBidi"/>
        </w:rPr>
        <w:t>, Gallimard</w:t>
      </w:r>
      <w:r>
        <w:rPr>
          <w:rFonts w:asciiTheme="majorBidi" w:hAnsiTheme="majorBidi" w:cstheme="majorBidi"/>
        </w:rPr>
        <w:t xml:space="preserve">, </w:t>
      </w:r>
      <w:r w:rsidRPr="008F20FD">
        <w:rPr>
          <w:rFonts w:asciiTheme="majorBidi" w:hAnsiTheme="majorBidi" w:cstheme="majorBidi"/>
        </w:rPr>
        <w:t>Paris, collection Idées, 1964. p.53.</w:t>
      </w:r>
    </w:p>
  </w:footnote>
  <w:footnote w:id="272">
    <w:p w:rsidR="006C092A" w:rsidRPr="00007F7E" w:rsidRDefault="006C092A" w:rsidP="00007F7E">
      <w:pPr>
        <w:pStyle w:val="Notedebasdepage"/>
        <w:jc w:val="both"/>
        <w:rPr>
          <w:rFonts w:asciiTheme="majorBidi" w:hAnsiTheme="majorBidi" w:cstheme="majorBidi"/>
        </w:rPr>
      </w:pPr>
      <w:r w:rsidRPr="00007F7E">
        <w:rPr>
          <w:rStyle w:val="Appelnotedebasdep"/>
          <w:rFonts w:asciiTheme="majorBidi" w:hAnsiTheme="majorBidi" w:cstheme="majorBidi"/>
        </w:rPr>
        <w:footnoteRef/>
      </w:r>
      <w:r w:rsidRPr="00007F7E">
        <w:rPr>
          <w:rFonts w:asciiTheme="majorBidi" w:hAnsiTheme="majorBidi" w:cstheme="majorBidi"/>
        </w:rPr>
        <w:t xml:space="preserve"> Roland Barthes, </w:t>
      </w:r>
      <w:r w:rsidRPr="00007F7E">
        <w:rPr>
          <w:rFonts w:asciiTheme="majorBidi" w:hAnsiTheme="majorBidi" w:cstheme="majorBidi"/>
          <w:i/>
          <w:iCs/>
        </w:rPr>
        <w:t>Essais Critiques</w:t>
      </w:r>
      <w:r w:rsidRPr="00007F7E">
        <w:rPr>
          <w:rFonts w:asciiTheme="majorBidi" w:hAnsiTheme="majorBidi" w:cstheme="majorBidi"/>
        </w:rPr>
        <w:t>, Seuil, Paris, 1964, p.64.</w:t>
      </w:r>
    </w:p>
  </w:footnote>
  <w:footnote w:id="273">
    <w:p w:rsidR="006C092A" w:rsidRPr="0052155F" w:rsidRDefault="006C092A" w:rsidP="000268BC">
      <w:pPr>
        <w:pStyle w:val="Notedebasdepage"/>
        <w:jc w:val="both"/>
        <w:rPr>
          <w:rFonts w:ascii="Times New Roman" w:hAnsi="Times New Roman"/>
        </w:rPr>
      </w:pPr>
      <w:r w:rsidRPr="0052155F">
        <w:rPr>
          <w:rStyle w:val="Appelnotedebasdep"/>
          <w:rFonts w:ascii="Times New Roman" w:hAnsi="Times New Roman"/>
        </w:rPr>
        <w:footnoteRef/>
      </w:r>
      <w:r w:rsidRPr="0052155F">
        <w:rPr>
          <w:rFonts w:ascii="Times New Roman" w:hAnsi="Times New Roman"/>
        </w:rPr>
        <w:t>Mikhaïl</w:t>
      </w:r>
      <w:r>
        <w:rPr>
          <w:rFonts w:ascii="Times New Roman" w:hAnsi="Times New Roman"/>
        </w:rPr>
        <w:t xml:space="preserve"> Bakhtine</w:t>
      </w:r>
      <w:r w:rsidRPr="0052155F">
        <w:rPr>
          <w:rFonts w:ascii="Times New Roman" w:hAnsi="Times New Roman"/>
        </w:rPr>
        <w:t xml:space="preserve">, </w:t>
      </w:r>
      <w:r w:rsidRPr="00B47B2D">
        <w:rPr>
          <w:rFonts w:ascii="Times New Roman" w:hAnsi="Times New Roman"/>
          <w:i/>
          <w:iCs/>
        </w:rPr>
        <w:t>Esthétique et théorie du roman</w:t>
      </w:r>
      <w:r w:rsidRPr="0052155F">
        <w:rPr>
          <w:rFonts w:ascii="Times New Roman" w:hAnsi="Times New Roman"/>
        </w:rPr>
        <w:t>, Gallimard</w:t>
      </w:r>
      <w:r>
        <w:rPr>
          <w:rFonts w:ascii="Times New Roman" w:hAnsi="Times New Roman"/>
        </w:rPr>
        <w:t xml:space="preserve">, </w:t>
      </w:r>
      <w:r w:rsidRPr="0052155F">
        <w:rPr>
          <w:rFonts w:ascii="Times New Roman" w:hAnsi="Times New Roman"/>
        </w:rPr>
        <w:t>Paris, 1988, p.120</w:t>
      </w:r>
      <w:r>
        <w:rPr>
          <w:rFonts w:ascii="Times New Roman" w:hAnsi="Times New Roman"/>
        </w:rPr>
        <w:t>.</w:t>
      </w:r>
    </w:p>
  </w:footnote>
  <w:footnote w:id="274">
    <w:p w:rsidR="006C092A" w:rsidRPr="00D75AAC" w:rsidRDefault="006C092A" w:rsidP="009D52CA">
      <w:pPr>
        <w:pStyle w:val="Notedebasdepage"/>
        <w:jc w:val="both"/>
        <w:rPr>
          <w:rFonts w:asciiTheme="majorBidi" w:hAnsiTheme="majorBidi" w:cstheme="majorBidi"/>
          <w:lang w:val="en-US"/>
        </w:rPr>
      </w:pPr>
      <w:r w:rsidRPr="009D52CA">
        <w:rPr>
          <w:rStyle w:val="Appelnotedebasdep"/>
          <w:rFonts w:asciiTheme="majorBidi" w:hAnsiTheme="majorBidi" w:cstheme="majorBidi"/>
        </w:rPr>
        <w:footnoteRef/>
      </w:r>
      <w:r w:rsidRPr="00D75AAC">
        <w:rPr>
          <w:rFonts w:asciiTheme="majorBidi" w:hAnsiTheme="majorBidi" w:cstheme="majorBidi"/>
          <w:i/>
          <w:iCs/>
          <w:lang w:val="en-US"/>
        </w:rPr>
        <w:t>Ibid.</w:t>
      </w:r>
    </w:p>
  </w:footnote>
  <w:footnote w:id="275">
    <w:p w:rsidR="006C092A" w:rsidRPr="00D75AAC" w:rsidRDefault="006C092A" w:rsidP="003A3321">
      <w:pPr>
        <w:pStyle w:val="Notedebasdepage"/>
        <w:jc w:val="both"/>
        <w:rPr>
          <w:rFonts w:ascii="Times New Roman" w:hAnsi="Times New Roman"/>
          <w:lang w:val="en-US"/>
        </w:rPr>
      </w:pPr>
      <w:r w:rsidRPr="0052155F">
        <w:rPr>
          <w:rStyle w:val="Appelnotedebasdep"/>
          <w:rFonts w:ascii="Times New Roman" w:hAnsi="Times New Roman"/>
        </w:rPr>
        <w:footnoteRef/>
      </w:r>
      <w:r w:rsidRPr="00D75AAC">
        <w:rPr>
          <w:rFonts w:ascii="Times New Roman" w:hAnsi="Times New Roman"/>
          <w:lang w:val="en-US"/>
        </w:rPr>
        <w:t xml:space="preserve">Gérard Genette, </w:t>
      </w:r>
      <w:r w:rsidRPr="00D75AAC">
        <w:rPr>
          <w:rFonts w:ascii="Times New Roman" w:hAnsi="Times New Roman"/>
          <w:i/>
          <w:iCs/>
          <w:lang w:val="en-US"/>
        </w:rPr>
        <w:t>Figure III</w:t>
      </w:r>
      <w:r w:rsidRPr="00D75AAC">
        <w:rPr>
          <w:rFonts w:ascii="Times New Roman" w:hAnsi="Times New Roman"/>
          <w:lang w:val="en-US"/>
        </w:rPr>
        <w:t xml:space="preserve">, </w:t>
      </w:r>
      <w:proofErr w:type="gramStart"/>
      <w:r w:rsidRPr="00D75AAC">
        <w:rPr>
          <w:rFonts w:ascii="Times New Roman" w:hAnsi="Times New Roman"/>
          <w:i/>
          <w:iCs/>
          <w:lang w:val="en-US"/>
        </w:rPr>
        <w:t>op.cit.,</w:t>
      </w:r>
      <w:proofErr w:type="gramEnd"/>
      <w:r w:rsidRPr="00D75AAC">
        <w:rPr>
          <w:rFonts w:ascii="Times New Roman" w:hAnsi="Times New Roman"/>
          <w:i/>
          <w:iCs/>
          <w:lang w:val="en-US"/>
        </w:rPr>
        <w:t xml:space="preserve"> </w:t>
      </w:r>
      <w:r w:rsidRPr="00D75AAC">
        <w:rPr>
          <w:rFonts w:ascii="Times New Roman" w:hAnsi="Times New Roman"/>
          <w:lang w:val="en-US"/>
        </w:rPr>
        <w:t>p.237.</w:t>
      </w:r>
    </w:p>
  </w:footnote>
  <w:footnote w:id="276">
    <w:p w:rsidR="006C092A" w:rsidRPr="00D75AAC" w:rsidRDefault="006C092A" w:rsidP="003A3321">
      <w:pPr>
        <w:pStyle w:val="Notedebasdepage"/>
        <w:jc w:val="both"/>
        <w:rPr>
          <w:rFonts w:ascii="Times New Roman" w:hAnsi="Times New Roman"/>
          <w:lang w:val="en-US"/>
        </w:rPr>
      </w:pPr>
      <w:r w:rsidRPr="0052155F">
        <w:rPr>
          <w:rStyle w:val="Appelnotedebasdep"/>
          <w:rFonts w:ascii="Times New Roman" w:hAnsi="Times New Roman"/>
        </w:rPr>
        <w:footnoteRef/>
      </w:r>
      <w:proofErr w:type="gramStart"/>
      <w:r w:rsidRPr="00D75AAC">
        <w:rPr>
          <w:rFonts w:ascii="Times New Roman" w:hAnsi="Times New Roman"/>
          <w:i/>
          <w:iCs/>
          <w:lang w:val="en-US"/>
        </w:rPr>
        <w:t>Ibid.,</w:t>
      </w:r>
      <w:proofErr w:type="gramEnd"/>
      <w:r w:rsidRPr="00D75AAC">
        <w:rPr>
          <w:rFonts w:ascii="Times New Roman" w:hAnsi="Times New Roman"/>
          <w:i/>
          <w:iCs/>
          <w:lang w:val="en-US"/>
        </w:rPr>
        <w:t xml:space="preserve"> </w:t>
      </w:r>
      <w:r w:rsidRPr="00D75AAC">
        <w:rPr>
          <w:rFonts w:ascii="Times New Roman" w:hAnsi="Times New Roman"/>
          <w:lang w:val="en-US"/>
        </w:rPr>
        <w:t>p.238.</w:t>
      </w:r>
    </w:p>
  </w:footnote>
  <w:footnote w:id="277">
    <w:p w:rsidR="006C092A" w:rsidRDefault="006C092A" w:rsidP="006E6179">
      <w:pPr>
        <w:pStyle w:val="Notedebasdepage"/>
        <w:jc w:val="both"/>
        <w:rPr>
          <w:rFonts w:ascii="Times New Roman" w:hAnsi="Times New Roman"/>
        </w:rPr>
      </w:pPr>
      <w:r w:rsidRPr="0052155F">
        <w:rPr>
          <w:rStyle w:val="Appelnotedebasdep"/>
          <w:rFonts w:ascii="Times New Roman" w:hAnsi="Times New Roman"/>
        </w:rPr>
        <w:footnoteRef/>
      </w:r>
      <w:r w:rsidRPr="0052155F">
        <w:rPr>
          <w:rFonts w:ascii="Times New Roman" w:hAnsi="Times New Roman"/>
        </w:rPr>
        <w:t xml:space="preserve">Jean-Pierre </w:t>
      </w:r>
      <w:r w:rsidRPr="00DF739F">
        <w:rPr>
          <w:rFonts w:ascii="Times New Roman" w:hAnsi="Times New Roman"/>
        </w:rPr>
        <w:t>M</w:t>
      </w:r>
      <w:r>
        <w:rPr>
          <w:rFonts w:ascii="Times New Roman" w:hAnsi="Times New Roman"/>
        </w:rPr>
        <w:t>kouta</w:t>
      </w:r>
      <w:r w:rsidRPr="00DF739F">
        <w:rPr>
          <w:rFonts w:ascii="Times New Roman" w:hAnsi="Times New Roman"/>
        </w:rPr>
        <w:t xml:space="preserve">  M’</w:t>
      </w:r>
      <w:r>
        <w:rPr>
          <w:rFonts w:ascii="Times New Roman" w:hAnsi="Times New Roman"/>
        </w:rPr>
        <w:t>boukou</w:t>
      </w:r>
      <w:r w:rsidRPr="0052155F">
        <w:rPr>
          <w:rFonts w:ascii="Times New Roman" w:hAnsi="Times New Roman"/>
        </w:rPr>
        <w:t xml:space="preserve">, </w:t>
      </w:r>
      <w:r w:rsidRPr="006E6179">
        <w:rPr>
          <w:rFonts w:ascii="Times New Roman" w:hAnsi="Times New Roman"/>
          <w:i/>
          <w:iCs/>
        </w:rPr>
        <w:t>Introduction à l’étude du roman négro-africain de Langue française</w:t>
      </w:r>
      <w:r w:rsidRPr="0052155F">
        <w:rPr>
          <w:rFonts w:ascii="Times New Roman" w:hAnsi="Times New Roman"/>
        </w:rPr>
        <w:t>, NEA/C</w:t>
      </w:r>
      <w:r>
        <w:rPr>
          <w:rFonts w:ascii="Times New Roman" w:hAnsi="Times New Roman"/>
        </w:rPr>
        <w:t xml:space="preserve">, </w:t>
      </w:r>
      <w:r w:rsidRPr="00AE57A9">
        <w:rPr>
          <w:rFonts w:ascii="Times New Roman" w:hAnsi="Times New Roman"/>
          <w:shd w:val="clear" w:color="auto" w:fill="FFFFFF"/>
        </w:rPr>
        <w:t>Abidjan / Yaoundé</w:t>
      </w:r>
      <w:r w:rsidRPr="0052155F">
        <w:rPr>
          <w:rFonts w:ascii="Times New Roman" w:hAnsi="Times New Roman"/>
        </w:rPr>
        <w:t>, 1980, p.265</w:t>
      </w:r>
      <w:r>
        <w:rPr>
          <w:rFonts w:ascii="Times New Roman" w:hAnsi="Times New Roman"/>
        </w:rPr>
        <w:t>.</w:t>
      </w:r>
    </w:p>
    <w:p w:rsidR="006C092A" w:rsidRPr="0052155F" w:rsidRDefault="006C092A" w:rsidP="006E6179">
      <w:pPr>
        <w:pStyle w:val="Notedebasdepage"/>
        <w:jc w:val="both"/>
        <w:rPr>
          <w:rFonts w:ascii="Times New Roman" w:hAnsi="Times New Roman"/>
        </w:rPr>
      </w:pPr>
    </w:p>
  </w:footnote>
  <w:footnote w:id="278">
    <w:p w:rsidR="006C092A" w:rsidRPr="001B4407" w:rsidRDefault="006C092A" w:rsidP="001B4407">
      <w:pPr>
        <w:pStyle w:val="Notedebasdepage"/>
        <w:jc w:val="both"/>
        <w:rPr>
          <w:rFonts w:asciiTheme="majorBidi" w:hAnsiTheme="majorBidi" w:cstheme="majorBidi"/>
        </w:rPr>
      </w:pPr>
      <w:r w:rsidRPr="001B4407">
        <w:rPr>
          <w:rStyle w:val="Appelnotedebasdep"/>
          <w:rFonts w:asciiTheme="majorBidi" w:hAnsiTheme="majorBidi" w:cstheme="majorBidi"/>
        </w:rPr>
        <w:footnoteRef/>
      </w:r>
      <w:r w:rsidRPr="001B4407">
        <w:rPr>
          <w:rFonts w:asciiTheme="majorBidi" w:hAnsiTheme="majorBidi" w:cstheme="majorBidi"/>
        </w:rPr>
        <w:t xml:space="preserve">Abderrahmane Mostefa et Mansour Benchehida, </w:t>
      </w:r>
      <w:r w:rsidRPr="001B4407">
        <w:rPr>
          <w:rFonts w:asciiTheme="majorBidi" w:hAnsiTheme="majorBidi" w:cstheme="majorBidi"/>
          <w:i/>
        </w:rPr>
        <w:t>op.cit</w:t>
      </w:r>
      <w:proofErr w:type="gramStart"/>
      <w:r w:rsidRPr="001B4407">
        <w:rPr>
          <w:rFonts w:asciiTheme="majorBidi" w:hAnsiTheme="majorBidi" w:cstheme="majorBidi"/>
          <w:i/>
        </w:rPr>
        <w:t>,.</w:t>
      </w:r>
      <w:proofErr w:type="gramEnd"/>
    </w:p>
  </w:footnote>
  <w:footnote w:id="279">
    <w:p w:rsidR="006C092A" w:rsidRPr="00410428" w:rsidRDefault="006C092A" w:rsidP="00410428">
      <w:pPr>
        <w:spacing w:after="0" w:line="240" w:lineRule="auto"/>
        <w:jc w:val="both"/>
        <w:rPr>
          <w:rFonts w:asciiTheme="majorBidi" w:hAnsiTheme="majorBidi" w:cstheme="majorBidi"/>
          <w:sz w:val="20"/>
          <w:szCs w:val="20"/>
          <w:lang w:val="en-US"/>
        </w:rPr>
      </w:pPr>
      <w:r w:rsidRPr="00410428">
        <w:rPr>
          <w:rStyle w:val="Appelnotedebasdep"/>
          <w:rFonts w:asciiTheme="majorBidi" w:hAnsiTheme="majorBidi" w:cstheme="majorBidi"/>
          <w:sz w:val="20"/>
          <w:szCs w:val="20"/>
        </w:rPr>
        <w:footnoteRef/>
      </w:r>
      <w:r w:rsidRPr="00410428">
        <w:rPr>
          <w:rFonts w:asciiTheme="majorBidi" w:hAnsiTheme="majorBidi" w:cstheme="majorBidi"/>
          <w:sz w:val="20"/>
          <w:szCs w:val="20"/>
          <w:lang w:val="it-IT"/>
        </w:rPr>
        <w:t xml:space="preserve">Gerard Genette, </w:t>
      </w:r>
      <w:r w:rsidRPr="00410428">
        <w:rPr>
          <w:rFonts w:asciiTheme="majorBidi" w:hAnsiTheme="majorBidi" w:cstheme="majorBidi"/>
          <w:i/>
          <w:iCs/>
          <w:sz w:val="20"/>
          <w:szCs w:val="20"/>
          <w:lang w:val="it-IT"/>
        </w:rPr>
        <w:t>op.cit</w:t>
      </w:r>
      <w:r w:rsidRPr="00410428">
        <w:rPr>
          <w:rFonts w:asciiTheme="majorBidi" w:hAnsiTheme="majorBidi" w:cstheme="majorBidi"/>
          <w:sz w:val="20"/>
          <w:szCs w:val="20"/>
          <w:lang w:val="it-IT"/>
        </w:rPr>
        <w:t>., p.256.</w:t>
      </w:r>
    </w:p>
  </w:footnote>
  <w:footnote w:id="280">
    <w:p w:rsidR="006C092A" w:rsidRPr="00410428" w:rsidRDefault="006C092A" w:rsidP="00410428">
      <w:pPr>
        <w:pStyle w:val="Notedebasdepage"/>
        <w:jc w:val="both"/>
        <w:rPr>
          <w:rFonts w:asciiTheme="majorBidi" w:hAnsiTheme="majorBidi" w:cstheme="majorBidi"/>
        </w:rPr>
      </w:pPr>
      <w:r w:rsidRPr="00410428">
        <w:rPr>
          <w:rStyle w:val="Appelnotedebasdep"/>
          <w:rFonts w:asciiTheme="majorBidi" w:hAnsiTheme="majorBidi" w:cstheme="majorBidi"/>
        </w:rPr>
        <w:footnoteRef/>
      </w:r>
      <w:r w:rsidRPr="00410428">
        <w:rPr>
          <w:rFonts w:asciiTheme="majorBidi" w:hAnsiTheme="majorBidi" w:cstheme="majorBidi"/>
        </w:rPr>
        <w:t xml:space="preserve">Catherine Kerbrat- Orecchioni, « Pour une approche pragmatique du dialogue théâtral » in </w:t>
      </w:r>
      <w:r w:rsidRPr="00410428">
        <w:rPr>
          <w:rFonts w:asciiTheme="majorBidi" w:hAnsiTheme="majorBidi" w:cstheme="majorBidi"/>
          <w:i/>
          <w:iCs/>
        </w:rPr>
        <w:t>Pratiques N°41</w:t>
      </w:r>
      <w:r w:rsidRPr="00410428">
        <w:rPr>
          <w:rFonts w:asciiTheme="majorBidi" w:hAnsiTheme="majorBidi" w:cstheme="majorBidi"/>
        </w:rPr>
        <w:t>, 1984.</w:t>
      </w:r>
    </w:p>
  </w:footnote>
  <w:footnote w:id="281">
    <w:p w:rsidR="006C092A" w:rsidRPr="00E3017C" w:rsidRDefault="006C092A" w:rsidP="004D7457">
      <w:r>
        <w:rPr>
          <w:rStyle w:val="Appelnotedebasdep"/>
        </w:rPr>
        <w:footnoteRef/>
      </w:r>
      <w:r w:rsidRPr="00063D5E">
        <w:rPr>
          <w:rFonts w:ascii="Times New Roman" w:hAnsi="Times New Roman"/>
          <w:sz w:val="20"/>
          <w:szCs w:val="20"/>
          <w:lang w:val="it-IT"/>
        </w:rPr>
        <w:t xml:space="preserve">Bertolt </w:t>
      </w:r>
      <w:r w:rsidRPr="00063D5E">
        <w:rPr>
          <w:rFonts w:ascii="Times New Roman" w:hAnsi="Times New Roman"/>
          <w:sz w:val="20"/>
          <w:szCs w:val="20"/>
          <w:lang w:eastAsia="fr-FR"/>
        </w:rPr>
        <w:t>B</w:t>
      </w:r>
      <w:r>
        <w:rPr>
          <w:rFonts w:ascii="Times New Roman" w:hAnsi="Times New Roman"/>
          <w:sz w:val="20"/>
          <w:szCs w:val="20"/>
          <w:lang w:eastAsia="fr-FR"/>
        </w:rPr>
        <w:t>recht</w:t>
      </w:r>
      <w:r w:rsidRPr="00063D5E">
        <w:rPr>
          <w:rFonts w:ascii="Times New Roman" w:hAnsi="Times New Roman"/>
          <w:sz w:val="20"/>
          <w:szCs w:val="20"/>
          <w:lang w:eastAsia="fr-FR"/>
        </w:rPr>
        <w:t xml:space="preserve">, </w:t>
      </w:r>
      <w:r w:rsidRPr="00063D5E">
        <w:rPr>
          <w:rFonts w:ascii="Times New Roman" w:hAnsi="Times New Roman"/>
          <w:i/>
          <w:iCs/>
          <w:sz w:val="20"/>
          <w:szCs w:val="20"/>
          <w:lang w:eastAsia="fr-FR"/>
        </w:rPr>
        <w:t xml:space="preserve">Écrits sur le théâtre </w:t>
      </w:r>
      <w:r w:rsidRPr="004D7457">
        <w:rPr>
          <w:rFonts w:ascii="Times New Roman" w:hAnsi="Times New Roman"/>
          <w:i/>
          <w:iCs/>
          <w:sz w:val="20"/>
          <w:szCs w:val="20"/>
          <w:lang w:eastAsia="fr-FR"/>
        </w:rPr>
        <w:t>I – II</w:t>
      </w:r>
      <w:r w:rsidRPr="00063D5E">
        <w:rPr>
          <w:rFonts w:ascii="Times New Roman" w:hAnsi="Times New Roman"/>
          <w:sz w:val="20"/>
          <w:szCs w:val="20"/>
          <w:lang w:eastAsia="fr-FR"/>
        </w:rPr>
        <w:t>,  : L’Arche</w:t>
      </w:r>
      <w:r>
        <w:rPr>
          <w:rFonts w:ascii="Times New Roman" w:hAnsi="Times New Roman"/>
          <w:sz w:val="20"/>
          <w:szCs w:val="20"/>
          <w:lang w:eastAsia="fr-FR"/>
        </w:rPr>
        <w:t xml:space="preserve">, </w:t>
      </w:r>
      <w:r w:rsidRPr="00063D5E">
        <w:rPr>
          <w:rFonts w:ascii="Times New Roman" w:hAnsi="Times New Roman"/>
          <w:sz w:val="20"/>
          <w:szCs w:val="20"/>
          <w:lang w:eastAsia="fr-FR"/>
        </w:rPr>
        <w:t>Paris, 1972, p. 36 </w:t>
      </w:r>
    </w:p>
  </w:footnote>
  <w:footnote w:id="282">
    <w:p w:rsidR="006C092A" w:rsidRPr="002000D1" w:rsidRDefault="006C092A" w:rsidP="00306223">
      <w:pPr>
        <w:pStyle w:val="Notedebasdepage"/>
        <w:jc w:val="both"/>
        <w:rPr>
          <w:rFonts w:ascii="Times New Roman" w:hAnsi="Times New Roman"/>
        </w:rPr>
      </w:pPr>
      <w:r w:rsidRPr="002000D1">
        <w:rPr>
          <w:rStyle w:val="Appelnotedebasdep"/>
          <w:rFonts w:ascii="Times New Roman" w:hAnsi="Times New Roman"/>
        </w:rPr>
        <w:footnoteRef/>
      </w:r>
      <w:r w:rsidRPr="002000D1">
        <w:rPr>
          <w:rFonts w:ascii="Times New Roman" w:hAnsi="Times New Roman"/>
        </w:rPr>
        <w:t xml:space="preserve">Paul </w:t>
      </w:r>
      <w:r w:rsidRPr="005A5F3E">
        <w:rPr>
          <w:rFonts w:ascii="Times New Roman" w:hAnsi="Times New Roman"/>
        </w:rPr>
        <w:t>N</w:t>
      </w:r>
      <w:r>
        <w:rPr>
          <w:rFonts w:ascii="Times New Roman" w:hAnsi="Times New Roman"/>
        </w:rPr>
        <w:t>euhuys</w:t>
      </w:r>
      <w:r w:rsidRPr="005A5F3E">
        <w:rPr>
          <w:rFonts w:ascii="Times New Roman" w:hAnsi="Times New Roman"/>
        </w:rPr>
        <w:t>,</w:t>
      </w:r>
      <w:r w:rsidRPr="002000D1">
        <w:rPr>
          <w:rFonts w:ascii="Times New Roman" w:hAnsi="Times New Roman"/>
        </w:rPr>
        <w:t xml:space="preserve"> « Lettre d'Anvers. Une représentation du 'Vlaamsche Volkstooneel' », in </w:t>
      </w:r>
      <w:r w:rsidRPr="002000D1">
        <w:rPr>
          <w:rFonts w:ascii="Times New Roman" w:hAnsi="Times New Roman"/>
          <w:i/>
          <w:iCs/>
        </w:rPr>
        <w:t>La Renaissance d'Occident</w:t>
      </w:r>
      <w:r w:rsidRPr="002000D1">
        <w:rPr>
          <w:rFonts w:ascii="Times New Roman" w:hAnsi="Times New Roman"/>
        </w:rPr>
        <w:t>, avril 1929, p.119-122</w:t>
      </w:r>
      <w:r>
        <w:rPr>
          <w:rFonts w:ascii="Times New Roman" w:hAnsi="Times New Roman"/>
          <w:color w:val="00B0F0"/>
        </w:rPr>
        <w:t>.</w:t>
      </w:r>
    </w:p>
  </w:footnote>
  <w:footnote w:id="283">
    <w:p w:rsidR="006C092A" w:rsidRPr="002000D1" w:rsidRDefault="006C092A" w:rsidP="00306223">
      <w:pPr>
        <w:pStyle w:val="Notedebasdepage"/>
        <w:jc w:val="both"/>
        <w:rPr>
          <w:rFonts w:ascii="Times New Roman" w:hAnsi="Times New Roman"/>
        </w:rPr>
      </w:pPr>
      <w:r w:rsidRPr="002000D1">
        <w:rPr>
          <w:rStyle w:val="Appelnotedebasdep"/>
          <w:rFonts w:ascii="Times New Roman" w:hAnsi="Times New Roman"/>
        </w:rPr>
        <w:footnoteRef/>
      </w:r>
      <w:r w:rsidRPr="002000D1">
        <w:rPr>
          <w:rFonts w:ascii="Times New Roman" w:hAnsi="Times New Roman"/>
        </w:rPr>
        <w:t xml:space="preserve">Notamment </w:t>
      </w:r>
      <w:r w:rsidRPr="002000D1">
        <w:rPr>
          <w:rFonts w:ascii="Times New Roman" w:hAnsi="Times New Roman"/>
          <w:i/>
          <w:iCs/>
        </w:rPr>
        <w:t>La Renaissance d'Occident</w:t>
      </w:r>
      <w:r w:rsidRPr="002000D1">
        <w:rPr>
          <w:rFonts w:ascii="Times New Roman" w:hAnsi="Times New Roman"/>
        </w:rPr>
        <w:t xml:space="preserve"> ou </w:t>
      </w:r>
      <w:r w:rsidRPr="002000D1">
        <w:rPr>
          <w:rFonts w:ascii="Times New Roman" w:hAnsi="Times New Roman"/>
          <w:i/>
          <w:iCs/>
        </w:rPr>
        <w:t>La Flandre littéraire</w:t>
      </w:r>
      <w:r>
        <w:rPr>
          <w:rFonts w:ascii="Times New Roman" w:hAnsi="Times New Roman"/>
          <w:i/>
          <w:iCs/>
        </w:rPr>
        <w:t>.</w:t>
      </w:r>
    </w:p>
  </w:footnote>
  <w:footnote w:id="284">
    <w:p w:rsidR="006C092A" w:rsidRDefault="006C092A" w:rsidP="00001D87">
      <w:pPr>
        <w:pStyle w:val="Notedebasdepage"/>
        <w:jc w:val="both"/>
      </w:pPr>
      <w:r w:rsidRPr="002000D1">
        <w:rPr>
          <w:rStyle w:val="Appelnotedebasdep"/>
          <w:rFonts w:ascii="Times New Roman" w:hAnsi="Times New Roman"/>
        </w:rPr>
        <w:footnoteRef/>
      </w:r>
      <w:r w:rsidRPr="002000D1">
        <w:rPr>
          <w:rFonts w:ascii="Times New Roman" w:hAnsi="Times New Roman"/>
        </w:rPr>
        <w:t xml:space="preserve">Roland </w:t>
      </w:r>
      <w:r w:rsidRPr="005A5F3E">
        <w:rPr>
          <w:rFonts w:ascii="Times New Roman" w:hAnsi="Times New Roman"/>
        </w:rPr>
        <w:t>B</w:t>
      </w:r>
      <w:r>
        <w:rPr>
          <w:rFonts w:ascii="Times New Roman" w:hAnsi="Times New Roman"/>
        </w:rPr>
        <w:t>eyen</w:t>
      </w:r>
      <w:r w:rsidRPr="002000D1">
        <w:rPr>
          <w:rFonts w:ascii="Times New Roman" w:hAnsi="Times New Roman"/>
        </w:rPr>
        <w:t xml:space="preserve"> </w:t>
      </w:r>
      <w:r w:rsidRPr="002000D1">
        <w:rPr>
          <w:rFonts w:ascii="Times New Roman" w:hAnsi="Times New Roman"/>
          <w:i/>
          <w:iCs/>
        </w:rPr>
        <w:t>Bibliographie de Michel de Ghelderode</w:t>
      </w:r>
      <w:r w:rsidRPr="002000D1">
        <w:rPr>
          <w:rFonts w:ascii="Times New Roman" w:hAnsi="Times New Roman"/>
        </w:rPr>
        <w:t>, Académie royale de Langue et de Littérature françaises</w:t>
      </w:r>
      <w:r>
        <w:rPr>
          <w:rFonts w:ascii="Times New Roman" w:hAnsi="Times New Roman"/>
        </w:rPr>
        <w:t xml:space="preserve">, </w:t>
      </w:r>
      <w:r w:rsidRPr="002000D1">
        <w:rPr>
          <w:rFonts w:ascii="Times New Roman" w:hAnsi="Times New Roman"/>
        </w:rPr>
        <w:t>Bruxelles, 1987</w:t>
      </w:r>
      <w:proofErr w:type="gramStart"/>
      <w:r w:rsidRPr="002000D1">
        <w:rPr>
          <w:rFonts w:ascii="Times New Roman" w:hAnsi="Times New Roman"/>
        </w:rPr>
        <w:t>,p</w:t>
      </w:r>
      <w:proofErr w:type="gramEnd"/>
      <w:r w:rsidRPr="002000D1">
        <w:rPr>
          <w:rFonts w:ascii="Times New Roman" w:hAnsi="Times New Roman"/>
        </w:rPr>
        <w:t>. XVI.</w:t>
      </w:r>
    </w:p>
  </w:footnote>
  <w:footnote w:id="285">
    <w:p w:rsidR="006C092A" w:rsidRPr="00664525" w:rsidRDefault="006C092A" w:rsidP="00001D87">
      <w:pPr>
        <w:pStyle w:val="Style15"/>
        <w:widowControl/>
        <w:tabs>
          <w:tab w:val="left" w:pos="158"/>
        </w:tabs>
        <w:spacing w:before="0" w:beforeAutospacing="0" w:afterAutospacing="0"/>
        <w:rPr>
          <w:rStyle w:val="FontStyle71"/>
          <w:iCs/>
          <w:sz w:val="20"/>
          <w:szCs w:val="20"/>
        </w:rPr>
      </w:pPr>
      <w:r w:rsidRPr="00001D87">
        <w:rPr>
          <w:rStyle w:val="FontStyle71"/>
          <w:iCs/>
          <w:sz w:val="20"/>
          <w:szCs w:val="20"/>
          <w:vertAlign w:val="superscript"/>
        </w:rPr>
        <w:footnoteRef/>
      </w:r>
      <w:r w:rsidRPr="005A5F3E">
        <w:rPr>
          <w:rStyle w:val="FontStyle71"/>
          <w:iCs/>
          <w:sz w:val="20"/>
          <w:szCs w:val="20"/>
        </w:rPr>
        <w:t>Mikhaїl B</w:t>
      </w:r>
      <w:r>
        <w:rPr>
          <w:rStyle w:val="FontStyle71"/>
          <w:iCs/>
          <w:sz w:val="20"/>
          <w:szCs w:val="20"/>
        </w:rPr>
        <w:t>akhtine</w:t>
      </w:r>
      <w:r w:rsidRPr="005A5F3E">
        <w:rPr>
          <w:rStyle w:val="FontStyle71"/>
          <w:iCs/>
          <w:sz w:val="20"/>
          <w:szCs w:val="20"/>
        </w:rPr>
        <w:t xml:space="preserve">, </w:t>
      </w:r>
      <w:r w:rsidRPr="005A5F3E">
        <w:rPr>
          <w:rStyle w:val="FontStyle71"/>
          <w:i/>
          <w:sz w:val="20"/>
          <w:szCs w:val="20"/>
        </w:rPr>
        <w:t>La poétique de Dostoïevski</w:t>
      </w:r>
      <w:r w:rsidRPr="005A5F3E">
        <w:rPr>
          <w:rStyle w:val="FontStyle71"/>
          <w:iCs/>
          <w:sz w:val="20"/>
          <w:szCs w:val="20"/>
        </w:rPr>
        <w:t>, (traduit du russe par Isabelle Kolitcheff), Seuil</w:t>
      </w:r>
      <w:r>
        <w:rPr>
          <w:rStyle w:val="FontStyle71"/>
          <w:iCs/>
          <w:sz w:val="20"/>
          <w:szCs w:val="20"/>
        </w:rPr>
        <w:t xml:space="preserve">, </w:t>
      </w:r>
      <w:r w:rsidRPr="005A5F3E">
        <w:rPr>
          <w:rStyle w:val="FontStyle71"/>
          <w:iCs/>
          <w:sz w:val="20"/>
          <w:szCs w:val="20"/>
        </w:rPr>
        <w:t>Paris, 1998, p.65.</w:t>
      </w:r>
    </w:p>
  </w:footnote>
  <w:footnote w:id="286">
    <w:p w:rsidR="006C092A" w:rsidRPr="004E22D0" w:rsidRDefault="006C092A" w:rsidP="00F300A9">
      <w:pPr>
        <w:pStyle w:val="Style15"/>
        <w:widowControl/>
        <w:tabs>
          <w:tab w:val="left" w:pos="158"/>
        </w:tabs>
        <w:spacing w:before="0" w:beforeAutospacing="0" w:afterAutospacing="0"/>
        <w:rPr>
          <w:rStyle w:val="FontStyle71"/>
          <w:i/>
          <w:iCs/>
          <w:sz w:val="20"/>
          <w:szCs w:val="20"/>
        </w:rPr>
      </w:pPr>
      <w:r w:rsidRPr="004E22D0">
        <w:rPr>
          <w:rStyle w:val="FontStyle71"/>
          <w:i/>
          <w:iCs/>
          <w:sz w:val="20"/>
          <w:szCs w:val="20"/>
          <w:vertAlign w:val="superscript"/>
        </w:rPr>
        <w:footnoteRef/>
      </w:r>
      <w:r w:rsidRPr="004E22D0">
        <w:rPr>
          <w:rStyle w:val="FontStyle71"/>
          <w:iCs/>
          <w:sz w:val="20"/>
          <w:szCs w:val="20"/>
        </w:rPr>
        <w:t>Mikhail B</w:t>
      </w:r>
      <w:r>
        <w:rPr>
          <w:rStyle w:val="FontStyle71"/>
          <w:iCs/>
          <w:sz w:val="20"/>
          <w:szCs w:val="20"/>
        </w:rPr>
        <w:t>akhtine</w:t>
      </w:r>
      <w:r w:rsidRPr="004E22D0">
        <w:rPr>
          <w:rStyle w:val="FontStyle71"/>
          <w:iCs/>
          <w:sz w:val="20"/>
          <w:szCs w:val="20"/>
        </w:rPr>
        <w:t xml:space="preserve">, </w:t>
      </w:r>
      <w:r w:rsidRPr="004E22D0">
        <w:rPr>
          <w:i/>
          <w:iCs/>
          <w:sz w:val="20"/>
          <w:szCs w:val="20"/>
        </w:rPr>
        <w:t xml:space="preserve">L'œuvre de François Rabelais et la culture populaire au Moyen Âge et sous la Renaissance </w:t>
      </w:r>
      <w:r w:rsidRPr="004E22D0">
        <w:rPr>
          <w:sz w:val="20"/>
          <w:szCs w:val="20"/>
        </w:rPr>
        <w:t>(traduit du russe par Andrée Robel, Gallimard</w:t>
      </w:r>
      <w:r>
        <w:rPr>
          <w:sz w:val="20"/>
          <w:szCs w:val="20"/>
        </w:rPr>
        <w:t xml:space="preserve">, </w:t>
      </w:r>
      <w:r w:rsidRPr="004E22D0">
        <w:rPr>
          <w:sz w:val="20"/>
          <w:szCs w:val="20"/>
        </w:rPr>
        <w:t>Paris, 1970</w:t>
      </w:r>
      <w:r>
        <w:rPr>
          <w:sz w:val="20"/>
          <w:szCs w:val="20"/>
        </w:rPr>
        <w:t xml:space="preserve">, </w:t>
      </w:r>
      <w:r w:rsidRPr="004E22D0">
        <w:rPr>
          <w:sz w:val="20"/>
          <w:szCs w:val="20"/>
        </w:rPr>
        <w:t>p.93</w:t>
      </w:r>
      <w:r w:rsidRPr="004E22D0">
        <w:rPr>
          <w:color w:val="00B0F0"/>
          <w:sz w:val="20"/>
          <w:szCs w:val="20"/>
        </w:rPr>
        <w:t>.</w:t>
      </w:r>
    </w:p>
  </w:footnote>
  <w:footnote w:id="287">
    <w:p w:rsidR="006C092A" w:rsidRPr="007E6D8D" w:rsidRDefault="006C092A" w:rsidP="008017E4">
      <w:pPr>
        <w:spacing w:after="0" w:line="240" w:lineRule="auto"/>
        <w:jc w:val="both"/>
        <w:rPr>
          <w:rFonts w:ascii="Times New Roman" w:hAnsi="Times New Roman"/>
          <w:sz w:val="20"/>
          <w:szCs w:val="20"/>
          <w:lang w:val="en-US" w:eastAsia="fr-FR"/>
        </w:rPr>
      </w:pPr>
      <w:r w:rsidRPr="004E22D0">
        <w:rPr>
          <w:rStyle w:val="FontStyle71"/>
          <w:i/>
          <w:iCs/>
          <w:sz w:val="20"/>
          <w:szCs w:val="20"/>
          <w:vertAlign w:val="superscript"/>
        </w:rPr>
        <w:footnoteRef/>
      </w:r>
      <w:r w:rsidRPr="007E6D8D">
        <w:rPr>
          <w:rFonts w:ascii="Times New Roman" w:hAnsi="Times New Roman"/>
          <w:i/>
          <w:iCs/>
          <w:sz w:val="20"/>
          <w:szCs w:val="20"/>
          <w:lang w:val="en-US"/>
        </w:rPr>
        <w:t xml:space="preserve">Ibid., </w:t>
      </w:r>
      <w:r w:rsidRPr="007E6D8D">
        <w:rPr>
          <w:rFonts w:ascii="Times New Roman" w:hAnsi="Times New Roman"/>
          <w:iCs/>
          <w:sz w:val="20"/>
          <w:szCs w:val="20"/>
          <w:lang w:val="en-US"/>
        </w:rPr>
        <w:t>p.20</w:t>
      </w:r>
    </w:p>
    <w:p w:rsidR="006C092A" w:rsidRPr="007E6D8D" w:rsidRDefault="006C092A" w:rsidP="008017E4">
      <w:pPr>
        <w:pStyle w:val="Style15"/>
        <w:widowControl/>
        <w:tabs>
          <w:tab w:val="left" w:pos="158"/>
        </w:tabs>
        <w:spacing w:before="0" w:beforeAutospacing="0" w:afterAutospacing="0"/>
        <w:rPr>
          <w:sz w:val="2"/>
          <w:szCs w:val="2"/>
          <w:lang w:val="en-US"/>
        </w:rPr>
      </w:pPr>
    </w:p>
  </w:footnote>
  <w:footnote w:id="288">
    <w:p w:rsidR="006C092A" w:rsidRPr="007E6D8D" w:rsidRDefault="006C092A" w:rsidP="005C0F77">
      <w:pPr>
        <w:pStyle w:val="Style15"/>
        <w:widowControl/>
        <w:tabs>
          <w:tab w:val="left" w:pos="158"/>
        </w:tabs>
        <w:spacing w:before="0" w:beforeAutospacing="0" w:afterAutospacing="0"/>
        <w:rPr>
          <w:rStyle w:val="FontStyle71"/>
          <w:i/>
          <w:iCs/>
          <w:sz w:val="20"/>
          <w:szCs w:val="20"/>
          <w:lang w:val="en-US"/>
        </w:rPr>
      </w:pPr>
      <w:r w:rsidRPr="00887EEB">
        <w:rPr>
          <w:rStyle w:val="FontStyle71"/>
          <w:sz w:val="20"/>
          <w:szCs w:val="20"/>
          <w:vertAlign w:val="superscript"/>
        </w:rPr>
        <w:footnoteRef/>
      </w:r>
      <w:proofErr w:type="gramStart"/>
      <w:r w:rsidRPr="007E6D8D">
        <w:rPr>
          <w:rStyle w:val="FontStyle71"/>
          <w:i/>
          <w:sz w:val="20"/>
          <w:szCs w:val="20"/>
          <w:lang w:val="en-US"/>
        </w:rPr>
        <w:t>Ibid.,</w:t>
      </w:r>
      <w:proofErr w:type="gramEnd"/>
      <w:r w:rsidRPr="007E6D8D">
        <w:rPr>
          <w:rStyle w:val="FontStyle71"/>
          <w:i/>
          <w:sz w:val="20"/>
          <w:szCs w:val="20"/>
          <w:lang w:val="en-US"/>
        </w:rPr>
        <w:t xml:space="preserve"> </w:t>
      </w:r>
      <w:r w:rsidRPr="007E6D8D">
        <w:rPr>
          <w:sz w:val="20"/>
          <w:szCs w:val="20"/>
          <w:lang w:val="en-US"/>
        </w:rPr>
        <w:t>p.</w:t>
      </w:r>
      <w:r w:rsidRPr="007E6D8D">
        <w:rPr>
          <w:rStyle w:val="FontStyle71"/>
          <w:sz w:val="20"/>
          <w:szCs w:val="20"/>
          <w:lang w:val="en-US"/>
        </w:rPr>
        <w:t>25.</w:t>
      </w:r>
    </w:p>
  </w:footnote>
  <w:footnote w:id="289">
    <w:p w:rsidR="006C092A" w:rsidRPr="005C0F77" w:rsidRDefault="006C092A" w:rsidP="005C0F77">
      <w:pPr>
        <w:pStyle w:val="Style15"/>
        <w:widowControl/>
        <w:tabs>
          <w:tab w:val="left" w:pos="158"/>
        </w:tabs>
        <w:spacing w:before="0" w:beforeAutospacing="0" w:afterAutospacing="0"/>
        <w:rPr>
          <w:rStyle w:val="FontStyle71"/>
          <w:rFonts w:asciiTheme="majorBidi" w:hAnsiTheme="majorBidi" w:cstheme="majorBidi"/>
          <w:sz w:val="20"/>
          <w:szCs w:val="20"/>
          <w:lang w:val="en-US"/>
        </w:rPr>
      </w:pPr>
      <w:r w:rsidRPr="005C0F77">
        <w:rPr>
          <w:rStyle w:val="FontStyle71"/>
          <w:rFonts w:asciiTheme="majorBidi" w:hAnsiTheme="majorBidi" w:cstheme="majorBidi"/>
          <w:sz w:val="20"/>
          <w:szCs w:val="20"/>
          <w:vertAlign w:val="superscript"/>
        </w:rPr>
        <w:footnoteRef/>
      </w:r>
      <w:proofErr w:type="gramStart"/>
      <w:r w:rsidRPr="005C0F77">
        <w:rPr>
          <w:rStyle w:val="FontStyle71"/>
          <w:rFonts w:asciiTheme="majorBidi" w:hAnsiTheme="majorBidi" w:cstheme="majorBidi"/>
          <w:i/>
          <w:sz w:val="20"/>
          <w:szCs w:val="20"/>
          <w:lang w:val="en-US"/>
        </w:rPr>
        <w:t>Ibid.,</w:t>
      </w:r>
      <w:proofErr w:type="gramEnd"/>
      <w:r w:rsidRPr="005C0F77">
        <w:rPr>
          <w:rStyle w:val="FontStyle71"/>
          <w:rFonts w:asciiTheme="majorBidi" w:hAnsiTheme="majorBidi" w:cstheme="majorBidi"/>
          <w:i/>
          <w:sz w:val="20"/>
          <w:szCs w:val="20"/>
          <w:lang w:val="en-US"/>
        </w:rPr>
        <w:t xml:space="preserve"> </w:t>
      </w:r>
      <w:r w:rsidRPr="005C0F77">
        <w:rPr>
          <w:rFonts w:asciiTheme="majorBidi" w:hAnsiTheme="majorBidi" w:cstheme="majorBidi"/>
          <w:sz w:val="20"/>
          <w:szCs w:val="20"/>
          <w:lang w:val="en-US"/>
        </w:rPr>
        <w:t>p.</w:t>
      </w:r>
      <w:r w:rsidRPr="005C0F77">
        <w:rPr>
          <w:rStyle w:val="FontStyle71"/>
          <w:rFonts w:asciiTheme="majorBidi" w:hAnsiTheme="majorBidi" w:cstheme="majorBidi"/>
          <w:sz w:val="20"/>
          <w:szCs w:val="20"/>
          <w:lang w:val="en-US"/>
        </w:rPr>
        <w:t>49.</w:t>
      </w:r>
    </w:p>
  </w:footnote>
  <w:footnote w:id="290">
    <w:p w:rsidR="006C092A" w:rsidRPr="005C0F77" w:rsidRDefault="006C092A" w:rsidP="005C0F77">
      <w:pPr>
        <w:pStyle w:val="Notedebasdepage"/>
        <w:jc w:val="both"/>
        <w:rPr>
          <w:rFonts w:asciiTheme="majorBidi" w:hAnsiTheme="majorBidi" w:cstheme="majorBidi"/>
        </w:rPr>
      </w:pPr>
      <w:r w:rsidRPr="005C0F77">
        <w:rPr>
          <w:rStyle w:val="Appelnotedebasdep"/>
          <w:rFonts w:asciiTheme="majorBidi" w:hAnsiTheme="majorBidi" w:cstheme="majorBidi"/>
        </w:rPr>
        <w:footnoteRef/>
      </w:r>
      <w:r w:rsidRPr="005C0F77">
        <w:rPr>
          <w:rFonts w:asciiTheme="majorBidi" w:hAnsiTheme="majorBidi" w:cstheme="majorBidi"/>
        </w:rPr>
        <w:t xml:space="preserve"> </w:t>
      </w:r>
      <w:r w:rsidRPr="005C0F77">
        <w:rPr>
          <w:rFonts w:asciiTheme="majorBidi" w:hAnsiTheme="majorBidi" w:cstheme="majorBidi"/>
          <w:i/>
          <w:iCs/>
        </w:rPr>
        <w:t>Ibid.</w:t>
      </w:r>
    </w:p>
  </w:footnote>
  <w:footnote w:id="291">
    <w:p w:rsidR="006C092A" w:rsidRPr="005C0F77" w:rsidRDefault="006C092A" w:rsidP="005C0F77">
      <w:pPr>
        <w:pStyle w:val="Style15"/>
        <w:widowControl/>
        <w:tabs>
          <w:tab w:val="left" w:pos="158"/>
        </w:tabs>
        <w:spacing w:before="0" w:beforeAutospacing="0" w:afterAutospacing="0"/>
        <w:rPr>
          <w:rStyle w:val="FontStyle71"/>
          <w:rFonts w:asciiTheme="majorBidi" w:hAnsiTheme="majorBidi" w:cstheme="majorBidi"/>
          <w:sz w:val="20"/>
          <w:szCs w:val="20"/>
        </w:rPr>
      </w:pPr>
      <w:r w:rsidRPr="005C0F77">
        <w:rPr>
          <w:rStyle w:val="FontStyle71"/>
          <w:rFonts w:asciiTheme="majorBidi" w:hAnsiTheme="majorBidi" w:cstheme="majorBidi"/>
          <w:sz w:val="20"/>
          <w:szCs w:val="20"/>
          <w:vertAlign w:val="superscript"/>
        </w:rPr>
        <w:footnoteRef/>
      </w:r>
      <w:r w:rsidRPr="005C0F77">
        <w:rPr>
          <w:rStyle w:val="FontStyle71"/>
          <w:rFonts w:asciiTheme="majorBidi" w:hAnsiTheme="majorBidi" w:cstheme="majorBidi"/>
          <w:i/>
          <w:iCs/>
          <w:sz w:val="20"/>
          <w:szCs w:val="20"/>
          <w:vertAlign w:val="superscript"/>
        </w:rPr>
        <w:t xml:space="preserve"> </w:t>
      </w:r>
      <w:r w:rsidRPr="005C0F77">
        <w:rPr>
          <w:rStyle w:val="FontStyle71"/>
          <w:rFonts w:asciiTheme="majorBidi" w:hAnsiTheme="majorBidi" w:cstheme="majorBidi"/>
          <w:sz w:val="20"/>
          <w:szCs w:val="20"/>
        </w:rPr>
        <w:t xml:space="preserve">George Bataille, </w:t>
      </w:r>
      <w:r w:rsidRPr="005C0F77">
        <w:rPr>
          <w:rStyle w:val="FontStyle71"/>
          <w:rFonts w:asciiTheme="majorBidi" w:hAnsiTheme="majorBidi" w:cstheme="majorBidi"/>
          <w:i/>
          <w:iCs/>
          <w:sz w:val="20"/>
          <w:szCs w:val="20"/>
        </w:rPr>
        <w:t xml:space="preserve">Le masque en œuvres complètes, </w:t>
      </w:r>
      <w:r w:rsidRPr="005C0F77">
        <w:rPr>
          <w:rStyle w:val="FontStyle71"/>
          <w:rFonts w:asciiTheme="majorBidi" w:hAnsiTheme="majorBidi" w:cstheme="majorBidi"/>
          <w:sz w:val="20"/>
          <w:szCs w:val="20"/>
        </w:rPr>
        <w:t>Gallimard, Paris, 1970, p.55.</w:t>
      </w:r>
    </w:p>
  </w:footnote>
  <w:footnote w:id="292">
    <w:p w:rsidR="006C092A" w:rsidRPr="00145307" w:rsidRDefault="006C092A" w:rsidP="00A876CA">
      <w:pPr>
        <w:pStyle w:val="Style15"/>
        <w:widowControl/>
        <w:tabs>
          <w:tab w:val="left" w:pos="158"/>
        </w:tabs>
        <w:spacing w:before="0" w:beforeAutospacing="0" w:afterAutospacing="0"/>
        <w:rPr>
          <w:rStyle w:val="FontStyle71"/>
          <w:i/>
          <w:iCs/>
          <w:lang w:val="en-US"/>
        </w:rPr>
      </w:pPr>
      <w:r w:rsidRPr="00A876CA">
        <w:rPr>
          <w:rStyle w:val="FontStyle71"/>
          <w:sz w:val="20"/>
          <w:szCs w:val="20"/>
          <w:vertAlign w:val="superscript"/>
        </w:rPr>
        <w:footnoteRef/>
      </w:r>
      <w:r w:rsidRPr="00A876CA">
        <w:rPr>
          <w:rStyle w:val="FontStyle71"/>
          <w:iCs/>
          <w:sz w:val="20"/>
          <w:szCs w:val="20"/>
          <w:lang w:val="en-US"/>
        </w:rPr>
        <w:t>Mikhaïl Bak</w:t>
      </w:r>
      <w:r>
        <w:rPr>
          <w:rStyle w:val="FontStyle71"/>
          <w:iCs/>
          <w:sz w:val="20"/>
          <w:szCs w:val="20"/>
          <w:lang w:val="en-US"/>
        </w:rPr>
        <w:t>htine</w:t>
      </w:r>
      <w:r w:rsidRPr="00A876CA">
        <w:rPr>
          <w:rStyle w:val="FontStyle71"/>
          <w:iCs/>
          <w:sz w:val="20"/>
          <w:szCs w:val="20"/>
          <w:lang w:val="en-US"/>
        </w:rPr>
        <w:t xml:space="preserve">, </w:t>
      </w:r>
      <w:proofErr w:type="gramStart"/>
      <w:r w:rsidRPr="00A876CA">
        <w:rPr>
          <w:rStyle w:val="FontStyle71"/>
          <w:i/>
          <w:sz w:val="20"/>
          <w:szCs w:val="20"/>
          <w:lang w:val="en-US"/>
        </w:rPr>
        <w:t>op.cit</w:t>
      </w:r>
      <w:r w:rsidRPr="00A876CA">
        <w:rPr>
          <w:rStyle w:val="FontStyle71"/>
          <w:i/>
          <w:iCs/>
          <w:sz w:val="20"/>
          <w:szCs w:val="20"/>
          <w:lang w:val="en-US"/>
        </w:rPr>
        <w:t>.,</w:t>
      </w:r>
      <w:proofErr w:type="gramEnd"/>
      <w:r w:rsidRPr="00A876CA">
        <w:rPr>
          <w:rStyle w:val="FontStyle71"/>
          <w:i/>
          <w:iCs/>
          <w:sz w:val="20"/>
          <w:szCs w:val="20"/>
          <w:lang w:val="en-US"/>
        </w:rPr>
        <w:t xml:space="preserve"> </w:t>
      </w:r>
      <w:r w:rsidRPr="00A876CA">
        <w:rPr>
          <w:rStyle w:val="FontStyle71"/>
          <w:sz w:val="20"/>
          <w:szCs w:val="20"/>
          <w:lang w:val="en-US"/>
        </w:rPr>
        <w:t>p.368.</w:t>
      </w:r>
    </w:p>
  </w:footnote>
  <w:footnote w:id="293">
    <w:p w:rsidR="006C092A" w:rsidRPr="00B03915" w:rsidRDefault="006C092A" w:rsidP="00B03915">
      <w:pPr>
        <w:pStyle w:val="Notedebasdepage"/>
        <w:jc w:val="both"/>
        <w:rPr>
          <w:rFonts w:asciiTheme="majorBidi" w:hAnsiTheme="majorBidi" w:cstheme="majorBidi"/>
          <w:lang w:val="en-US"/>
        </w:rPr>
      </w:pPr>
      <w:r w:rsidRPr="00B03915">
        <w:rPr>
          <w:rStyle w:val="Appelnotedebasdep"/>
          <w:rFonts w:asciiTheme="majorBidi" w:hAnsiTheme="majorBidi" w:cstheme="majorBidi"/>
        </w:rPr>
        <w:footnoteRef/>
      </w:r>
      <w:proofErr w:type="gramStart"/>
      <w:r w:rsidRPr="00B03915">
        <w:rPr>
          <w:rFonts w:asciiTheme="majorBidi" w:hAnsiTheme="majorBidi" w:cstheme="majorBidi"/>
          <w:lang w:val="en-US"/>
        </w:rPr>
        <w:t>Ibid.,</w:t>
      </w:r>
      <w:proofErr w:type="gramEnd"/>
      <w:r w:rsidRPr="00B03915">
        <w:rPr>
          <w:rFonts w:asciiTheme="majorBidi" w:hAnsiTheme="majorBidi" w:cstheme="majorBidi"/>
          <w:lang w:val="en-US"/>
        </w:rPr>
        <w:t xml:space="preserve"> p.70.</w:t>
      </w:r>
    </w:p>
  </w:footnote>
  <w:footnote w:id="294">
    <w:p w:rsidR="006C092A" w:rsidRPr="00B03915" w:rsidRDefault="006C092A" w:rsidP="00B03915">
      <w:pPr>
        <w:pStyle w:val="Notedebasdepage"/>
        <w:jc w:val="both"/>
        <w:rPr>
          <w:rFonts w:asciiTheme="majorBidi" w:hAnsiTheme="majorBidi" w:cstheme="majorBidi"/>
          <w:lang w:val="en-US"/>
        </w:rPr>
      </w:pPr>
      <w:r w:rsidRPr="00B03915">
        <w:rPr>
          <w:rStyle w:val="Appelnotedebasdep"/>
          <w:rFonts w:asciiTheme="majorBidi" w:hAnsiTheme="majorBidi" w:cstheme="majorBidi"/>
        </w:rPr>
        <w:footnoteRef/>
      </w:r>
      <w:proofErr w:type="gramStart"/>
      <w:r w:rsidRPr="00B03915">
        <w:rPr>
          <w:rFonts w:asciiTheme="majorBidi" w:hAnsiTheme="majorBidi" w:cstheme="majorBidi"/>
          <w:lang w:val="en-US"/>
        </w:rPr>
        <w:t>Ibid.,</w:t>
      </w:r>
      <w:proofErr w:type="gramEnd"/>
      <w:r w:rsidRPr="00B03915">
        <w:rPr>
          <w:rFonts w:asciiTheme="majorBidi" w:hAnsiTheme="majorBidi" w:cstheme="majorBidi"/>
          <w:lang w:val="en-US"/>
        </w:rPr>
        <w:t xml:space="preserve"> p.16.</w:t>
      </w:r>
    </w:p>
  </w:footnote>
  <w:footnote w:id="295">
    <w:p w:rsidR="006C092A" w:rsidRPr="00B03915" w:rsidRDefault="006C092A" w:rsidP="00B03915">
      <w:pPr>
        <w:pStyle w:val="Notedebasdepage"/>
        <w:jc w:val="both"/>
        <w:rPr>
          <w:rFonts w:asciiTheme="majorBidi" w:hAnsiTheme="majorBidi" w:cstheme="majorBidi"/>
          <w:lang w:val="en-US"/>
        </w:rPr>
      </w:pPr>
      <w:r w:rsidRPr="00B03915">
        <w:rPr>
          <w:rStyle w:val="Appelnotedebasdep"/>
          <w:rFonts w:asciiTheme="majorBidi" w:hAnsiTheme="majorBidi" w:cstheme="majorBidi"/>
        </w:rPr>
        <w:footnoteRef/>
      </w:r>
      <w:r w:rsidRPr="00B03915">
        <w:rPr>
          <w:rFonts w:asciiTheme="majorBidi" w:hAnsiTheme="majorBidi" w:cstheme="majorBidi"/>
          <w:lang w:val="en-US"/>
        </w:rPr>
        <w:t xml:space="preserve"> </w:t>
      </w:r>
      <w:proofErr w:type="gramStart"/>
      <w:r w:rsidRPr="00B03915">
        <w:rPr>
          <w:rFonts w:asciiTheme="majorBidi" w:hAnsiTheme="majorBidi" w:cstheme="majorBidi"/>
          <w:lang w:val="en-US"/>
        </w:rPr>
        <w:t>Ibid.,</w:t>
      </w:r>
      <w:proofErr w:type="gramEnd"/>
      <w:r w:rsidRPr="00B03915">
        <w:rPr>
          <w:rFonts w:asciiTheme="majorBidi" w:hAnsiTheme="majorBidi" w:cstheme="majorBidi"/>
          <w:lang w:val="en-US"/>
        </w:rPr>
        <w:t xml:space="preserve"> p. 17.</w:t>
      </w:r>
    </w:p>
  </w:footnote>
  <w:footnote w:id="296">
    <w:p w:rsidR="006C092A" w:rsidRPr="00145307" w:rsidRDefault="006C092A" w:rsidP="002C6958">
      <w:pPr>
        <w:pStyle w:val="Style15"/>
        <w:widowControl/>
        <w:tabs>
          <w:tab w:val="left" w:pos="158"/>
        </w:tabs>
        <w:spacing w:before="0" w:beforeAutospacing="0" w:afterAutospacing="0"/>
        <w:rPr>
          <w:rStyle w:val="FontStyle71"/>
          <w:i/>
          <w:iCs/>
          <w:sz w:val="20"/>
          <w:szCs w:val="20"/>
          <w:lang w:val="en-US"/>
        </w:rPr>
      </w:pPr>
      <w:r w:rsidRPr="002C6958">
        <w:rPr>
          <w:rStyle w:val="FontStyle71"/>
          <w:sz w:val="20"/>
          <w:szCs w:val="20"/>
          <w:vertAlign w:val="superscript"/>
        </w:rPr>
        <w:footnoteRef/>
      </w:r>
      <w:proofErr w:type="gramStart"/>
      <w:r>
        <w:rPr>
          <w:rStyle w:val="FontStyle71"/>
          <w:iCs/>
          <w:sz w:val="20"/>
          <w:szCs w:val="20"/>
          <w:lang w:val="en-US"/>
        </w:rPr>
        <w:t xml:space="preserve">Ibid, </w:t>
      </w:r>
      <w:r w:rsidRPr="00145307">
        <w:rPr>
          <w:rStyle w:val="FontStyle71"/>
          <w:sz w:val="20"/>
          <w:szCs w:val="20"/>
          <w:lang w:val="en-US"/>
        </w:rPr>
        <w:t>p.160.</w:t>
      </w:r>
      <w:proofErr w:type="gramEnd"/>
    </w:p>
  </w:footnote>
  <w:footnote w:id="297">
    <w:p w:rsidR="006C092A" w:rsidRPr="00145307" w:rsidRDefault="006C092A" w:rsidP="00DB06D1">
      <w:pPr>
        <w:pStyle w:val="Style15"/>
        <w:widowControl/>
        <w:tabs>
          <w:tab w:val="left" w:pos="158"/>
        </w:tabs>
        <w:spacing w:before="0" w:beforeAutospacing="0" w:afterAutospacing="0"/>
        <w:rPr>
          <w:rStyle w:val="Appelnotedebasdep"/>
          <w:lang w:val="en-US"/>
        </w:rPr>
      </w:pPr>
      <w:r w:rsidRPr="00DB06D1">
        <w:rPr>
          <w:rStyle w:val="FontStyle71"/>
          <w:sz w:val="20"/>
          <w:szCs w:val="20"/>
          <w:vertAlign w:val="superscript"/>
        </w:rPr>
        <w:footnoteRef/>
      </w:r>
      <w:proofErr w:type="gramStart"/>
      <w:r w:rsidRPr="00DB06D1">
        <w:rPr>
          <w:rStyle w:val="FontStyle71"/>
          <w:i/>
          <w:sz w:val="20"/>
          <w:szCs w:val="20"/>
          <w:lang w:val="en-US"/>
        </w:rPr>
        <w:t>Ibid</w:t>
      </w:r>
      <w:r>
        <w:rPr>
          <w:rStyle w:val="FontStyle71"/>
          <w:iCs/>
          <w:sz w:val="20"/>
          <w:szCs w:val="20"/>
          <w:lang w:val="en-US"/>
        </w:rPr>
        <w:t>,</w:t>
      </w:r>
      <w:r w:rsidRPr="00145307">
        <w:rPr>
          <w:rStyle w:val="FontStyle71"/>
          <w:i/>
          <w:iCs/>
          <w:sz w:val="20"/>
          <w:szCs w:val="20"/>
          <w:lang w:val="en-US"/>
        </w:rPr>
        <w:t xml:space="preserve"> </w:t>
      </w:r>
      <w:r w:rsidRPr="00145307">
        <w:rPr>
          <w:rStyle w:val="FontStyle71"/>
          <w:sz w:val="20"/>
          <w:szCs w:val="20"/>
          <w:lang w:val="en-US"/>
        </w:rPr>
        <w:t>p.l75.</w:t>
      </w:r>
      <w:proofErr w:type="gramEnd"/>
    </w:p>
  </w:footnote>
  <w:footnote w:id="298">
    <w:p w:rsidR="006C092A" w:rsidRPr="00FB3A20" w:rsidRDefault="006C092A" w:rsidP="00FB3A20">
      <w:pPr>
        <w:pStyle w:val="Notedebasdepage"/>
        <w:jc w:val="both"/>
        <w:rPr>
          <w:rFonts w:asciiTheme="majorBidi" w:hAnsiTheme="majorBidi" w:cstheme="majorBidi"/>
        </w:rPr>
      </w:pPr>
      <w:r w:rsidRPr="00FB3A20">
        <w:rPr>
          <w:rStyle w:val="Appelnotedebasdep"/>
          <w:rFonts w:asciiTheme="majorBidi" w:hAnsiTheme="majorBidi" w:cstheme="majorBidi"/>
        </w:rPr>
        <w:footnoteRef/>
      </w:r>
      <w:r w:rsidRPr="00FB3A20">
        <w:rPr>
          <w:rStyle w:val="FontStyle71"/>
          <w:rFonts w:asciiTheme="majorBidi" w:hAnsiTheme="majorBidi" w:cstheme="majorBidi"/>
          <w:iCs/>
          <w:sz w:val="20"/>
          <w:szCs w:val="20"/>
        </w:rPr>
        <w:t xml:space="preserve">M. Bakhtine, </w:t>
      </w:r>
      <w:r w:rsidRPr="00FB3A20">
        <w:rPr>
          <w:rStyle w:val="FontStyle71"/>
          <w:rFonts w:asciiTheme="majorBidi" w:hAnsiTheme="majorBidi" w:cstheme="majorBidi"/>
          <w:i/>
          <w:sz w:val="20"/>
          <w:szCs w:val="20"/>
        </w:rPr>
        <w:t>Esthétique et Théorie du Roman</w:t>
      </w:r>
      <w:r w:rsidRPr="00FB3A20">
        <w:rPr>
          <w:rStyle w:val="FontStyle71"/>
          <w:rFonts w:asciiTheme="majorBidi" w:hAnsiTheme="majorBidi" w:cstheme="majorBidi"/>
          <w:iCs/>
          <w:sz w:val="20"/>
          <w:szCs w:val="20"/>
        </w:rPr>
        <w:t>, Gallimard, Paris, 1987, p.72.</w:t>
      </w:r>
    </w:p>
  </w:footnote>
  <w:footnote w:id="299">
    <w:p w:rsidR="006C092A" w:rsidRPr="00FB3A20" w:rsidRDefault="006C092A" w:rsidP="00FB3A20">
      <w:pPr>
        <w:pStyle w:val="Style15"/>
        <w:widowControl/>
        <w:tabs>
          <w:tab w:val="left" w:pos="158"/>
        </w:tabs>
        <w:spacing w:before="0" w:beforeAutospacing="0" w:afterAutospacing="0"/>
        <w:rPr>
          <w:rStyle w:val="Appelnotedebasdep"/>
          <w:rFonts w:asciiTheme="majorBidi" w:hAnsiTheme="majorBidi" w:cstheme="majorBidi"/>
          <w:sz w:val="18"/>
          <w:szCs w:val="18"/>
        </w:rPr>
      </w:pPr>
      <w:r w:rsidRPr="00FB3A20">
        <w:rPr>
          <w:rStyle w:val="FontStyle71"/>
          <w:rFonts w:asciiTheme="majorBidi" w:hAnsiTheme="majorBidi" w:cstheme="majorBidi"/>
          <w:sz w:val="20"/>
          <w:szCs w:val="20"/>
          <w:vertAlign w:val="superscript"/>
        </w:rPr>
        <w:footnoteRef/>
      </w:r>
      <w:r w:rsidRPr="00FB3A20">
        <w:rPr>
          <w:rStyle w:val="FontStyle71"/>
          <w:rFonts w:asciiTheme="majorBidi" w:hAnsiTheme="majorBidi" w:cstheme="majorBidi"/>
          <w:sz w:val="20"/>
          <w:szCs w:val="20"/>
        </w:rPr>
        <w:t>Roselyne Dupont, Roch et Jean Lallot</w:t>
      </w:r>
      <w:r w:rsidRPr="00FB3A20">
        <w:rPr>
          <w:rStyle w:val="FontStyle71"/>
          <w:rFonts w:asciiTheme="majorBidi" w:hAnsiTheme="majorBidi" w:cstheme="majorBidi"/>
          <w:i/>
          <w:iCs/>
          <w:sz w:val="20"/>
          <w:szCs w:val="20"/>
        </w:rPr>
        <w:t xml:space="preserve">, Aristote : la Poétique, </w:t>
      </w:r>
      <w:r w:rsidRPr="00FB3A20">
        <w:rPr>
          <w:rStyle w:val="FontStyle71"/>
          <w:rFonts w:asciiTheme="majorBidi" w:hAnsiTheme="majorBidi" w:cstheme="majorBidi"/>
          <w:sz w:val="20"/>
          <w:szCs w:val="20"/>
        </w:rPr>
        <w:t>Seuil, Paris, 1980, p. 19.</w:t>
      </w:r>
    </w:p>
  </w:footnote>
  <w:footnote w:id="300">
    <w:p w:rsidR="006C092A" w:rsidRPr="00FB3A20" w:rsidRDefault="006C092A" w:rsidP="00FB3A20">
      <w:pPr>
        <w:pStyle w:val="Style15"/>
        <w:widowControl/>
        <w:tabs>
          <w:tab w:val="left" w:pos="158"/>
        </w:tabs>
        <w:spacing w:before="0" w:beforeAutospacing="0" w:afterAutospacing="0"/>
        <w:rPr>
          <w:rStyle w:val="Appelnotedebasdep"/>
          <w:rFonts w:asciiTheme="majorBidi" w:hAnsiTheme="majorBidi" w:cstheme="majorBidi"/>
          <w:sz w:val="18"/>
          <w:szCs w:val="18"/>
          <w:lang w:val="en-US"/>
        </w:rPr>
      </w:pPr>
      <w:r w:rsidRPr="00FB3A20">
        <w:rPr>
          <w:rStyle w:val="FontStyle71"/>
          <w:rFonts w:asciiTheme="majorBidi" w:hAnsiTheme="majorBidi" w:cstheme="majorBidi"/>
          <w:sz w:val="20"/>
          <w:szCs w:val="20"/>
          <w:vertAlign w:val="superscript"/>
        </w:rPr>
        <w:footnoteRef/>
      </w:r>
      <w:r w:rsidRPr="00FB3A20">
        <w:rPr>
          <w:rStyle w:val="FontStyle71"/>
          <w:rFonts w:asciiTheme="majorBidi" w:hAnsiTheme="majorBidi" w:cstheme="majorBidi"/>
          <w:iCs/>
          <w:sz w:val="20"/>
          <w:szCs w:val="20"/>
          <w:lang w:val="en-US"/>
        </w:rPr>
        <w:t xml:space="preserve">Mikhaïl Bakhtine, </w:t>
      </w:r>
      <w:proofErr w:type="gramStart"/>
      <w:r w:rsidRPr="00FB3A20">
        <w:rPr>
          <w:rStyle w:val="FontStyle71"/>
          <w:rFonts w:asciiTheme="majorBidi" w:hAnsiTheme="majorBidi" w:cstheme="majorBidi"/>
          <w:i/>
          <w:sz w:val="20"/>
          <w:szCs w:val="20"/>
          <w:lang w:val="en-US"/>
        </w:rPr>
        <w:t>op.cit</w:t>
      </w:r>
      <w:r w:rsidRPr="00FB3A20">
        <w:rPr>
          <w:rStyle w:val="FontStyle71"/>
          <w:rFonts w:asciiTheme="majorBidi" w:hAnsiTheme="majorBidi" w:cstheme="majorBidi"/>
          <w:i/>
          <w:iCs/>
          <w:sz w:val="20"/>
          <w:szCs w:val="20"/>
          <w:lang w:val="en-US"/>
        </w:rPr>
        <w:t>.,</w:t>
      </w:r>
      <w:proofErr w:type="gramEnd"/>
      <w:r w:rsidRPr="00FB3A20">
        <w:rPr>
          <w:rStyle w:val="FontStyle71"/>
          <w:rFonts w:asciiTheme="majorBidi" w:hAnsiTheme="majorBidi" w:cstheme="majorBidi"/>
          <w:i/>
          <w:iCs/>
          <w:sz w:val="20"/>
          <w:szCs w:val="20"/>
          <w:lang w:val="en-US"/>
        </w:rPr>
        <w:t xml:space="preserve"> </w:t>
      </w:r>
      <w:r w:rsidRPr="00FB3A20">
        <w:rPr>
          <w:rStyle w:val="FontStyle71"/>
          <w:rFonts w:asciiTheme="majorBidi" w:hAnsiTheme="majorBidi" w:cstheme="majorBidi"/>
          <w:sz w:val="20"/>
          <w:szCs w:val="20"/>
          <w:lang w:val="en-US"/>
        </w:rPr>
        <w:t>p.20.</w:t>
      </w:r>
    </w:p>
  </w:footnote>
  <w:footnote w:id="301">
    <w:p w:rsidR="006C092A" w:rsidRPr="00CC5C45" w:rsidRDefault="006C092A" w:rsidP="00682103">
      <w:pPr>
        <w:pStyle w:val="Style15"/>
        <w:widowControl/>
        <w:tabs>
          <w:tab w:val="left" w:pos="158"/>
        </w:tabs>
        <w:spacing w:before="0" w:beforeAutospacing="0" w:afterAutospacing="0"/>
        <w:rPr>
          <w:rStyle w:val="FontStyle71"/>
          <w:i/>
          <w:iCs/>
        </w:rPr>
      </w:pPr>
      <w:r w:rsidRPr="00A52FF4">
        <w:rPr>
          <w:rStyle w:val="FontStyle71"/>
          <w:sz w:val="20"/>
          <w:szCs w:val="20"/>
          <w:vertAlign w:val="superscript"/>
        </w:rPr>
        <w:footnoteRef/>
      </w:r>
      <w:r w:rsidRPr="00682103">
        <w:rPr>
          <w:rStyle w:val="FontStyle71"/>
          <w:i/>
          <w:sz w:val="20"/>
          <w:szCs w:val="20"/>
        </w:rPr>
        <w:t>Ibid</w:t>
      </w:r>
      <w:r w:rsidRPr="00CC5C45">
        <w:rPr>
          <w:rStyle w:val="FontStyle71"/>
          <w:i/>
          <w:iCs/>
          <w:sz w:val="20"/>
          <w:szCs w:val="20"/>
        </w:rPr>
        <w:t>.</w:t>
      </w:r>
      <w:r>
        <w:rPr>
          <w:rStyle w:val="FontStyle71"/>
          <w:i/>
          <w:iCs/>
          <w:sz w:val="20"/>
          <w:szCs w:val="20"/>
        </w:rPr>
        <w:t xml:space="preserve">, </w:t>
      </w:r>
      <w:r w:rsidRPr="00CC5C45">
        <w:rPr>
          <w:rStyle w:val="FontStyle71"/>
          <w:sz w:val="20"/>
          <w:szCs w:val="20"/>
        </w:rPr>
        <w:t>p.21.</w:t>
      </w:r>
      <w:r w:rsidRPr="00CC5C45">
        <w:rPr>
          <w:i/>
          <w:iCs/>
          <w:sz w:val="20"/>
          <w:szCs w:val="20"/>
        </w:rPr>
        <w:t xml:space="preserve"> </w:t>
      </w:r>
    </w:p>
  </w:footnote>
  <w:footnote w:id="302">
    <w:p w:rsidR="006C092A" w:rsidRDefault="006C092A" w:rsidP="00682103">
      <w:pPr>
        <w:pStyle w:val="Style15"/>
        <w:widowControl/>
        <w:tabs>
          <w:tab w:val="left" w:pos="158"/>
        </w:tabs>
        <w:spacing w:before="0" w:beforeAutospacing="0" w:afterAutospacing="0"/>
        <w:rPr>
          <w:rStyle w:val="Appelnotedebasdep"/>
        </w:rPr>
      </w:pPr>
      <w:r w:rsidRPr="00A52FF4">
        <w:rPr>
          <w:rStyle w:val="FontStyle71"/>
          <w:sz w:val="20"/>
          <w:szCs w:val="20"/>
          <w:vertAlign w:val="superscript"/>
        </w:rPr>
        <w:footnoteRef/>
      </w:r>
      <w:r w:rsidRPr="0048747A">
        <w:rPr>
          <w:rStyle w:val="FontStyle71"/>
          <w:sz w:val="20"/>
          <w:szCs w:val="20"/>
        </w:rPr>
        <w:t>Baudelaire cité in Patrice P</w:t>
      </w:r>
      <w:r>
        <w:rPr>
          <w:rStyle w:val="FontStyle71"/>
          <w:sz w:val="20"/>
          <w:szCs w:val="20"/>
        </w:rPr>
        <w:t>avis</w:t>
      </w:r>
      <w:r w:rsidRPr="0048747A">
        <w:rPr>
          <w:rStyle w:val="FontStyle71"/>
          <w:i/>
          <w:iCs/>
          <w:sz w:val="20"/>
          <w:szCs w:val="20"/>
        </w:rPr>
        <w:t xml:space="preserve">, </w:t>
      </w:r>
      <w:r>
        <w:rPr>
          <w:rStyle w:val="FontStyle71"/>
          <w:i/>
          <w:iCs/>
          <w:sz w:val="20"/>
          <w:szCs w:val="20"/>
        </w:rPr>
        <w:t xml:space="preserve">op.cit., </w:t>
      </w:r>
      <w:r w:rsidRPr="0048747A">
        <w:rPr>
          <w:rStyle w:val="FontStyle71"/>
          <w:sz w:val="20"/>
          <w:szCs w:val="20"/>
        </w:rPr>
        <w:t>p.41.</w:t>
      </w:r>
    </w:p>
  </w:footnote>
  <w:footnote w:id="303">
    <w:p w:rsidR="006C092A" w:rsidRPr="00CA58EF" w:rsidRDefault="006C092A" w:rsidP="00CA58EF">
      <w:pPr>
        <w:pStyle w:val="Style15"/>
        <w:widowControl/>
        <w:tabs>
          <w:tab w:val="left" w:pos="158"/>
        </w:tabs>
        <w:spacing w:before="0" w:beforeAutospacing="0" w:afterAutospacing="0"/>
        <w:rPr>
          <w:rStyle w:val="FontStyle71"/>
          <w:rFonts w:asciiTheme="majorBidi" w:hAnsiTheme="majorBidi" w:cstheme="majorBidi"/>
          <w:i/>
          <w:iCs/>
          <w:sz w:val="20"/>
          <w:szCs w:val="20"/>
          <w:lang w:val="en-US"/>
        </w:rPr>
      </w:pPr>
      <w:r w:rsidRPr="00CA58EF">
        <w:rPr>
          <w:rStyle w:val="FontStyle71"/>
          <w:rFonts w:asciiTheme="majorBidi" w:hAnsiTheme="majorBidi" w:cstheme="majorBidi"/>
          <w:sz w:val="20"/>
          <w:szCs w:val="20"/>
          <w:vertAlign w:val="superscript"/>
        </w:rPr>
        <w:footnoteRef/>
      </w:r>
      <w:r w:rsidRPr="00CA58EF">
        <w:rPr>
          <w:rStyle w:val="FontStyle71"/>
          <w:rFonts w:asciiTheme="majorBidi" w:hAnsiTheme="majorBidi" w:cstheme="majorBidi"/>
          <w:iCs/>
          <w:sz w:val="20"/>
          <w:szCs w:val="20"/>
          <w:lang w:val="en-US"/>
        </w:rPr>
        <w:t xml:space="preserve">Mikhaïl Bakhtine, </w:t>
      </w:r>
      <w:proofErr w:type="gramStart"/>
      <w:r w:rsidRPr="00CA58EF">
        <w:rPr>
          <w:rStyle w:val="FontStyle71"/>
          <w:rFonts w:asciiTheme="majorBidi" w:hAnsiTheme="majorBidi" w:cstheme="majorBidi"/>
          <w:i/>
          <w:sz w:val="20"/>
          <w:szCs w:val="20"/>
          <w:lang w:val="en-US"/>
        </w:rPr>
        <w:t>op.cit</w:t>
      </w:r>
      <w:r w:rsidRPr="00CA58EF">
        <w:rPr>
          <w:rStyle w:val="FontStyle71"/>
          <w:rFonts w:asciiTheme="majorBidi" w:hAnsiTheme="majorBidi" w:cstheme="majorBidi"/>
          <w:i/>
          <w:iCs/>
          <w:sz w:val="20"/>
          <w:szCs w:val="20"/>
          <w:lang w:val="en-US"/>
        </w:rPr>
        <w:t>.,</w:t>
      </w:r>
      <w:proofErr w:type="gramEnd"/>
      <w:r w:rsidRPr="00CA58EF">
        <w:rPr>
          <w:rStyle w:val="FontStyle71"/>
          <w:rFonts w:asciiTheme="majorBidi" w:hAnsiTheme="majorBidi" w:cstheme="majorBidi"/>
          <w:i/>
          <w:iCs/>
          <w:sz w:val="20"/>
          <w:szCs w:val="20"/>
          <w:lang w:val="en-US"/>
        </w:rPr>
        <w:t xml:space="preserve"> </w:t>
      </w:r>
      <w:r w:rsidRPr="00CA58EF">
        <w:rPr>
          <w:rStyle w:val="FontStyle71"/>
          <w:rFonts w:asciiTheme="majorBidi" w:hAnsiTheme="majorBidi" w:cstheme="majorBidi"/>
          <w:sz w:val="20"/>
          <w:szCs w:val="20"/>
          <w:lang w:val="en-US"/>
        </w:rPr>
        <w:t>p.323.</w:t>
      </w:r>
    </w:p>
  </w:footnote>
  <w:footnote w:id="304">
    <w:p w:rsidR="006C092A" w:rsidRPr="00623A56" w:rsidRDefault="006C092A" w:rsidP="005D7A06">
      <w:pPr>
        <w:pStyle w:val="Style15"/>
        <w:widowControl/>
        <w:tabs>
          <w:tab w:val="left" w:pos="158"/>
        </w:tabs>
        <w:spacing w:before="0" w:beforeAutospacing="0" w:afterAutospacing="0"/>
        <w:rPr>
          <w:rStyle w:val="FontStyle71"/>
          <w:i/>
          <w:iCs/>
          <w:lang w:val="pt-BR"/>
        </w:rPr>
      </w:pPr>
      <w:r w:rsidRPr="005D7A06">
        <w:rPr>
          <w:rStyle w:val="FontStyle71"/>
          <w:sz w:val="20"/>
          <w:szCs w:val="20"/>
          <w:vertAlign w:val="superscript"/>
        </w:rPr>
        <w:footnoteRef/>
      </w:r>
      <w:r w:rsidRPr="005D7A06">
        <w:rPr>
          <w:rStyle w:val="FontStyle71"/>
          <w:i/>
          <w:sz w:val="20"/>
          <w:szCs w:val="20"/>
        </w:rPr>
        <w:t>Ibid</w:t>
      </w:r>
      <w:r w:rsidRPr="00CC5C45">
        <w:rPr>
          <w:rStyle w:val="FontStyle71"/>
          <w:iCs/>
          <w:sz w:val="20"/>
          <w:szCs w:val="20"/>
        </w:rPr>
        <w:t xml:space="preserve">, </w:t>
      </w:r>
      <w:r w:rsidRPr="00623A56">
        <w:rPr>
          <w:rStyle w:val="FontStyle71"/>
          <w:sz w:val="20"/>
          <w:szCs w:val="20"/>
          <w:lang w:val="pt-BR"/>
        </w:rPr>
        <w:t xml:space="preserve"> p.334.</w:t>
      </w:r>
    </w:p>
  </w:footnote>
  <w:footnote w:id="305">
    <w:p w:rsidR="006C092A" w:rsidRPr="00CC5C45" w:rsidRDefault="006C092A" w:rsidP="005D7A06">
      <w:pPr>
        <w:pStyle w:val="Style15"/>
        <w:widowControl/>
        <w:tabs>
          <w:tab w:val="left" w:pos="158"/>
        </w:tabs>
        <w:spacing w:before="0" w:beforeAutospacing="0" w:afterAutospacing="0"/>
        <w:rPr>
          <w:rStyle w:val="Appelnotedebasdep"/>
          <w:sz w:val="18"/>
          <w:szCs w:val="18"/>
        </w:rPr>
      </w:pPr>
      <w:r w:rsidRPr="005D7A06">
        <w:rPr>
          <w:rStyle w:val="FontStyle71"/>
          <w:sz w:val="20"/>
          <w:szCs w:val="20"/>
          <w:vertAlign w:val="superscript"/>
        </w:rPr>
        <w:footnoteRef/>
      </w:r>
      <w:r w:rsidRPr="005D7A06">
        <w:rPr>
          <w:rStyle w:val="FontStyle71"/>
          <w:i/>
          <w:sz w:val="20"/>
          <w:szCs w:val="20"/>
        </w:rPr>
        <w:t>Ibid</w:t>
      </w:r>
      <w:r w:rsidRPr="00CC5C45">
        <w:rPr>
          <w:rStyle w:val="FontStyle71"/>
          <w:iCs/>
          <w:sz w:val="20"/>
          <w:szCs w:val="20"/>
        </w:rPr>
        <w:t xml:space="preserve">, </w:t>
      </w:r>
      <w:r>
        <w:rPr>
          <w:rStyle w:val="FontStyle71"/>
          <w:sz w:val="20"/>
          <w:szCs w:val="20"/>
          <w:lang w:val="pt-BR"/>
        </w:rPr>
        <w:t xml:space="preserve"> p.337.</w:t>
      </w:r>
    </w:p>
  </w:footnote>
  <w:footnote w:id="306">
    <w:p w:rsidR="006C092A" w:rsidRPr="00EB3E3D" w:rsidRDefault="006C092A" w:rsidP="00D020F1">
      <w:pPr>
        <w:pStyle w:val="Notedebasdepage"/>
        <w:rPr>
          <w:rFonts w:ascii="Times New Roman" w:hAnsi="Times New Roman"/>
        </w:rPr>
      </w:pPr>
      <w:r w:rsidRPr="00EB3E3D">
        <w:rPr>
          <w:rStyle w:val="Appelnotedebasdep"/>
          <w:rFonts w:ascii="Times New Roman" w:hAnsi="Times New Roman"/>
        </w:rPr>
        <w:footnoteRef/>
      </w:r>
      <w:r w:rsidRPr="00EB3E3D">
        <w:rPr>
          <w:rFonts w:ascii="Times New Roman" w:hAnsi="Times New Roman"/>
        </w:rPr>
        <w:t xml:space="preserve"> </w:t>
      </w:r>
      <w:r w:rsidRPr="00EB3E3D">
        <w:rPr>
          <w:rStyle w:val="FontStyle71"/>
          <w:sz w:val="20"/>
          <w:szCs w:val="20"/>
        </w:rPr>
        <w:t>François C</w:t>
      </w:r>
      <w:r>
        <w:rPr>
          <w:rStyle w:val="FontStyle71"/>
          <w:sz w:val="20"/>
          <w:szCs w:val="20"/>
        </w:rPr>
        <w:t>ardec</w:t>
      </w:r>
      <w:r w:rsidRPr="00EB3E3D">
        <w:rPr>
          <w:rStyle w:val="FontStyle71"/>
          <w:sz w:val="20"/>
          <w:szCs w:val="20"/>
        </w:rPr>
        <w:t xml:space="preserve">, </w:t>
      </w:r>
      <w:r w:rsidRPr="00EB3E3D">
        <w:rPr>
          <w:rStyle w:val="FontStyle71"/>
          <w:i/>
          <w:iCs/>
          <w:sz w:val="20"/>
          <w:szCs w:val="20"/>
        </w:rPr>
        <w:t>La farce et le Sacré</w:t>
      </w:r>
      <w:r w:rsidRPr="00EB3E3D">
        <w:rPr>
          <w:rStyle w:val="FontStyle71"/>
          <w:sz w:val="20"/>
          <w:szCs w:val="20"/>
        </w:rPr>
        <w:t>, Casterman</w:t>
      </w:r>
      <w:r>
        <w:rPr>
          <w:rStyle w:val="FontStyle71"/>
          <w:sz w:val="20"/>
          <w:szCs w:val="20"/>
        </w:rPr>
        <w:t xml:space="preserve">, </w:t>
      </w:r>
      <w:r w:rsidRPr="00EB3E3D">
        <w:rPr>
          <w:rStyle w:val="FontStyle71"/>
          <w:sz w:val="20"/>
          <w:szCs w:val="20"/>
        </w:rPr>
        <w:t>Paris, 1977, p. 17.</w:t>
      </w:r>
    </w:p>
    <w:p w:rsidR="006C092A" w:rsidRPr="00EB3E3D" w:rsidRDefault="006C092A" w:rsidP="00EB3E3D">
      <w:pPr>
        <w:pStyle w:val="Notedebasdepage"/>
        <w:rPr>
          <w:rFonts w:ascii="Times New Roman" w:hAnsi="Times New Roman"/>
          <w:sz w:val="2"/>
          <w:szCs w:val="2"/>
        </w:rPr>
      </w:pPr>
    </w:p>
  </w:footnote>
  <w:footnote w:id="307">
    <w:p w:rsidR="006C092A" w:rsidRPr="008C2698" w:rsidRDefault="006C092A" w:rsidP="00BB1C06">
      <w:pPr>
        <w:pStyle w:val="Notedebasdepage"/>
        <w:jc w:val="both"/>
        <w:rPr>
          <w:rFonts w:ascii="Times New Roman" w:hAnsi="Times New Roman"/>
        </w:rPr>
      </w:pPr>
      <w:r w:rsidRPr="008C2698">
        <w:rPr>
          <w:rStyle w:val="Appelnotedebasdep"/>
          <w:rFonts w:ascii="Times New Roman" w:hAnsi="Times New Roman"/>
        </w:rPr>
        <w:footnoteRef/>
      </w:r>
      <w:r w:rsidRPr="008C2698">
        <w:rPr>
          <w:rStyle w:val="FontStyle71"/>
          <w:sz w:val="20"/>
          <w:szCs w:val="20"/>
        </w:rPr>
        <w:t>Roger C</w:t>
      </w:r>
      <w:r>
        <w:rPr>
          <w:rStyle w:val="FontStyle71"/>
          <w:sz w:val="20"/>
          <w:szCs w:val="20"/>
        </w:rPr>
        <w:t>aillois</w:t>
      </w:r>
      <w:r w:rsidRPr="008C2698">
        <w:rPr>
          <w:rStyle w:val="FontStyle71"/>
          <w:sz w:val="20"/>
          <w:szCs w:val="20"/>
        </w:rPr>
        <w:t xml:space="preserve">, </w:t>
      </w:r>
      <w:r w:rsidRPr="008C2698">
        <w:rPr>
          <w:rStyle w:val="FontStyle71"/>
          <w:i/>
          <w:iCs/>
          <w:sz w:val="20"/>
          <w:szCs w:val="20"/>
        </w:rPr>
        <w:t>L’homme et le sacré</w:t>
      </w:r>
      <w:r w:rsidRPr="008C2698">
        <w:rPr>
          <w:rStyle w:val="FontStyle71"/>
          <w:sz w:val="20"/>
          <w:szCs w:val="20"/>
        </w:rPr>
        <w:t>, Gallimard</w:t>
      </w:r>
      <w:r>
        <w:rPr>
          <w:rStyle w:val="FontStyle71"/>
          <w:sz w:val="20"/>
          <w:szCs w:val="20"/>
        </w:rPr>
        <w:t xml:space="preserve">, </w:t>
      </w:r>
      <w:r w:rsidRPr="008C2698">
        <w:rPr>
          <w:rStyle w:val="FontStyle71"/>
          <w:sz w:val="20"/>
          <w:szCs w:val="20"/>
        </w:rPr>
        <w:t>Paris, 1963, p. 157.</w:t>
      </w:r>
    </w:p>
  </w:footnote>
  <w:footnote w:id="308">
    <w:p w:rsidR="006C092A" w:rsidRPr="00145307" w:rsidRDefault="006C092A" w:rsidP="001B41D8">
      <w:pPr>
        <w:pStyle w:val="Style15"/>
        <w:widowControl/>
        <w:tabs>
          <w:tab w:val="left" w:pos="158"/>
        </w:tabs>
        <w:spacing w:before="0" w:beforeAutospacing="0" w:afterAutospacing="0"/>
        <w:rPr>
          <w:rStyle w:val="FontStyle71"/>
          <w:i/>
          <w:iCs/>
          <w:lang w:val="en-US"/>
        </w:rPr>
      </w:pPr>
      <w:r w:rsidRPr="001B41D8">
        <w:rPr>
          <w:rStyle w:val="FontStyle71"/>
          <w:sz w:val="20"/>
          <w:szCs w:val="20"/>
          <w:vertAlign w:val="superscript"/>
        </w:rPr>
        <w:footnoteRef/>
      </w:r>
      <w:r w:rsidRPr="00145307">
        <w:rPr>
          <w:rStyle w:val="FontStyle71"/>
          <w:iCs/>
          <w:sz w:val="20"/>
          <w:szCs w:val="20"/>
          <w:lang w:val="en-US"/>
        </w:rPr>
        <w:t>Mikhaïl B</w:t>
      </w:r>
      <w:r>
        <w:rPr>
          <w:rStyle w:val="FontStyle71"/>
          <w:iCs/>
          <w:sz w:val="20"/>
          <w:szCs w:val="20"/>
          <w:lang w:val="en-US"/>
        </w:rPr>
        <w:t>akhtine</w:t>
      </w:r>
      <w:r w:rsidRPr="00145307">
        <w:rPr>
          <w:rStyle w:val="FontStyle71"/>
          <w:iCs/>
          <w:sz w:val="20"/>
          <w:szCs w:val="20"/>
          <w:lang w:val="en-US"/>
        </w:rPr>
        <w:t xml:space="preserve">, </w:t>
      </w:r>
      <w:proofErr w:type="gramStart"/>
      <w:r w:rsidRPr="00145307">
        <w:rPr>
          <w:rStyle w:val="FontStyle71"/>
          <w:i/>
          <w:sz w:val="20"/>
          <w:szCs w:val="20"/>
          <w:lang w:val="en-US"/>
        </w:rPr>
        <w:t>op.cit</w:t>
      </w:r>
      <w:r w:rsidRPr="00145307">
        <w:rPr>
          <w:rStyle w:val="FontStyle71"/>
          <w:i/>
          <w:iCs/>
          <w:sz w:val="20"/>
          <w:szCs w:val="20"/>
          <w:lang w:val="en-US"/>
        </w:rPr>
        <w:t>.,</w:t>
      </w:r>
      <w:proofErr w:type="gramEnd"/>
      <w:r w:rsidRPr="00145307">
        <w:rPr>
          <w:rStyle w:val="FontStyle71"/>
          <w:i/>
          <w:iCs/>
          <w:sz w:val="20"/>
          <w:szCs w:val="20"/>
          <w:lang w:val="en-US"/>
        </w:rPr>
        <w:t xml:space="preserve"> </w:t>
      </w:r>
      <w:r w:rsidRPr="00145307">
        <w:rPr>
          <w:rStyle w:val="FontStyle71"/>
          <w:sz w:val="20"/>
          <w:szCs w:val="20"/>
          <w:lang w:val="en-US"/>
        </w:rPr>
        <w:t>p.65.</w:t>
      </w:r>
    </w:p>
  </w:footnote>
  <w:footnote w:id="309">
    <w:p w:rsidR="006C092A" w:rsidRPr="00465DA3" w:rsidRDefault="006C092A" w:rsidP="001B41D8">
      <w:pPr>
        <w:pStyle w:val="Style15"/>
        <w:widowControl/>
        <w:tabs>
          <w:tab w:val="left" w:pos="158"/>
        </w:tabs>
        <w:spacing w:before="0" w:beforeAutospacing="0" w:afterAutospacing="0"/>
        <w:rPr>
          <w:rStyle w:val="FontStyle71"/>
          <w:i/>
          <w:iCs/>
        </w:rPr>
      </w:pPr>
      <w:r w:rsidRPr="001B41D8">
        <w:rPr>
          <w:rStyle w:val="FontStyle71"/>
          <w:sz w:val="20"/>
          <w:szCs w:val="20"/>
          <w:vertAlign w:val="superscript"/>
        </w:rPr>
        <w:footnoteRef/>
      </w:r>
      <w:r w:rsidRPr="00465DA3">
        <w:rPr>
          <w:rStyle w:val="FontStyle71"/>
          <w:i/>
          <w:sz w:val="20"/>
          <w:szCs w:val="20"/>
        </w:rPr>
        <w:t xml:space="preserve">Ibid., </w:t>
      </w:r>
      <w:r w:rsidRPr="00465DA3">
        <w:rPr>
          <w:rStyle w:val="FontStyle71"/>
          <w:sz w:val="20"/>
          <w:szCs w:val="20"/>
        </w:rPr>
        <w:t>p</w:t>
      </w:r>
      <w:r w:rsidRPr="00465DA3">
        <w:rPr>
          <w:rStyle w:val="FontStyle71"/>
          <w:i/>
          <w:iCs/>
          <w:sz w:val="20"/>
          <w:szCs w:val="20"/>
        </w:rPr>
        <w:t>.</w:t>
      </w:r>
      <w:r w:rsidRPr="00465DA3">
        <w:rPr>
          <w:rStyle w:val="FontStyle71"/>
          <w:sz w:val="20"/>
          <w:szCs w:val="20"/>
        </w:rPr>
        <w:t>13.</w:t>
      </w:r>
    </w:p>
  </w:footnote>
  <w:footnote w:id="310">
    <w:p w:rsidR="006C092A" w:rsidRPr="00465DA3" w:rsidRDefault="006C092A" w:rsidP="00465DA3">
      <w:pPr>
        <w:pStyle w:val="Notedebasdepage"/>
        <w:jc w:val="both"/>
        <w:rPr>
          <w:rFonts w:asciiTheme="majorBidi" w:hAnsiTheme="majorBidi" w:cstheme="majorBidi"/>
        </w:rPr>
      </w:pPr>
      <w:r w:rsidRPr="00465DA3">
        <w:rPr>
          <w:rStyle w:val="Appelnotedebasdep"/>
          <w:rFonts w:asciiTheme="majorBidi" w:hAnsiTheme="majorBidi" w:cstheme="majorBidi"/>
        </w:rPr>
        <w:footnoteRef/>
      </w:r>
      <w:r w:rsidRPr="00465DA3">
        <w:rPr>
          <w:rFonts w:asciiTheme="majorBidi" w:hAnsiTheme="majorBidi" w:cstheme="majorBidi"/>
        </w:rPr>
        <w:t xml:space="preserve">Chestier Aurore, « Du corps au théâtre au théâtre-corps », in </w:t>
      </w:r>
      <w:r w:rsidRPr="00465DA3">
        <w:rPr>
          <w:rFonts w:asciiTheme="majorBidi" w:hAnsiTheme="majorBidi" w:cstheme="majorBidi"/>
          <w:i/>
          <w:iCs/>
        </w:rPr>
        <w:t>Corps</w:t>
      </w:r>
      <w:r w:rsidRPr="00465DA3">
        <w:rPr>
          <w:rFonts w:asciiTheme="majorBidi" w:hAnsiTheme="majorBidi" w:cstheme="majorBidi"/>
        </w:rPr>
        <w:t>, 1/2007 (n° 2), p. 109.</w:t>
      </w:r>
    </w:p>
  </w:footnote>
  <w:footnote w:id="311">
    <w:p w:rsidR="006C092A" w:rsidRPr="00465DA3" w:rsidRDefault="006C092A" w:rsidP="00465DA3">
      <w:pPr>
        <w:pStyle w:val="Notedebasdepage"/>
        <w:jc w:val="both"/>
        <w:rPr>
          <w:rFonts w:asciiTheme="majorBidi" w:hAnsiTheme="majorBidi" w:cstheme="majorBidi"/>
          <w:lang w:val="en-GB"/>
        </w:rPr>
      </w:pPr>
      <w:r w:rsidRPr="00465DA3">
        <w:rPr>
          <w:rStyle w:val="Appelnotedebasdep"/>
          <w:rFonts w:asciiTheme="majorBidi" w:hAnsiTheme="majorBidi" w:cstheme="majorBidi"/>
        </w:rPr>
        <w:footnoteRef/>
      </w:r>
      <w:r w:rsidRPr="00465DA3">
        <w:rPr>
          <w:rStyle w:val="FontStyle71"/>
          <w:rFonts w:asciiTheme="majorBidi" w:hAnsiTheme="majorBidi" w:cstheme="majorBidi"/>
          <w:sz w:val="20"/>
          <w:szCs w:val="20"/>
        </w:rPr>
        <w:t>Suivant l’expression de Lionel Abel,</w:t>
      </w:r>
      <w:r w:rsidRPr="00465DA3">
        <w:rPr>
          <w:rStyle w:val="FontStyle71"/>
          <w:rFonts w:asciiTheme="majorBidi" w:hAnsiTheme="majorBidi" w:cstheme="majorBidi"/>
          <w:color w:val="00B0F0"/>
          <w:sz w:val="20"/>
          <w:szCs w:val="20"/>
        </w:rPr>
        <w:t xml:space="preserve"> </w:t>
      </w:r>
      <w:r w:rsidRPr="00465DA3">
        <w:rPr>
          <w:rStyle w:val="FontStyle71"/>
          <w:rFonts w:asciiTheme="majorBidi" w:hAnsiTheme="majorBidi" w:cstheme="majorBidi"/>
          <w:sz w:val="20"/>
          <w:szCs w:val="20"/>
        </w:rPr>
        <w:t xml:space="preserve">Métathéâtre. </w:t>
      </w:r>
      <w:r w:rsidRPr="00465DA3">
        <w:rPr>
          <w:rStyle w:val="FontStyle71"/>
          <w:rFonts w:asciiTheme="majorBidi" w:hAnsiTheme="majorBidi" w:cstheme="majorBidi"/>
          <w:sz w:val="20"/>
          <w:szCs w:val="20"/>
          <w:lang w:val="en-US"/>
        </w:rPr>
        <w:t xml:space="preserve">A New View of Dramatic form, </w:t>
      </w:r>
      <w:proofErr w:type="gramStart"/>
      <w:r w:rsidRPr="00465DA3">
        <w:rPr>
          <w:rStyle w:val="FontStyle71"/>
          <w:rFonts w:asciiTheme="majorBidi" w:hAnsiTheme="majorBidi" w:cstheme="majorBidi"/>
          <w:i/>
          <w:iCs/>
          <w:sz w:val="20"/>
          <w:szCs w:val="20"/>
          <w:lang w:val="en-US"/>
        </w:rPr>
        <w:t>op.cit</w:t>
      </w:r>
      <w:r w:rsidRPr="00465DA3">
        <w:rPr>
          <w:rStyle w:val="FontStyle71"/>
          <w:rFonts w:asciiTheme="majorBidi" w:hAnsiTheme="majorBidi" w:cstheme="majorBidi"/>
          <w:sz w:val="20"/>
          <w:szCs w:val="20"/>
          <w:lang w:val="en-US"/>
        </w:rPr>
        <w:t>.,</w:t>
      </w:r>
      <w:proofErr w:type="gramEnd"/>
      <w:r w:rsidRPr="00465DA3">
        <w:rPr>
          <w:rStyle w:val="FontStyle71"/>
          <w:rFonts w:asciiTheme="majorBidi" w:hAnsiTheme="majorBidi" w:cstheme="majorBidi"/>
          <w:sz w:val="20"/>
          <w:szCs w:val="20"/>
          <w:lang w:val="en-US"/>
        </w:rPr>
        <w:t xml:space="preserve"> p.90.</w:t>
      </w:r>
    </w:p>
  </w:footnote>
  <w:footnote w:id="312">
    <w:p w:rsidR="006C092A" w:rsidRPr="002154A6" w:rsidRDefault="006C092A" w:rsidP="002154A6">
      <w:pPr>
        <w:pStyle w:val="Notedebasdepage"/>
        <w:jc w:val="both"/>
        <w:rPr>
          <w:rFonts w:ascii="Times New Roman" w:hAnsi="Times New Roman"/>
        </w:rPr>
      </w:pPr>
      <w:r w:rsidRPr="009F21F5">
        <w:rPr>
          <w:rStyle w:val="Appelnotedebasdep"/>
          <w:rFonts w:ascii="Times New Roman" w:hAnsi="Times New Roman"/>
        </w:rPr>
        <w:footnoteRef/>
      </w:r>
      <w:r>
        <w:rPr>
          <w:rFonts w:ascii="Times New Roman" w:hAnsi="Times New Roman"/>
        </w:rPr>
        <w:t xml:space="preserve">Voir Annexe </w:t>
      </w:r>
      <w:r w:rsidRPr="002154A6">
        <w:rPr>
          <w:rFonts w:ascii="Times New Roman" w:hAnsi="Times New Roman"/>
        </w:rPr>
        <w:t>1, p. 274.</w:t>
      </w:r>
    </w:p>
  </w:footnote>
  <w:footnote w:id="313">
    <w:p w:rsidR="006C092A" w:rsidRDefault="006C092A" w:rsidP="004A3871">
      <w:pPr>
        <w:pStyle w:val="Notedebasdepage"/>
      </w:pPr>
      <w:r>
        <w:rPr>
          <w:rStyle w:val="Appelnotedebasdep"/>
        </w:rPr>
        <w:footnoteRef/>
      </w:r>
      <w:r>
        <w:t xml:space="preserve"> </w:t>
      </w:r>
      <w:r w:rsidRPr="004A3871">
        <w:rPr>
          <w:rFonts w:ascii="Times New Roman" w:hAnsi="Times New Roman"/>
        </w:rPr>
        <w:t>Nous entendons par littéraire</w:t>
      </w:r>
      <w:r>
        <w:t xml:space="preserve">, </w:t>
      </w:r>
      <w:r w:rsidRPr="004A3871">
        <w:rPr>
          <w:rFonts w:ascii="Times New Roman" w:hAnsi="Times New Roman"/>
        </w:rPr>
        <w:t xml:space="preserve">le très riche patrimoine poétique du </w:t>
      </w:r>
      <w:r w:rsidRPr="004A3871">
        <w:rPr>
          <w:rFonts w:ascii="Times New Roman" w:hAnsi="Times New Roman"/>
          <w:i/>
          <w:iCs/>
        </w:rPr>
        <w:t>Melhoun</w:t>
      </w:r>
      <w:r>
        <w:rPr>
          <w:rFonts w:ascii="Times New Roman" w:hAnsi="Times New Roman"/>
        </w:rPr>
        <w:t xml:space="preserve">, terroir dans lequel s’est abreuvé Kaki depuis son enfance </w:t>
      </w:r>
      <w:r w:rsidRPr="004A3871">
        <w:rPr>
          <w:i/>
          <w:iCs/>
        </w:rPr>
        <w:t xml:space="preserve"> </w:t>
      </w:r>
    </w:p>
  </w:footnote>
  <w:footnote w:id="314">
    <w:p w:rsidR="006C092A" w:rsidRPr="00DF2CEA" w:rsidRDefault="006C092A" w:rsidP="00DF2CEA">
      <w:pPr>
        <w:pStyle w:val="Style15"/>
        <w:widowControl/>
        <w:tabs>
          <w:tab w:val="left" w:pos="158"/>
        </w:tabs>
        <w:spacing w:before="0" w:beforeAutospacing="0" w:afterAutospacing="0"/>
        <w:rPr>
          <w:rFonts w:asciiTheme="majorBidi" w:hAnsiTheme="majorBidi" w:cstheme="majorBidi"/>
          <w:i/>
          <w:iCs/>
          <w:sz w:val="20"/>
          <w:szCs w:val="20"/>
        </w:rPr>
      </w:pPr>
      <w:r w:rsidRPr="00DF2CEA">
        <w:rPr>
          <w:rStyle w:val="FontStyle71"/>
          <w:rFonts w:asciiTheme="majorBidi" w:hAnsiTheme="majorBidi" w:cstheme="majorBidi"/>
          <w:sz w:val="20"/>
          <w:szCs w:val="20"/>
          <w:vertAlign w:val="superscript"/>
        </w:rPr>
        <w:footnoteRef/>
      </w:r>
      <w:r w:rsidRPr="00DF2CEA">
        <w:rPr>
          <w:rStyle w:val="FontStyle71"/>
          <w:rFonts w:asciiTheme="majorBidi" w:hAnsiTheme="majorBidi" w:cstheme="majorBidi"/>
          <w:sz w:val="20"/>
          <w:szCs w:val="20"/>
        </w:rPr>
        <w:t xml:space="preserve">Antonin Artaud, </w:t>
      </w:r>
      <w:r w:rsidRPr="00DF2CEA">
        <w:rPr>
          <w:rStyle w:val="FontStyle71"/>
          <w:rFonts w:asciiTheme="majorBidi" w:hAnsiTheme="majorBidi" w:cstheme="majorBidi"/>
          <w:i/>
          <w:iCs/>
          <w:sz w:val="20"/>
          <w:szCs w:val="20"/>
        </w:rPr>
        <w:t>Le théâtre et son double</w:t>
      </w:r>
      <w:r w:rsidRPr="00DF2CEA">
        <w:rPr>
          <w:rStyle w:val="FontStyle71"/>
          <w:rFonts w:asciiTheme="majorBidi" w:hAnsiTheme="majorBidi" w:cstheme="majorBidi"/>
          <w:sz w:val="20"/>
          <w:szCs w:val="20"/>
        </w:rPr>
        <w:t xml:space="preserve">, </w:t>
      </w:r>
      <w:r w:rsidRPr="00DF2CEA">
        <w:rPr>
          <w:rStyle w:val="FontStyle71"/>
          <w:rFonts w:asciiTheme="majorBidi" w:hAnsiTheme="majorBidi" w:cstheme="majorBidi"/>
          <w:i/>
          <w:iCs/>
          <w:sz w:val="20"/>
          <w:szCs w:val="20"/>
        </w:rPr>
        <w:t>op.cit</w:t>
      </w:r>
      <w:r w:rsidRPr="00DF2CEA">
        <w:rPr>
          <w:rStyle w:val="FontStyle71"/>
          <w:rFonts w:asciiTheme="majorBidi" w:hAnsiTheme="majorBidi" w:cstheme="majorBidi"/>
          <w:sz w:val="20"/>
          <w:szCs w:val="20"/>
        </w:rPr>
        <w:t>., p.80.</w:t>
      </w:r>
      <w:r w:rsidRPr="00DF2CEA">
        <w:rPr>
          <w:rFonts w:asciiTheme="majorBidi" w:hAnsiTheme="majorBidi" w:cstheme="majorBidi"/>
          <w:sz w:val="20"/>
          <w:szCs w:val="20"/>
        </w:rPr>
        <w:t xml:space="preserve"> </w:t>
      </w:r>
    </w:p>
  </w:footnote>
  <w:footnote w:id="315">
    <w:p w:rsidR="006C092A" w:rsidRPr="00DF2CEA" w:rsidRDefault="006C092A" w:rsidP="00DF2CEA">
      <w:pPr>
        <w:pStyle w:val="Notedebasdepage"/>
        <w:jc w:val="both"/>
        <w:rPr>
          <w:rFonts w:asciiTheme="majorBidi" w:hAnsiTheme="majorBidi" w:cstheme="majorBidi"/>
        </w:rPr>
      </w:pPr>
      <w:r w:rsidRPr="00DF2CEA">
        <w:rPr>
          <w:rStyle w:val="Appelnotedebasdep"/>
          <w:rFonts w:asciiTheme="majorBidi" w:hAnsiTheme="majorBidi" w:cstheme="majorBidi"/>
        </w:rPr>
        <w:footnoteRef/>
      </w:r>
      <w:r w:rsidRPr="00DF2CEA">
        <w:rPr>
          <w:rStyle w:val="FontStyle71"/>
          <w:rFonts w:asciiTheme="majorBidi" w:hAnsiTheme="majorBidi" w:cstheme="majorBidi"/>
          <w:iCs/>
          <w:sz w:val="20"/>
          <w:szCs w:val="20"/>
        </w:rPr>
        <w:t xml:space="preserve">Hervé Cnudde, « Rêver la mort avec Michel de Ghelderode » in  </w:t>
      </w:r>
      <w:r w:rsidRPr="00DF2CEA">
        <w:rPr>
          <w:rStyle w:val="FontStyle71"/>
          <w:rFonts w:asciiTheme="majorBidi" w:hAnsiTheme="majorBidi" w:cstheme="majorBidi"/>
          <w:i/>
          <w:sz w:val="20"/>
          <w:szCs w:val="20"/>
        </w:rPr>
        <w:t>La Revue Nouvelle n°12</w:t>
      </w:r>
      <w:r w:rsidRPr="00DF2CEA">
        <w:rPr>
          <w:rStyle w:val="FontStyle71"/>
          <w:rFonts w:asciiTheme="majorBidi" w:hAnsiTheme="majorBidi" w:cstheme="majorBidi"/>
          <w:iCs/>
          <w:sz w:val="20"/>
          <w:szCs w:val="20"/>
        </w:rPr>
        <w:t>, Décembre 2000, p.4.</w:t>
      </w:r>
    </w:p>
  </w:footnote>
  <w:footnote w:id="316">
    <w:p w:rsidR="006C092A" w:rsidRPr="00C460C8" w:rsidRDefault="006C092A" w:rsidP="00C460C8">
      <w:pPr>
        <w:pStyle w:val="Notedebasdepage"/>
        <w:jc w:val="both"/>
        <w:rPr>
          <w:rFonts w:asciiTheme="majorBidi" w:hAnsiTheme="majorBidi" w:cstheme="majorBidi"/>
          <w:lang w:val="en-GB"/>
        </w:rPr>
      </w:pPr>
      <w:r w:rsidRPr="00C460C8">
        <w:rPr>
          <w:rStyle w:val="Appelnotedebasdep"/>
          <w:rFonts w:asciiTheme="majorBidi" w:hAnsiTheme="majorBidi" w:cstheme="majorBidi"/>
        </w:rPr>
        <w:footnoteRef/>
      </w:r>
      <w:r w:rsidRPr="00C460C8">
        <w:rPr>
          <w:rStyle w:val="FontStyle71"/>
          <w:rFonts w:asciiTheme="majorBidi" w:hAnsiTheme="majorBidi" w:cstheme="majorBidi"/>
          <w:sz w:val="20"/>
          <w:szCs w:val="20"/>
        </w:rPr>
        <w:t>Suivant l’expression de Lionel Abel,</w:t>
      </w:r>
      <w:r w:rsidRPr="00C460C8">
        <w:rPr>
          <w:rStyle w:val="FontStyle71"/>
          <w:rFonts w:asciiTheme="majorBidi" w:hAnsiTheme="majorBidi" w:cstheme="majorBidi"/>
          <w:color w:val="00B0F0"/>
          <w:sz w:val="20"/>
          <w:szCs w:val="20"/>
        </w:rPr>
        <w:t xml:space="preserve"> </w:t>
      </w:r>
      <w:r w:rsidRPr="00C460C8">
        <w:rPr>
          <w:rStyle w:val="FontStyle71"/>
          <w:rFonts w:asciiTheme="majorBidi" w:hAnsiTheme="majorBidi" w:cstheme="majorBidi"/>
          <w:sz w:val="20"/>
          <w:szCs w:val="20"/>
        </w:rPr>
        <w:t xml:space="preserve">Métathéâtre. </w:t>
      </w:r>
      <w:r w:rsidRPr="00C460C8">
        <w:rPr>
          <w:rStyle w:val="FontStyle71"/>
          <w:rFonts w:asciiTheme="majorBidi" w:hAnsiTheme="majorBidi" w:cstheme="majorBidi"/>
          <w:sz w:val="20"/>
          <w:szCs w:val="20"/>
          <w:lang w:val="en-US"/>
        </w:rPr>
        <w:t xml:space="preserve">A New View of Dramatic form, </w:t>
      </w:r>
      <w:proofErr w:type="gramStart"/>
      <w:r w:rsidRPr="00C460C8">
        <w:rPr>
          <w:rStyle w:val="FontStyle71"/>
          <w:rFonts w:asciiTheme="majorBidi" w:hAnsiTheme="majorBidi" w:cstheme="majorBidi"/>
          <w:i/>
          <w:iCs/>
          <w:sz w:val="20"/>
          <w:szCs w:val="20"/>
          <w:lang w:val="en-US"/>
        </w:rPr>
        <w:t>op.cit</w:t>
      </w:r>
      <w:r w:rsidRPr="00C460C8">
        <w:rPr>
          <w:rStyle w:val="FontStyle71"/>
          <w:rFonts w:asciiTheme="majorBidi" w:hAnsiTheme="majorBidi" w:cstheme="majorBidi"/>
          <w:sz w:val="20"/>
          <w:szCs w:val="20"/>
          <w:lang w:val="en-US"/>
        </w:rPr>
        <w:t>.,</w:t>
      </w:r>
      <w:proofErr w:type="gramEnd"/>
      <w:r w:rsidRPr="00C460C8">
        <w:rPr>
          <w:rStyle w:val="FontStyle71"/>
          <w:rFonts w:asciiTheme="majorBidi" w:hAnsiTheme="majorBidi" w:cstheme="majorBidi"/>
          <w:sz w:val="20"/>
          <w:szCs w:val="20"/>
          <w:lang w:val="en-US"/>
        </w:rPr>
        <w:t xml:space="preserve"> p.90.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92A" w:rsidRDefault="00D27910">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3336297" o:spid="_x0000_s2050" type="#_x0000_t136" style="position:absolute;margin-left:0;margin-top:0;width:825pt;height:62.25pt;rotation:315;z-index:-251660800;mso-position-horizontal:center;mso-position-horizontal-relative:margin;mso-position-vertical:center;mso-position-vertical-relative:margin" o:allowincell="f" fillcolor="#c00000" stroked="f">
          <v:fill opacity=".5"/>
          <v:textpath style="font-family:&quot;Arial Black&quot;;font-size:44pt" string="SOS UNITRAVAUX ||  VALIDATION"/>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92A" w:rsidRPr="00C32595" w:rsidRDefault="006C092A" w:rsidP="00FC04C3">
    <w:pPr>
      <w:pStyle w:val="En-tte"/>
      <w:rPr>
        <w:rFonts w:ascii="Arial" w:hAnsi="Arial" w:cs="Arial"/>
        <w:color w:val="808080"/>
        <w:sz w:val="16"/>
        <w:szCs w:val="16"/>
      </w:rPr>
    </w:pPr>
    <w:r w:rsidRPr="00434CC9">
      <w:rPr>
        <w:rFonts w:ascii="Arial" w:hAnsi="Arial" w:cs="Arial"/>
        <w:bCs/>
        <w:i/>
        <w:iCs/>
        <w:smallCaps/>
        <w:sz w:val="16"/>
        <w:szCs w:val="16"/>
      </w:rPr>
      <w:t>apports narratologique et sémiotique dans l’écriture dramatique</w:t>
    </w:r>
    <w:r w:rsidRPr="00434CC9">
      <w:rPr>
        <w:rFonts w:ascii="Arial" w:hAnsi="Arial" w:cs="Arial"/>
        <w:i/>
        <w:iCs/>
        <w:color w:val="808080"/>
        <w:sz w:val="16"/>
        <w:szCs w:val="16"/>
      </w:rPr>
      <w:t xml:space="preserve"> </w:t>
    </w:r>
    <w:r>
      <w:rPr>
        <w:rFonts w:ascii="Arial" w:hAnsi="Arial" w:cs="Arial"/>
        <w:i/>
        <w:color w:val="808080"/>
        <w:sz w:val="16"/>
        <w:szCs w:val="16"/>
      </w:rPr>
      <w:t xml:space="preserve">                     KHELFAOUI  Benaoumeur         </w:t>
    </w:r>
  </w:p>
  <w:p w:rsidR="006C092A" w:rsidRDefault="00D27910" w:rsidP="00990B15">
    <w:pPr>
      <w:pStyle w:val="En-tte"/>
      <w:tabs>
        <w:tab w:val="clear" w:pos="4536"/>
        <w:tab w:val="clear" w:pos="9072"/>
        <w:tab w:val="left" w:pos="4029"/>
      </w:tabs>
    </w:pPr>
    <w:r w:rsidRPr="00D27910">
      <w:rPr>
        <w:rFonts w:ascii="Arial" w:hAnsi="Arial" w:cs="Arial"/>
        <w:i/>
        <w:noProof/>
        <w:color w:val="365F91"/>
        <w:sz w:val="16"/>
        <w:szCs w:val="16"/>
      </w:rPr>
      <w:pict>
        <v:shapetype id="_x0000_t32" coordsize="21600,21600" o:spt="32" o:oned="t" path="m,l21600,21600e" filled="f">
          <v:path arrowok="t" fillok="f" o:connecttype="none"/>
          <o:lock v:ext="edit" shapetype="t"/>
        </v:shapetype>
        <v:shape id="AutoShape 1" o:spid="_x0000_s2052" type="#_x0000_t32" style="position:absolute;margin-left:283.4pt;margin-top:-13.7pt;width:0;height:19.3pt;flip:y;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" strokecolor="#d8d8d8" strokeweight="8pt"/>
      </w:pict>
    </w:r>
    <w:r w:rsidRPr="00D27910">
      <w:rPr>
        <w:rFonts w:ascii="Arial" w:hAnsi="Arial" w:cs="Arial"/>
        <w:i/>
        <w:noProof/>
        <w:color w:val="365F91"/>
        <w:sz w:val="16"/>
        <w:szCs w:val="16"/>
      </w:rPr>
      <w:pict>
        <v:shape id="AutoShape 2" o:spid="_x0000_s2051" type="#_x0000_t32" style="position:absolute;margin-left:-3.7pt;margin-top:5.6pt;width:789.2pt;height:.1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" strokecolor="#a5a5a5" strokeweight=".5pt"/>
      </w:pict>
    </w:r>
    <w:r w:rsidR="006C092A">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92A" w:rsidRDefault="00D27910">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3336296" o:spid="_x0000_s2049" type="#_x0000_t136" style="position:absolute;margin-left:0;margin-top:0;width:825pt;height:62.25pt;rotation:315;z-index:-251661824;mso-position-horizontal:center;mso-position-horizontal-relative:margin;mso-position-vertical:center;mso-position-vertical-relative:margin" o:allowincell="f" fillcolor="#c00000" stroked="f">
          <v:fill opacity=".5"/>
          <v:textpath style="font-family:&quot;Arial Black&quot;;font-size:44pt" string="SOS UNITRAVAUX ||  VALIDATION"/>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47E14"/>
    <w:multiLevelType w:val="hybridMultilevel"/>
    <w:tmpl w:val="23A6E41C"/>
    <w:lvl w:ilvl="0" w:tplc="10968EAE">
      <w:start w:val="1"/>
      <w:numFmt w:val="decimal"/>
      <w:lvlText w:val="%1."/>
      <w:lvlJc w:val="left"/>
      <w:pPr>
        <w:ind w:left="720" w:hanging="360"/>
      </w:pPr>
      <w:rPr>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07537ED"/>
    <w:multiLevelType w:val="hybridMultilevel"/>
    <w:tmpl w:val="7968E764"/>
    <w:lvl w:ilvl="0" w:tplc="DF22A0A2">
      <w:start w:val="3"/>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0A15334"/>
    <w:multiLevelType w:val="hybridMultilevel"/>
    <w:tmpl w:val="4F5A9A8C"/>
    <w:lvl w:ilvl="0" w:tplc="040C001B">
      <w:start w:val="1"/>
      <w:numFmt w:val="lowerRoman"/>
      <w:lvlText w:val="%1."/>
      <w:lvlJc w:val="right"/>
      <w:pPr>
        <w:ind w:left="720" w:hanging="360"/>
      </w:pPr>
    </w:lvl>
    <w:lvl w:ilvl="1" w:tplc="040C001B">
      <w:start w:val="1"/>
      <w:numFmt w:val="lowerRoman"/>
      <w:lvlText w:val="%2."/>
      <w:lvlJc w:val="right"/>
      <w:pPr>
        <w:ind w:left="1440" w:hanging="360"/>
      </w:pPr>
    </w:lvl>
    <w:lvl w:ilvl="2" w:tplc="738E8826">
      <w:start w:val="1"/>
      <w:numFmt w:val="upperRoman"/>
      <w:lvlText w:val="%3."/>
      <w:lvlJc w:val="left"/>
      <w:pPr>
        <w:ind w:left="2700" w:hanging="720"/>
      </w:pPr>
      <w:rPr>
        <w:rFont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33E0997"/>
    <w:multiLevelType w:val="hybridMultilevel"/>
    <w:tmpl w:val="450075E6"/>
    <w:lvl w:ilvl="0" w:tplc="040C001B">
      <w:start w:val="1"/>
      <w:numFmt w:val="lowerRoman"/>
      <w:lvlText w:val="%1."/>
      <w:lvlJc w:val="right"/>
      <w:pPr>
        <w:ind w:left="720" w:hanging="360"/>
      </w:pPr>
    </w:lvl>
    <w:lvl w:ilvl="1" w:tplc="5C908C32">
      <w:start w:val="1"/>
      <w:numFmt w:val="decimal"/>
      <w:lvlText w:val="%2."/>
      <w:lvlJc w:val="left"/>
      <w:pPr>
        <w:ind w:left="1440" w:hanging="360"/>
      </w:pPr>
      <w:rPr>
        <w:rFonts w:asciiTheme="majorBidi" w:eastAsia="Times New Roman" w:hAnsiTheme="majorBidi" w:cstheme="majorBidi"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59711CD"/>
    <w:multiLevelType w:val="hybridMultilevel"/>
    <w:tmpl w:val="5E8CAD14"/>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
    <w:nsid w:val="062A2A4D"/>
    <w:multiLevelType w:val="hybridMultilevel"/>
    <w:tmpl w:val="E9E0E02C"/>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70B5FD4"/>
    <w:multiLevelType w:val="hybridMultilevel"/>
    <w:tmpl w:val="52DC3538"/>
    <w:lvl w:ilvl="0" w:tplc="040C0019">
      <w:start w:val="1"/>
      <w:numFmt w:val="lowerLetter"/>
      <w:lvlText w:val="%1."/>
      <w:lvlJc w:val="left"/>
      <w:pPr>
        <w:ind w:left="720" w:hanging="360"/>
      </w:pPr>
    </w:lvl>
    <w:lvl w:ilvl="1" w:tplc="1180A8A8">
      <w:start w:val="1"/>
      <w:numFmt w:val="lowerLetter"/>
      <w:lvlText w:val="%2."/>
      <w:lvlJc w:val="left"/>
      <w:pPr>
        <w:ind w:left="1440" w:hanging="360"/>
      </w:pPr>
      <w:rPr>
        <w:i w:val="0"/>
        <w:iCs w:val="0"/>
      </w:rPr>
    </w:lvl>
    <w:lvl w:ilvl="2" w:tplc="B414FCF6">
      <w:start w:val="1"/>
      <w:numFmt w:val="decimal"/>
      <w:lvlText w:val="%3."/>
      <w:lvlJc w:val="left"/>
      <w:pPr>
        <w:ind w:left="2340" w:hanging="360"/>
      </w:pPr>
      <w:rPr>
        <w:rFont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70F01F1"/>
    <w:multiLevelType w:val="hybridMultilevel"/>
    <w:tmpl w:val="56EE775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8">
    <w:nsid w:val="077E23B9"/>
    <w:multiLevelType w:val="hybridMultilevel"/>
    <w:tmpl w:val="964C639E"/>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9">
    <w:nsid w:val="091B0FE9"/>
    <w:multiLevelType w:val="hybridMultilevel"/>
    <w:tmpl w:val="1BF4D552"/>
    <w:lvl w:ilvl="0" w:tplc="040C0005">
      <w:start w:val="1"/>
      <w:numFmt w:val="bullet"/>
      <w:lvlText w:val=""/>
      <w:lvlJc w:val="left"/>
      <w:pPr>
        <w:ind w:left="1788" w:hanging="360"/>
      </w:pPr>
      <w:rPr>
        <w:rFonts w:ascii="Wingdings" w:hAnsi="Wingdings" w:hint="default"/>
      </w:rPr>
    </w:lvl>
    <w:lvl w:ilvl="1" w:tplc="040C0003" w:tentative="1">
      <w:start w:val="1"/>
      <w:numFmt w:val="bullet"/>
      <w:lvlText w:val="o"/>
      <w:lvlJc w:val="left"/>
      <w:pPr>
        <w:ind w:left="2508" w:hanging="360"/>
      </w:pPr>
      <w:rPr>
        <w:rFonts w:ascii="Courier New" w:hAnsi="Courier New" w:cs="Courier New" w:hint="default"/>
      </w:rPr>
    </w:lvl>
    <w:lvl w:ilvl="2" w:tplc="040C0005" w:tentative="1">
      <w:start w:val="1"/>
      <w:numFmt w:val="bullet"/>
      <w:lvlText w:val=""/>
      <w:lvlJc w:val="left"/>
      <w:pPr>
        <w:ind w:left="3228" w:hanging="360"/>
      </w:pPr>
      <w:rPr>
        <w:rFonts w:ascii="Wingdings" w:hAnsi="Wingdings" w:hint="default"/>
      </w:rPr>
    </w:lvl>
    <w:lvl w:ilvl="3" w:tplc="040C0001" w:tentative="1">
      <w:start w:val="1"/>
      <w:numFmt w:val="bullet"/>
      <w:lvlText w:val=""/>
      <w:lvlJc w:val="left"/>
      <w:pPr>
        <w:ind w:left="3948" w:hanging="360"/>
      </w:pPr>
      <w:rPr>
        <w:rFonts w:ascii="Symbol" w:hAnsi="Symbol" w:hint="default"/>
      </w:rPr>
    </w:lvl>
    <w:lvl w:ilvl="4" w:tplc="040C0003" w:tentative="1">
      <w:start w:val="1"/>
      <w:numFmt w:val="bullet"/>
      <w:lvlText w:val="o"/>
      <w:lvlJc w:val="left"/>
      <w:pPr>
        <w:ind w:left="4668" w:hanging="360"/>
      </w:pPr>
      <w:rPr>
        <w:rFonts w:ascii="Courier New" w:hAnsi="Courier New" w:cs="Courier New" w:hint="default"/>
      </w:rPr>
    </w:lvl>
    <w:lvl w:ilvl="5" w:tplc="040C0005" w:tentative="1">
      <w:start w:val="1"/>
      <w:numFmt w:val="bullet"/>
      <w:lvlText w:val=""/>
      <w:lvlJc w:val="left"/>
      <w:pPr>
        <w:ind w:left="5388" w:hanging="360"/>
      </w:pPr>
      <w:rPr>
        <w:rFonts w:ascii="Wingdings" w:hAnsi="Wingdings" w:hint="default"/>
      </w:rPr>
    </w:lvl>
    <w:lvl w:ilvl="6" w:tplc="040C0001" w:tentative="1">
      <w:start w:val="1"/>
      <w:numFmt w:val="bullet"/>
      <w:lvlText w:val=""/>
      <w:lvlJc w:val="left"/>
      <w:pPr>
        <w:ind w:left="6108" w:hanging="360"/>
      </w:pPr>
      <w:rPr>
        <w:rFonts w:ascii="Symbol" w:hAnsi="Symbol" w:hint="default"/>
      </w:rPr>
    </w:lvl>
    <w:lvl w:ilvl="7" w:tplc="040C0003" w:tentative="1">
      <w:start w:val="1"/>
      <w:numFmt w:val="bullet"/>
      <w:lvlText w:val="o"/>
      <w:lvlJc w:val="left"/>
      <w:pPr>
        <w:ind w:left="6828" w:hanging="360"/>
      </w:pPr>
      <w:rPr>
        <w:rFonts w:ascii="Courier New" w:hAnsi="Courier New" w:cs="Courier New" w:hint="default"/>
      </w:rPr>
    </w:lvl>
    <w:lvl w:ilvl="8" w:tplc="040C0005" w:tentative="1">
      <w:start w:val="1"/>
      <w:numFmt w:val="bullet"/>
      <w:lvlText w:val=""/>
      <w:lvlJc w:val="left"/>
      <w:pPr>
        <w:ind w:left="7548" w:hanging="360"/>
      </w:pPr>
      <w:rPr>
        <w:rFonts w:ascii="Wingdings" w:hAnsi="Wingdings" w:hint="default"/>
      </w:rPr>
    </w:lvl>
  </w:abstractNum>
  <w:abstractNum w:abstractNumId="10">
    <w:nsid w:val="0A1457D4"/>
    <w:multiLevelType w:val="hybridMultilevel"/>
    <w:tmpl w:val="62C8143A"/>
    <w:lvl w:ilvl="0" w:tplc="040C0001">
      <w:start w:val="1"/>
      <w:numFmt w:val="bullet"/>
      <w:lvlText w:val=""/>
      <w:lvlJc w:val="left"/>
      <w:pPr>
        <w:ind w:left="2506" w:hanging="360"/>
      </w:pPr>
      <w:rPr>
        <w:rFonts w:ascii="Symbol" w:hAnsi="Symbol" w:hint="default"/>
      </w:rPr>
    </w:lvl>
    <w:lvl w:ilvl="1" w:tplc="040C0003" w:tentative="1">
      <w:start w:val="1"/>
      <w:numFmt w:val="bullet"/>
      <w:lvlText w:val="o"/>
      <w:lvlJc w:val="left"/>
      <w:pPr>
        <w:ind w:left="3226" w:hanging="360"/>
      </w:pPr>
      <w:rPr>
        <w:rFonts w:ascii="Courier New" w:hAnsi="Courier New" w:cs="Courier New" w:hint="default"/>
      </w:rPr>
    </w:lvl>
    <w:lvl w:ilvl="2" w:tplc="040C0005" w:tentative="1">
      <w:start w:val="1"/>
      <w:numFmt w:val="bullet"/>
      <w:lvlText w:val=""/>
      <w:lvlJc w:val="left"/>
      <w:pPr>
        <w:ind w:left="3946" w:hanging="360"/>
      </w:pPr>
      <w:rPr>
        <w:rFonts w:ascii="Wingdings" w:hAnsi="Wingdings" w:hint="default"/>
      </w:rPr>
    </w:lvl>
    <w:lvl w:ilvl="3" w:tplc="040C0001" w:tentative="1">
      <w:start w:val="1"/>
      <w:numFmt w:val="bullet"/>
      <w:lvlText w:val=""/>
      <w:lvlJc w:val="left"/>
      <w:pPr>
        <w:ind w:left="4666" w:hanging="360"/>
      </w:pPr>
      <w:rPr>
        <w:rFonts w:ascii="Symbol" w:hAnsi="Symbol" w:hint="default"/>
      </w:rPr>
    </w:lvl>
    <w:lvl w:ilvl="4" w:tplc="040C0003" w:tentative="1">
      <w:start w:val="1"/>
      <w:numFmt w:val="bullet"/>
      <w:lvlText w:val="o"/>
      <w:lvlJc w:val="left"/>
      <w:pPr>
        <w:ind w:left="5386" w:hanging="360"/>
      </w:pPr>
      <w:rPr>
        <w:rFonts w:ascii="Courier New" w:hAnsi="Courier New" w:cs="Courier New" w:hint="default"/>
      </w:rPr>
    </w:lvl>
    <w:lvl w:ilvl="5" w:tplc="040C0005" w:tentative="1">
      <w:start w:val="1"/>
      <w:numFmt w:val="bullet"/>
      <w:lvlText w:val=""/>
      <w:lvlJc w:val="left"/>
      <w:pPr>
        <w:ind w:left="6106" w:hanging="360"/>
      </w:pPr>
      <w:rPr>
        <w:rFonts w:ascii="Wingdings" w:hAnsi="Wingdings" w:hint="default"/>
      </w:rPr>
    </w:lvl>
    <w:lvl w:ilvl="6" w:tplc="040C0001" w:tentative="1">
      <w:start w:val="1"/>
      <w:numFmt w:val="bullet"/>
      <w:lvlText w:val=""/>
      <w:lvlJc w:val="left"/>
      <w:pPr>
        <w:ind w:left="6826" w:hanging="360"/>
      </w:pPr>
      <w:rPr>
        <w:rFonts w:ascii="Symbol" w:hAnsi="Symbol" w:hint="default"/>
      </w:rPr>
    </w:lvl>
    <w:lvl w:ilvl="7" w:tplc="040C0003" w:tentative="1">
      <w:start w:val="1"/>
      <w:numFmt w:val="bullet"/>
      <w:lvlText w:val="o"/>
      <w:lvlJc w:val="left"/>
      <w:pPr>
        <w:ind w:left="7546" w:hanging="360"/>
      </w:pPr>
      <w:rPr>
        <w:rFonts w:ascii="Courier New" w:hAnsi="Courier New" w:cs="Courier New" w:hint="default"/>
      </w:rPr>
    </w:lvl>
    <w:lvl w:ilvl="8" w:tplc="040C0005" w:tentative="1">
      <w:start w:val="1"/>
      <w:numFmt w:val="bullet"/>
      <w:lvlText w:val=""/>
      <w:lvlJc w:val="left"/>
      <w:pPr>
        <w:ind w:left="8266" w:hanging="360"/>
      </w:pPr>
      <w:rPr>
        <w:rFonts w:ascii="Wingdings" w:hAnsi="Wingdings" w:hint="default"/>
      </w:rPr>
    </w:lvl>
  </w:abstractNum>
  <w:abstractNum w:abstractNumId="11">
    <w:nsid w:val="0AFB7FE8"/>
    <w:multiLevelType w:val="hybridMultilevel"/>
    <w:tmpl w:val="C23621B8"/>
    <w:lvl w:ilvl="0" w:tplc="E7962C96">
      <w:start w:val="1"/>
      <w:numFmt w:val="bullet"/>
      <w:lvlText w:val="o"/>
      <w:lvlJc w:val="left"/>
      <w:pPr>
        <w:ind w:left="1287" w:hanging="360"/>
      </w:pPr>
      <w:rPr>
        <w:rFonts w:asciiTheme="majorBidi" w:hAnsiTheme="majorBidi" w:cstheme="majorBidi" w:hint="default"/>
        <w:b/>
        <w:bCs/>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2">
    <w:nsid w:val="0BD22173"/>
    <w:multiLevelType w:val="hybridMultilevel"/>
    <w:tmpl w:val="FB9ADEA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BF912BB"/>
    <w:multiLevelType w:val="hybridMultilevel"/>
    <w:tmpl w:val="8EA2739E"/>
    <w:lvl w:ilvl="0" w:tplc="1F3CC7E4">
      <w:start w:val="1"/>
      <w:numFmt w:val="decimal"/>
      <w:lvlText w:val="%1."/>
      <w:lvlJc w:val="left"/>
      <w:pPr>
        <w:ind w:left="1440" w:hanging="360"/>
      </w:pPr>
      <w:rPr>
        <w:rFonts w:ascii="Calibri" w:eastAsia="Times New Roman" w:hAnsi="Calibri" w:cs="Times New Roman"/>
      </w:rPr>
    </w:lvl>
    <w:lvl w:ilvl="1" w:tplc="DAF6CE38">
      <w:start w:val="1"/>
      <w:numFmt w:val="decimal"/>
      <w:lvlText w:val="%2."/>
      <w:lvlJc w:val="left"/>
      <w:pPr>
        <w:ind w:left="2160" w:hanging="360"/>
      </w:pPr>
      <w:rPr>
        <w:rFonts w:asciiTheme="majorBidi" w:eastAsia="Times New Roman" w:hAnsiTheme="majorBidi" w:cstheme="majorBidi" w:hint="default"/>
      </w:r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4">
    <w:nsid w:val="0E94012F"/>
    <w:multiLevelType w:val="hybridMultilevel"/>
    <w:tmpl w:val="FDD2FD9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0EB450B9"/>
    <w:multiLevelType w:val="hybridMultilevel"/>
    <w:tmpl w:val="A922EF9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0F8F2534"/>
    <w:multiLevelType w:val="hybridMultilevel"/>
    <w:tmpl w:val="EC98100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7">
    <w:nsid w:val="114076CB"/>
    <w:multiLevelType w:val="multilevel"/>
    <w:tmpl w:val="1C1EEF72"/>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18">
    <w:nsid w:val="11466AA5"/>
    <w:multiLevelType w:val="hybridMultilevel"/>
    <w:tmpl w:val="35EE72E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1EF27D9"/>
    <w:multiLevelType w:val="hybridMultilevel"/>
    <w:tmpl w:val="C9682824"/>
    <w:lvl w:ilvl="0" w:tplc="040C001B">
      <w:start w:val="1"/>
      <w:numFmt w:val="lowerRoman"/>
      <w:lvlText w:val="%1."/>
      <w:lvlJc w:val="right"/>
      <w:pPr>
        <w:ind w:left="720" w:hanging="360"/>
      </w:pPr>
    </w:lvl>
    <w:lvl w:ilvl="1" w:tplc="58C4BE74">
      <w:start w:val="1"/>
      <w:numFmt w:val="decimal"/>
      <w:lvlText w:val="%2."/>
      <w:lvlJc w:val="left"/>
      <w:pPr>
        <w:ind w:left="1440" w:hanging="360"/>
      </w:pPr>
      <w:rPr>
        <w:rFonts w:asciiTheme="majorBidi" w:eastAsia="Times New Roman" w:hAnsiTheme="majorBidi" w:cstheme="majorBidi" w:hint="default"/>
      </w:rPr>
    </w:lvl>
    <w:lvl w:ilvl="2" w:tplc="738E8826">
      <w:start w:val="1"/>
      <w:numFmt w:val="upperRoman"/>
      <w:lvlText w:val="%3."/>
      <w:lvlJc w:val="left"/>
      <w:pPr>
        <w:ind w:left="2700" w:hanging="720"/>
      </w:pPr>
      <w:rPr>
        <w:rFont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24A5D61"/>
    <w:multiLevelType w:val="hybridMultilevel"/>
    <w:tmpl w:val="4CAA8B1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4052538"/>
    <w:multiLevelType w:val="hybridMultilevel"/>
    <w:tmpl w:val="153C0F4C"/>
    <w:lvl w:ilvl="0" w:tplc="E1D67C4C">
      <w:start w:val="1"/>
      <w:numFmt w:val="bullet"/>
      <w:lvlText w:val="-"/>
      <w:lvlJc w:val="left"/>
      <w:pPr>
        <w:ind w:left="1069" w:hanging="360"/>
      </w:pPr>
      <w:rPr>
        <w:rFonts w:ascii="Times New Roman" w:eastAsia="Calibri" w:hAnsi="Times New Roman" w:cs="Times New Roman"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2">
    <w:nsid w:val="14064D49"/>
    <w:multiLevelType w:val="hybridMultilevel"/>
    <w:tmpl w:val="481E38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5D82AFB"/>
    <w:multiLevelType w:val="hybridMultilevel"/>
    <w:tmpl w:val="F626B074"/>
    <w:lvl w:ilvl="0" w:tplc="083AD79A">
      <w:start w:val="1"/>
      <w:numFmt w:val="decimal"/>
      <w:lvlText w:val="%1."/>
      <w:lvlJc w:val="left"/>
      <w:pPr>
        <w:ind w:left="720" w:hanging="360"/>
      </w:pPr>
      <w:rPr>
        <w:rFonts w:asciiTheme="majorBidi" w:eastAsia="Times New Roman" w:hAnsiTheme="majorBidi" w:cstheme="majorBidi" w:hint="default"/>
      </w:rPr>
    </w:lvl>
    <w:lvl w:ilvl="1" w:tplc="1F3CC7E4">
      <w:start w:val="1"/>
      <w:numFmt w:val="decimal"/>
      <w:lvlText w:val="%2."/>
      <w:lvlJc w:val="left"/>
      <w:pPr>
        <w:ind w:left="1440" w:hanging="360"/>
      </w:pPr>
      <w:rPr>
        <w:rFonts w:ascii="Calibri" w:eastAsia="Times New Roman" w:hAnsi="Calibri" w:cs="Times New Roman" w:hint="default"/>
        <w:i w:val="0"/>
      </w:rPr>
    </w:lvl>
    <w:lvl w:ilvl="2" w:tplc="4E407CF8">
      <w:start w:val="1"/>
      <w:numFmt w:val="upperRoman"/>
      <w:lvlText w:val="%3."/>
      <w:lvlJc w:val="left"/>
      <w:pPr>
        <w:ind w:left="2700" w:hanging="720"/>
      </w:pPr>
      <w:rPr>
        <w:rFonts w:hint="default"/>
      </w:rPr>
    </w:lvl>
    <w:lvl w:ilvl="3" w:tplc="58A062A2">
      <w:start w:val="1"/>
      <w:numFmt w:val="decimal"/>
      <w:lvlText w:val="%4."/>
      <w:lvlJc w:val="left"/>
      <w:pPr>
        <w:ind w:left="2880" w:hanging="360"/>
      </w:pPr>
      <w:rPr>
        <w:rFonts w:hint="default"/>
      </w:r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6125706"/>
    <w:multiLevelType w:val="hybridMultilevel"/>
    <w:tmpl w:val="7598AE3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5">
    <w:nsid w:val="177F080B"/>
    <w:multiLevelType w:val="hybridMultilevel"/>
    <w:tmpl w:val="5EF425FA"/>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196869AD"/>
    <w:multiLevelType w:val="hybridMultilevel"/>
    <w:tmpl w:val="D74632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1A403C8C"/>
    <w:multiLevelType w:val="hybridMultilevel"/>
    <w:tmpl w:val="22AEDB0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1B942C4A"/>
    <w:multiLevelType w:val="multilevel"/>
    <w:tmpl w:val="A8484E2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1E7C3519"/>
    <w:multiLevelType w:val="hybridMultilevel"/>
    <w:tmpl w:val="93B05778"/>
    <w:lvl w:ilvl="0" w:tplc="040C0019">
      <w:start w:val="1"/>
      <w:numFmt w:val="lowerLetter"/>
      <w:lvlText w:val="%1."/>
      <w:lvlJc w:val="left"/>
      <w:pPr>
        <w:ind w:left="720" w:hanging="360"/>
      </w:pPr>
    </w:lvl>
    <w:lvl w:ilvl="1" w:tplc="FA16AFD6">
      <w:start w:val="1"/>
      <w:numFmt w:val="lowerLetter"/>
      <w:lvlText w:val="%2."/>
      <w:lvlJc w:val="left"/>
      <w:pPr>
        <w:ind w:left="1440" w:hanging="360"/>
      </w:pPr>
      <w:rPr>
        <w:i w:val="0"/>
        <w:iCs w:val="0"/>
      </w:rPr>
    </w:lvl>
    <w:lvl w:ilvl="2" w:tplc="B74A3AA4">
      <w:start w:val="1"/>
      <w:numFmt w:val="upperRoman"/>
      <w:lvlText w:val="%3."/>
      <w:lvlJc w:val="left"/>
      <w:pPr>
        <w:ind w:left="2700" w:hanging="720"/>
      </w:pPr>
      <w:rPr>
        <w:rFonts w:hint="default"/>
        <w:b/>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1F745160"/>
    <w:multiLevelType w:val="multilevel"/>
    <w:tmpl w:val="D80C0496"/>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31">
    <w:nsid w:val="1F7C0A15"/>
    <w:multiLevelType w:val="hybridMultilevel"/>
    <w:tmpl w:val="6F0215D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2">
    <w:nsid w:val="20E51B79"/>
    <w:multiLevelType w:val="multilevel"/>
    <w:tmpl w:val="4EAA6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236E66BF"/>
    <w:multiLevelType w:val="hybridMultilevel"/>
    <w:tmpl w:val="7E062DA0"/>
    <w:lvl w:ilvl="0" w:tplc="040C000B">
      <w:start w:val="1"/>
      <w:numFmt w:val="bullet"/>
      <w:lvlText w:val=""/>
      <w:lvlJc w:val="left"/>
      <w:pPr>
        <w:ind w:left="1364" w:hanging="360"/>
      </w:pPr>
      <w:rPr>
        <w:rFonts w:ascii="Wingdings" w:hAnsi="Wingdings"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34">
    <w:nsid w:val="26913A9C"/>
    <w:multiLevelType w:val="hybridMultilevel"/>
    <w:tmpl w:val="A6DE167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2D8577FA"/>
    <w:multiLevelType w:val="hybridMultilevel"/>
    <w:tmpl w:val="0854DE5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6">
    <w:nsid w:val="31357ED2"/>
    <w:multiLevelType w:val="hybridMultilevel"/>
    <w:tmpl w:val="2CF64434"/>
    <w:lvl w:ilvl="0" w:tplc="040C0005">
      <w:start w:val="1"/>
      <w:numFmt w:val="bullet"/>
      <w:lvlText w:val=""/>
      <w:lvlJc w:val="left"/>
      <w:pPr>
        <w:ind w:left="1789" w:hanging="360"/>
      </w:pPr>
      <w:rPr>
        <w:rFonts w:ascii="Wingdings" w:hAnsi="Wingdings" w:hint="default"/>
      </w:rPr>
    </w:lvl>
    <w:lvl w:ilvl="1" w:tplc="040C0003" w:tentative="1">
      <w:start w:val="1"/>
      <w:numFmt w:val="bullet"/>
      <w:lvlText w:val="o"/>
      <w:lvlJc w:val="left"/>
      <w:pPr>
        <w:ind w:left="2509" w:hanging="360"/>
      </w:pPr>
      <w:rPr>
        <w:rFonts w:ascii="Courier New" w:hAnsi="Courier New" w:cs="Courier New" w:hint="default"/>
      </w:rPr>
    </w:lvl>
    <w:lvl w:ilvl="2" w:tplc="040C0005" w:tentative="1">
      <w:start w:val="1"/>
      <w:numFmt w:val="bullet"/>
      <w:lvlText w:val=""/>
      <w:lvlJc w:val="left"/>
      <w:pPr>
        <w:ind w:left="3229" w:hanging="360"/>
      </w:pPr>
      <w:rPr>
        <w:rFonts w:ascii="Wingdings" w:hAnsi="Wingdings" w:hint="default"/>
      </w:rPr>
    </w:lvl>
    <w:lvl w:ilvl="3" w:tplc="040C0001" w:tentative="1">
      <w:start w:val="1"/>
      <w:numFmt w:val="bullet"/>
      <w:lvlText w:val=""/>
      <w:lvlJc w:val="left"/>
      <w:pPr>
        <w:ind w:left="3949" w:hanging="360"/>
      </w:pPr>
      <w:rPr>
        <w:rFonts w:ascii="Symbol" w:hAnsi="Symbol" w:hint="default"/>
      </w:rPr>
    </w:lvl>
    <w:lvl w:ilvl="4" w:tplc="040C0003" w:tentative="1">
      <w:start w:val="1"/>
      <w:numFmt w:val="bullet"/>
      <w:lvlText w:val="o"/>
      <w:lvlJc w:val="left"/>
      <w:pPr>
        <w:ind w:left="4669" w:hanging="360"/>
      </w:pPr>
      <w:rPr>
        <w:rFonts w:ascii="Courier New" w:hAnsi="Courier New" w:cs="Courier New" w:hint="default"/>
      </w:rPr>
    </w:lvl>
    <w:lvl w:ilvl="5" w:tplc="040C0005" w:tentative="1">
      <w:start w:val="1"/>
      <w:numFmt w:val="bullet"/>
      <w:lvlText w:val=""/>
      <w:lvlJc w:val="left"/>
      <w:pPr>
        <w:ind w:left="5389" w:hanging="360"/>
      </w:pPr>
      <w:rPr>
        <w:rFonts w:ascii="Wingdings" w:hAnsi="Wingdings" w:hint="default"/>
      </w:rPr>
    </w:lvl>
    <w:lvl w:ilvl="6" w:tplc="040C0001" w:tentative="1">
      <w:start w:val="1"/>
      <w:numFmt w:val="bullet"/>
      <w:lvlText w:val=""/>
      <w:lvlJc w:val="left"/>
      <w:pPr>
        <w:ind w:left="6109" w:hanging="360"/>
      </w:pPr>
      <w:rPr>
        <w:rFonts w:ascii="Symbol" w:hAnsi="Symbol" w:hint="default"/>
      </w:rPr>
    </w:lvl>
    <w:lvl w:ilvl="7" w:tplc="040C0003" w:tentative="1">
      <w:start w:val="1"/>
      <w:numFmt w:val="bullet"/>
      <w:lvlText w:val="o"/>
      <w:lvlJc w:val="left"/>
      <w:pPr>
        <w:ind w:left="6829" w:hanging="360"/>
      </w:pPr>
      <w:rPr>
        <w:rFonts w:ascii="Courier New" w:hAnsi="Courier New" w:cs="Courier New" w:hint="default"/>
      </w:rPr>
    </w:lvl>
    <w:lvl w:ilvl="8" w:tplc="040C0005" w:tentative="1">
      <w:start w:val="1"/>
      <w:numFmt w:val="bullet"/>
      <w:lvlText w:val=""/>
      <w:lvlJc w:val="left"/>
      <w:pPr>
        <w:ind w:left="7549" w:hanging="360"/>
      </w:pPr>
      <w:rPr>
        <w:rFonts w:ascii="Wingdings" w:hAnsi="Wingdings" w:hint="default"/>
      </w:rPr>
    </w:lvl>
  </w:abstractNum>
  <w:abstractNum w:abstractNumId="37">
    <w:nsid w:val="32EA6D07"/>
    <w:multiLevelType w:val="hybridMultilevel"/>
    <w:tmpl w:val="D3748E9E"/>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38">
    <w:nsid w:val="35374F28"/>
    <w:multiLevelType w:val="hybridMultilevel"/>
    <w:tmpl w:val="CC3E00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362D1AA2"/>
    <w:multiLevelType w:val="hybridMultilevel"/>
    <w:tmpl w:val="BA8AB6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366A4C5A"/>
    <w:multiLevelType w:val="hybridMultilevel"/>
    <w:tmpl w:val="0AB07D62"/>
    <w:lvl w:ilvl="0" w:tplc="040C0019">
      <w:start w:val="1"/>
      <w:numFmt w:val="lowerLetter"/>
      <w:lvlText w:val="%1."/>
      <w:lvlJc w:val="left"/>
      <w:pPr>
        <w:ind w:left="1068" w:hanging="360"/>
      </w:pPr>
    </w:lvl>
    <w:lvl w:ilvl="1" w:tplc="040C001B">
      <w:start w:val="1"/>
      <w:numFmt w:val="lowerRoman"/>
      <w:lvlText w:val="%2."/>
      <w:lvlJc w:val="right"/>
      <w:pPr>
        <w:ind w:left="1788" w:hanging="360"/>
      </w:pPr>
      <w:rPr>
        <w:rFonts w:hint="default"/>
        <w:i w:val="0"/>
      </w:rPr>
    </w:lvl>
    <w:lvl w:ilvl="2" w:tplc="4E407CF8">
      <w:start w:val="1"/>
      <w:numFmt w:val="upperRoman"/>
      <w:lvlText w:val="%3."/>
      <w:lvlJc w:val="left"/>
      <w:pPr>
        <w:ind w:left="3048" w:hanging="720"/>
      </w:pPr>
      <w:rPr>
        <w:rFonts w:hint="default"/>
      </w:rPr>
    </w:lvl>
    <w:lvl w:ilvl="3" w:tplc="58A062A2">
      <w:start w:val="1"/>
      <w:numFmt w:val="decimal"/>
      <w:lvlText w:val="%4."/>
      <w:lvlJc w:val="left"/>
      <w:pPr>
        <w:ind w:left="3228" w:hanging="360"/>
      </w:pPr>
      <w:rPr>
        <w:rFonts w:hint="default"/>
      </w:r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41">
    <w:nsid w:val="393F5F2C"/>
    <w:multiLevelType w:val="hybridMultilevel"/>
    <w:tmpl w:val="FCB4183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39885C15"/>
    <w:multiLevelType w:val="hybridMultilevel"/>
    <w:tmpl w:val="DA7EAB7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399A0E98"/>
    <w:multiLevelType w:val="hybridMultilevel"/>
    <w:tmpl w:val="416406DA"/>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44">
    <w:nsid w:val="3A411BA7"/>
    <w:multiLevelType w:val="hybridMultilevel"/>
    <w:tmpl w:val="3250B0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3B8B769B"/>
    <w:multiLevelType w:val="hybridMultilevel"/>
    <w:tmpl w:val="48904F2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3C3C0E5C"/>
    <w:multiLevelType w:val="multilevel"/>
    <w:tmpl w:val="2A1E33EA"/>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ascii="Calibri" w:eastAsia="Calibri" w:hAnsi="Calibri" w:cs="Times New Roman" w:hint="default"/>
        <w:color w:val="auto"/>
      </w:rPr>
    </w:lvl>
    <w:lvl w:ilvl="2">
      <w:start w:val="1"/>
      <w:numFmt w:val="decimal"/>
      <w:isLgl/>
      <w:lvlText w:val="%1.%2.%3."/>
      <w:lvlJc w:val="left"/>
      <w:pPr>
        <w:ind w:left="1080" w:hanging="720"/>
      </w:pPr>
      <w:rPr>
        <w:rFonts w:ascii="Calibri" w:eastAsia="Calibri" w:hAnsi="Calibri" w:cs="Times New Roman" w:hint="default"/>
        <w:color w:val="auto"/>
      </w:rPr>
    </w:lvl>
    <w:lvl w:ilvl="3">
      <w:start w:val="1"/>
      <w:numFmt w:val="decimal"/>
      <w:isLgl/>
      <w:lvlText w:val="%1.%2.%3.%4."/>
      <w:lvlJc w:val="left"/>
      <w:pPr>
        <w:ind w:left="1440" w:hanging="1080"/>
      </w:pPr>
      <w:rPr>
        <w:rFonts w:ascii="Calibri" w:eastAsia="Calibri" w:hAnsi="Calibri" w:cs="Times New Roman" w:hint="default"/>
        <w:color w:val="auto"/>
      </w:rPr>
    </w:lvl>
    <w:lvl w:ilvl="4">
      <w:start w:val="1"/>
      <w:numFmt w:val="decimal"/>
      <w:isLgl/>
      <w:lvlText w:val="%1.%2.%3.%4.%5."/>
      <w:lvlJc w:val="left"/>
      <w:pPr>
        <w:ind w:left="1440" w:hanging="1080"/>
      </w:pPr>
      <w:rPr>
        <w:rFonts w:ascii="Calibri" w:eastAsia="Calibri" w:hAnsi="Calibri" w:cs="Times New Roman" w:hint="default"/>
        <w:color w:val="auto"/>
      </w:rPr>
    </w:lvl>
    <w:lvl w:ilvl="5">
      <w:start w:val="1"/>
      <w:numFmt w:val="decimal"/>
      <w:isLgl/>
      <w:lvlText w:val="%1.%2.%3.%4.%5.%6."/>
      <w:lvlJc w:val="left"/>
      <w:pPr>
        <w:ind w:left="1800" w:hanging="1440"/>
      </w:pPr>
      <w:rPr>
        <w:rFonts w:ascii="Calibri" w:eastAsia="Calibri" w:hAnsi="Calibri" w:cs="Times New Roman" w:hint="default"/>
        <w:color w:val="auto"/>
      </w:rPr>
    </w:lvl>
    <w:lvl w:ilvl="6">
      <w:start w:val="1"/>
      <w:numFmt w:val="decimal"/>
      <w:isLgl/>
      <w:lvlText w:val="%1.%2.%3.%4.%5.%6.%7."/>
      <w:lvlJc w:val="left"/>
      <w:pPr>
        <w:ind w:left="1800" w:hanging="1440"/>
      </w:pPr>
      <w:rPr>
        <w:rFonts w:ascii="Calibri" w:eastAsia="Calibri" w:hAnsi="Calibri" w:cs="Times New Roman" w:hint="default"/>
        <w:color w:val="auto"/>
      </w:rPr>
    </w:lvl>
    <w:lvl w:ilvl="7">
      <w:start w:val="1"/>
      <w:numFmt w:val="decimal"/>
      <w:isLgl/>
      <w:lvlText w:val="%1.%2.%3.%4.%5.%6.%7.%8."/>
      <w:lvlJc w:val="left"/>
      <w:pPr>
        <w:ind w:left="2160" w:hanging="1800"/>
      </w:pPr>
      <w:rPr>
        <w:rFonts w:ascii="Calibri" w:eastAsia="Calibri" w:hAnsi="Calibri" w:cs="Times New Roman" w:hint="default"/>
        <w:color w:val="auto"/>
      </w:rPr>
    </w:lvl>
    <w:lvl w:ilvl="8">
      <w:start w:val="1"/>
      <w:numFmt w:val="decimal"/>
      <w:isLgl/>
      <w:lvlText w:val="%1.%2.%3.%4.%5.%6.%7.%8.%9."/>
      <w:lvlJc w:val="left"/>
      <w:pPr>
        <w:ind w:left="2160" w:hanging="1800"/>
      </w:pPr>
      <w:rPr>
        <w:rFonts w:ascii="Calibri" w:eastAsia="Calibri" w:hAnsi="Calibri" w:cs="Times New Roman" w:hint="default"/>
        <w:color w:val="auto"/>
      </w:rPr>
    </w:lvl>
  </w:abstractNum>
  <w:abstractNum w:abstractNumId="47">
    <w:nsid w:val="3C856A51"/>
    <w:multiLevelType w:val="hybridMultilevel"/>
    <w:tmpl w:val="89502C34"/>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48">
    <w:nsid w:val="3F4204A6"/>
    <w:multiLevelType w:val="hybridMultilevel"/>
    <w:tmpl w:val="7DD4AACE"/>
    <w:lvl w:ilvl="0" w:tplc="96B8987E">
      <w:start w:val="1"/>
      <w:numFmt w:val="upperRoman"/>
      <w:lvlText w:val="%1."/>
      <w:lvlJc w:val="left"/>
      <w:pPr>
        <w:ind w:left="1080" w:hanging="720"/>
      </w:pPr>
      <w:rPr>
        <w:rFonts w:hint="default"/>
      </w:rPr>
    </w:lvl>
    <w:lvl w:ilvl="1" w:tplc="1F3CC7E4">
      <w:start w:val="1"/>
      <w:numFmt w:val="decimal"/>
      <w:lvlText w:val="%2."/>
      <w:lvlJc w:val="left"/>
      <w:pPr>
        <w:ind w:left="1440" w:hanging="360"/>
      </w:pPr>
      <w:rPr>
        <w:rFonts w:ascii="Calibri" w:eastAsia="Times New Roman" w:hAnsi="Calibri" w:cs="Times New Roman"/>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42CA7BE8"/>
    <w:multiLevelType w:val="hybridMultilevel"/>
    <w:tmpl w:val="EF02E370"/>
    <w:lvl w:ilvl="0" w:tplc="040C0019">
      <w:start w:val="1"/>
      <w:numFmt w:val="lowerLetter"/>
      <w:lvlText w:val="%1."/>
      <w:lvlJc w:val="left"/>
      <w:pPr>
        <w:ind w:left="720" w:hanging="360"/>
      </w:pPr>
    </w:lvl>
    <w:lvl w:ilvl="1" w:tplc="F29C0070">
      <w:start w:val="1"/>
      <w:numFmt w:val="lowerLetter"/>
      <w:lvlText w:val="%2."/>
      <w:lvlJc w:val="left"/>
      <w:pPr>
        <w:ind w:left="1440" w:hanging="360"/>
      </w:pPr>
      <w:rPr>
        <w:i w:val="0"/>
        <w:iCs w:val="0"/>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43596759"/>
    <w:multiLevelType w:val="hybridMultilevel"/>
    <w:tmpl w:val="0B4269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7CB6B08"/>
    <w:multiLevelType w:val="hybridMultilevel"/>
    <w:tmpl w:val="E1ECA0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48F92EFA"/>
    <w:multiLevelType w:val="hybridMultilevel"/>
    <w:tmpl w:val="192ACAAC"/>
    <w:lvl w:ilvl="0" w:tplc="040C0003">
      <w:start w:val="1"/>
      <w:numFmt w:val="bullet"/>
      <w:lvlText w:val="o"/>
      <w:lvlJc w:val="left"/>
      <w:pPr>
        <w:ind w:left="1428" w:hanging="360"/>
      </w:pPr>
      <w:rPr>
        <w:rFonts w:ascii="Courier New" w:hAnsi="Courier New" w:cs="Courier New" w:hint="default"/>
        <w:sz w:val="20"/>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3">
    <w:nsid w:val="4BAC4B5E"/>
    <w:multiLevelType w:val="hybridMultilevel"/>
    <w:tmpl w:val="14B818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4C3979EF"/>
    <w:multiLevelType w:val="hybridMultilevel"/>
    <w:tmpl w:val="B088E2EE"/>
    <w:lvl w:ilvl="0" w:tplc="CA9692FC">
      <w:start w:val="1"/>
      <w:numFmt w:val="decimal"/>
      <w:lvlText w:val="%1."/>
      <w:lvlJc w:val="left"/>
      <w:pPr>
        <w:ind w:left="720" w:hanging="360"/>
      </w:pPr>
      <w:rPr>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4E4F7C2C"/>
    <w:multiLevelType w:val="hybridMultilevel"/>
    <w:tmpl w:val="2C86637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4E5025C5"/>
    <w:multiLevelType w:val="hybridMultilevel"/>
    <w:tmpl w:val="7E224B0E"/>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7">
    <w:nsid w:val="4F6C2F9B"/>
    <w:multiLevelType w:val="hybridMultilevel"/>
    <w:tmpl w:val="0686B324"/>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58">
    <w:nsid w:val="4FDC5E49"/>
    <w:multiLevelType w:val="hybridMultilevel"/>
    <w:tmpl w:val="896435B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521419E6"/>
    <w:multiLevelType w:val="hybridMultilevel"/>
    <w:tmpl w:val="8302477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52EC735E"/>
    <w:multiLevelType w:val="hybridMultilevel"/>
    <w:tmpl w:val="61DA5BEA"/>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61">
    <w:nsid w:val="55CB19C1"/>
    <w:multiLevelType w:val="hybridMultilevel"/>
    <w:tmpl w:val="857A2F2E"/>
    <w:lvl w:ilvl="0" w:tplc="040C0001">
      <w:start w:val="1"/>
      <w:numFmt w:val="bullet"/>
      <w:lvlText w:val=""/>
      <w:lvlJc w:val="left"/>
      <w:pPr>
        <w:ind w:left="1068" w:hanging="360"/>
      </w:pPr>
      <w:rPr>
        <w:rFonts w:ascii="Symbol" w:hAnsi="Symbol" w:hint="default"/>
        <w:b/>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2">
    <w:nsid w:val="59402963"/>
    <w:multiLevelType w:val="hybridMultilevel"/>
    <w:tmpl w:val="160C2142"/>
    <w:lvl w:ilvl="0" w:tplc="AE84A60E">
      <w:start w:val="1"/>
      <w:numFmt w:val="decimal"/>
      <w:lvlText w:val="%1."/>
      <w:lvlJc w:val="left"/>
      <w:pPr>
        <w:ind w:left="720" w:hanging="360"/>
      </w:pPr>
      <w:rPr>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5A802281"/>
    <w:multiLevelType w:val="multilevel"/>
    <w:tmpl w:val="86585D54"/>
    <w:lvl w:ilvl="0">
      <w:start w:val="1"/>
      <w:numFmt w:val="decimal"/>
      <w:lvlText w:val="%1."/>
      <w:lvlJc w:val="left"/>
      <w:pPr>
        <w:ind w:left="644"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852" w:hanging="720"/>
      </w:pPr>
      <w:rPr>
        <w:rFonts w:hint="default"/>
      </w:rPr>
    </w:lvl>
    <w:lvl w:ilvl="3">
      <w:start w:val="1"/>
      <w:numFmt w:val="decimal"/>
      <w:isLgl/>
      <w:lvlText w:val="%1.%2.%3.%4."/>
      <w:lvlJc w:val="left"/>
      <w:pPr>
        <w:ind w:left="2276" w:hanging="72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484" w:hanging="1080"/>
      </w:pPr>
      <w:rPr>
        <w:rFonts w:hint="default"/>
      </w:rPr>
    </w:lvl>
    <w:lvl w:ilvl="6">
      <w:start w:val="1"/>
      <w:numFmt w:val="decimal"/>
      <w:isLgl/>
      <w:lvlText w:val="%1.%2.%3.%4.%5.%6.%7."/>
      <w:lvlJc w:val="left"/>
      <w:pPr>
        <w:ind w:left="4268" w:hanging="1440"/>
      </w:pPr>
      <w:rPr>
        <w:rFonts w:hint="default"/>
      </w:rPr>
    </w:lvl>
    <w:lvl w:ilvl="7">
      <w:start w:val="1"/>
      <w:numFmt w:val="decimal"/>
      <w:isLgl/>
      <w:lvlText w:val="%1.%2.%3.%4.%5.%6.%7.%8."/>
      <w:lvlJc w:val="left"/>
      <w:pPr>
        <w:ind w:left="4692" w:hanging="1440"/>
      </w:pPr>
      <w:rPr>
        <w:rFonts w:hint="default"/>
      </w:rPr>
    </w:lvl>
    <w:lvl w:ilvl="8">
      <w:start w:val="1"/>
      <w:numFmt w:val="decimal"/>
      <w:isLgl/>
      <w:lvlText w:val="%1.%2.%3.%4.%5.%6.%7.%8.%9."/>
      <w:lvlJc w:val="left"/>
      <w:pPr>
        <w:ind w:left="5476" w:hanging="1800"/>
      </w:pPr>
      <w:rPr>
        <w:rFonts w:hint="default"/>
      </w:rPr>
    </w:lvl>
  </w:abstractNum>
  <w:abstractNum w:abstractNumId="64">
    <w:nsid w:val="5C5567C3"/>
    <w:multiLevelType w:val="hybridMultilevel"/>
    <w:tmpl w:val="366A03A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5D7F109F"/>
    <w:multiLevelType w:val="hybridMultilevel"/>
    <w:tmpl w:val="F9143546"/>
    <w:lvl w:ilvl="0" w:tplc="040C0019">
      <w:start w:val="1"/>
      <w:numFmt w:val="lowerLetter"/>
      <w:lvlText w:val="%1."/>
      <w:lvlJc w:val="left"/>
      <w:pPr>
        <w:ind w:left="1068" w:hanging="360"/>
      </w:pPr>
    </w:lvl>
    <w:lvl w:ilvl="1" w:tplc="32A8A1C2">
      <w:start w:val="1"/>
      <w:numFmt w:val="decimal"/>
      <w:lvlText w:val="%2-"/>
      <w:lvlJc w:val="left"/>
      <w:pPr>
        <w:ind w:left="1788" w:hanging="360"/>
      </w:pPr>
      <w:rPr>
        <w:rFonts w:hint="default"/>
        <w:i w:val="0"/>
      </w:r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66">
    <w:nsid w:val="5F197F3E"/>
    <w:multiLevelType w:val="hybridMultilevel"/>
    <w:tmpl w:val="9F7C08AA"/>
    <w:lvl w:ilvl="0" w:tplc="040C001B">
      <w:start w:val="1"/>
      <w:numFmt w:val="lowerRoman"/>
      <w:lvlText w:val="%1."/>
      <w:lvlJc w:val="right"/>
      <w:pPr>
        <w:ind w:left="720" w:hanging="360"/>
      </w:pPr>
    </w:lvl>
    <w:lvl w:ilvl="1" w:tplc="DCFEAEF6">
      <w:start w:val="1"/>
      <w:numFmt w:val="decimal"/>
      <w:lvlText w:val="%2."/>
      <w:lvlJc w:val="left"/>
      <w:pPr>
        <w:ind w:left="1440" w:hanging="360"/>
      </w:pPr>
      <w:rPr>
        <w:rFonts w:asciiTheme="majorBidi" w:eastAsia="Times New Roman" w:hAnsiTheme="majorBidi" w:cstheme="majorBidi"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62465F4B"/>
    <w:multiLevelType w:val="hybridMultilevel"/>
    <w:tmpl w:val="073E3F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638B074E"/>
    <w:multiLevelType w:val="hybridMultilevel"/>
    <w:tmpl w:val="8D3E20A0"/>
    <w:lvl w:ilvl="0" w:tplc="040C0019">
      <w:start w:val="1"/>
      <w:numFmt w:val="lowerLetter"/>
      <w:lvlText w:val="%1."/>
      <w:lvlJc w:val="left"/>
      <w:pPr>
        <w:ind w:left="720" w:hanging="360"/>
      </w:pPr>
    </w:lvl>
    <w:lvl w:ilvl="1" w:tplc="268AE402">
      <w:start w:val="1"/>
      <w:numFmt w:val="lowerLetter"/>
      <w:lvlText w:val="%2."/>
      <w:lvlJc w:val="left"/>
      <w:pPr>
        <w:ind w:left="1440" w:hanging="360"/>
      </w:pPr>
      <w:rPr>
        <w:i w:val="0"/>
        <w:iCs w:val="0"/>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nsid w:val="666C16D2"/>
    <w:multiLevelType w:val="hybridMultilevel"/>
    <w:tmpl w:val="F0CED2B4"/>
    <w:lvl w:ilvl="0" w:tplc="040C0019">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70">
    <w:nsid w:val="66713A59"/>
    <w:multiLevelType w:val="hybridMultilevel"/>
    <w:tmpl w:val="2E561F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66E11363"/>
    <w:multiLevelType w:val="multilevel"/>
    <w:tmpl w:val="D98E9E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2">
    <w:nsid w:val="681963A7"/>
    <w:multiLevelType w:val="hybridMultilevel"/>
    <w:tmpl w:val="EB66389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6E8535DE"/>
    <w:multiLevelType w:val="hybridMultilevel"/>
    <w:tmpl w:val="7148694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6FC4729A"/>
    <w:multiLevelType w:val="hybridMultilevel"/>
    <w:tmpl w:val="B4E688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711E5C45"/>
    <w:multiLevelType w:val="hybridMultilevel"/>
    <w:tmpl w:val="5366029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6">
    <w:nsid w:val="71B57FC7"/>
    <w:multiLevelType w:val="hybridMultilevel"/>
    <w:tmpl w:val="25B4C6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73636238"/>
    <w:multiLevelType w:val="hybridMultilevel"/>
    <w:tmpl w:val="56AECF5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76B13EA4"/>
    <w:multiLevelType w:val="hybridMultilevel"/>
    <w:tmpl w:val="889A11A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7BCC1483"/>
    <w:multiLevelType w:val="hybridMultilevel"/>
    <w:tmpl w:val="52EEF02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7D3D66BF"/>
    <w:multiLevelType w:val="multilevel"/>
    <w:tmpl w:val="01F09C6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1">
    <w:nsid w:val="7D463746"/>
    <w:multiLevelType w:val="hybridMultilevel"/>
    <w:tmpl w:val="8576681A"/>
    <w:lvl w:ilvl="0" w:tplc="082CFF1C">
      <w:start w:val="1"/>
      <w:numFmt w:val="decimal"/>
      <w:lvlText w:val="%1."/>
      <w:lvlJc w:val="left"/>
      <w:pPr>
        <w:ind w:left="2700" w:hanging="360"/>
      </w:pPr>
      <w:rPr>
        <w:color w:val="auto"/>
      </w:rPr>
    </w:lvl>
    <w:lvl w:ilvl="1" w:tplc="040C0019" w:tentative="1">
      <w:start w:val="1"/>
      <w:numFmt w:val="lowerLetter"/>
      <w:lvlText w:val="%2."/>
      <w:lvlJc w:val="left"/>
      <w:pPr>
        <w:ind w:left="3420" w:hanging="360"/>
      </w:pPr>
    </w:lvl>
    <w:lvl w:ilvl="2" w:tplc="040C001B" w:tentative="1">
      <w:start w:val="1"/>
      <w:numFmt w:val="lowerRoman"/>
      <w:lvlText w:val="%3."/>
      <w:lvlJc w:val="right"/>
      <w:pPr>
        <w:ind w:left="4140" w:hanging="180"/>
      </w:pPr>
    </w:lvl>
    <w:lvl w:ilvl="3" w:tplc="040C000F" w:tentative="1">
      <w:start w:val="1"/>
      <w:numFmt w:val="decimal"/>
      <w:lvlText w:val="%4."/>
      <w:lvlJc w:val="left"/>
      <w:pPr>
        <w:ind w:left="4860" w:hanging="360"/>
      </w:pPr>
    </w:lvl>
    <w:lvl w:ilvl="4" w:tplc="040C0019" w:tentative="1">
      <w:start w:val="1"/>
      <w:numFmt w:val="lowerLetter"/>
      <w:lvlText w:val="%5."/>
      <w:lvlJc w:val="left"/>
      <w:pPr>
        <w:ind w:left="5580" w:hanging="360"/>
      </w:pPr>
    </w:lvl>
    <w:lvl w:ilvl="5" w:tplc="040C001B" w:tentative="1">
      <w:start w:val="1"/>
      <w:numFmt w:val="lowerRoman"/>
      <w:lvlText w:val="%6."/>
      <w:lvlJc w:val="right"/>
      <w:pPr>
        <w:ind w:left="6300" w:hanging="180"/>
      </w:pPr>
    </w:lvl>
    <w:lvl w:ilvl="6" w:tplc="040C000F" w:tentative="1">
      <w:start w:val="1"/>
      <w:numFmt w:val="decimal"/>
      <w:lvlText w:val="%7."/>
      <w:lvlJc w:val="left"/>
      <w:pPr>
        <w:ind w:left="7020" w:hanging="360"/>
      </w:pPr>
    </w:lvl>
    <w:lvl w:ilvl="7" w:tplc="040C0019" w:tentative="1">
      <w:start w:val="1"/>
      <w:numFmt w:val="lowerLetter"/>
      <w:lvlText w:val="%8."/>
      <w:lvlJc w:val="left"/>
      <w:pPr>
        <w:ind w:left="7740" w:hanging="360"/>
      </w:pPr>
    </w:lvl>
    <w:lvl w:ilvl="8" w:tplc="040C001B" w:tentative="1">
      <w:start w:val="1"/>
      <w:numFmt w:val="lowerRoman"/>
      <w:lvlText w:val="%9."/>
      <w:lvlJc w:val="right"/>
      <w:pPr>
        <w:ind w:left="8460" w:hanging="180"/>
      </w:pPr>
    </w:lvl>
  </w:abstractNum>
  <w:num w:numId="1">
    <w:abstractNumId w:val="1"/>
  </w:num>
  <w:num w:numId="2">
    <w:abstractNumId w:val="51"/>
  </w:num>
  <w:num w:numId="3">
    <w:abstractNumId w:val="28"/>
  </w:num>
  <w:num w:numId="4">
    <w:abstractNumId w:val="10"/>
  </w:num>
  <w:num w:numId="5">
    <w:abstractNumId w:val="71"/>
  </w:num>
  <w:num w:numId="6">
    <w:abstractNumId w:val="15"/>
  </w:num>
  <w:num w:numId="7">
    <w:abstractNumId w:val="50"/>
  </w:num>
  <w:num w:numId="8">
    <w:abstractNumId w:val="39"/>
  </w:num>
  <w:num w:numId="9">
    <w:abstractNumId w:val="37"/>
  </w:num>
  <w:num w:numId="10">
    <w:abstractNumId w:val="11"/>
  </w:num>
  <w:num w:numId="11">
    <w:abstractNumId w:val="24"/>
  </w:num>
  <w:num w:numId="12">
    <w:abstractNumId w:val="67"/>
  </w:num>
  <w:num w:numId="13">
    <w:abstractNumId w:val="18"/>
  </w:num>
  <w:num w:numId="14">
    <w:abstractNumId w:val="45"/>
  </w:num>
  <w:num w:numId="15">
    <w:abstractNumId w:val="53"/>
  </w:num>
  <w:num w:numId="16">
    <w:abstractNumId w:val="46"/>
  </w:num>
  <w:num w:numId="17">
    <w:abstractNumId w:val="17"/>
  </w:num>
  <w:num w:numId="18">
    <w:abstractNumId w:val="74"/>
  </w:num>
  <w:num w:numId="19">
    <w:abstractNumId w:val="26"/>
  </w:num>
  <w:num w:numId="20">
    <w:abstractNumId w:val="30"/>
  </w:num>
  <w:num w:numId="21">
    <w:abstractNumId w:val="38"/>
  </w:num>
  <w:num w:numId="22">
    <w:abstractNumId w:val="70"/>
  </w:num>
  <w:num w:numId="23">
    <w:abstractNumId w:val="48"/>
  </w:num>
  <w:num w:numId="24">
    <w:abstractNumId w:val="35"/>
  </w:num>
  <w:num w:numId="25">
    <w:abstractNumId w:val="65"/>
  </w:num>
  <w:num w:numId="26">
    <w:abstractNumId w:val="69"/>
  </w:num>
  <w:num w:numId="27">
    <w:abstractNumId w:val="49"/>
  </w:num>
  <w:num w:numId="28">
    <w:abstractNumId w:val="68"/>
  </w:num>
  <w:num w:numId="29">
    <w:abstractNumId w:val="29"/>
  </w:num>
  <w:num w:numId="30">
    <w:abstractNumId w:val="2"/>
  </w:num>
  <w:num w:numId="31">
    <w:abstractNumId w:val="6"/>
  </w:num>
  <w:num w:numId="32">
    <w:abstractNumId w:val="40"/>
  </w:num>
  <w:num w:numId="33">
    <w:abstractNumId w:val="56"/>
  </w:num>
  <w:num w:numId="34">
    <w:abstractNumId w:val="22"/>
  </w:num>
  <w:num w:numId="35">
    <w:abstractNumId w:val="80"/>
  </w:num>
  <w:num w:numId="36">
    <w:abstractNumId w:val="8"/>
  </w:num>
  <w:num w:numId="37">
    <w:abstractNumId w:val="32"/>
  </w:num>
  <w:num w:numId="38">
    <w:abstractNumId w:val="21"/>
  </w:num>
  <w:num w:numId="39">
    <w:abstractNumId w:val="44"/>
  </w:num>
  <w:num w:numId="40">
    <w:abstractNumId w:val="25"/>
  </w:num>
  <w:num w:numId="41">
    <w:abstractNumId w:val="12"/>
  </w:num>
  <w:num w:numId="42">
    <w:abstractNumId w:val="5"/>
  </w:num>
  <w:num w:numId="43">
    <w:abstractNumId w:val="59"/>
  </w:num>
  <w:num w:numId="44">
    <w:abstractNumId w:val="27"/>
  </w:num>
  <w:num w:numId="45">
    <w:abstractNumId w:val="20"/>
  </w:num>
  <w:num w:numId="46">
    <w:abstractNumId w:val="73"/>
  </w:num>
  <w:num w:numId="47">
    <w:abstractNumId w:val="52"/>
  </w:num>
  <w:num w:numId="48">
    <w:abstractNumId w:val="61"/>
  </w:num>
  <w:num w:numId="49">
    <w:abstractNumId w:val="81"/>
  </w:num>
  <w:num w:numId="50">
    <w:abstractNumId w:val="79"/>
  </w:num>
  <w:num w:numId="51">
    <w:abstractNumId w:val="3"/>
  </w:num>
  <w:num w:numId="52">
    <w:abstractNumId w:val="66"/>
  </w:num>
  <w:num w:numId="53">
    <w:abstractNumId w:val="13"/>
  </w:num>
  <w:num w:numId="54">
    <w:abstractNumId w:val="19"/>
  </w:num>
  <w:num w:numId="55">
    <w:abstractNumId w:val="23"/>
  </w:num>
  <w:num w:numId="56">
    <w:abstractNumId w:val="42"/>
  </w:num>
  <w:num w:numId="57">
    <w:abstractNumId w:val="63"/>
  </w:num>
  <w:num w:numId="58">
    <w:abstractNumId w:val="7"/>
  </w:num>
  <w:num w:numId="59">
    <w:abstractNumId w:val="43"/>
  </w:num>
  <w:num w:numId="60">
    <w:abstractNumId w:val="57"/>
  </w:num>
  <w:num w:numId="61">
    <w:abstractNumId w:val="55"/>
  </w:num>
  <w:num w:numId="62">
    <w:abstractNumId w:val="64"/>
  </w:num>
  <w:num w:numId="63">
    <w:abstractNumId w:val="34"/>
  </w:num>
  <w:num w:numId="64">
    <w:abstractNumId w:val="41"/>
  </w:num>
  <w:num w:numId="65">
    <w:abstractNumId w:val="72"/>
  </w:num>
  <w:num w:numId="66">
    <w:abstractNumId w:val="77"/>
  </w:num>
  <w:num w:numId="67">
    <w:abstractNumId w:val="78"/>
  </w:num>
  <w:num w:numId="68">
    <w:abstractNumId w:val="58"/>
  </w:num>
  <w:num w:numId="69">
    <w:abstractNumId w:val="9"/>
  </w:num>
  <w:num w:numId="70">
    <w:abstractNumId w:val="47"/>
  </w:num>
  <w:num w:numId="71">
    <w:abstractNumId w:val="60"/>
  </w:num>
  <w:num w:numId="72">
    <w:abstractNumId w:val="36"/>
  </w:num>
  <w:num w:numId="73">
    <w:abstractNumId w:val="54"/>
  </w:num>
  <w:num w:numId="74">
    <w:abstractNumId w:val="16"/>
  </w:num>
  <w:num w:numId="75">
    <w:abstractNumId w:val="0"/>
  </w:num>
  <w:num w:numId="76">
    <w:abstractNumId w:val="62"/>
  </w:num>
  <w:num w:numId="77">
    <w:abstractNumId w:val="75"/>
  </w:num>
  <w:num w:numId="78">
    <w:abstractNumId w:val="33"/>
  </w:num>
  <w:num w:numId="79">
    <w:abstractNumId w:val="76"/>
  </w:num>
  <w:num w:numId="80">
    <w:abstractNumId w:val="31"/>
  </w:num>
  <w:num w:numId="81">
    <w:abstractNumId w:val="14"/>
  </w:num>
  <w:num w:numId="82">
    <w:abstractNumId w:val="4"/>
  </w:num>
  <w:numIdMacAtCleanup w:val="7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grammar="clean"/>
  <w:defaultTabStop w:val="708"/>
  <w:hyphenationZone w:val="425"/>
  <w:drawingGridHorizontalSpacing w:val="110"/>
  <w:displayHorizontalDrawingGridEvery w:val="2"/>
  <w:characterSpacingControl w:val="doNotCompress"/>
  <w:hdrShapeDefaults>
    <o:shapedefaults v:ext="edit" spidmax="100354">
      <o:colormenu v:ext="edit" fillcolor="none [3214]"/>
    </o:shapedefaults>
    <o:shapelayout v:ext="edit">
      <o:idmap v:ext="edit" data="2"/>
      <o:rules v:ext="edit">
        <o:r id="V:Rule5" type="connector" idref="#_x0000_s2054"/>
        <o:r id="V:Rule6" type="connector" idref="#AutoShape 2"/>
        <o:r id="V:Rule7" type="connector" idref="#AutoShape 1"/>
        <o:r id="V:Rule8" type="connector" idref="#_x0000_s2053"/>
      </o:rules>
    </o:shapelayout>
  </w:hdrShapeDefaults>
  <w:footnotePr>
    <w:footnote w:id="-1"/>
    <w:footnote w:id="0"/>
  </w:footnotePr>
  <w:endnotePr>
    <w:endnote w:id="-1"/>
    <w:endnote w:id="0"/>
  </w:endnotePr>
  <w:compat/>
  <w:rsids>
    <w:rsidRoot w:val="006A4EED"/>
    <w:rsid w:val="00001D87"/>
    <w:rsid w:val="00002BE5"/>
    <w:rsid w:val="00002EE3"/>
    <w:rsid w:val="00003EF0"/>
    <w:rsid w:val="000042EF"/>
    <w:rsid w:val="000058F2"/>
    <w:rsid w:val="00007ADC"/>
    <w:rsid w:val="00007F7E"/>
    <w:rsid w:val="0001066E"/>
    <w:rsid w:val="0001212F"/>
    <w:rsid w:val="00012D39"/>
    <w:rsid w:val="0001359E"/>
    <w:rsid w:val="000145B1"/>
    <w:rsid w:val="0001673C"/>
    <w:rsid w:val="00020133"/>
    <w:rsid w:val="000205D1"/>
    <w:rsid w:val="00020773"/>
    <w:rsid w:val="000222FD"/>
    <w:rsid w:val="00024061"/>
    <w:rsid w:val="000254E5"/>
    <w:rsid w:val="000268BC"/>
    <w:rsid w:val="00027D01"/>
    <w:rsid w:val="00030687"/>
    <w:rsid w:val="000307F1"/>
    <w:rsid w:val="000326FA"/>
    <w:rsid w:val="00033291"/>
    <w:rsid w:val="000337EC"/>
    <w:rsid w:val="00034EF3"/>
    <w:rsid w:val="00036F60"/>
    <w:rsid w:val="000413EE"/>
    <w:rsid w:val="00041E07"/>
    <w:rsid w:val="0004220B"/>
    <w:rsid w:val="000454C6"/>
    <w:rsid w:val="000515A5"/>
    <w:rsid w:val="00055FF9"/>
    <w:rsid w:val="00057473"/>
    <w:rsid w:val="000578E7"/>
    <w:rsid w:val="00060623"/>
    <w:rsid w:val="00061203"/>
    <w:rsid w:val="00061A6C"/>
    <w:rsid w:val="000626E0"/>
    <w:rsid w:val="00066DAC"/>
    <w:rsid w:val="000707B3"/>
    <w:rsid w:val="00070E69"/>
    <w:rsid w:val="000719C0"/>
    <w:rsid w:val="00071A3C"/>
    <w:rsid w:val="00071A59"/>
    <w:rsid w:val="0007363B"/>
    <w:rsid w:val="00075313"/>
    <w:rsid w:val="000759FE"/>
    <w:rsid w:val="00076084"/>
    <w:rsid w:val="000760DA"/>
    <w:rsid w:val="00076BCD"/>
    <w:rsid w:val="00080424"/>
    <w:rsid w:val="00082708"/>
    <w:rsid w:val="00083F67"/>
    <w:rsid w:val="00085D0A"/>
    <w:rsid w:val="00086705"/>
    <w:rsid w:val="00087FD3"/>
    <w:rsid w:val="00092280"/>
    <w:rsid w:val="0009311F"/>
    <w:rsid w:val="00095B85"/>
    <w:rsid w:val="00095FCC"/>
    <w:rsid w:val="000965D9"/>
    <w:rsid w:val="00096FFC"/>
    <w:rsid w:val="00097413"/>
    <w:rsid w:val="000A0431"/>
    <w:rsid w:val="000A2A3E"/>
    <w:rsid w:val="000A3399"/>
    <w:rsid w:val="000A4C86"/>
    <w:rsid w:val="000A4CF6"/>
    <w:rsid w:val="000A57E5"/>
    <w:rsid w:val="000A5C6C"/>
    <w:rsid w:val="000A68A7"/>
    <w:rsid w:val="000B14F1"/>
    <w:rsid w:val="000B2675"/>
    <w:rsid w:val="000B2DC1"/>
    <w:rsid w:val="000B4940"/>
    <w:rsid w:val="000B609C"/>
    <w:rsid w:val="000B629A"/>
    <w:rsid w:val="000B646F"/>
    <w:rsid w:val="000B703C"/>
    <w:rsid w:val="000C2131"/>
    <w:rsid w:val="000C232B"/>
    <w:rsid w:val="000C27A9"/>
    <w:rsid w:val="000C3417"/>
    <w:rsid w:val="000C4C12"/>
    <w:rsid w:val="000C4D1C"/>
    <w:rsid w:val="000C4D57"/>
    <w:rsid w:val="000C5249"/>
    <w:rsid w:val="000D1A5D"/>
    <w:rsid w:val="000D2D9E"/>
    <w:rsid w:val="000D309C"/>
    <w:rsid w:val="000D442A"/>
    <w:rsid w:val="000D71E1"/>
    <w:rsid w:val="000E02B1"/>
    <w:rsid w:val="000E08F0"/>
    <w:rsid w:val="000E1121"/>
    <w:rsid w:val="000E1826"/>
    <w:rsid w:val="000E544F"/>
    <w:rsid w:val="000F1ECC"/>
    <w:rsid w:val="000F1FE1"/>
    <w:rsid w:val="000F2951"/>
    <w:rsid w:val="000F3D5C"/>
    <w:rsid w:val="000F3D76"/>
    <w:rsid w:val="000F7A42"/>
    <w:rsid w:val="00100944"/>
    <w:rsid w:val="0010094B"/>
    <w:rsid w:val="00100CF1"/>
    <w:rsid w:val="00101A91"/>
    <w:rsid w:val="00101D1F"/>
    <w:rsid w:val="00102078"/>
    <w:rsid w:val="001038C4"/>
    <w:rsid w:val="00105092"/>
    <w:rsid w:val="0010776F"/>
    <w:rsid w:val="0011085C"/>
    <w:rsid w:val="00110D08"/>
    <w:rsid w:val="00111056"/>
    <w:rsid w:val="001117DB"/>
    <w:rsid w:val="00113DE3"/>
    <w:rsid w:val="001141E5"/>
    <w:rsid w:val="00114611"/>
    <w:rsid w:val="0011782E"/>
    <w:rsid w:val="00117AF7"/>
    <w:rsid w:val="00117BD0"/>
    <w:rsid w:val="00117F7D"/>
    <w:rsid w:val="00122103"/>
    <w:rsid w:val="00122351"/>
    <w:rsid w:val="001233BC"/>
    <w:rsid w:val="00123404"/>
    <w:rsid w:val="0012341D"/>
    <w:rsid w:val="001236FC"/>
    <w:rsid w:val="001239F7"/>
    <w:rsid w:val="001269B6"/>
    <w:rsid w:val="00126A80"/>
    <w:rsid w:val="00126E00"/>
    <w:rsid w:val="0013259C"/>
    <w:rsid w:val="00133FA6"/>
    <w:rsid w:val="00134243"/>
    <w:rsid w:val="001359CB"/>
    <w:rsid w:val="001402F8"/>
    <w:rsid w:val="00140722"/>
    <w:rsid w:val="00140EBC"/>
    <w:rsid w:val="00141047"/>
    <w:rsid w:val="00141DDA"/>
    <w:rsid w:val="00143168"/>
    <w:rsid w:val="001445E7"/>
    <w:rsid w:val="001448CF"/>
    <w:rsid w:val="00145307"/>
    <w:rsid w:val="00145A5C"/>
    <w:rsid w:val="0015029B"/>
    <w:rsid w:val="00154B8B"/>
    <w:rsid w:val="00155C9B"/>
    <w:rsid w:val="00157C91"/>
    <w:rsid w:val="00157DE4"/>
    <w:rsid w:val="0016076C"/>
    <w:rsid w:val="0016164A"/>
    <w:rsid w:val="001627D4"/>
    <w:rsid w:val="001643EC"/>
    <w:rsid w:val="001679AD"/>
    <w:rsid w:val="00167F78"/>
    <w:rsid w:val="00170A78"/>
    <w:rsid w:val="00171988"/>
    <w:rsid w:val="00172C6D"/>
    <w:rsid w:val="00173D49"/>
    <w:rsid w:val="00173F90"/>
    <w:rsid w:val="00173FD6"/>
    <w:rsid w:val="0017604F"/>
    <w:rsid w:val="0018143B"/>
    <w:rsid w:val="00181E2D"/>
    <w:rsid w:val="00182DE5"/>
    <w:rsid w:val="00183395"/>
    <w:rsid w:val="001849B5"/>
    <w:rsid w:val="00184B8A"/>
    <w:rsid w:val="00187A35"/>
    <w:rsid w:val="00190177"/>
    <w:rsid w:val="00190E50"/>
    <w:rsid w:val="0019184E"/>
    <w:rsid w:val="001927B8"/>
    <w:rsid w:val="00192942"/>
    <w:rsid w:val="00193890"/>
    <w:rsid w:val="00194675"/>
    <w:rsid w:val="00196353"/>
    <w:rsid w:val="001968E2"/>
    <w:rsid w:val="00196BC1"/>
    <w:rsid w:val="001977A1"/>
    <w:rsid w:val="001A0831"/>
    <w:rsid w:val="001A09FA"/>
    <w:rsid w:val="001A20AC"/>
    <w:rsid w:val="001A24A3"/>
    <w:rsid w:val="001A48F0"/>
    <w:rsid w:val="001A4A07"/>
    <w:rsid w:val="001A573F"/>
    <w:rsid w:val="001A5ED6"/>
    <w:rsid w:val="001B0A09"/>
    <w:rsid w:val="001B0FE7"/>
    <w:rsid w:val="001B1E9A"/>
    <w:rsid w:val="001B2150"/>
    <w:rsid w:val="001B3532"/>
    <w:rsid w:val="001B3590"/>
    <w:rsid w:val="001B41D8"/>
    <w:rsid w:val="001B4407"/>
    <w:rsid w:val="001B4BE4"/>
    <w:rsid w:val="001B541B"/>
    <w:rsid w:val="001B58C4"/>
    <w:rsid w:val="001B6995"/>
    <w:rsid w:val="001B71BA"/>
    <w:rsid w:val="001C015A"/>
    <w:rsid w:val="001C23FD"/>
    <w:rsid w:val="001C607B"/>
    <w:rsid w:val="001D16EC"/>
    <w:rsid w:val="001D16FA"/>
    <w:rsid w:val="001D21F6"/>
    <w:rsid w:val="001D3A27"/>
    <w:rsid w:val="001D3CA0"/>
    <w:rsid w:val="001D3F64"/>
    <w:rsid w:val="001D4835"/>
    <w:rsid w:val="001D4E16"/>
    <w:rsid w:val="001D7484"/>
    <w:rsid w:val="001D7DF6"/>
    <w:rsid w:val="001E0D89"/>
    <w:rsid w:val="001E0E3E"/>
    <w:rsid w:val="001E1A14"/>
    <w:rsid w:val="001E4701"/>
    <w:rsid w:val="001E4CD1"/>
    <w:rsid w:val="001E6F4E"/>
    <w:rsid w:val="001E7F2D"/>
    <w:rsid w:val="001F0AC3"/>
    <w:rsid w:val="001F201E"/>
    <w:rsid w:val="001F2133"/>
    <w:rsid w:val="001F2285"/>
    <w:rsid w:val="001F26B0"/>
    <w:rsid w:val="001F2820"/>
    <w:rsid w:val="001F3425"/>
    <w:rsid w:val="001F6704"/>
    <w:rsid w:val="001F676C"/>
    <w:rsid w:val="001F72D7"/>
    <w:rsid w:val="0020012E"/>
    <w:rsid w:val="002018C7"/>
    <w:rsid w:val="002021DC"/>
    <w:rsid w:val="00203CE9"/>
    <w:rsid w:val="00203F89"/>
    <w:rsid w:val="002044EE"/>
    <w:rsid w:val="002048F9"/>
    <w:rsid w:val="00207BAC"/>
    <w:rsid w:val="00207C06"/>
    <w:rsid w:val="0021304C"/>
    <w:rsid w:val="00213867"/>
    <w:rsid w:val="00213F7D"/>
    <w:rsid w:val="0021525E"/>
    <w:rsid w:val="00215333"/>
    <w:rsid w:val="002154A6"/>
    <w:rsid w:val="00217013"/>
    <w:rsid w:val="00220A41"/>
    <w:rsid w:val="0022754E"/>
    <w:rsid w:val="0023076D"/>
    <w:rsid w:val="00230C65"/>
    <w:rsid w:val="00230DED"/>
    <w:rsid w:val="00231BCB"/>
    <w:rsid w:val="00232CBD"/>
    <w:rsid w:val="002342B4"/>
    <w:rsid w:val="002343B7"/>
    <w:rsid w:val="002357FA"/>
    <w:rsid w:val="00236FA7"/>
    <w:rsid w:val="002373DF"/>
    <w:rsid w:val="002409A2"/>
    <w:rsid w:val="00241158"/>
    <w:rsid w:val="00241273"/>
    <w:rsid w:val="00241AB0"/>
    <w:rsid w:val="00242C0F"/>
    <w:rsid w:val="00244D1C"/>
    <w:rsid w:val="00244DC6"/>
    <w:rsid w:val="002456A5"/>
    <w:rsid w:val="002466D3"/>
    <w:rsid w:val="002506E6"/>
    <w:rsid w:val="00254C75"/>
    <w:rsid w:val="0025545C"/>
    <w:rsid w:val="00256D3C"/>
    <w:rsid w:val="00256E37"/>
    <w:rsid w:val="00257699"/>
    <w:rsid w:val="00257D2C"/>
    <w:rsid w:val="0026089E"/>
    <w:rsid w:val="00263811"/>
    <w:rsid w:val="00265D2A"/>
    <w:rsid w:val="00267AF0"/>
    <w:rsid w:val="002712C7"/>
    <w:rsid w:val="00273174"/>
    <w:rsid w:val="002739C2"/>
    <w:rsid w:val="00274A57"/>
    <w:rsid w:val="002756B4"/>
    <w:rsid w:val="00275F2A"/>
    <w:rsid w:val="0027667B"/>
    <w:rsid w:val="00276F6B"/>
    <w:rsid w:val="002801B6"/>
    <w:rsid w:val="00280C87"/>
    <w:rsid w:val="002824C7"/>
    <w:rsid w:val="00284B0A"/>
    <w:rsid w:val="00285DE8"/>
    <w:rsid w:val="0028743A"/>
    <w:rsid w:val="0029254C"/>
    <w:rsid w:val="0029313E"/>
    <w:rsid w:val="00293EF4"/>
    <w:rsid w:val="0029490F"/>
    <w:rsid w:val="00295508"/>
    <w:rsid w:val="002969D5"/>
    <w:rsid w:val="002A028F"/>
    <w:rsid w:val="002A0491"/>
    <w:rsid w:val="002A0B10"/>
    <w:rsid w:val="002A2845"/>
    <w:rsid w:val="002A3719"/>
    <w:rsid w:val="002A52E8"/>
    <w:rsid w:val="002A53CD"/>
    <w:rsid w:val="002A6583"/>
    <w:rsid w:val="002A6AAA"/>
    <w:rsid w:val="002A6D21"/>
    <w:rsid w:val="002B01B0"/>
    <w:rsid w:val="002B1E43"/>
    <w:rsid w:val="002B2028"/>
    <w:rsid w:val="002B41CD"/>
    <w:rsid w:val="002B5D4D"/>
    <w:rsid w:val="002B71AF"/>
    <w:rsid w:val="002C2910"/>
    <w:rsid w:val="002C2AAC"/>
    <w:rsid w:val="002C2C11"/>
    <w:rsid w:val="002C3072"/>
    <w:rsid w:val="002C34BC"/>
    <w:rsid w:val="002C381D"/>
    <w:rsid w:val="002C4E1E"/>
    <w:rsid w:val="002C5AC1"/>
    <w:rsid w:val="002C6958"/>
    <w:rsid w:val="002D0657"/>
    <w:rsid w:val="002D2143"/>
    <w:rsid w:val="002D33D1"/>
    <w:rsid w:val="002D393F"/>
    <w:rsid w:val="002D4D7F"/>
    <w:rsid w:val="002D4DFD"/>
    <w:rsid w:val="002D5B3F"/>
    <w:rsid w:val="002D5D6A"/>
    <w:rsid w:val="002D6518"/>
    <w:rsid w:val="002D703A"/>
    <w:rsid w:val="002E0231"/>
    <w:rsid w:val="002E3644"/>
    <w:rsid w:val="002E38E3"/>
    <w:rsid w:val="002E655F"/>
    <w:rsid w:val="002E67A2"/>
    <w:rsid w:val="002E6B28"/>
    <w:rsid w:val="002E7EA8"/>
    <w:rsid w:val="002F0283"/>
    <w:rsid w:val="002F1A65"/>
    <w:rsid w:val="002F221F"/>
    <w:rsid w:val="002F27B2"/>
    <w:rsid w:val="002F29A0"/>
    <w:rsid w:val="002F314A"/>
    <w:rsid w:val="002F418F"/>
    <w:rsid w:val="002F458C"/>
    <w:rsid w:val="002F4807"/>
    <w:rsid w:val="003003AA"/>
    <w:rsid w:val="0030057B"/>
    <w:rsid w:val="0030090C"/>
    <w:rsid w:val="003009B3"/>
    <w:rsid w:val="003021E5"/>
    <w:rsid w:val="00302490"/>
    <w:rsid w:val="003024E9"/>
    <w:rsid w:val="00302A63"/>
    <w:rsid w:val="00306052"/>
    <w:rsid w:val="00306223"/>
    <w:rsid w:val="0030633B"/>
    <w:rsid w:val="00306E09"/>
    <w:rsid w:val="003072CD"/>
    <w:rsid w:val="00310DBF"/>
    <w:rsid w:val="00312FE2"/>
    <w:rsid w:val="0031369C"/>
    <w:rsid w:val="003153EF"/>
    <w:rsid w:val="00316218"/>
    <w:rsid w:val="00316CB2"/>
    <w:rsid w:val="00320DAF"/>
    <w:rsid w:val="0032268B"/>
    <w:rsid w:val="00322F1B"/>
    <w:rsid w:val="00323467"/>
    <w:rsid w:val="0032363D"/>
    <w:rsid w:val="00323C9A"/>
    <w:rsid w:val="003254CD"/>
    <w:rsid w:val="00325A24"/>
    <w:rsid w:val="00326F4E"/>
    <w:rsid w:val="003279AB"/>
    <w:rsid w:val="0033162C"/>
    <w:rsid w:val="0033403C"/>
    <w:rsid w:val="00334133"/>
    <w:rsid w:val="003347D8"/>
    <w:rsid w:val="00335981"/>
    <w:rsid w:val="00335D94"/>
    <w:rsid w:val="003374F1"/>
    <w:rsid w:val="00337F75"/>
    <w:rsid w:val="00340EA8"/>
    <w:rsid w:val="00340F74"/>
    <w:rsid w:val="00342CA1"/>
    <w:rsid w:val="0034336F"/>
    <w:rsid w:val="003438F6"/>
    <w:rsid w:val="00345796"/>
    <w:rsid w:val="00345F7A"/>
    <w:rsid w:val="00346161"/>
    <w:rsid w:val="00346747"/>
    <w:rsid w:val="00346DBD"/>
    <w:rsid w:val="00350A79"/>
    <w:rsid w:val="003515DA"/>
    <w:rsid w:val="00351AF7"/>
    <w:rsid w:val="003529BF"/>
    <w:rsid w:val="00354575"/>
    <w:rsid w:val="0035536F"/>
    <w:rsid w:val="00357261"/>
    <w:rsid w:val="003575D8"/>
    <w:rsid w:val="00360636"/>
    <w:rsid w:val="003644B7"/>
    <w:rsid w:val="00366557"/>
    <w:rsid w:val="00367700"/>
    <w:rsid w:val="0036770B"/>
    <w:rsid w:val="0036789D"/>
    <w:rsid w:val="003705B3"/>
    <w:rsid w:val="00370A15"/>
    <w:rsid w:val="00374670"/>
    <w:rsid w:val="003759D9"/>
    <w:rsid w:val="00376422"/>
    <w:rsid w:val="00377571"/>
    <w:rsid w:val="003809AF"/>
    <w:rsid w:val="00380DC6"/>
    <w:rsid w:val="00380E1C"/>
    <w:rsid w:val="00381D94"/>
    <w:rsid w:val="003825FC"/>
    <w:rsid w:val="003848FE"/>
    <w:rsid w:val="00387292"/>
    <w:rsid w:val="0038732C"/>
    <w:rsid w:val="00387AA7"/>
    <w:rsid w:val="003906B0"/>
    <w:rsid w:val="00391BFB"/>
    <w:rsid w:val="003933F0"/>
    <w:rsid w:val="003962E5"/>
    <w:rsid w:val="003A0080"/>
    <w:rsid w:val="003A0C61"/>
    <w:rsid w:val="003A2CA3"/>
    <w:rsid w:val="003A331A"/>
    <w:rsid w:val="003A3321"/>
    <w:rsid w:val="003A354E"/>
    <w:rsid w:val="003A3E4A"/>
    <w:rsid w:val="003A536A"/>
    <w:rsid w:val="003A5782"/>
    <w:rsid w:val="003A73FB"/>
    <w:rsid w:val="003B042C"/>
    <w:rsid w:val="003B1A8C"/>
    <w:rsid w:val="003B210A"/>
    <w:rsid w:val="003B46A2"/>
    <w:rsid w:val="003B4944"/>
    <w:rsid w:val="003B68A5"/>
    <w:rsid w:val="003C1848"/>
    <w:rsid w:val="003C27B0"/>
    <w:rsid w:val="003C4A35"/>
    <w:rsid w:val="003C5E68"/>
    <w:rsid w:val="003C61AA"/>
    <w:rsid w:val="003C635D"/>
    <w:rsid w:val="003C7395"/>
    <w:rsid w:val="003D0EC8"/>
    <w:rsid w:val="003D1CBB"/>
    <w:rsid w:val="003D256C"/>
    <w:rsid w:val="003D3BC5"/>
    <w:rsid w:val="003D598E"/>
    <w:rsid w:val="003D73B8"/>
    <w:rsid w:val="003E08DA"/>
    <w:rsid w:val="003E0F90"/>
    <w:rsid w:val="003E217E"/>
    <w:rsid w:val="003E2291"/>
    <w:rsid w:val="003E420F"/>
    <w:rsid w:val="003E4AF0"/>
    <w:rsid w:val="003E51C7"/>
    <w:rsid w:val="003E5F79"/>
    <w:rsid w:val="003E6EB8"/>
    <w:rsid w:val="003F0313"/>
    <w:rsid w:val="003F0339"/>
    <w:rsid w:val="003F04FE"/>
    <w:rsid w:val="003F2009"/>
    <w:rsid w:val="003F3C12"/>
    <w:rsid w:val="003F4B5D"/>
    <w:rsid w:val="003F5A1C"/>
    <w:rsid w:val="00400AE8"/>
    <w:rsid w:val="00401400"/>
    <w:rsid w:val="0040212E"/>
    <w:rsid w:val="004031DD"/>
    <w:rsid w:val="00404E0B"/>
    <w:rsid w:val="004052E0"/>
    <w:rsid w:val="00407757"/>
    <w:rsid w:val="00407C5A"/>
    <w:rsid w:val="00410428"/>
    <w:rsid w:val="00410DD6"/>
    <w:rsid w:val="0041164B"/>
    <w:rsid w:val="00412497"/>
    <w:rsid w:val="00413C28"/>
    <w:rsid w:val="00413DA6"/>
    <w:rsid w:val="00415F3C"/>
    <w:rsid w:val="00416721"/>
    <w:rsid w:val="00416A6D"/>
    <w:rsid w:val="00416C10"/>
    <w:rsid w:val="00417BAB"/>
    <w:rsid w:val="0042056A"/>
    <w:rsid w:val="004212EC"/>
    <w:rsid w:val="0042130E"/>
    <w:rsid w:val="00423661"/>
    <w:rsid w:val="00425CF8"/>
    <w:rsid w:val="00426A17"/>
    <w:rsid w:val="00431500"/>
    <w:rsid w:val="0043419B"/>
    <w:rsid w:val="0043589D"/>
    <w:rsid w:val="004358D6"/>
    <w:rsid w:val="004360FD"/>
    <w:rsid w:val="004365C1"/>
    <w:rsid w:val="0043723C"/>
    <w:rsid w:val="00437841"/>
    <w:rsid w:val="0044042B"/>
    <w:rsid w:val="00441911"/>
    <w:rsid w:val="00441AB8"/>
    <w:rsid w:val="00442189"/>
    <w:rsid w:val="004426EF"/>
    <w:rsid w:val="004445E4"/>
    <w:rsid w:val="0044477F"/>
    <w:rsid w:val="00445298"/>
    <w:rsid w:val="00445CA4"/>
    <w:rsid w:val="0044664E"/>
    <w:rsid w:val="00446C8F"/>
    <w:rsid w:val="00447B79"/>
    <w:rsid w:val="004506C0"/>
    <w:rsid w:val="00450C85"/>
    <w:rsid w:val="00451112"/>
    <w:rsid w:val="00452D65"/>
    <w:rsid w:val="004549E8"/>
    <w:rsid w:val="00456260"/>
    <w:rsid w:val="00456DBA"/>
    <w:rsid w:val="0045752D"/>
    <w:rsid w:val="00460A50"/>
    <w:rsid w:val="00460C6C"/>
    <w:rsid w:val="00460DFD"/>
    <w:rsid w:val="00460E3E"/>
    <w:rsid w:val="00461E7E"/>
    <w:rsid w:val="004624EE"/>
    <w:rsid w:val="004639A5"/>
    <w:rsid w:val="00463CC4"/>
    <w:rsid w:val="00464A6D"/>
    <w:rsid w:val="00464BBF"/>
    <w:rsid w:val="00465977"/>
    <w:rsid w:val="00465DA3"/>
    <w:rsid w:val="004663C9"/>
    <w:rsid w:val="00466863"/>
    <w:rsid w:val="00471F40"/>
    <w:rsid w:val="00473FAB"/>
    <w:rsid w:val="00476905"/>
    <w:rsid w:val="00476A6F"/>
    <w:rsid w:val="004773AD"/>
    <w:rsid w:val="00480913"/>
    <w:rsid w:val="00481081"/>
    <w:rsid w:val="00481E3E"/>
    <w:rsid w:val="00482DCD"/>
    <w:rsid w:val="00484F7A"/>
    <w:rsid w:val="00485359"/>
    <w:rsid w:val="00486BCB"/>
    <w:rsid w:val="00486CA6"/>
    <w:rsid w:val="00486E62"/>
    <w:rsid w:val="004872F3"/>
    <w:rsid w:val="00487317"/>
    <w:rsid w:val="0048747A"/>
    <w:rsid w:val="00490920"/>
    <w:rsid w:val="004944A3"/>
    <w:rsid w:val="00494924"/>
    <w:rsid w:val="00495E41"/>
    <w:rsid w:val="00496195"/>
    <w:rsid w:val="004A0D09"/>
    <w:rsid w:val="004A1975"/>
    <w:rsid w:val="004A1AA2"/>
    <w:rsid w:val="004A3871"/>
    <w:rsid w:val="004A3AB3"/>
    <w:rsid w:val="004A3DE6"/>
    <w:rsid w:val="004A4780"/>
    <w:rsid w:val="004A5C15"/>
    <w:rsid w:val="004B0152"/>
    <w:rsid w:val="004B20A6"/>
    <w:rsid w:val="004B2C81"/>
    <w:rsid w:val="004B302D"/>
    <w:rsid w:val="004B3C20"/>
    <w:rsid w:val="004B401E"/>
    <w:rsid w:val="004B50FA"/>
    <w:rsid w:val="004B5BC1"/>
    <w:rsid w:val="004B69AD"/>
    <w:rsid w:val="004C0006"/>
    <w:rsid w:val="004C13F9"/>
    <w:rsid w:val="004C13FD"/>
    <w:rsid w:val="004C260C"/>
    <w:rsid w:val="004C569F"/>
    <w:rsid w:val="004C67F1"/>
    <w:rsid w:val="004C79E0"/>
    <w:rsid w:val="004C7F06"/>
    <w:rsid w:val="004D5BE1"/>
    <w:rsid w:val="004D619C"/>
    <w:rsid w:val="004D7457"/>
    <w:rsid w:val="004D7C1F"/>
    <w:rsid w:val="004E0A5E"/>
    <w:rsid w:val="004E22D0"/>
    <w:rsid w:val="004E300B"/>
    <w:rsid w:val="004E3534"/>
    <w:rsid w:val="004E5820"/>
    <w:rsid w:val="004E5C9E"/>
    <w:rsid w:val="004E6449"/>
    <w:rsid w:val="004E73C0"/>
    <w:rsid w:val="004F398D"/>
    <w:rsid w:val="004F4834"/>
    <w:rsid w:val="004F5262"/>
    <w:rsid w:val="004F5994"/>
    <w:rsid w:val="004F5C99"/>
    <w:rsid w:val="004F66DB"/>
    <w:rsid w:val="004F78CA"/>
    <w:rsid w:val="0050039F"/>
    <w:rsid w:val="00501305"/>
    <w:rsid w:val="00501C60"/>
    <w:rsid w:val="00503F6F"/>
    <w:rsid w:val="00505B28"/>
    <w:rsid w:val="00510A09"/>
    <w:rsid w:val="00512117"/>
    <w:rsid w:val="005123BA"/>
    <w:rsid w:val="005125ED"/>
    <w:rsid w:val="00513B5C"/>
    <w:rsid w:val="005144DF"/>
    <w:rsid w:val="0051625D"/>
    <w:rsid w:val="00521144"/>
    <w:rsid w:val="0052153E"/>
    <w:rsid w:val="00521B74"/>
    <w:rsid w:val="00523B75"/>
    <w:rsid w:val="00523DDD"/>
    <w:rsid w:val="00524B17"/>
    <w:rsid w:val="00525D4B"/>
    <w:rsid w:val="00527F18"/>
    <w:rsid w:val="0053204D"/>
    <w:rsid w:val="00532ED5"/>
    <w:rsid w:val="00533011"/>
    <w:rsid w:val="00533081"/>
    <w:rsid w:val="00533CD2"/>
    <w:rsid w:val="00540A10"/>
    <w:rsid w:val="005411B4"/>
    <w:rsid w:val="00541C66"/>
    <w:rsid w:val="00542022"/>
    <w:rsid w:val="0054360D"/>
    <w:rsid w:val="00543CC9"/>
    <w:rsid w:val="00543F39"/>
    <w:rsid w:val="00544E26"/>
    <w:rsid w:val="00552E41"/>
    <w:rsid w:val="005545F4"/>
    <w:rsid w:val="005553EA"/>
    <w:rsid w:val="00556259"/>
    <w:rsid w:val="005576FE"/>
    <w:rsid w:val="005609AC"/>
    <w:rsid w:val="00560D16"/>
    <w:rsid w:val="00561400"/>
    <w:rsid w:val="00561E36"/>
    <w:rsid w:val="00562949"/>
    <w:rsid w:val="00562E19"/>
    <w:rsid w:val="00565563"/>
    <w:rsid w:val="005658D6"/>
    <w:rsid w:val="00565E95"/>
    <w:rsid w:val="005732FC"/>
    <w:rsid w:val="00574AC8"/>
    <w:rsid w:val="005779D0"/>
    <w:rsid w:val="00582DEE"/>
    <w:rsid w:val="005838D8"/>
    <w:rsid w:val="00583BB9"/>
    <w:rsid w:val="00583ED2"/>
    <w:rsid w:val="00584EBC"/>
    <w:rsid w:val="0058510E"/>
    <w:rsid w:val="0058569C"/>
    <w:rsid w:val="00587201"/>
    <w:rsid w:val="0059036C"/>
    <w:rsid w:val="00593303"/>
    <w:rsid w:val="0059412D"/>
    <w:rsid w:val="00594621"/>
    <w:rsid w:val="005953E0"/>
    <w:rsid w:val="0059606A"/>
    <w:rsid w:val="00597F78"/>
    <w:rsid w:val="005A036E"/>
    <w:rsid w:val="005A0F3B"/>
    <w:rsid w:val="005A1159"/>
    <w:rsid w:val="005A123D"/>
    <w:rsid w:val="005A3AAC"/>
    <w:rsid w:val="005A47A1"/>
    <w:rsid w:val="005A5D4F"/>
    <w:rsid w:val="005A6F90"/>
    <w:rsid w:val="005A734D"/>
    <w:rsid w:val="005B0E24"/>
    <w:rsid w:val="005B1741"/>
    <w:rsid w:val="005B175E"/>
    <w:rsid w:val="005B1E93"/>
    <w:rsid w:val="005B32D7"/>
    <w:rsid w:val="005B495F"/>
    <w:rsid w:val="005B4AD2"/>
    <w:rsid w:val="005B574F"/>
    <w:rsid w:val="005B596C"/>
    <w:rsid w:val="005B6445"/>
    <w:rsid w:val="005B7EE4"/>
    <w:rsid w:val="005C00C5"/>
    <w:rsid w:val="005C0F77"/>
    <w:rsid w:val="005C12F3"/>
    <w:rsid w:val="005C27FF"/>
    <w:rsid w:val="005C360E"/>
    <w:rsid w:val="005C38A2"/>
    <w:rsid w:val="005C4778"/>
    <w:rsid w:val="005C494B"/>
    <w:rsid w:val="005C5EA0"/>
    <w:rsid w:val="005C603E"/>
    <w:rsid w:val="005D05D5"/>
    <w:rsid w:val="005D0801"/>
    <w:rsid w:val="005D23E6"/>
    <w:rsid w:val="005D3549"/>
    <w:rsid w:val="005D60A8"/>
    <w:rsid w:val="005D7A06"/>
    <w:rsid w:val="005E1DD9"/>
    <w:rsid w:val="005E2CA2"/>
    <w:rsid w:val="005E68E4"/>
    <w:rsid w:val="005E6E6F"/>
    <w:rsid w:val="005E7A06"/>
    <w:rsid w:val="005E7ACE"/>
    <w:rsid w:val="005F1624"/>
    <w:rsid w:val="005F3C60"/>
    <w:rsid w:val="005F7C9D"/>
    <w:rsid w:val="00600395"/>
    <w:rsid w:val="00601491"/>
    <w:rsid w:val="006046A8"/>
    <w:rsid w:val="0060602A"/>
    <w:rsid w:val="00610852"/>
    <w:rsid w:val="006119BD"/>
    <w:rsid w:val="00613119"/>
    <w:rsid w:val="0061366C"/>
    <w:rsid w:val="00613A53"/>
    <w:rsid w:val="00614E2C"/>
    <w:rsid w:val="00615689"/>
    <w:rsid w:val="00617086"/>
    <w:rsid w:val="0062043C"/>
    <w:rsid w:val="00620604"/>
    <w:rsid w:val="006214AA"/>
    <w:rsid w:val="00621E99"/>
    <w:rsid w:val="006239FD"/>
    <w:rsid w:val="00623A56"/>
    <w:rsid w:val="00624168"/>
    <w:rsid w:val="00624E6D"/>
    <w:rsid w:val="00625330"/>
    <w:rsid w:val="0062726A"/>
    <w:rsid w:val="00630F3E"/>
    <w:rsid w:val="006311EB"/>
    <w:rsid w:val="00631374"/>
    <w:rsid w:val="00632783"/>
    <w:rsid w:val="006327C8"/>
    <w:rsid w:val="0063586E"/>
    <w:rsid w:val="0063676A"/>
    <w:rsid w:val="00637154"/>
    <w:rsid w:val="0063771B"/>
    <w:rsid w:val="00637AFB"/>
    <w:rsid w:val="00637F15"/>
    <w:rsid w:val="00641210"/>
    <w:rsid w:val="00645CB3"/>
    <w:rsid w:val="0064706C"/>
    <w:rsid w:val="00647B84"/>
    <w:rsid w:val="0065072F"/>
    <w:rsid w:val="00650A3A"/>
    <w:rsid w:val="00651434"/>
    <w:rsid w:val="0065355B"/>
    <w:rsid w:val="00653A1B"/>
    <w:rsid w:val="00653E61"/>
    <w:rsid w:val="0066086D"/>
    <w:rsid w:val="00660AEA"/>
    <w:rsid w:val="00661332"/>
    <w:rsid w:val="00661922"/>
    <w:rsid w:val="00661BDD"/>
    <w:rsid w:val="006633CD"/>
    <w:rsid w:val="00664A16"/>
    <w:rsid w:val="006652DE"/>
    <w:rsid w:val="00671B8F"/>
    <w:rsid w:val="0067208B"/>
    <w:rsid w:val="0067346A"/>
    <w:rsid w:val="006778FA"/>
    <w:rsid w:val="00677A6C"/>
    <w:rsid w:val="00677CBE"/>
    <w:rsid w:val="00682103"/>
    <w:rsid w:val="00682253"/>
    <w:rsid w:val="0068360B"/>
    <w:rsid w:val="0068576A"/>
    <w:rsid w:val="006857A5"/>
    <w:rsid w:val="0068633E"/>
    <w:rsid w:val="00690276"/>
    <w:rsid w:val="0069318B"/>
    <w:rsid w:val="006932CC"/>
    <w:rsid w:val="006947F1"/>
    <w:rsid w:val="00694841"/>
    <w:rsid w:val="006A3052"/>
    <w:rsid w:val="006A41A5"/>
    <w:rsid w:val="006A4EED"/>
    <w:rsid w:val="006A6D49"/>
    <w:rsid w:val="006A7487"/>
    <w:rsid w:val="006A7865"/>
    <w:rsid w:val="006B031C"/>
    <w:rsid w:val="006B556F"/>
    <w:rsid w:val="006B5F94"/>
    <w:rsid w:val="006B7FB2"/>
    <w:rsid w:val="006C01EF"/>
    <w:rsid w:val="006C092A"/>
    <w:rsid w:val="006C1149"/>
    <w:rsid w:val="006C1848"/>
    <w:rsid w:val="006C2776"/>
    <w:rsid w:val="006C70CA"/>
    <w:rsid w:val="006C74AE"/>
    <w:rsid w:val="006C7FA1"/>
    <w:rsid w:val="006D011E"/>
    <w:rsid w:val="006D033B"/>
    <w:rsid w:val="006D0A49"/>
    <w:rsid w:val="006D0E74"/>
    <w:rsid w:val="006D1754"/>
    <w:rsid w:val="006D1D4E"/>
    <w:rsid w:val="006D257E"/>
    <w:rsid w:val="006D4A05"/>
    <w:rsid w:val="006D55DC"/>
    <w:rsid w:val="006D5AF5"/>
    <w:rsid w:val="006D5C86"/>
    <w:rsid w:val="006D7D77"/>
    <w:rsid w:val="006E00E0"/>
    <w:rsid w:val="006E34A1"/>
    <w:rsid w:val="006E4FD5"/>
    <w:rsid w:val="006E5234"/>
    <w:rsid w:val="006E6179"/>
    <w:rsid w:val="006E68B1"/>
    <w:rsid w:val="006F13B4"/>
    <w:rsid w:val="006F20DD"/>
    <w:rsid w:val="006F4724"/>
    <w:rsid w:val="006F64E0"/>
    <w:rsid w:val="00701215"/>
    <w:rsid w:val="007029D5"/>
    <w:rsid w:val="00705127"/>
    <w:rsid w:val="007051AC"/>
    <w:rsid w:val="0070655F"/>
    <w:rsid w:val="0070692A"/>
    <w:rsid w:val="0070704A"/>
    <w:rsid w:val="0071022D"/>
    <w:rsid w:val="007116B4"/>
    <w:rsid w:val="0071178C"/>
    <w:rsid w:val="00715014"/>
    <w:rsid w:val="00716A95"/>
    <w:rsid w:val="007172D4"/>
    <w:rsid w:val="00717F46"/>
    <w:rsid w:val="007204D2"/>
    <w:rsid w:val="007218E4"/>
    <w:rsid w:val="0072241A"/>
    <w:rsid w:val="0072253A"/>
    <w:rsid w:val="00723DA9"/>
    <w:rsid w:val="00723F73"/>
    <w:rsid w:val="00725041"/>
    <w:rsid w:val="00725841"/>
    <w:rsid w:val="0072613C"/>
    <w:rsid w:val="007279F4"/>
    <w:rsid w:val="00731401"/>
    <w:rsid w:val="00731C75"/>
    <w:rsid w:val="00732760"/>
    <w:rsid w:val="007327EE"/>
    <w:rsid w:val="00733C92"/>
    <w:rsid w:val="0073675C"/>
    <w:rsid w:val="0073785A"/>
    <w:rsid w:val="00737860"/>
    <w:rsid w:val="00740638"/>
    <w:rsid w:val="00740A1E"/>
    <w:rsid w:val="007433B8"/>
    <w:rsid w:val="00746B2C"/>
    <w:rsid w:val="00747116"/>
    <w:rsid w:val="007501C6"/>
    <w:rsid w:val="0075038F"/>
    <w:rsid w:val="00750E66"/>
    <w:rsid w:val="0075204F"/>
    <w:rsid w:val="00752775"/>
    <w:rsid w:val="00753988"/>
    <w:rsid w:val="00754A98"/>
    <w:rsid w:val="00754D19"/>
    <w:rsid w:val="00757452"/>
    <w:rsid w:val="007579DE"/>
    <w:rsid w:val="00760648"/>
    <w:rsid w:val="00761352"/>
    <w:rsid w:val="007613E5"/>
    <w:rsid w:val="007624AE"/>
    <w:rsid w:val="007641E7"/>
    <w:rsid w:val="00767CF6"/>
    <w:rsid w:val="00771E1A"/>
    <w:rsid w:val="00771F93"/>
    <w:rsid w:val="00772DDA"/>
    <w:rsid w:val="0077412E"/>
    <w:rsid w:val="00774AEB"/>
    <w:rsid w:val="00777B62"/>
    <w:rsid w:val="007804BB"/>
    <w:rsid w:val="00780579"/>
    <w:rsid w:val="00780B2B"/>
    <w:rsid w:val="007812D8"/>
    <w:rsid w:val="00782E07"/>
    <w:rsid w:val="00784290"/>
    <w:rsid w:val="00784D77"/>
    <w:rsid w:val="007865FF"/>
    <w:rsid w:val="00786D2D"/>
    <w:rsid w:val="0078707B"/>
    <w:rsid w:val="00787DB5"/>
    <w:rsid w:val="0079009D"/>
    <w:rsid w:val="00790972"/>
    <w:rsid w:val="00790C2C"/>
    <w:rsid w:val="007937F2"/>
    <w:rsid w:val="0079452C"/>
    <w:rsid w:val="00794638"/>
    <w:rsid w:val="00795BF0"/>
    <w:rsid w:val="00796CB2"/>
    <w:rsid w:val="00797CA6"/>
    <w:rsid w:val="00797CB0"/>
    <w:rsid w:val="007A210E"/>
    <w:rsid w:val="007A3061"/>
    <w:rsid w:val="007A35CC"/>
    <w:rsid w:val="007A368F"/>
    <w:rsid w:val="007A43BF"/>
    <w:rsid w:val="007A5752"/>
    <w:rsid w:val="007A6725"/>
    <w:rsid w:val="007A6F61"/>
    <w:rsid w:val="007A72A4"/>
    <w:rsid w:val="007A792D"/>
    <w:rsid w:val="007B07C0"/>
    <w:rsid w:val="007B1310"/>
    <w:rsid w:val="007B15E9"/>
    <w:rsid w:val="007B1E00"/>
    <w:rsid w:val="007B317B"/>
    <w:rsid w:val="007B3414"/>
    <w:rsid w:val="007B39F2"/>
    <w:rsid w:val="007B484B"/>
    <w:rsid w:val="007B594F"/>
    <w:rsid w:val="007B65AA"/>
    <w:rsid w:val="007B668F"/>
    <w:rsid w:val="007B6E0A"/>
    <w:rsid w:val="007C09AA"/>
    <w:rsid w:val="007C3284"/>
    <w:rsid w:val="007C36B0"/>
    <w:rsid w:val="007C3B80"/>
    <w:rsid w:val="007C5F66"/>
    <w:rsid w:val="007C71F3"/>
    <w:rsid w:val="007D0192"/>
    <w:rsid w:val="007D08CB"/>
    <w:rsid w:val="007D13A9"/>
    <w:rsid w:val="007D1588"/>
    <w:rsid w:val="007D26B9"/>
    <w:rsid w:val="007D29A8"/>
    <w:rsid w:val="007D4387"/>
    <w:rsid w:val="007D5785"/>
    <w:rsid w:val="007D60A1"/>
    <w:rsid w:val="007D6EA5"/>
    <w:rsid w:val="007D7796"/>
    <w:rsid w:val="007D7CA1"/>
    <w:rsid w:val="007E06F2"/>
    <w:rsid w:val="007E0A19"/>
    <w:rsid w:val="007E125E"/>
    <w:rsid w:val="007E1522"/>
    <w:rsid w:val="007E5E74"/>
    <w:rsid w:val="007E6D8D"/>
    <w:rsid w:val="007E6E61"/>
    <w:rsid w:val="007E7ECA"/>
    <w:rsid w:val="007F3A18"/>
    <w:rsid w:val="007F3F28"/>
    <w:rsid w:val="007F6C58"/>
    <w:rsid w:val="007F71CA"/>
    <w:rsid w:val="007F7FC5"/>
    <w:rsid w:val="00800BEF"/>
    <w:rsid w:val="0080141D"/>
    <w:rsid w:val="008017E4"/>
    <w:rsid w:val="00801DFE"/>
    <w:rsid w:val="00801E44"/>
    <w:rsid w:val="008024FD"/>
    <w:rsid w:val="008039DB"/>
    <w:rsid w:val="0081360C"/>
    <w:rsid w:val="00813DC5"/>
    <w:rsid w:val="00814FB0"/>
    <w:rsid w:val="00815402"/>
    <w:rsid w:val="0082004A"/>
    <w:rsid w:val="00820478"/>
    <w:rsid w:val="008217C0"/>
    <w:rsid w:val="00822D20"/>
    <w:rsid w:val="008236E9"/>
    <w:rsid w:val="008262B0"/>
    <w:rsid w:val="00826D55"/>
    <w:rsid w:val="00832141"/>
    <w:rsid w:val="008322BD"/>
    <w:rsid w:val="008326A3"/>
    <w:rsid w:val="00832730"/>
    <w:rsid w:val="008329FE"/>
    <w:rsid w:val="00832AB9"/>
    <w:rsid w:val="0083317A"/>
    <w:rsid w:val="00835B5F"/>
    <w:rsid w:val="0083635E"/>
    <w:rsid w:val="00837A63"/>
    <w:rsid w:val="008401A3"/>
    <w:rsid w:val="00840B67"/>
    <w:rsid w:val="00841157"/>
    <w:rsid w:val="008436C3"/>
    <w:rsid w:val="00843F6F"/>
    <w:rsid w:val="00845303"/>
    <w:rsid w:val="00846CB1"/>
    <w:rsid w:val="008503EF"/>
    <w:rsid w:val="00851DAD"/>
    <w:rsid w:val="00852CD6"/>
    <w:rsid w:val="0085315B"/>
    <w:rsid w:val="00854716"/>
    <w:rsid w:val="008559CE"/>
    <w:rsid w:val="00856149"/>
    <w:rsid w:val="00856357"/>
    <w:rsid w:val="008564B7"/>
    <w:rsid w:val="00856A57"/>
    <w:rsid w:val="00856DE6"/>
    <w:rsid w:val="00861918"/>
    <w:rsid w:val="0086366F"/>
    <w:rsid w:val="00864BA3"/>
    <w:rsid w:val="00864D41"/>
    <w:rsid w:val="00866FC0"/>
    <w:rsid w:val="00867140"/>
    <w:rsid w:val="00867FC6"/>
    <w:rsid w:val="00873053"/>
    <w:rsid w:val="00873DA6"/>
    <w:rsid w:val="00874591"/>
    <w:rsid w:val="0087462F"/>
    <w:rsid w:val="00874A08"/>
    <w:rsid w:val="008755B7"/>
    <w:rsid w:val="00875FE5"/>
    <w:rsid w:val="008778BF"/>
    <w:rsid w:val="008806CD"/>
    <w:rsid w:val="008809A8"/>
    <w:rsid w:val="0088120D"/>
    <w:rsid w:val="00882FA0"/>
    <w:rsid w:val="0088451B"/>
    <w:rsid w:val="00887EEB"/>
    <w:rsid w:val="008902D4"/>
    <w:rsid w:val="00893D48"/>
    <w:rsid w:val="008A01B7"/>
    <w:rsid w:val="008A0C6E"/>
    <w:rsid w:val="008A0E00"/>
    <w:rsid w:val="008A2B69"/>
    <w:rsid w:val="008A40AC"/>
    <w:rsid w:val="008A41ED"/>
    <w:rsid w:val="008A499B"/>
    <w:rsid w:val="008A5718"/>
    <w:rsid w:val="008A630F"/>
    <w:rsid w:val="008A737B"/>
    <w:rsid w:val="008A75B5"/>
    <w:rsid w:val="008B050F"/>
    <w:rsid w:val="008B115E"/>
    <w:rsid w:val="008B1F7B"/>
    <w:rsid w:val="008B30CA"/>
    <w:rsid w:val="008B41D8"/>
    <w:rsid w:val="008B5B4F"/>
    <w:rsid w:val="008B5FF4"/>
    <w:rsid w:val="008B740D"/>
    <w:rsid w:val="008C0921"/>
    <w:rsid w:val="008C0DEF"/>
    <w:rsid w:val="008C19BA"/>
    <w:rsid w:val="008C21F8"/>
    <w:rsid w:val="008C2698"/>
    <w:rsid w:val="008C30B3"/>
    <w:rsid w:val="008C404D"/>
    <w:rsid w:val="008C4B80"/>
    <w:rsid w:val="008C4BF9"/>
    <w:rsid w:val="008C516F"/>
    <w:rsid w:val="008C57CA"/>
    <w:rsid w:val="008C60EB"/>
    <w:rsid w:val="008C67D3"/>
    <w:rsid w:val="008C6FC7"/>
    <w:rsid w:val="008D0902"/>
    <w:rsid w:val="008D30CB"/>
    <w:rsid w:val="008D36A0"/>
    <w:rsid w:val="008D3C65"/>
    <w:rsid w:val="008D45F2"/>
    <w:rsid w:val="008D4BCA"/>
    <w:rsid w:val="008D5BAA"/>
    <w:rsid w:val="008D6F1F"/>
    <w:rsid w:val="008D6F64"/>
    <w:rsid w:val="008D719A"/>
    <w:rsid w:val="008D78FF"/>
    <w:rsid w:val="008D7E75"/>
    <w:rsid w:val="008E2F48"/>
    <w:rsid w:val="008E2FC0"/>
    <w:rsid w:val="008E3717"/>
    <w:rsid w:val="008E41CB"/>
    <w:rsid w:val="008E4575"/>
    <w:rsid w:val="008E4793"/>
    <w:rsid w:val="008E587B"/>
    <w:rsid w:val="008E7BD5"/>
    <w:rsid w:val="008F0682"/>
    <w:rsid w:val="008F0BAE"/>
    <w:rsid w:val="008F20FD"/>
    <w:rsid w:val="008F21CC"/>
    <w:rsid w:val="008F3C8C"/>
    <w:rsid w:val="008F4118"/>
    <w:rsid w:val="008F6F2E"/>
    <w:rsid w:val="008F704D"/>
    <w:rsid w:val="008F70B7"/>
    <w:rsid w:val="0090139E"/>
    <w:rsid w:val="00903EF1"/>
    <w:rsid w:val="00904D42"/>
    <w:rsid w:val="00905492"/>
    <w:rsid w:val="009056C5"/>
    <w:rsid w:val="009100F3"/>
    <w:rsid w:val="00910B62"/>
    <w:rsid w:val="00912101"/>
    <w:rsid w:val="00912409"/>
    <w:rsid w:val="00912513"/>
    <w:rsid w:val="009146AF"/>
    <w:rsid w:val="00915828"/>
    <w:rsid w:val="0091728E"/>
    <w:rsid w:val="0091765B"/>
    <w:rsid w:val="00917A30"/>
    <w:rsid w:val="00922041"/>
    <w:rsid w:val="009275AA"/>
    <w:rsid w:val="00927E97"/>
    <w:rsid w:val="00931D4A"/>
    <w:rsid w:val="00932210"/>
    <w:rsid w:val="00932794"/>
    <w:rsid w:val="00932BB2"/>
    <w:rsid w:val="0093486E"/>
    <w:rsid w:val="00935153"/>
    <w:rsid w:val="00935CDD"/>
    <w:rsid w:val="00937920"/>
    <w:rsid w:val="00940B11"/>
    <w:rsid w:val="00941F5E"/>
    <w:rsid w:val="009433F9"/>
    <w:rsid w:val="00945452"/>
    <w:rsid w:val="009464EB"/>
    <w:rsid w:val="00950724"/>
    <w:rsid w:val="0095128C"/>
    <w:rsid w:val="00954B84"/>
    <w:rsid w:val="009551CB"/>
    <w:rsid w:val="00956302"/>
    <w:rsid w:val="00956DAA"/>
    <w:rsid w:val="00957327"/>
    <w:rsid w:val="00961068"/>
    <w:rsid w:val="00962132"/>
    <w:rsid w:val="00962AE5"/>
    <w:rsid w:val="00963FCE"/>
    <w:rsid w:val="0096575A"/>
    <w:rsid w:val="00965E15"/>
    <w:rsid w:val="0097019D"/>
    <w:rsid w:val="00971124"/>
    <w:rsid w:val="009711C9"/>
    <w:rsid w:val="00971A3B"/>
    <w:rsid w:val="00972144"/>
    <w:rsid w:val="00973100"/>
    <w:rsid w:val="00973382"/>
    <w:rsid w:val="00973D48"/>
    <w:rsid w:val="00973F28"/>
    <w:rsid w:val="0097404C"/>
    <w:rsid w:val="009741D8"/>
    <w:rsid w:val="009756C1"/>
    <w:rsid w:val="00976265"/>
    <w:rsid w:val="00976DD4"/>
    <w:rsid w:val="00983451"/>
    <w:rsid w:val="00983FD3"/>
    <w:rsid w:val="009846D0"/>
    <w:rsid w:val="00985049"/>
    <w:rsid w:val="00985CD1"/>
    <w:rsid w:val="00990B15"/>
    <w:rsid w:val="00990D41"/>
    <w:rsid w:val="0099156A"/>
    <w:rsid w:val="0099295C"/>
    <w:rsid w:val="00993F40"/>
    <w:rsid w:val="00994EEC"/>
    <w:rsid w:val="009963B2"/>
    <w:rsid w:val="00996756"/>
    <w:rsid w:val="0099698A"/>
    <w:rsid w:val="00996D20"/>
    <w:rsid w:val="009A0F4F"/>
    <w:rsid w:val="009A1CD5"/>
    <w:rsid w:val="009A39C7"/>
    <w:rsid w:val="009A46EE"/>
    <w:rsid w:val="009B049A"/>
    <w:rsid w:val="009B08F8"/>
    <w:rsid w:val="009B0FB8"/>
    <w:rsid w:val="009B15FE"/>
    <w:rsid w:val="009B184B"/>
    <w:rsid w:val="009B3762"/>
    <w:rsid w:val="009B6455"/>
    <w:rsid w:val="009B6C3D"/>
    <w:rsid w:val="009C07FA"/>
    <w:rsid w:val="009C1B42"/>
    <w:rsid w:val="009C214C"/>
    <w:rsid w:val="009C3D0C"/>
    <w:rsid w:val="009C4204"/>
    <w:rsid w:val="009C6585"/>
    <w:rsid w:val="009D05FC"/>
    <w:rsid w:val="009D0A45"/>
    <w:rsid w:val="009D13AD"/>
    <w:rsid w:val="009D1DF4"/>
    <w:rsid w:val="009D2C2E"/>
    <w:rsid w:val="009D334D"/>
    <w:rsid w:val="009D52CA"/>
    <w:rsid w:val="009D54C3"/>
    <w:rsid w:val="009D5FBF"/>
    <w:rsid w:val="009D6606"/>
    <w:rsid w:val="009D69A3"/>
    <w:rsid w:val="009E2850"/>
    <w:rsid w:val="009E34B0"/>
    <w:rsid w:val="009E414B"/>
    <w:rsid w:val="009E494F"/>
    <w:rsid w:val="009E576D"/>
    <w:rsid w:val="009E679E"/>
    <w:rsid w:val="009F1380"/>
    <w:rsid w:val="009F1F99"/>
    <w:rsid w:val="009F21F5"/>
    <w:rsid w:val="009F2BAA"/>
    <w:rsid w:val="009F2DBD"/>
    <w:rsid w:val="009F51D8"/>
    <w:rsid w:val="009F5F52"/>
    <w:rsid w:val="009F6C89"/>
    <w:rsid w:val="009F7EB1"/>
    <w:rsid w:val="00A02171"/>
    <w:rsid w:val="00A037BE"/>
    <w:rsid w:val="00A054D8"/>
    <w:rsid w:val="00A05F4B"/>
    <w:rsid w:val="00A06B0A"/>
    <w:rsid w:val="00A07B78"/>
    <w:rsid w:val="00A1219F"/>
    <w:rsid w:val="00A13916"/>
    <w:rsid w:val="00A13C4D"/>
    <w:rsid w:val="00A15647"/>
    <w:rsid w:val="00A17451"/>
    <w:rsid w:val="00A17482"/>
    <w:rsid w:val="00A214E7"/>
    <w:rsid w:val="00A22DF0"/>
    <w:rsid w:val="00A22FDB"/>
    <w:rsid w:val="00A24B49"/>
    <w:rsid w:val="00A25020"/>
    <w:rsid w:val="00A26185"/>
    <w:rsid w:val="00A302BA"/>
    <w:rsid w:val="00A307A9"/>
    <w:rsid w:val="00A3144D"/>
    <w:rsid w:val="00A32BB5"/>
    <w:rsid w:val="00A34148"/>
    <w:rsid w:val="00A34F05"/>
    <w:rsid w:val="00A366A0"/>
    <w:rsid w:val="00A41447"/>
    <w:rsid w:val="00A422A6"/>
    <w:rsid w:val="00A442F4"/>
    <w:rsid w:val="00A45000"/>
    <w:rsid w:val="00A46CF4"/>
    <w:rsid w:val="00A46FAB"/>
    <w:rsid w:val="00A524B8"/>
    <w:rsid w:val="00A52CFB"/>
    <w:rsid w:val="00A52FF4"/>
    <w:rsid w:val="00A54B67"/>
    <w:rsid w:val="00A55E3A"/>
    <w:rsid w:val="00A56E96"/>
    <w:rsid w:val="00A5786A"/>
    <w:rsid w:val="00A60207"/>
    <w:rsid w:val="00A6282E"/>
    <w:rsid w:val="00A64718"/>
    <w:rsid w:val="00A662FF"/>
    <w:rsid w:val="00A67A19"/>
    <w:rsid w:val="00A73925"/>
    <w:rsid w:val="00A746AC"/>
    <w:rsid w:val="00A761B1"/>
    <w:rsid w:val="00A765AA"/>
    <w:rsid w:val="00A811CE"/>
    <w:rsid w:val="00A81270"/>
    <w:rsid w:val="00A82FD8"/>
    <w:rsid w:val="00A84C93"/>
    <w:rsid w:val="00A855F0"/>
    <w:rsid w:val="00A876CA"/>
    <w:rsid w:val="00A87769"/>
    <w:rsid w:val="00A87CE1"/>
    <w:rsid w:val="00A9011F"/>
    <w:rsid w:val="00A95BCC"/>
    <w:rsid w:val="00A96DC1"/>
    <w:rsid w:val="00A978E9"/>
    <w:rsid w:val="00AA10A6"/>
    <w:rsid w:val="00AA3CBC"/>
    <w:rsid w:val="00AA6D18"/>
    <w:rsid w:val="00AA756E"/>
    <w:rsid w:val="00AB0240"/>
    <w:rsid w:val="00AB108E"/>
    <w:rsid w:val="00AB296C"/>
    <w:rsid w:val="00AB2E10"/>
    <w:rsid w:val="00AB4197"/>
    <w:rsid w:val="00AB4280"/>
    <w:rsid w:val="00AC0005"/>
    <w:rsid w:val="00AC1BD4"/>
    <w:rsid w:val="00AC2AFE"/>
    <w:rsid w:val="00AC4103"/>
    <w:rsid w:val="00AC721D"/>
    <w:rsid w:val="00AC78C6"/>
    <w:rsid w:val="00AC7C5F"/>
    <w:rsid w:val="00AD165F"/>
    <w:rsid w:val="00AD2881"/>
    <w:rsid w:val="00AD2887"/>
    <w:rsid w:val="00AD2D57"/>
    <w:rsid w:val="00AD3580"/>
    <w:rsid w:val="00AD3F87"/>
    <w:rsid w:val="00AD477C"/>
    <w:rsid w:val="00AD4E4C"/>
    <w:rsid w:val="00AD5A15"/>
    <w:rsid w:val="00AD5FAB"/>
    <w:rsid w:val="00AE04EF"/>
    <w:rsid w:val="00AE259D"/>
    <w:rsid w:val="00AE2E11"/>
    <w:rsid w:val="00AE397E"/>
    <w:rsid w:val="00AE45FD"/>
    <w:rsid w:val="00AE49CE"/>
    <w:rsid w:val="00AE7D33"/>
    <w:rsid w:val="00AF1416"/>
    <w:rsid w:val="00AF1A10"/>
    <w:rsid w:val="00AF3F3D"/>
    <w:rsid w:val="00AF4CA0"/>
    <w:rsid w:val="00AF57E9"/>
    <w:rsid w:val="00AF6552"/>
    <w:rsid w:val="00AF6A87"/>
    <w:rsid w:val="00AF7807"/>
    <w:rsid w:val="00B01FCB"/>
    <w:rsid w:val="00B03915"/>
    <w:rsid w:val="00B044AD"/>
    <w:rsid w:val="00B06406"/>
    <w:rsid w:val="00B06D93"/>
    <w:rsid w:val="00B10773"/>
    <w:rsid w:val="00B14142"/>
    <w:rsid w:val="00B14B45"/>
    <w:rsid w:val="00B14DAF"/>
    <w:rsid w:val="00B154AE"/>
    <w:rsid w:val="00B17119"/>
    <w:rsid w:val="00B17F20"/>
    <w:rsid w:val="00B2004E"/>
    <w:rsid w:val="00B2192E"/>
    <w:rsid w:val="00B22DCD"/>
    <w:rsid w:val="00B23BB2"/>
    <w:rsid w:val="00B23DFF"/>
    <w:rsid w:val="00B24566"/>
    <w:rsid w:val="00B24B15"/>
    <w:rsid w:val="00B256E3"/>
    <w:rsid w:val="00B30DE7"/>
    <w:rsid w:val="00B32D90"/>
    <w:rsid w:val="00B32E70"/>
    <w:rsid w:val="00B3341E"/>
    <w:rsid w:val="00B3360D"/>
    <w:rsid w:val="00B365A3"/>
    <w:rsid w:val="00B373A5"/>
    <w:rsid w:val="00B37800"/>
    <w:rsid w:val="00B37D6D"/>
    <w:rsid w:val="00B4132D"/>
    <w:rsid w:val="00B421B1"/>
    <w:rsid w:val="00B4376D"/>
    <w:rsid w:val="00B44214"/>
    <w:rsid w:val="00B45B76"/>
    <w:rsid w:val="00B46586"/>
    <w:rsid w:val="00B466CC"/>
    <w:rsid w:val="00B471CD"/>
    <w:rsid w:val="00B47B3B"/>
    <w:rsid w:val="00B47C3F"/>
    <w:rsid w:val="00B52A0B"/>
    <w:rsid w:val="00B53DB6"/>
    <w:rsid w:val="00B57559"/>
    <w:rsid w:val="00B60AE3"/>
    <w:rsid w:val="00B64E55"/>
    <w:rsid w:val="00B709D4"/>
    <w:rsid w:val="00B740C0"/>
    <w:rsid w:val="00B7585D"/>
    <w:rsid w:val="00B77088"/>
    <w:rsid w:val="00B77529"/>
    <w:rsid w:val="00B80FE4"/>
    <w:rsid w:val="00B82A44"/>
    <w:rsid w:val="00B8580D"/>
    <w:rsid w:val="00B90BC5"/>
    <w:rsid w:val="00B90C59"/>
    <w:rsid w:val="00B928DE"/>
    <w:rsid w:val="00B92D21"/>
    <w:rsid w:val="00B931CE"/>
    <w:rsid w:val="00B93AF6"/>
    <w:rsid w:val="00B93F37"/>
    <w:rsid w:val="00B9454D"/>
    <w:rsid w:val="00B95931"/>
    <w:rsid w:val="00B95D64"/>
    <w:rsid w:val="00B9698A"/>
    <w:rsid w:val="00B97761"/>
    <w:rsid w:val="00BA0527"/>
    <w:rsid w:val="00BA203C"/>
    <w:rsid w:val="00BA3B99"/>
    <w:rsid w:val="00BA5CDD"/>
    <w:rsid w:val="00BA689E"/>
    <w:rsid w:val="00BA6B38"/>
    <w:rsid w:val="00BA725B"/>
    <w:rsid w:val="00BB1C06"/>
    <w:rsid w:val="00BB2035"/>
    <w:rsid w:val="00BB2043"/>
    <w:rsid w:val="00BB2206"/>
    <w:rsid w:val="00BB3546"/>
    <w:rsid w:val="00BB44BD"/>
    <w:rsid w:val="00BB50EB"/>
    <w:rsid w:val="00BB6BE9"/>
    <w:rsid w:val="00BB7E43"/>
    <w:rsid w:val="00BC086A"/>
    <w:rsid w:val="00BC11B4"/>
    <w:rsid w:val="00BC17B7"/>
    <w:rsid w:val="00BC21F3"/>
    <w:rsid w:val="00BC37DB"/>
    <w:rsid w:val="00BC3CFB"/>
    <w:rsid w:val="00BC4166"/>
    <w:rsid w:val="00BC50AD"/>
    <w:rsid w:val="00BC5245"/>
    <w:rsid w:val="00BC7421"/>
    <w:rsid w:val="00BD01B9"/>
    <w:rsid w:val="00BD1059"/>
    <w:rsid w:val="00BD1761"/>
    <w:rsid w:val="00BD34A2"/>
    <w:rsid w:val="00BD3FA9"/>
    <w:rsid w:val="00BD48A2"/>
    <w:rsid w:val="00BD48AE"/>
    <w:rsid w:val="00BD58B0"/>
    <w:rsid w:val="00BE13D9"/>
    <w:rsid w:val="00BE1BF8"/>
    <w:rsid w:val="00BE1E32"/>
    <w:rsid w:val="00BE2876"/>
    <w:rsid w:val="00BE4A2D"/>
    <w:rsid w:val="00BE50C9"/>
    <w:rsid w:val="00BE7521"/>
    <w:rsid w:val="00BF0F50"/>
    <w:rsid w:val="00BF111A"/>
    <w:rsid w:val="00BF1F03"/>
    <w:rsid w:val="00BF2EEB"/>
    <w:rsid w:val="00BF384C"/>
    <w:rsid w:val="00BF740B"/>
    <w:rsid w:val="00C0005E"/>
    <w:rsid w:val="00C00F6E"/>
    <w:rsid w:val="00C03962"/>
    <w:rsid w:val="00C04BD4"/>
    <w:rsid w:val="00C05533"/>
    <w:rsid w:val="00C109B2"/>
    <w:rsid w:val="00C13314"/>
    <w:rsid w:val="00C14AA4"/>
    <w:rsid w:val="00C15A05"/>
    <w:rsid w:val="00C179FD"/>
    <w:rsid w:val="00C20BA3"/>
    <w:rsid w:val="00C2137D"/>
    <w:rsid w:val="00C21500"/>
    <w:rsid w:val="00C22C1A"/>
    <w:rsid w:val="00C2325C"/>
    <w:rsid w:val="00C248BA"/>
    <w:rsid w:val="00C24B60"/>
    <w:rsid w:val="00C257BD"/>
    <w:rsid w:val="00C2601F"/>
    <w:rsid w:val="00C27DAA"/>
    <w:rsid w:val="00C30274"/>
    <w:rsid w:val="00C30765"/>
    <w:rsid w:val="00C31E24"/>
    <w:rsid w:val="00C320DA"/>
    <w:rsid w:val="00C343C7"/>
    <w:rsid w:val="00C36F7A"/>
    <w:rsid w:val="00C36FBF"/>
    <w:rsid w:val="00C37027"/>
    <w:rsid w:val="00C41219"/>
    <w:rsid w:val="00C42798"/>
    <w:rsid w:val="00C43369"/>
    <w:rsid w:val="00C4428F"/>
    <w:rsid w:val="00C443C7"/>
    <w:rsid w:val="00C45A84"/>
    <w:rsid w:val="00C45B3B"/>
    <w:rsid w:val="00C460C8"/>
    <w:rsid w:val="00C46811"/>
    <w:rsid w:val="00C46FB6"/>
    <w:rsid w:val="00C47B29"/>
    <w:rsid w:val="00C5267F"/>
    <w:rsid w:val="00C52D6F"/>
    <w:rsid w:val="00C54168"/>
    <w:rsid w:val="00C55F45"/>
    <w:rsid w:val="00C619DF"/>
    <w:rsid w:val="00C62301"/>
    <w:rsid w:val="00C624C6"/>
    <w:rsid w:val="00C64C70"/>
    <w:rsid w:val="00C66045"/>
    <w:rsid w:val="00C66603"/>
    <w:rsid w:val="00C7053C"/>
    <w:rsid w:val="00C70630"/>
    <w:rsid w:val="00C70F50"/>
    <w:rsid w:val="00C715E0"/>
    <w:rsid w:val="00C71F6B"/>
    <w:rsid w:val="00C756C1"/>
    <w:rsid w:val="00C7570E"/>
    <w:rsid w:val="00C76CFA"/>
    <w:rsid w:val="00C76D0E"/>
    <w:rsid w:val="00C801FB"/>
    <w:rsid w:val="00C80C8A"/>
    <w:rsid w:val="00C811E8"/>
    <w:rsid w:val="00C82774"/>
    <w:rsid w:val="00C85909"/>
    <w:rsid w:val="00C867F5"/>
    <w:rsid w:val="00C910D3"/>
    <w:rsid w:val="00C92C77"/>
    <w:rsid w:val="00C97E4E"/>
    <w:rsid w:val="00CA1936"/>
    <w:rsid w:val="00CA2294"/>
    <w:rsid w:val="00CA2550"/>
    <w:rsid w:val="00CA2A73"/>
    <w:rsid w:val="00CA38A8"/>
    <w:rsid w:val="00CA49DE"/>
    <w:rsid w:val="00CA500D"/>
    <w:rsid w:val="00CA557E"/>
    <w:rsid w:val="00CA58EF"/>
    <w:rsid w:val="00CA67A1"/>
    <w:rsid w:val="00CB0D44"/>
    <w:rsid w:val="00CB1E8C"/>
    <w:rsid w:val="00CB2FB1"/>
    <w:rsid w:val="00CB3ACD"/>
    <w:rsid w:val="00CB3EB1"/>
    <w:rsid w:val="00CB45E6"/>
    <w:rsid w:val="00CB4D3F"/>
    <w:rsid w:val="00CB56CC"/>
    <w:rsid w:val="00CB7B00"/>
    <w:rsid w:val="00CC1B34"/>
    <w:rsid w:val="00CC3C6F"/>
    <w:rsid w:val="00CC55AD"/>
    <w:rsid w:val="00CC5C45"/>
    <w:rsid w:val="00CC5DED"/>
    <w:rsid w:val="00CC71A3"/>
    <w:rsid w:val="00CD117F"/>
    <w:rsid w:val="00CD4BA2"/>
    <w:rsid w:val="00CD7665"/>
    <w:rsid w:val="00CE0816"/>
    <w:rsid w:val="00CE1404"/>
    <w:rsid w:val="00CE232A"/>
    <w:rsid w:val="00CE3FA8"/>
    <w:rsid w:val="00CE5613"/>
    <w:rsid w:val="00CE7FE3"/>
    <w:rsid w:val="00CF0858"/>
    <w:rsid w:val="00CF0D3D"/>
    <w:rsid w:val="00CF259E"/>
    <w:rsid w:val="00CF2D96"/>
    <w:rsid w:val="00CF3EF2"/>
    <w:rsid w:val="00CF4238"/>
    <w:rsid w:val="00CF4DF4"/>
    <w:rsid w:val="00CF5417"/>
    <w:rsid w:val="00CF63BA"/>
    <w:rsid w:val="00CF6B7E"/>
    <w:rsid w:val="00CF6E8E"/>
    <w:rsid w:val="00CF70F1"/>
    <w:rsid w:val="00D00904"/>
    <w:rsid w:val="00D01B71"/>
    <w:rsid w:val="00D020F1"/>
    <w:rsid w:val="00D023E3"/>
    <w:rsid w:val="00D02F5C"/>
    <w:rsid w:val="00D052FB"/>
    <w:rsid w:val="00D05882"/>
    <w:rsid w:val="00D0647C"/>
    <w:rsid w:val="00D0648B"/>
    <w:rsid w:val="00D10117"/>
    <w:rsid w:val="00D106F6"/>
    <w:rsid w:val="00D10CBC"/>
    <w:rsid w:val="00D11E56"/>
    <w:rsid w:val="00D12228"/>
    <w:rsid w:val="00D128C3"/>
    <w:rsid w:val="00D14E4A"/>
    <w:rsid w:val="00D161DE"/>
    <w:rsid w:val="00D2043D"/>
    <w:rsid w:val="00D2079B"/>
    <w:rsid w:val="00D20DEF"/>
    <w:rsid w:val="00D2230B"/>
    <w:rsid w:val="00D228CE"/>
    <w:rsid w:val="00D25A2C"/>
    <w:rsid w:val="00D260DB"/>
    <w:rsid w:val="00D262B9"/>
    <w:rsid w:val="00D26B93"/>
    <w:rsid w:val="00D27910"/>
    <w:rsid w:val="00D3051E"/>
    <w:rsid w:val="00D30AEF"/>
    <w:rsid w:val="00D30F04"/>
    <w:rsid w:val="00D3182A"/>
    <w:rsid w:val="00D33978"/>
    <w:rsid w:val="00D3458B"/>
    <w:rsid w:val="00D3789C"/>
    <w:rsid w:val="00D41605"/>
    <w:rsid w:val="00D418B3"/>
    <w:rsid w:val="00D41F7B"/>
    <w:rsid w:val="00D42CF4"/>
    <w:rsid w:val="00D43288"/>
    <w:rsid w:val="00D43C77"/>
    <w:rsid w:val="00D43EDC"/>
    <w:rsid w:val="00D4670D"/>
    <w:rsid w:val="00D47618"/>
    <w:rsid w:val="00D5093B"/>
    <w:rsid w:val="00D514F0"/>
    <w:rsid w:val="00D52186"/>
    <w:rsid w:val="00D5236C"/>
    <w:rsid w:val="00D52FAC"/>
    <w:rsid w:val="00D5348E"/>
    <w:rsid w:val="00D536AD"/>
    <w:rsid w:val="00D5498C"/>
    <w:rsid w:val="00D56BA8"/>
    <w:rsid w:val="00D60A34"/>
    <w:rsid w:val="00D610BB"/>
    <w:rsid w:val="00D61BBE"/>
    <w:rsid w:val="00D62B71"/>
    <w:rsid w:val="00D633E3"/>
    <w:rsid w:val="00D636D8"/>
    <w:rsid w:val="00D641A5"/>
    <w:rsid w:val="00D65F7B"/>
    <w:rsid w:val="00D66271"/>
    <w:rsid w:val="00D678B1"/>
    <w:rsid w:val="00D67D30"/>
    <w:rsid w:val="00D67F34"/>
    <w:rsid w:val="00D70475"/>
    <w:rsid w:val="00D70949"/>
    <w:rsid w:val="00D70B28"/>
    <w:rsid w:val="00D70F56"/>
    <w:rsid w:val="00D712C0"/>
    <w:rsid w:val="00D7198B"/>
    <w:rsid w:val="00D71D63"/>
    <w:rsid w:val="00D71FD3"/>
    <w:rsid w:val="00D72133"/>
    <w:rsid w:val="00D72BD0"/>
    <w:rsid w:val="00D72C37"/>
    <w:rsid w:val="00D7401D"/>
    <w:rsid w:val="00D7502E"/>
    <w:rsid w:val="00D7576E"/>
    <w:rsid w:val="00D758E5"/>
    <w:rsid w:val="00D75AAC"/>
    <w:rsid w:val="00D769F9"/>
    <w:rsid w:val="00D76F4F"/>
    <w:rsid w:val="00D77475"/>
    <w:rsid w:val="00D80724"/>
    <w:rsid w:val="00D81E38"/>
    <w:rsid w:val="00D83DCD"/>
    <w:rsid w:val="00D84A5B"/>
    <w:rsid w:val="00D84FCF"/>
    <w:rsid w:val="00D86B35"/>
    <w:rsid w:val="00D87474"/>
    <w:rsid w:val="00D9053C"/>
    <w:rsid w:val="00D914FF"/>
    <w:rsid w:val="00D927EA"/>
    <w:rsid w:val="00D92C6B"/>
    <w:rsid w:val="00D9361C"/>
    <w:rsid w:val="00D94254"/>
    <w:rsid w:val="00D94547"/>
    <w:rsid w:val="00D955C8"/>
    <w:rsid w:val="00D96992"/>
    <w:rsid w:val="00DA1B9E"/>
    <w:rsid w:val="00DA36FD"/>
    <w:rsid w:val="00DA47D0"/>
    <w:rsid w:val="00DA4AD2"/>
    <w:rsid w:val="00DA5D94"/>
    <w:rsid w:val="00DA728E"/>
    <w:rsid w:val="00DA77C3"/>
    <w:rsid w:val="00DB06D1"/>
    <w:rsid w:val="00DB06E0"/>
    <w:rsid w:val="00DB2558"/>
    <w:rsid w:val="00DB3A59"/>
    <w:rsid w:val="00DB6BC3"/>
    <w:rsid w:val="00DC158A"/>
    <w:rsid w:val="00DC1775"/>
    <w:rsid w:val="00DC2F6F"/>
    <w:rsid w:val="00DC46C2"/>
    <w:rsid w:val="00DC4FD8"/>
    <w:rsid w:val="00DC5C98"/>
    <w:rsid w:val="00DC5D52"/>
    <w:rsid w:val="00DC730E"/>
    <w:rsid w:val="00DC732C"/>
    <w:rsid w:val="00DD17AD"/>
    <w:rsid w:val="00DD1C15"/>
    <w:rsid w:val="00DD3122"/>
    <w:rsid w:val="00DD3927"/>
    <w:rsid w:val="00DD5D70"/>
    <w:rsid w:val="00DE1788"/>
    <w:rsid w:val="00DE3551"/>
    <w:rsid w:val="00DE3EC7"/>
    <w:rsid w:val="00DF1B3E"/>
    <w:rsid w:val="00DF1CCC"/>
    <w:rsid w:val="00DF1F7C"/>
    <w:rsid w:val="00DF2CEA"/>
    <w:rsid w:val="00DF3C5B"/>
    <w:rsid w:val="00DF3EE6"/>
    <w:rsid w:val="00DF5B0B"/>
    <w:rsid w:val="00DF5E1D"/>
    <w:rsid w:val="00DF5EE9"/>
    <w:rsid w:val="00DF66D2"/>
    <w:rsid w:val="00DF6F7D"/>
    <w:rsid w:val="00DF770B"/>
    <w:rsid w:val="00DF7CE0"/>
    <w:rsid w:val="00E03071"/>
    <w:rsid w:val="00E0371F"/>
    <w:rsid w:val="00E04936"/>
    <w:rsid w:val="00E05A1B"/>
    <w:rsid w:val="00E0615D"/>
    <w:rsid w:val="00E076FD"/>
    <w:rsid w:val="00E07A32"/>
    <w:rsid w:val="00E10968"/>
    <w:rsid w:val="00E10E19"/>
    <w:rsid w:val="00E110C3"/>
    <w:rsid w:val="00E1159D"/>
    <w:rsid w:val="00E12B21"/>
    <w:rsid w:val="00E1384E"/>
    <w:rsid w:val="00E14CCC"/>
    <w:rsid w:val="00E15BBC"/>
    <w:rsid w:val="00E16E23"/>
    <w:rsid w:val="00E208D9"/>
    <w:rsid w:val="00E21080"/>
    <w:rsid w:val="00E21986"/>
    <w:rsid w:val="00E21F85"/>
    <w:rsid w:val="00E222F0"/>
    <w:rsid w:val="00E231DA"/>
    <w:rsid w:val="00E235DA"/>
    <w:rsid w:val="00E2394E"/>
    <w:rsid w:val="00E26170"/>
    <w:rsid w:val="00E27FF6"/>
    <w:rsid w:val="00E30DCB"/>
    <w:rsid w:val="00E30E9B"/>
    <w:rsid w:val="00E31088"/>
    <w:rsid w:val="00E31701"/>
    <w:rsid w:val="00E3187F"/>
    <w:rsid w:val="00E3335D"/>
    <w:rsid w:val="00E334FF"/>
    <w:rsid w:val="00E33622"/>
    <w:rsid w:val="00E336A1"/>
    <w:rsid w:val="00E3447A"/>
    <w:rsid w:val="00E34D6F"/>
    <w:rsid w:val="00E35029"/>
    <w:rsid w:val="00E35F65"/>
    <w:rsid w:val="00E36E6A"/>
    <w:rsid w:val="00E370D0"/>
    <w:rsid w:val="00E41C1C"/>
    <w:rsid w:val="00E43977"/>
    <w:rsid w:val="00E44C2F"/>
    <w:rsid w:val="00E50047"/>
    <w:rsid w:val="00E50D38"/>
    <w:rsid w:val="00E52352"/>
    <w:rsid w:val="00E53361"/>
    <w:rsid w:val="00E54894"/>
    <w:rsid w:val="00E54F2A"/>
    <w:rsid w:val="00E55F0F"/>
    <w:rsid w:val="00E569F2"/>
    <w:rsid w:val="00E56B90"/>
    <w:rsid w:val="00E577E6"/>
    <w:rsid w:val="00E578B1"/>
    <w:rsid w:val="00E60172"/>
    <w:rsid w:val="00E61BF5"/>
    <w:rsid w:val="00E61F93"/>
    <w:rsid w:val="00E624AC"/>
    <w:rsid w:val="00E62FCB"/>
    <w:rsid w:val="00E63DDE"/>
    <w:rsid w:val="00E66381"/>
    <w:rsid w:val="00E727B3"/>
    <w:rsid w:val="00E7281C"/>
    <w:rsid w:val="00E7299E"/>
    <w:rsid w:val="00E72CB6"/>
    <w:rsid w:val="00E72F32"/>
    <w:rsid w:val="00E73D03"/>
    <w:rsid w:val="00E74413"/>
    <w:rsid w:val="00E76999"/>
    <w:rsid w:val="00E76C70"/>
    <w:rsid w:val="00E76F03"/>
    <w:rsid w:val="00E80288"/>
    <w:rsid w:val="00E80B20"/>
    <w:rsid w:val="00E80D7B"/>
    <w:rsid w:val="00E82BB5"/>
    <w:rsid w:val="00E834E0"/>
    <w:rsid w:val="00E837FC"/>
    <w:rsid w:val="00E86201"/>
    <w:rsid w:val="00E86856"/>
    <w:rsid w:val="00E86F9F"/>
    <w:rsid w:val="00E9108A"/>
    <w:rsid w:val="00E91145"/>
    <w:rsid w:val="00E91F9D"/>
    <w:rsid w:val="00E94E38"/>
    <w:rsid w:val="00E95170"/>
    <w:rsid w:val="00E955E0"/>
    <w:rsid w:val="00E959A8"/>
    <w:rsid w:val="00E96F17"/>
    <w:rsid w:val="00EA0936"/>
    <w:rsid w:val="00EA0956"/>
    <w:rsid w:val="00EA0DB4"/>
    <w:rsid w:val="00EA15F8"/>
    <w:rsid w:val="00EA209E"/>
    <w:rsid w:val="00EA304E"/>
    <w:rsid w:val="00EA3F64"/>
    <w:rsid w:val="00EA4012"/>
    <w:rsid w:val="00EA49A8"/>
    <w:rsid w:val="00EA5F53"/>
    <w:rsid w:val="00EA6CF4"/>
    <w:rsid w:val="00EA6D4C"/>
    <w:rsid w:val="00EA6E04"/>
    <w:rsid w:val="00EB3E3D"/>
    <w:rsid w:val="00EB44CA"/>
    <w:rsid w:val="00EB5CEA"/>
    <w:rsid w:val="00EB7175"/>
    <w:rsid w:val="00EB7333"/>
    <w:rsid w:val="00EB79A9"/>
    <w:rsid w:val="00EC1877"/>
    <w:rsid w:val="00EC35BB"/>
    <w:rsid w:val="00EC3A60"/>
    <w:rsid w:val="00EC3F2A"/>
    <w:rsid w:val="00ED00B6"/>
    <w:rsid w:val="00ED0741"/>
    <w:rsid w:val="00ED413D"/>
    <w:rsid w:val="00ED46B6"/>
    <w:rsid w:val="00ED4829"/>
    <w:rsid w:val="00EE3215"/>
    <w:rsid w:val="00EE33C0"/>
    <w:rsid w:val="00EE3585"/>
    <w:rsid w:val="00EE3BDB"/>
    <w:rsid w:val="00EE418E"/>
    <w:rsid w:val="00EE4A2A"/>
    <w:rsid w:val="00EE6345"/>
    <w:rsid w:val="00EE6CB7"/>
    <w:rsid w:val="00EE7B6A"/>
    <w:rsid w:val="00EF03E1"/>
    <w:rsid w:val="00EF0E37"/>
    <w:rsid w:val="00EF1E19"/>
    <w:rsid w:val="00EF291F"/>
    <w:rsid w:val="00EF3642"/>
    <w:rsid w:val="00EF53C9"/>
    <w:rsid w:val="00EF7422"/>
    <w:rsid w:val="00EF7642"/>
    <w:rsid w:val="00EF7730"/>
    <w:rsid w:val="00F0162D"/>
    <w:rsid w:val="00F02CAF"/>
    <w:rsid w:val="00F03294"/>
    <w:rsid w:val="00F03F6E"/>
    <w:rsid w:val="00F05DDF"/>
    <w:rsid w:val="00F1041F"/>
    <w:rsid w:val="00F13C7B"/>
    <w:rsid w:val="00F14914"/>
    <w:rsid w:val="00F14D81"/>
    <w:rsid w:val="00F15581"/>
    <w:rsid w:val="00F175B7"/>
    <w:rsid w:val="00F20760"/>
    <w:rsid w:val="00F20B36"/>
    <w:rsid w:val="00F213EC"/>
    <w:rsid w:val="00F214CB"/>
    <w:rsid w:val="00F227EC"/>
    <w:rsid w:val="00F228DD"/>
    <w:rsid w:val="00F23D80"/>
    <w:rsid w:val="00F24870"/>
    <w:rsid w:val="00F24F78"/>
    <w:rsid w:val="00F251F5"/>
    <w:rsid w:val="00F25A16"/>
    <w:rsid w:val="00F300A9"/>
    <w:rsid w:val="00F307D8"/>
    <w:rsid w:val="00F32A4D"/>
    <w:rsid w:val="00F32B15"/>
    <w:rsid w:val="00F34590"/>
    <w:rsid w:val="00F37179"/>
    <w:rsid w:val="00F3765D"/>
    <w:rsid w:val="00F3786C"/>
    <w:rsid w:val="00F408D6"/>
    <w:rsid w:val="00F43629"/>
    <w:rsid w:val="00F4796D"/>
    <w:rsid w:val="00F50786"/>
    <w:rsid w:val="00F516D5"/>
    <w:rsid w:val="00F51AEF"/>
    <w:rsid w:val="00F529A9"/>
    <w:rsid w:val="00F52A82"/>
    <w:rsid w:val="00F5433C"/>
    <w:rsid w:val="00F5543E"/>
    <w:rsid w:val="00F55578"/>
    <w:rsid w:val="00F5602C"/>
    <w:rsid w:val="00F56324"/>
    <w:rsid w:val="00F5734B"/>
    <w:rsid w:val="00F606E9"/>
    <w:rsid w:val="00F61CB9"/>
    <w:rsid w:val="00F64264"/>
    <w:rsid w:val="00F64530"/>
    <w:rsid w:val="00F6480F"/>
    <w:rsid w:val="00F64DE4"/>
    <w:rsid w:val="00F65BD5"/>
    <w:rsid w:val="00F6607B"/>
    <w:rsid w:val="00F667BC"/>
    <w:rsid w:val="00F66AFD"/>
    <w:rsid w:val="00F66B8E"/>
    <w:rsid w:val="00F6755B"/>
    <w:rsid w:val="00F7018D"/>
    <w:rsid w:val="00F70789"/>
    <w:rsid w:val="00F7474D"/>
    <w:rsid w:val="00F767A8"/>
    <w:rsid w:val="00F772E2"/>
    <w:rsid w:val="00F803CE"/>
    <w:rsid w:val="00F828F1"/>
    <w:rsid w:val="00F834B2"/>
    <w:rsid w:val="00F83597"/>
    <w:rsid w:val="00F841D0"/>
    <w:rsid w:val="00F85F7D"/>
    <w:rsid w:val="00F862C8"/>
    <w:rsid w:val="00F904C3"/>
    <w:rsid w:val="00F90EBE"/>
    <w:rsid w:val="00F9130B"/>
    <w:rsid w:val="00F91667"/>
    <w:rsid w:val="00F92059"/>
    <w:rsid w:val="00F925B8"/>
    <w:rsid w:val="00F92922"/>
    <w:rsid w:val="00F96652"/>
    <w:rsid w:val="00FA0248"/>
    <w:rsid w:val="00FA0381"/>
    <w:rsid w:val="00FA0C52"/>
    <w:rsid w:val="00FA313C"/>
    <w:rsid w:val="00FA56B6"/>
    <w:rsid w:val="00FB0130"/>
    <w:rsid w:val="00FB25B4"/>
    <w:rsid w:val="00FB2C22"/>
    <w:rsid w:val="00FB3A20"/>
    <w:rsid w:val="00FB3F65"/>
    <w:rsid w:val="00FB5E4F"/>
    <w:rsid w:val="00FB69DE"/>
    <w:rsid w:val="00FC04C3"/>
    <w:rsid w:val="00FC1451"/>
    <w:rsid w:val="00FC29CA"/>
    <w:rsid w:val="00FC2D6C"/>
    <w:rsid w:val="00FC34EE"/>
    <w:rsid w:val="00FC3D1C"/>
    <w:rsid w:val="00FC619B"/>
    <w:rsid w:val="00FC61DA"/>
    <w:rsid w:val="00FC6A7E"/>
    <w:rsid w:val="00FD02AE"/>
    <w:rsid w:val="00FD14BF"/>
    <w:rsid w:val="00FD2AF7"/>
    <w:rsid w:val="00FD335D"/>
    <w:rsid w:val="00FD3585"/>
    <w:rsid w:val="00FD5E26"/>
    <w:rsid w:val="00FE0763"/>
    <w:rsid w:val="00FE2D9C"/>
    <w:rsid w:val="00FE5EA7"/>
    <w:rsid w:val="00FE605C"/>
    <w:rsid w:val="00FE6906"/>
    <w:rsid w:val="00FF0B64"/>
    <w:rsid w:val="00FF18E5"/>
    <w:rsid w:val="00FF1F77"/>
    <w:rsid w:val="00FF26AF"/>
    <w:rsid w:val="00FF40D9"/>
    <w:rsid w:val="00FF641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0354">
      <o:colormenu v:ext="edit" fillcolor="none [3214]"/>
    </o:shapedefaults>
    <o:shapelayout v:ext="edit">
      <o:idmap v:ext="edit" data="1"/>
      <o:rules v:ext="edit">
        <o:r id="V:Rule31" type="connector" idref="#Connecteur droit avec flèche 9"/>
        <o:r id="V:Rule32" type="connector" idref="#Connecteur droit avec flèche 21"/>
        <o:r id="V:Rule33" type="connector" idref="#AutoShape 38"/>
        <o:r id="V:Rule34" type="connector" idref="#Connecteur droit avec flèche 20"/>
        <o:r id="V:Rule35" type="connector" idref="#AutoShape 66"/>
        <o:r id="V:Rule36" type="connector" idref="#_x0000_s1118"/>
        <o:r id="V:Rule37" type="connector" idref="#AutoShape 40"/>
        <o:r id="V:Rule38" type="connector" idref="#_x0000_s1117"/>
        <o:r id="V:Rule39" type="connector" idref="#AutoShape 51"/>
        <o:r id="V:Rule40" type="connector" idref="#AutoShape 50"/>
        <o:r id="V:Rule41" type="connector" idref="#AutoShape 49"/>
        <o:r id="V:Rule42" type="connector" idref="#Connecteur droit avec flèche 10"/>
        <o:r id="V:Rule43" type="connector" idref="#Connecteur droit avec flèche 16"/>
        <o:r id="V:Rule44" type="connector" idref="#AutoShape 64"/>
        <o:r id="V:Rule45" type="connector" idref="#AutoShape 16"/>
        <o:r id="V:Rule46" type="connector" idref="#_x0000_s1119"/>
        <o:r id="V:Rule47" type="connector" idref="#AutoShape 63"/>
        <o:r id="V:Rule48" type="connector" idref="#AutoShape 42"/>
        <o:r id="V:Rule49" type="connector" idref="#_x0000_s1116"/>
        <o:r id="V:Rule50" type="connector" idref="#AutoShape 11"/>
        <o:r id="V:Rule51" type="connector" idref="#AutoShape 53"/>
        <o:r id="V:Rule52" type="connector" idref="#AutoShape 31"/>
        <o:r id="V:Rule53" type="connector" idref="#AutoShape 26"/>
        <o:r id="V:Rule54" type="connector" idref="#AutoShape 65"/>
        <o:r id="V:Rule55" type="connector" idref="#AutoShape 14"/>
        <o:r id="V:Rule56" type="connector" idref="#AutoShape 41"/>
        <o:r id="V:Rule57" type="connector" idref="#_x0000_s1120"/>
        <o:r id="V:Rule58" type="connector" idref="#AutoShape 54"/>
        <o:r id="V:Rule59" type="connector" idref="#AutoShape 39"/>
        <o:r id="V:Rule60" type="connector" idref="#AutoShape 1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index heading"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HTML Cite"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EED"/>
    <w:pPr>
      <w:spacing w:after="200" w:line="276" w:lineRule="auto"/>
    </w:pPr>
    <w:rPr>
      <w:rFonts w:cs="Times New Roman"/>
      <w:sz w:val="22"/>
      <w:szCs w:val="22"/>
      <w:lang w:eastAsia="en-US"/>
    </w:rPr>
  </w:style>
  <w:style w:type="paragraph" w:styleId="Titre1">
    <w:name w:val="heading 1"/>
    <w:basedOn w:val="Normal"/>
    <w:next w:val="Normal"/>
    <w:link w:val="Titre1Car"/>
    <w:qFormat/>
    <w:rsid w:val="006A4EED"/>
    <w:pPr>
      <w:keepNext/>
      <w:keepLines/>
      <w:pBdr>
        <w:bottom w:val="single" w:sz="12" w:space="1" w:color="7F7F7F"/>
      </w:pBdr>
      <w:bidi/>
      <w:spacing w:before="480" w:after="0" w:line="360" w:lineRule="auto"/>
      <w:jc w:val="right"/>
      <w:outlineLvl w:val="0"/>
    </w:pPr>
    <w:rPr>
      <w:rFonts w:ascii="Arial Black" w:eastAsia="Times New Roman" w:hAnsi="Arial Black"/>
      <w:bCs/>
      <w:color w:val="365F91"/>
      <w:sz w:val="30"/>
      <w:szCs w:val="28"/>
      <w:lang w:val="en-US"/>
    </w:rPr>
  </w:style>
  <w:style w:type="paragraph" w:styleId="Titre2">
    <w:name w:val="heading 2"/>
    <w:basedOn w:val="Normal"/>
    <w:next w:val="Normal"/>
    <w:link w:val="Titre2Car"/>
    <w:qFormat/>
    <w:rsid w:val="006A4EED"/>
    <w:pPr>
      <w:keepNext/>
      <w:pBdr>
        <w:bottom w:val="single" w:sz="18" w:space="1" w:color="7F7F7F"/>
      </w:pBdr>
      <w:spacing w:before="240" w:after="60" w:line="360" w:lineRule="auto"/>
      <w:outlineLvl w:val="1"/>
    </w:pPr>
    <w:rPr>
      <w:rFonts w:ascii="Arial" w:eastAsia="Times New Roman" w:hAnsi="Arial" w:cs="Arial"/>
      <w:b/>
      <w:bCs/>
      <w:i/>
      <w:iCs/>
      <w:sz w:val="28"/>
      <w:szCs w:val="28"/>
      <w:lang w:eastAsia="fr-FR"/>
    </w:rPr>
  </w:style>
  <w:style w:type="paragraph" w:styleId="Titre3">
    <w:name w:val="heading 3"/>
    <w:basedOn w:val="Normal"/>
    <w:next w:val="Normal"/>
    <w:link w:val="Titre3Car"/>
    <w:qFormat/>
    <w:rsid w:val="006A4EED"/>
    <w:pPr>
      <w:keepNext/>
      <w:spacing w:before="240" w:after="60" w:line="480" w:lineRule="auto"/>
      <w:outlineLvl w:val="2"/>
    </w:pPr>
    <w:rPr>
      <w:rFonts w:ascii="Arial" w:eastAsia="Times New Roman" w:hAnsi="Arial" w:cs="Arial"/>
      <w:b/>
      <w:bCs/>
      <w:sz w:val="26"/>
      <w:szCs w:val="26"/>
      <w:lang w:eastAsia="fr-FR"/>
    </w:rPr>
  </w:style>
  <w:style w:type="paragraph" w:styleId="Titre4">
    <w:name w:val="heading 4"/>
    <w:basedOn w:val="Normal"/>
    <w:next w:val="Normal"/>
    <w:link w:val="Titre4Car"/>
    <w:uiPriority w:val="9"/>
    <w:unhideWhenUsed/>
    <w:qFormat/>
    <w:rsid w:val="006A4EED"/>
    <w:pPr>
      <w:keepNext/>
      <w:spacing w:before="240" w:after="120" w:line="480" w:lineRule="auto"/>
      <w:ind w:left="709"/>
      <w:outlineLvl w:val="3"/>
    </w:pPr>
    <w:rPr>
      <w:rFonts w:eastAsia="Times New Roman"/>
      <w:b/>
      <w:bCs/>
      <w:i/>
      <w:sz w:val="24"/>
      <w:szCs w:val="28"/>
    </w:rPr>
  </w:style>
  <w:style w:type="paragraph" w:styleId="Titre5">
    <w:name w:val="heading 5"/>
    <w:basedOn w:val="Normal"/>
    <w:next w:val="Normal"/>
    <w:link w:val="Titre5Car"/>
    <w:uiPriority w:val="9"/>
    <w:unhideWhenUsed/>
    <w:qFormat/>
    <w:rsid w:val="006A4EED"/>
    <w:pPr>
      <w:keepNext/>
      <w:keepLines/>
      <w:spacing w:before="360" w:after="240" w:line="360" w:lineRule="auto"/>
      <w:outlineLvl w:val="4"/>
    </w:pPr>
    <w:rPr>
      <w:rFonts w:ascii="Cambria" w:eastAsia="Times New Roman" w:hAnsi="Cambria"/>
      <w:b/>
      <w:color w:val="243F60"/>
      <w:sz w:val="24"/>
    </w:rPr>
  </w:style>
  <w:style w:type="paragraph" w:styleId="Titre6">
    <w:name w:val="heading 6"/>
    <w:basedOn w:val="Normal"/>
    <w:next w:val="Normal"/>
    <w:link w:val="Titre6Car"/>
    <w:qFormat/>
    <w:rsid w:val="006A4EED"/>
    <w:pPr>
      <w:spacing w:before="240" w:after="240" w:line="240" w:lineRule="auto"/>
      <w:outlineLvl w:val="5"/>
    </w:pPr>
    <w:rPr>
      <w:rFonts w:ascii="Times New Roman" w:eastAsia="Times New Roman" w:hAnsi="Times New Roman"/>
      <w:bCs/>
      <w:i/>
      <w:u w:val="single"/>
      <w:lang w:eastAsia="fr-FR"/>
    </w:rPr>
  </w:style>
  <w:style w:type="paragraph" w:styleId="Titre7">
    <w:name w:val="heading 7"/>
    <w:basedOn w:val="Normal"/>
    <w:next w:val="Normal"/>
    <w:link w:val="Titre7Car"/>
    <w:uiPriority w:val="9"/>
    <w:unhideWhenUsed/>
    <w:qFormat/>
    <w:rsid w:val="006A4EED"/>
    <w:pPr>
      <w:keepNext/>
      <w:keepLines/>
      <w:spacing w:before="200" w:after="0"/>
      <w:outlineLvl w:val="6"/>
    </w:pPr>
    <w:rPr>
      <w:rFonts w:ascii="Cambria" w:eastAsia="Times New Roman" w:hAnsi="Cambria"/>
      <w:i/>
      <w:iCs/>
      <w:color w:val="40404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A4EED"/>
    <w:rPr>
      <w:rFonts w:ascii="Arial Black" w:eastAsia="Times New Roman" w:hAnsi="Arial Black" w:cs="Times New Roman"/>
      <w:bCs/>
      <w:color w:val="365F91"/>
      <w:sz w:val="30"/>
      <w:szCs w:val="28"/>
      <w:lang w:val="en-US"/>
    </w:rPr>
  </w:style>
  <w:style w:type="character" w:customStyle="1" w:styleId="Titre2Car">
    <w:name w:val="Titre 2 Car"/>
    <w:basedOn w:val="Policepardfaut"/>
    <w:link w:val="Titre2"/>
    <w:rsid w:val="006A4EED"/>
    <w:rPr>
      <w:rFonts w:ascii="Arial" w:eastAsia="Times New Roman" w:hAnsi="Arial" w:cs="Arial"/>
      <w:b/>
      <w:bCs/>
      <w:i/>
      <w:iCs/>
      <w:sz w:val="28"/>
      <w:szCs w:val="28"/>
      <w:lang w:eastAsia="fr-FR"/>
    </w:rPr>
  </w:style>
  <w:style w:type="character" w:customStyle="1" w:styleId="Titre3Car">
    <w:name w:val="Titre 3 Car"/>
    <w:basedOn w:val="Policepardfaut"/>
    <w:link w:val="Titre3"/>
    <w:rsid w:val="006A4EED"/>
    <w:rPr>
      <w:rFonts w:ascii="Arial" w:eastAsia="Times New Roman" w:hAnsi="Arial" w:cs="Arial"/>
      <w:b/>
      <w:bCs/>
      <w:sz w:val="26"/>
      <w:szCs w:val="26"/>
      <w:lang w:eastAsia="fr-FR"/>
    </w:rPr>
  </w:style>
  <w:style w:type="character" w:customStyle="1" w:styleId="Titre4Car">
    <w:name w:val="Titre 4 Car"/>
    <w:basedOn w:val="Policepardfaut"/>
    <w:link w:val="Titre4"/>
    <w:uiPriority w:val="9"/>
    <w:rsid w:val="006A4EED"/>
    <w:rPr>
      <w:rFonts w:ascii="Calibri" w:eastAsia="Times New Roman" w:hAnsi="Calibri" w:cs="Times New Roman"/>
      <w:b/>
      <w:bCs/>
      <w:i/>
      <w:sz w:val="24"/>
      <w:szCs w:val="28"/>
    </w:rPr>
  </w:style>
  <w:style w:type="character" w:customStyle="1" w:styleId="Titre5Car">
    <w:name w:val="Titre 5 Car"/>
    <w:basedOn w:val="Policepardfaut"/>
    <w:link w:val="Titre5"/>
    <w:uiPriority w:val="9"/>
    <w:rsid w:val="006A4EED"/>
    <w:rPr>
      <w:rFonts w:ascii="Cambria" w:eastAsia="Times New Roman" w:hAnsi="Cambria" w:cs="Times New Roman"/>
      <w:b/>
      <w:color w:val="243F60"/>
      <w:sz w:val="24"/>
    </w:rPr>
  </w:style>
  <w:style w:type="character" w:customStyle="1" w:styleId="Titre6Car">
    <w:name w:val="Titre 6 Car"/>
    <w:basedOn w:val="Policepardfaut"/>
    <w:link w:val="Titre6"/>
    <w:rsid w:val="006A4EED"/>
    <w:rPr>
      <w:rFonts w:ascii="Times New Roman" w:eastAsia="Times New Roman" w:hAnsi="Times New Roman" w:cs="Times New Roman"/>
      <w:bCs/>
      <w:i/>
      <w:u w:val="single"/>
      <w:lang w:eastAsia="fr-FR"/>
    </w:rPr>
  </w:style>
  <w:style w:type="character" w:customStyle="1" w:styleId="Titre7Car">
    <w:name w:val="Titre 7 Car"/>
    <w:basedOn w:val="Policepardfaut"/>
    <w:link w:val="Titre7"/>
    <w:uiPriority w:val="9"/>
    <w:rsid w:val="006A4EED"/>
    <w:rPr>
      <w:rFonts w:ascii="Cambria" w:eastAsia="Times New Roman" w:hAnsi="Cambria" w:cs="Times New Roman"/>
      <w:i/>
      <w:iCs/>
      <w:color w:val="404040"/>
    </w:rPr>
  </w:style>
  <w:style w:type="paragraph" w:styleId="Paragraphedeliste">
    <w:name w:val="List Paragraph"/>
    <w:aliases w:val="Titre 4'"/>
    <w:basedOn w:val="Normal"/>
    <w:uiPriority w:val="34"/>
    <w:qFormat/>
    <w:rsid w:val="006A4EED"/>
    <w:pPr>
      <w:ind w:left="720"/>
      <w:contextualSpacing/>
    </w:pPr>
  </w:style>
  <w:style w:type="paragraph" w:styleId="Notedebasdepage">
    <w:name w:val="footnote text"/>
    <w:basedOn w:val="Normal"/>
    <w:link w:val="NotedebasdepageCar"/>
    <w:unhideWhenUsed/>
    <w:rsid w:val="006A4EED"/>
    <w:pPr>
      <w:spacing w:after="0" w:line="240" w:lineRule="auto"/>
    </w:pPr>
    <w:rPr>
      <w:sz w:val="20"/>
      <w:szCs w:val="20"/>
    </w:rPr>
  </w:style>
  <w:style w:type="character" w:customStyle="1" w:styleId="NotedebasdepageCar">
    <w:name w:val="Note de bas de page Car"/>
    <w:basedOn w:val="Policepardfaut"/>
    <w:link w:val="Notedebasdepage"/>
    <w:rsid w:val="006A4EED"/>
    <w:rPr>
      <w:rFonts w:ascii="Calibri" w:eastAsia="Calibri" w:hAnsi="Calibri" w:cs="Times New Roman"/>
      <w:sz w:val="20"/>
      <w:szCs w:val="20"/>
    </w:rPr>
  </w:style>
  <w:style w:type="character" w:styleId="Appelnotedebasdep">
    <w:name w:val="footnote reference"/>
    <w:semiHidden/>
    <w:unhideWhenUsed/>
    <w:rsid w:val="006A4EED"/>
    <w:rPr>
      <w:vertAlign w:val="superscript"/>
    </w:rPr>
  </w:style>
  <w:style w:type="paragraph" w:styleId="Textedebulles">
    <w:name w:val="Balloon Text"/>
    <w:basedOn w:val="Normal"/>
    <w:link w:val="TextedebullesCar"/>
    <w:uiPriority w:val="99"/>
    <w:semiHidden/>
    <w:unhideWhenUsed/>
    <w:rsid w:val="006A4EE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A4EED"/>
    <w:rPr>
      <w:rFonts w:ascii="Tahoma" w:eastAsia="Calibri" w:hAnsi="Tahoma" w:cs="Tahoma"/>
      <w:sz w:val="16"/>
      <w:szCs w:val="16"/>
    </w:rPr>
  </w:style>
  <w:style w:type="paragraph" w:styleId="NormalWeb">
    <w:name w:val="Normal (Web)"/>
    <w:basedOn w:val="Normal"/>
    <w:uiPriority w:val="99"/>
    <w:unhideWhenUsed/>
    <w:rsid w:val="006A4EED"/>
    <w:pPr>
      <w:spacing w:before="100" w:beforeAutospacing="1" w:after="100" w:afterAutospacing="1" w:line="240" w:lineRule="auto"/>
    </w:pPr>
    <w:rPr>
      <w:rFonts w:ascii="Times New Roman" w:eastAsia="Times New Roman" w:hAnsi="Times New Roman"/>
      <w:sz w:val="24"/>
      <w:szCs w:val="24"/>
      <w:lang w:eastAsia="fr-FR"/>
    </w:rPr>
  </w:style>
  <w:style w:type="character" w:customStyle="1" w:styleId="FontStyle71">
    <w:name w:val="Font Style71"/>
    <w:uiPriority w:val="99"/>
    <w:rsid w:val="006A4EED"/>
    <w:rPr>
      <w:rFonts w:ascii="Times New Roman" w:hAnsi="Times New Roman" w:cs="Times New Roman"/>
      <w:sz w:val="16"/>
      <w:szCs w:val="16"/>
    </w:rPr>
  </w:style>
  <w:style w:type="paragraph" w:customStyle="1" w:styleId="Style4">
    <w:name w:val="Style4"/>
    <w:basedOn w:val="Normal"/>
    <w:uiPriority w:val="99"/>
    <w:rsid w:val="006A4EED"/>
    <w:pPr>
      <w:widowControl w:val="0"/>
      <w:autoSpaceDE w:val="0"/>
      <w:autoSpaceDN w:val="0"/>
      <w:adjustRightInd w:val="0"/>
      <w:spacing w:before="100" w:beforeAutospacing="1" w:after="0" w:afterAutospacing="1" w:line="240" w:lineRule="auto"/>
      <w:jc w:val="both"/>
    </w:pPr>
    <w:rPr>
      <w:rFonts w:ascii="Times New Roman" w:eastAsia="Times New Roman" w:hAnsi="Times New Roman"/>
      <w:sz w:val="24"/>
      <w:szCs w:val="24"/>
      <w:lang w:eastAsia="fr-FR"/>
    </w:rPr>
  </w:style>
  <w:style w:type="paragraph" w:customStyle="1" w:styleId="Style29">
    <w:name w:val="Style29"/>
    <w:basedOn w:val="Normal"/>
    <w:uiPriority w:val="99"/>
    <w:rsid w:val="006A4EED"/>
    <w:pPr>
      <w:widowControl w:val="0"/>
      <w:autoSpaceDE w:val="0"/>
      <w:autoSpaceDN w:val="0"/>
      <w:adjustRightInd w:val="0"/>
      <w:spacing w:before="100" w:beforeAutospacing="1" w:after="0" w:afterAutospacing="1" w:line="413" w:lineRule="exact"/>
      <w:ind w:firstLine="1450"/>
      <w:jc w:val="both"/>
    </w:pPr>
    <w:rPr>
      <w:rFonts w:ascii="Times New Roman" w:eastAsia="Times New Roman" w:hAnsi="Times New Roman"/>
      <w:sz w:val="24"/>
      <w:szCs w:val="24"/>
      <w:lang w:eastAsia="fr-FR"/>
    </w:rPr>
  </w:style>
  <w:style w:type="character" w:customStyle="1" w:styleId="FontStyle68">
    <w:name w:val="Font Style68"/>
    <w:uiPriority w:val="99"/>
    <w:rsid w:val="006A4EED"/>
    <w:rPr>
      <w:rFonts w:ascii="Times New Roman" w:hAnsi="Times New Roman" w:cs="Times New Roman"/>
      <w:sz w:val="22"/>
      <w:szCs w:val="22"/>
    </w:rPr>
  </w:style>
  <w:style w:type="character" w:customStyle="1" w:styleId="FontStyle79">
    <w:name w:val="Font Style79"/>
    <w:uiPriority w:val="99"/>
    <w:rsid w:val="006A4EED"/>
    <w:rPr>
      <w:rFonts w:ascii="Times New Roman" w:hAnsi="Times New Roman" w:cs="Times New Roman"/>
      <w:b/>
      <w:bCs/>
      <w:sz w:val="22"/>
      <w:szCs w:val="22"/>
    </w:rPr>
  </w:style>
  <w:style w:type="character" w:customStyle="1" w:styleId="nom1">
    <w:name w:val="nom1"/>
    <w:rsid w:val="006A4EED"/>
    <w:rPr>
      <w:smallCaps/>
    </w:rPr>
  </w:style>
  <w:style w:type="character" w:customStyle="1" w:styleId="ouvrage2">
    <w:name w:val="ouvrage2"/>
    <w:rsid w:val="006A4EED"/>
    <w:rPr>
      <w:i/>
      <w:iCs/>
    </w:rPr>
  </w:style>
  <w:style w:type="character" w:styleId="Accentuation">
    <w:name w:val="Emphasis"/>
    <w:uiPriority w:val="20"/>
    <w:qFormat/>
    <w:rsid w:val="006A4EED"/>
    <w:rPr>
      <w:i/>
      <w:iCs/>
    </w:rPr>
  </w:style>
  <w:style w:type="character" w:customStyle="1" w:styleId="redacteur2">
    <w:name w:val="redacteur2"/>
    <w:rsid w:val="006A4EED"/>
    <w:rPr>
      <w:b/>
      <w:bCs/>
    </w:rPr>
  </w:style>
  <w:style w:type="character" w:styleId="lev">
    <w:name w:val="Strong"/>
    <w:uiPriority w:val="22"/>
    <w:qFormat/>
    <w:rsid w:val="006A4EED"/>
    <w:rPr>
      <w:b/>
      <w:bCs/>
    </w:rPr>
  </w:style>
  <w:style w:type="character" w:styleId="Lienhypertexte">
    <w:name w:val="Hyperlink"/>
    <w:uiPriority w:val="99"/>
    <w:rsid w:val="006A4EED"/>
    <w:rPr>
      <w:color w:val="0000FF"/>
      <w:u w:val="single"/>
    </w:rPr>
  </w:style>
  <w:style w:type="numbering" w:customStyle="1" w:styleId="Aucuneliste1">
    <w:name w:val="Aucune liste1"/>
    <w:next w:val="Aucuneliste"/>
    <w:semiHidden/>
    <w:unhideWhenUsed/>
    <w:rsid w:val="006A4EED"/>
  </w:style>
  <w:style w:type="table" w:styleId="Grilledutableau">
    <w:name w:val="Table Grid"/>
    <w:basedOn w:val="TableauNormal"/>
    <w:uiPriority w:val="59"/>
    <w:rsid w:val="006A4EED"/>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rsid w:val="006A4EED"/>
    <w:pPr>
      <w:tabs>
        <w:tab w:val="center" w:pos="4536"/>
        <w:tab w:val="right" w:pos="9072"/>
      </w:tabs>
      <w:spacing w:after="0" w:line="240" w:lineRule="auto"/>
    </w:pPr>
    <w:rPr>
      <w:rFonts w:ascii="Times New Roman" w:eastAsia="Times New Roman" w:hAnsi="Times New Roman"/>
      <w:sz w:val="24"/>
      <w:szCs w:val="24"/>
      <w:lang w:eastAsia="fr-FR"/>
    </w:rPr>
  </w:style>
  <w:style w:type="character" w:customStyle="1" w:styleId="En-tteCar">
    <w:name w:val="En-tête Car"/>
    <w:basedOn w:val="Policepardfaut"/>
    <w:link w:val="En-tte"/>
    <w:uiPriority w:val="99"/>
    <w:rsid w:val="006A4EED"/>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rsid w:val="006A4EED"/>
    <w:pPr>
      <w:tabs>
        <w:tab w:val="center" w:pos="4536"/>
        <w:tab w:val="right" w:pos="9072"/>
      </w:tabs>
      <w:spacing w:after="0" w:line="240" w:lineRule="auto"/>
    </w:pPr>
    <w:rPr>
      <w:rFonts w:ascii="Times New Roman" w:eastAsia="Times New Roman" w:hAnsi="Times New Roman"/>
      <w:sz w:val="24"/>
      <w:szCs w:val="24"/>
      <w:lang w:eastAsia="fr-FR"/>
    </w:rPr>
  </w:style>
  <w:style w:type="character" w:customStyle="1" w:styleId="PieddepageCar">
    <w:name w:val="Pied de page Car"/>
    <w:basedOn w:val="Policepardfaut"/>
    <w:link w:val="Pieddepage"/>
    <w:uiPriority w:val="99"/>
    <w:rsid w:val="006A4EED"/>
    <w:rPr>
      <w:rFonts w:ascii="Times New Roman" w:eastAsia="Times New Roman" w:hAnsi="Times New Roman" w:cs="Times New Roman"/>
      <w:sz w:val="24"/>
      <w:szCs w:val="24"/>
      <w:lang w:eastAsia="fr-FR"/>
    </w:rPr>
  </w:style>
  <w:style w:type="character" w:styleId="Numrodepage">
    <w:name w:val="page number"/>
    <w:rsid w:val="006A4EED"/>
  </w:style>
  <w:style w:type="paragraph" w:styleId="Corpsdetexte">
    <w:name w:val="Body Text"/>
    <w:basedOn w:val="Normal"/>
    <w:link w:val="CorpsdetexteCar"/>
    <w:rsid w:val="006A4EED"/>
    <w:pPr>
      <w:spacing w:after="0" w:line="240" w:lineRule="auto"/>
    </w:pPr>
    <w:rPr>
      <w:rFonts w:ascii="Times New Roman" w:eastAsia="Times New Roman" w:hAnsi="Times New Roman"/>
      <w:sz w:val="24"/>
      <w:szCs w:val="24"/>
      <w:lang w:eastAsia="fr-FR"/>
    </w:rPr>
  </w:style>
  <w:style w:type="character" w:customStyle="1" w:styleId="CorpsdetexteCar">
    <w:name w:val="Corps de texte Car"/>
    <w:basedOn w:val="Policepardfaut"/>
    <w:link w:val="Corpsdetexte"/>
    <w:rsid w:val="006A4EED"/>
    <w:rPr>
      <w:rFonts w:ascii="Times New Roman" w:eastAsia="Times New Roman" w:hAnsi="Times New Roman" w:cs="Times New Roman"/>
      <w:sz w:val="24"/>
      <w:szCs w:val="24"/>
      <w:lang w:eastAsia="fr-FR"/>
    </w:rPr>
  </w:style>
  <w:style w:type="character" w:styleId="Marquedecommentaire">
    <w:name w:val="annotation reference"/>
    <w:semiHidden/>
    <w:rsid w:val="006A4EED"/>
    <w:rPr>
      <w:sz w:val="16"/>
      <w:szCs w:val="16"/>
    </w:rPr>
  </w:style>
  <w:style w:type="paragraph" w:styleId="Commentaire">
    <w:name w:val="annotation text"/>
    <w:basedOn w:val="Normal"/>
    <w:link w:val="CommentaireCar"/>
    <w:semiHidden/>
    <w:rsid w:val="006A4EED"/>
    <w:pPr>
      <w:spacing w:after="0" w:line="240" w:lineRule="auto"/>
    </w:pPr>
    <w:rPr>
      <w:rFonts w:ascii="Times New Roman" w:eastAsia="Times New Roman" w:hAnsi="Times New Roman"/>
      <w:sz w:val="20"/>
      <w:szCs w:val="20"/>
      <w:lang w:eastAsia="fr-FR"/>
    </w:rPr>
  </w:style>
  <w:style w:type="character" w:customStyle="1" w:styleId="CommentaireCar">
    <w:name w:val="Commentaire Car"/>
    <w:basedOn w:val="Policepardfaut"/>
    <w:link w:val="Commentaire"/>
    <w:semiHidden/>
    <w:rsid w:val="006A4EED"/>
    <w:rPr>
      <w:rFonts w:ascii="Times New Roman" w:eastAsia="Times New Roman" w:hAnsi="Times New Roman" w:cs="Times New Roman"/>
      <w:sz w:val="20"/>
      <w:szCs w:val="20"/>
      <w:lang w:eastAsia="fr-FR"/>
    </w:rPr>
  </w:style>
  <w:style w:type="paragraph" w:styleId="Objetducommentaire">
    <w:name w:val="annotation subject"/>
    <w:basedOn w:val="Commentaire"/>
    <w:next w:val="Commentaire"/>
    <w:link w:val="ObjetducommentaireCar"/>
    <w:semiHidden/>
    <w:rsid w:val="006A4EED"/>
    <w:rPr>
      <w:b/>
      <w:bCs/>
    </w:rPr>
  </w:style>
  <w:style w:type="character" w:customStyle="1" w:styleId="ObjetducommentaireCar">
    <w:name w:val="Objet du commentaire Car"/>
    <w:basedOn w:val="CommentaireCar"/>
    <w:link w:val="Objetducommentaire"/>
    <w:semiHidden/>
    <w:rsid w:val="006A4EED"/>
    <w:rPr>
      <w:b/>
      <w:bCs/>
    </w:rPr>
  </w:style>
  <w:style w:type="character" w:styleId="Lienhypertextesuivivisit">
    <w:name w:val="FollowedHyperlink"/>
    <w:rsid w:val="006A4EED"/>
    <w:rPr>
      <w:color w:val="800080"/>
      <w:u w:val="single"/>
    </w:rPr>
  </w:style>
  <w:style w:type="paragraph" w:styleId="TM1">
    <w:name w:val="toc 1"/>
    <w:basedOn w:val="Normal"/>
    <w:next w:val="Normal"/>
    <w:autoRedefine/>
    <w:uiPriority w:val="39"/>
    <w:rsid w:val="0071022D"/>
    <w:pPr>
      <w:tabs>
        <w:tab w:val="right" w:leader="underscore" w:pos="9062"/>
      </w:tabs>
      <w:spacing w:before="120" w:after="0"/>
    </w:pPr>
    <w:rPr>
      <w:rFonts w:ascii="Times New Roman" w:hAnsi="Times New Roman"/>
      <w:b/>
      <w:bCs/>
      <w:iCs/>
      <w:noProof/>
      <w:sz w:val="24"/>
      <w:szCs w:val="24"/>
      <w:lang w:eastAsia="fr-FR"/>
    </w:rPr>
  </w:style>
  <w:style w:type="paragraph" w:styleId="TM2">
    <w:name w:val="toc 2"/>
    <w:basedOn w:val="Normal"/>
    <w:next w:val="Normal"/>
    <w:autoRedefine/>
    <w:uiPriority w:val="39"/>
    <w:rsid w:val="006A4EED"/>
    <w:pPr>
      <w:spacing w:before="120" w:after="0"/>
      <w:ind w:left="220"/>
    </w:pPr>
    <w:rPr>
      <w:b/>
      <w:bCs/>
    </w:rPr>
  </w:style>
  <w:style w:type="paragraph" w:styleId="TM3">
    <w:name w:val="toc 3"/>
    <w:basedOn w:val="Normal"/>
    <w:next w:val="Normal"/>
    <w:autoRedefine/>
    <w:uiPriority w:val="39"/>
    <w:rsid w:val="006A4EED"/>
    <w:pPr>
      <w:spacing w:after="0"/>
      <w:ind w:left="440"/>
      <w:jc w:val="center"/>
    </w:pPr>
    <w:rPr>
      <w:sz w:val="20"/>
      <w:szCs w:val="20"/>
    </w:rPr>
  </w:style>
  <w:style w:type="paragraph" w:styleId="TM4">
    <w:name w:val="toc 4"/>
    <w:basedOn w:val="Normal"/>
    <w:next w:val="Normal"/>
    <w:autoRedefine/>
    <w:uiPriority w:val="39"/>
    <w:rsid w:val="006A4EED"/>
    <w:pPr>
      <w:spacing w:after="0"/>
      <w:ind w:left="660"/>
    </w:pPr>
    <w:rPr>
      <w:sz w:val="20"/>
      <w:szCs w:val="20"/>
    </w:rPr>
  </w:style>
  <w:style w:type="paragraph" w:styleId="TM5">
    <w:name w:val="toc 5"/>
    <w:basedOn w:val="Normal"/>
    <w:next w:val="Normal"/>
    <w:autoRedefine/>
    <w:uiPriority w:val="39"/>
    <w:rsid w:val="006A4EED"/>
    <w:pPr>
      <w:spacing w:after="0"/>
      <w:ind w:left="880"/>
    </w:pPr>
    <w:rPr>
      <w:sz w:val="20"/>
      <w:szCs w:val="20"/>
    </w:rPr>
  </w:style>
  <w:style w:type="paragraph" w:styleId="TM6">
    <w:name w:val="toc 6"/>
    <w:basedOn w:val="Normal"/>
    <w:next w:val="Normal"/>
    <w:autoRedefine/>
    <w:uiPriority w:val="39"/>
    <w:rsid w:val="006A4EED"/>
    <w:pPr>
      <w:spacing w:after="0"/>
      <w:ind w:left="1100"/>
    </w:pPr>
    <w:rPr>
      <w:sz w:val="20"/>
      <w:szCs w:val="20"/>
    </w:rPr>
  </w:style>
  <w:style w:type="paragraph" w:styleId="TM7">
    <w:name w:val="toc 7"/>
    <w:basedOn w:val="Normal"/>
    <w:next w:val="Normal"/>
    <w:autoRedefine/>
    <w:uiPriority w:val="39"/>
    <w:rsid w:val="006A4EED"/>
    <w:pPr>
      <w:spacing w:after="0"/>
      <w:ind w:left="1320"/>
    </w:pPr>
    <w:rPr>
      <w:sz w:val="20"/>
      <w:szCs w:val="20"/>
    </w:rPr>
  </w:style>
  <w:style w:type="paragraph" w:styleId="TM8">
    <w:name w:val="toc 8"/>
    <w:basedOn w:val="Normal"/>
    <w:next w:val="Normal"/>
    <w:autoRedefine/>
    <w:uiPriority w:val="39"/>
    <w:rsid w:val="006A4EED"/>
    <w:pPr>
      <w:spacing w:after="0"/>
      <w:ind w:left="1540"/>
    </w:pPr>
    <w:rPr>
      <w:sz w:val="20"/>
      <w:szCs w:val="20"/>
    </w:rPr>
  </w:style>
  <w:style w:type="paragraph" w:styleId="TM9">
    <w:name w:val="toc 9"/>
    <w:basedOn w:val="Normal"/>
    <w:next w:val="Normal"/>
    <w:autoRedefine/>
    <w:uiPriority w:val="39"/>
    <w:rsid w:val="006A4EED"/>
    <w:pPr>
      <w:spacing w:after="0"/>
      <w:ind w:left="1760"/>
    </w:pPr>
    <w:rPr>
      <w:sz w:val="20"/>
      <w:szCs w:val="20"/>
    </w:rPr>
  </w:style>
  <w:style w:type="character" w:customStyle="1" w:styleId="romain1">
    <w:name w:val="romain1"/>
    <w:rsid w:val="006A4EED"/>
    <w:rPr>
      <w:smallCaps/>
    </w:rPr>
  </w:style>
  <w:style w:type="character" w:styleId="CitationHTML">
    <w:name w:val="HTML Cite"/>
    <w:rsid w:val="006A4EED"/>
    <w:rPr>
      <w:i w:val="0"/>
      <w:iCs w:val="0"/>
      <w:color w:val="008000"/>
    </w:rPr>
  </w:style>
  <w:style w:type="character" w:customStyle="1" w:styleId="auteur1">
    <w:name w:val="auteur1"/>
    <w:rsid w:val="006A4EED"/>
    <w:rPr>
      <w:rFonts w:ascii="Verdana" w:hAnsi="Verdana" w:hint="default"/>
      <w:i/>
      <w:iCs/>
      <w:color w:val="808080"/>
      <w:sz w:val="15"/>
      <w:szCs w:val="15"/>
    </w:rPr>
  </w:style>
  <w:style w:type="character" w:customStyle="1" w:styleId="menubleufonce1">
    <w:name w:val="menubleufonce1"/>
    <w:rsid w:val="006A4EED"/>
    <w:rPr>
      <w:rFonts w:ascii="Arial" w:hAnsi="Arial" w:cs="Arial" w:hint="default"/>
      <w:b/>
      <w:bCs/>
      <w:i w:val="0"/>
      <w:iCs w:val="0"/>
      <w:smallCaps w:val="0"/>
      <w:color w:val="030B2E"/>
      <w:sz w:val="18"/>
      <w:szCs w:val="18"/>
    </w:rPr>
  </w:style>
  <w:style w:type="character" w:customStyle="1" w:styleId="sommaire21">
    <w:name w:val="sommaire21"/>
    <w:rsid w:val="006A4EED"/>
    <w:rPr>
      <w:rFonts w:ascii="Arial" w:hAnsi="Arial" w:cs="Arial" w:hint="default"/>
      <w:b/>
      <w:bCs/>
      <w:i w:val="0"/>
      <w:iCs w:val="0"/>
      <w:strike w:val="0"/>
      <w:dstrike w:val="0"/>
      <w:color w:val="030B2E"/>
      <w:sz w:val="20"/>
      <w:szCs w:val="20"/>
      <w:u w:val="none"/>
      <w:effect w:val="none"/>
    </w:rPr>
  </w:style>
  <w:style w:type="paragraph" w:styleId="Index1">
    <w:name w:val="index 1"/>
    <w:basedOn w:val="Normal"/>
    <w:next w:val="Normal"/>
    <w:autoRedefine/>
    <w:semiHidden/>
    <w:rsid w:val="006A4EED"/>
    <w:pPr>
      <w:spacing w:after="0" w:line="240" w:lineRule="auto"/>
      <w:ind w:left="240" w:hanging="240"/>
    </w:pPr>
    <w:rPr>
      <w:rFonts w:ascii="Times New Roman" w:eastAsia="Times New Roman" w:hAnsi="Times New Roman"/>
      <w:sz w:val="18"/>
      <w:szCs w:val="18"/>
      <w:lang w:eastAsia="fr-FR"/>
    </w:rPr>
  </w:style>
  <w:style w:type="paragraph" w:styleId="Index2">
    <w:name w:val="index 2"/>
    <w:basedOn w:val="Normal"/>
    <w:next w:val="Normal"/>
    <w:autoRedefine/>
    <w:semiHidden/>
    <w:rsid w:val="006A4EED"/>
    <w:pPr>
      <w:spacing w:after="0" w:line="240" w:lineRule="auto"/>
      <w:ind w:left="480" w:hanging="240"/>
    </w:pPr>
    <w:rPr>
      <w:rFonts w:ascii="Times New Roman" w:eastAsia="Times New Roman" w:hAnsi="Times New Roman"/>
      <w:sz w:val="18"/>
      <w:szCs w:val="18"/>
      <w:lang w:eastAsia="fr-FR"/>
    </w:rPr>
  </w:style>
  <w:style w:type="paragraph" w:styleId="Index3">
    <w:name w:val="index 3"/>
    <w:basedOn w:val="Normal"/>
    <w:next w:val="Normal"/>
    <w:autoRedefine/>
    <w:semiHidden/>
    <w:rsid w:val="006A4EED"/>
    <w:pPr>
      <w:spacing w:after="0" w:line="240" w:lineRule="auto"/>
      <w:ind w:left="720" w:hanging="240"/>
    </w:pPr>
    <w:rPr>
      <w:rFonts w:ascii="Times New Roman" w:eastAsia="Times New Roman" w:hAnsi="Times New Roman"/>
      <w:sz w:val="18"/>
      <w:szCs w:val="18"/>
      <w:lang w:eastAsia="fr-FR"/>
    </w:rPr>
  </w:style>
  <w:style w:type="paragraph" w:styleId="Index4">
    <w:name w:val="index 4"/>
    <w:basedOn w:val="Normal"/>
    <w:next w:val="Normal"/>
    <w:autoRedefine/>
    <w:semiHidden/>
    <w:rsid w:val="006A4EED"/>
    <w:pPr>
      <w:spacing w:after="0" w:line="240" w:lineRule="auto"/>
      <w:ind w:left="960" w:hanging="240"/>
    </w:pPr>
    <w:rPr>
      <w:rFonts w:ascii="Times New Roman" w:eastAsia="Times New Roman" w:hAnsi="Times New Roman"/>
      <w:sz w:val="18"/>
      <w:szCs w:val="18"/>
      <w:lang w:eastAsia="fr-FR"/>
    </w:rPr>
  </w:style>
  <w:style w:type="paragraph" w:styleId="Index5">
    <w:name w:val="index 5"/>
    <w:basedOn w:val="Normal"/>
    <w:next w:val="Normal"/>
    <w:autoRedefine/>
    <w:semiHidden/>
    <w:rsid w:val="006A4EED"/>
    <w:pPr>
      <w:spacing w:after="0" w:line="240" w:lineRule="auto"/>
      <w:ind w:left="1200" w:hanging="240"/>
    </w:pPr>
    <w:rPr>
      <w:rFonts w:ascii="Times New Roman" w:eastAsia="Times New Roman" w:hAnsi="Times New Roman"/>
      <w:sz w:val="18"/>
      <w:szCs w:val="18"/>
      <w:lang w:eastAsia="fr-FR"/>
    </w:rPr>
  </w:style>
  <w:style w:type="paragraph" w:styleId="Index6">
    <w:name w:val="index 6"/>
    <w:basedOn w:val="Normal"/>
    <w:next w:val="Normal"/>
    <w:autoRedefine/>
    <w:semiHidden/>
    <w:rsid w:val="006A4EED"/>
    <w:pPr>
      <w:spacing w:after="0" w:line="240" w:lineRule="auto"/>
      <w:ind w:left="1440" w:hanging="240"/>
    </w:pPr>
    <w:rPr>
      <w:rFonts w:ascii="Times New Roman" w:eastAsia="Times New Roman" w:hAnsi="Times New Roman"/>
      <w:sz w:val="18"/>
      <w:szCs w:val="18"/>
      <w:lang w:eastAsia="fr-FR"/>
    </w:rPr>
  </w:style>
  <w:style w:type="paragraph" w:styleId="Index7">
    <w:name w:val="index 7"/>
    <w:basedOn w:val="Normal"/>
    <w:next w:val="Normal"/>
    <w:autoRedefine/>
    <w:semiHidden/>
    <w:rsid w:val="006A4EED"/>
    <w:pPr>
      <w:spacing w:after="0" w:line="240" w:lineRule="auto"/>
      <w:ind w:left="1680" w:hanging="240"/>
    </w:pPr>
    <w:rPr>
      <w:rFonts w:ascii="Times New Roman" w:eastAsia="Times New Roman" w:hAnsi="Times New Roman"/>
      <w:sz w:val="18"/>
      <w:szCs w:val="18"/>
      <w:lang w:eastAsia="fr-FR"/>
    </w:rPr>
  </w:style>
  <w:style w:type="paragraph" w:styleId="Index8">
    <w:name w:val="index 8"/>
    <w:basedOn w:val="Normal"/>
    <w:next w:val="Normal"/>
    <w:autoRedefine/>
    <w:semiHidden/>
    <w:rsid w:val="006A4EED"/>
    <w:pPr>
      <w:spacing w:after="0" w:line="240" w:lineRule="auto"/>
      <w:ind w:left="1920" w:hanging="240"/>
    </w:pPr>
    <w:rPr>
      <w:rFonts w:ascii="Times New Roman" w:eastAsia="Times New Roman" w:hAnsi="Times New Roman"/>
      <w:sz w:val="18"/>
      <w:szCs w:val="18"/>
      <w:lang w:eastAsia="fr-FR"/>
    </w:rPr>
  </w:style>
  <w:style w:type="paragraph" w:styleId="Index9">
    <w:name w:val="index 9"/>
    <w:basedOn w:val="Normal"/>
    <w:next w:val="Normal"/>
    <w:autoRedefine/>
    <w:semiHidden/>
    <w:rsid w:val="006A4EED"/>
    <w:pPr>
      <w:spacing w:after="0" w:line="240" w:lineRule="auto"/>
      <w:ind w:left="2160" w:hanging="240"/>
    </w:pPr>
    <w:rPr>
      <w:rFonts w:ascii="Times New Roman" w:eastAsia="Times New Roman" w:hAnsi="Times New Roman"/>
      <w:sz w:val="18"/>
      <w:szCs w:val="18"/>
      <w:lang w:eastAsia="fr-FR"/>
    </w:rPr>
  </w:style>
  <w:style w:type="paragraph" w:styleId="Titreindex">
    <w:name w:val="index heading"/>
    <w:basedOn w:val="Normal"/>
    <w:next w:val="Index1"/>
    <w:semiHidden/>
    <w:rsid w:val="006A4EED"/>
    <w:pPr>
      <w:pBdr>
        <w:top w:val="single" w:sz="12" w:space="0" w:color="auto"/>
      </w:pBdr>
      <w:spacing w:before="360" w:after="240" w:line="240" w:lineRule="auto"/>
    </w:pPr>
    <w:rPr>
      <w:rFonts w:ascii="Times New Roman" w:eastAsia="Times New Roman" w:hAnsi="Times New Roman"/>
      <w:b/>
      <w:bCs/>
      <w:i/>
      <w:iCs/>
      <w:sz w:val="26"/>
      <w:szCs w:val="26"/>
      <w:lang w:eastAsia="fr-FR"/>
    </w:rPr>
  </w:style>
  <w:style w:type="character" w:customStyle="1" w:styleId="citation">
    <w:name w:val="citation"/>
    <w:rsid w:val="006A4EED"/>
  </w:style>
  <w:style w:type="character" w:customStyle="1" w:styleId="editsection">
    <w:name w:val="editsection"/>
    <w:rsid w:val="006A4EED"/>
  </w:style>
  <w:style w:type="character" w:customStyle="1" w:styleId="mw-headline">
    <w:name w:val="mw-headline"/>
    <w:rsid w:val="006A4EED"/>
  </w:style>
  <w:style w:type="paragraph" w:customStyle="1" w:styleId="ef">
    <w:name w:val="ef"/>
    <w:basedOn w:val="Normal"/>
    <w:rsid w:val="006A4EED"/>
    <w:pPr>
      <w:spacing w:after="0" w:line="240" w:lineRule="auto"/>
    </w:pPr>
    <w:rPr>
      <w:rFonts w:ascii="Times New Roman" w:eastAsia="Times New Roman" w:hAnsi="Times New Roman"/>
      <w:sz w:val="24"/>
      <w:szCs w:val="24"/>
      <w:lang w:eastAsia="fr-FR"/>
    </w:rPr>
  </w:style>
  <w:style w:type="character" w:customStyle="1" w:styleId="textjust111">
    <w:name w:val="textjust111"/>
    <w:rsid w:val="006A4EED"/>
    <w:rPr>
      <w:rFonts w:ascii="Times New Roman" w:hAnsi="Times New Roman" w:cs="Times New Roman" w:hint="default"/>
      <w:b w:val="0"/>
      <w:bCs w:val="0"/>
      <w:i w:val="0"/>
      <w:iCs w:val="0"/>
      <w:color w:val="000000"/>
      <w:spacing w:val="0"/>
      <w:sz w:val="22"/>
      <w:szCs w:val="22"/>
    </w:rPr>
  </w:style>
  <w:style w:type="numbering" w:customStyle="1" w:styleId="Aucuneliste2">
    <w:name w:val="Aucune liste2"/>
    <w:next w:val="Aucuneliste"/>
    <w:uiPriority w:val="99"/>
    <w:semiHidden/>
    <w:unhideWhenUsed/>
    <w:rsid w:val="006A4EED"/>
  </w:style>
  <w:style w:type="table" w:customStyle="1" w:styleId="Grilledutableau1">
    <w:name w:val="Grille du tableau1"/>
    <w:basedOn w:val="TableauNormal"/>
    <w:next w:val="Grilledutableau"/>
    <w:uiPriority w:val="59"/>
    <w:rsid w:val="006A4EED"/>
    <w:rPr>
      <w:rFonts w:eastAsia="Times New Roman"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bstract">
    <w:name w:val="Abstract"/>
    <w:basedOn w:val="Titre1"/>
    <w:rsid w:val="006A4EED"/>
    <w:pPr>
      <w:keepLines w:val="0"/>
      <w:bidi w:val="0"/>
      <w:spacing w:before="80" w:after="80" w:line="240" w:lineRule="auto"/>
      <w:ind w:left="360" w:hanging="360"/>
      <w:outlineLvl w:val="9"/>
    </w:pPr>
    <w:rPr>
      <w:rFonts w:ascii="Times New Roman" w:hAnsi="Times New Roman"/>
      <w:color w:val="auto"/>
      <w:kern w:val="28"/>
      <w:lang w:val="fr-FR" w:eastAsia="fr-FR"/>
    </w:rPr>
  </w:style>
  <w:style w:type="paragraph" w:styleId="Explorateurdedocuments">
    <w:name w:val="Document Map"/>
    <w:basedOn w:val="Normal"/>
    <w:link w:val="ExplorateurdedocumentsCar"/>
    <w:uiPriority w:val="99"/>
    <w:semiHidden/>
    <w:unhideWhenUsed/>
    <w:rsid w:val="006A4EED"/>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6A4EED"/>
    <w:rPr>
      <w:rFonts w:ascii="Tahoma" w:eastAsia="Calibri" w:hAnsi="Tahoma" w:cs="Tahoma"/>
      <w:sz w:val="16"/>
      <w:szCs w:val="16"/>
    </w:rPr>
  </w:style>
  <w:style w:type="paragraph" w:styleId="Citationintense">
    <w:name w:val="Intense Quote"/>
    <w:basedOn w:val="Normal"/>
    <w:next w:val="Normal"/>
    <w:link w:val="CitationintenseCar"/>
    <w:uiPriority w:val="30"/>
    <w:qFormat/>
    <w:rsid w:val="006A4EED"/>
    <w:pPr>
      <w:spacing w:before="240" w:after="280" w:line="240" w:lineRule="auto"/>
      <w:ind w:left="1418" w:right="936"/>
      <w:jc w:val="both"/>
    </w:pPr>
    <w:rPr>
      <w:rFonts w:ascii="Times New Roman" w:hAnsi="Times New Roman"/>
      <w:bCs/>
      <w:iCs/>
      <w:sz w:val="21"/>
    </w:rPr>
  </w:style>
  <w:style w:type="character" w:customStyle="1" w:styleId="CitationintenseCar">
    <w:name w:val="Citation intense Car"/>
    <w:basedOn w:val="Policepardfaut"/>
    <w:link w:val="Citationintense"/>
    <w:uiPriority w:val="30"/>
    <w:rsid w:val="006A4EED"/>
    <w:rPr>
      <w:rFonts w:ascii="Times New Roman" w:eastAsia="Calibri" w:hAnsi="Times New Roman" w:cs="Times New Roman"/>
      <w:bCs/>
      <w:iCs/>
      <w:sz w:val="21"/>
    </w:rPr>
  </w:style>
  <w:style w:type="paragraph" w:styleId="En-ttedetabledesmatires">
    <w:name w:val="TOC Heading"/>
    <w:basedOn w:val="Titre1"/>
    <w:next w:val="Normal"/>
    <w:uiPriority w:val="39"/>
    <w:semiHidden/>
    <w:unhideWhenUsed/>
    <w:qFormat/>
    <w:rsid w:val="006A4EED"/>
    <w:pPr>
      <w:bidi w:val="0"/>
      <w:spacing w:line="276" w:lineRule="auto"/>
      <w:jc w:val="left"/>
      <w:outlineLvl w:val="9"/>
    </w:pPr>
    <w:rPr>
      <w:rFonts w:ascii="Cambria" w:hAnsi="Cambria"/>
      <w:b/>
      <w:lang w:val="fr-FR"/>
    </w:rPr>
  </w:style>
  <w:style w:type="character" w:customStyle="1" w:styleId="txt">
    <w:name w:val="txt"/>
    <w:basedOn w:val="Policepardfaut"/>
    <w:rsid w:val="006A4EED"/>
  </w:style>
  <w:style w:type="character" w:customStyle="1" w:styleId="titrelivre">
    <w:name w:val="titrelivre"/>
    <w:basedOn w:val="Policepardfaut"/>
    <w:rsid w:val="006A4EED"/>
  </w:style>
  <w:style w:type="character" w:customStyle="1" w:styleId="marquage">
    <w:name w:val="marquage"/>
    <w:basedOn w:val="Policepardfaut"/>
    <w:rsid w:val="006A4EED"/>
  </w:style>
  <w:style w:type="paragraph" w:customStyle="1" w:styleId="alinea">
    <w:name w:val="alinea"/>
    <w:basedOn w:val="Normal"/>
    <w:rsid w:val="006A4EED"/>
    <w:pPr>
      <w:spacing w:before="100" w:beforeAutospacing="1" w:after="100" w:afterAutospacing="1" w:line="240" w:lineRule="auto"/>
    </w:pPr>
    <w:rPr>
      <w:rFonts w:ascii="Times New Roman" w:eastAsia="Times New Roman" w:hAnsi="Times New Roman"/>
      <w:sz w:val="24"/>
      <w:szCs w:val="24"/>
      <w:lang w:eastAsia="fr-FR"/>
    </w:rPr>
  </w:style>
  <w:style w:type="paragraph" w:customStyle="1" w:styleId="Style15">
    <w:name w:val="Style15"/>
    <w:basedOn w:val="Normal"/>
    <w:uiPriority w:val="99"/>
    <w:rsid w:val="006A4EED"/>
    <w:pPr>
      <w:widowControl w:val="0"/>
      <w:autoSpaceDE w:val="0"/>
      <w:autoSpaceDN w:val="0"/>
      <w:adjustRightInd w:val="0"/>
      <w:spacing w:before="100" w:beforeAutospacing="1" w:after="0" w:afterAutospacing="1" w:line="240" w:lineRule="auto"/>
      <w:jc w:val="both"/>
    </w:pPr>
    <w:rPr>
      <w:rFonts w:ascii="Times New Roman" w:eastAsia="Times New Roman" w:hAnsi="Times New Roman"/>
      <w:sz w:val="24"/>
      <w:szCs w:val="24"/>
      <w:lang w:eastAsia="fr-FR"/>
    </w:rPr>
  </w:style>
  <w:style w:type="paragraph" w:styleId="Sansinterligne">
    <w:name w:val="No Spacing"/>
    <w:link w:val="SansinterligneCar"/>
    <w:uiPriority w:val="1"/>
    <w:qFormat/>
    <w:rsid w:val="006A4EED"/>
    <w:rPr>
      <w:rFonts w:eastAsia="Times New Roman"/>
      <w:sz w:val="22"/>
      <w:szCs w:val="22"/>
      <w:lang w:eastAsia="en-US"/>
    </w:rPr>
  </w:style>
  <w:style w:type="character" w:customStyle="1" w:styleId="SansinterligneCar">
    <w:name w:val="Sans interligne Car"/>
    <w:basedOn w:val="Policepardfaut"/>
    <w:link w:val="Sansinterligne"/>
    <w:uiPriority w:val="1"/>
    <w:rsid w:val="006A4EED"/>
    <w:rPr>
      <w:rFonts w:eastAsia="Times New Roman"/>
      <w:sz w:val="22"/>
      <w:szCs w:val="22"/>
      <w:lang w:val="fr-FR" w:eastAsia="en-US" w:bidi="ar-SA"/>
    </w:rPr>
  </w:style>
  <w:style w:type="character" w:customStyle="1" w:styleId="reference-text">
    <w:name w:val="reference-text"/>
    <w:basedOn w:val="Policepardfaut"/>
    <w:rsid w:val="006A4EED"/>
  </w:style>
  <w:style w:type="character" w:customStyle="1" w:styleId="italique">
    <w:name w:val="italique"/>
    <w:basedOn w:val="Policepardfaut"/>
    <w:rsid w:val="006A4EED"/>
  </w:style>
  <w:style w:type="character" w:customStyle="1" w:styleId="fn">
    <w:name w:val="fn"/>
    <w:basedOn w:val="Policepardfaut"/>
    <w:rsid w:val="006A4EED"/>
  </w:style>
  <w:style w:type="character" w:customStyle="1" w:styleId="rg">
    <w:name w:val="rg"/>
    <w:basedOn w:val="Policepardfaut"/>
    <w:rsid w:val="006A4EED"/>
  </w:style>
  <w:style w:type="character" w:customStyle="1" w:styleId="pc">
    <w:name w:val="pc"/>
    <w:basedOn w:val="Policepardfaut"/>
    <w:rsid w:val="006A4EED"/>
  </w:style>
  <w:style w:type="character" w:customStyle="1" w:styleId="titresub">
    <w:name w:val="titre_sub"/>
    <w:basedOn w:val="Policepardfaut"/>
    <w:rsid w:val="006A4EED"/>
  </w:style>
  <w:style w:type="character" w:customStyle="1" w:styleId="lbl">
    <w:name w:val="lbl"/>
    <w:basedOn w:val="Policepardfaut"/>
    <w:rsid w:val="006A4EED"/>
  </w:style>
  <w:style w:type="paragraph" w:customStyle="1" w:styleId="Default">
    <w:name w:val="Default"/>
    <w:rsid w:val="006A4EED"/>
    <w:pPr>
      <w:autoSpaceDE w:val="0"/>
      <w:autoSpaceDN w:val="0"/>
      <w:adjustRightInd w:val="0"/>
    </w:pPr>
    <w:rPr>
      <w:rFonts w:ascii="Times New Roman" w:hAnsi="Times New Roman" w:cs="Times New Roman"/>
      <w:color w:val="000000"/>
      <w:sz w:val="24"/>
      <w:szCs w:val="24"/>
      <w:lang w:eastAsia="en-US"/>
    </w:rPr>
  </w:style>
  <w:style w:type="character" w:customStyle="1" w:styleId="apple-converted-space">
    <w:name w:val="apple-converted-space"/>
    <w:basedOn w:val="Policepardfaut"/>
    <w:rsid w:val="006A4EED"/>
  </w:style>
  <w:style w:type="paragraph" w:customStyle="1" w:styleId="table0020grid">
    <w:name w:val="table_0020grid"/>
    <w:basedOn w:val="Normal"/>
    <w:rsid w:val="006A4EED"/>
    <w:pPr>
      <w:spacing w:before="100" w:beforeAutospacing="1" w:after="100" w:afterAutospacing="1" w:line="240" w:lineRule="auto"/>
    </w:pPr>
    <w:rPr>
      <w:rFonts w:ascii="Times New Roman" w:eastAsia="Times New Roman" w:hAnsi="Times New Roman"/>
      <w:sz w:val="24"/>
      <w:szCs w:val="24"/>
      <w:lang w:eastAsia="fr-FR"/>
    </w:rPr>
  </w:style>
  <w:style w:type="character" w:customStyle="1" w:styleId="articletitle">
    <w:name w:val="articletitle"/>
    <w:basedOn w:val="Policepardfaut"/>
    <w:rsid w:val="006A4EED"/>
  </w:style>
  <w:style w:type="paragraph" w:styleId="Notedefin">
    <w:name w:val="endnote text"/>
    <w:basedOn w:val="Normal"/>
    <w:link w:val="NotedefinCar"/>
    <w:uiPriority w:val="99"/>
    <w:semiHidden/>
    <w:unhideWhenUsed/>
    <w:rsid w:val="006A4EED"/>
    <w:pPr>
      <w:spacing w:after="0" w:line="240" w:lineRule="auto"/>
    </w:pPr>
    <w:rPr>
      <w:sz w:val="20"/>
      <w:szCs w:val="20"/>
    </w:rPr>
  </w:style>
  <w:style w:type="character" w:customStyle="1" w:styleId="NotedefinCar">
    <w:name w:val="Note de fin Car"/>
    <w:basedOn w:val="Policepardfaut"/>
    <w:link w:val="Notedefin"/>
    <w:uiPriority w:val="99"/>
    <w:semiHidden/>
    <w:rsid w:val="006A4EED"/>
    <w:rPr>
      <w:rFonts w:ascii="Calibri" w:eastAsia="Calibri" w:hAnsi="Calibri" w:cs="Times New Roman"/>
      <w:sz w:val="20"/>
      <w:szCs w:val="20"/>
    </w:rPr>
  </w:style>
  <w:style w:type="character" w:styleId="Appeldenotedefin">
    <w:name w:val="endnote reference"/>
    <w:basedOn w:val="Policepardfaut"/>
    <w:uiPriority w:val="99"/>
    <w:semiHidden/>
    <w:unhideWhenUsed/>
    <w:rsid w:val="006A4EED"/>
    <w:rPr>
      <w:vertAlign w:val="superscript"/>
    </w:rPr>
  </w:style>
  <w:style w:type="character" w:customStyle="1" w:styleId="familyname">
    <w:name w:val="familyname"/>
    <w:basedOn w:val="Policepardfaut"/>
    <w:rsid w:val="006A4EED"/>
  </w:style>
  <w:style w:type="character" w:styleId="AcronymeHTML">
    <w:name w:val="HTML Acronym"/>
    <w:basedOn w:val="Policepardfaut"/>
    <w:uiPriority w:val="99"/>
    <w:semiHidden/>
    <w:unhideWhenUsed/>
    <w:rsid w:val="006A4EED"/>
  </w:style>
  <w:style w:type="character" w:customStyle="1" w:styleId="lang-de">
    <w:name w:val="lang-de"/>
    <w:basedOn w:val="Policepardfaut"/>
    <w:rsid w:val="006A4EED"/>
  </w:style>
  <w:style w:type="character" w:customStyle="1" w:styleId="ircho">
    <w:name w:val="irc_ho"/>
    <w:basedOn w:val="Policepardfaut"/>
    <w:rsid w:val="002D0657"/>
  </w:style>
  <w:style w:type="paragraph" w:customStyle="1" w:styleId="texte">
    <w:name w:val="texte"/>
    <w:basedOn w:val="Normal"/>
    <w:rsid w:val="001239F7"/>
    <w:pPr>
      <w:spacing w:before="100" w:beforeAutospacing="1" w:after="100" w:afterAutospacing="1" w:line="240" w:lineRule="auto"/>
    </w:pPr>
    <w:rPr>
      <w:rFonts w:ascii="Times New Roman" w:eastAsia="Times New Roman" w:hAnsi="Times New Roman"/>
      <w:sz w:val="24"/>
      <w:szCs w:val="24"/>
      <w:lang w:eastAsia="fr-FR"/>
    </w:rPr>
  </w:style>
  <w:style w:type="character" w:customStyle="1" w:styleId="st">
    <w:name w:val="st"/>
    <w:basedOn w:val="Policepardfaut"/>
    <w:rsid w:val="001239F7"/>
  </w:style>
  <w:style w:type="character" w:customStyle="1" w:styleId="a-size-large">
    <w:name w:val="a-size-large"/>
    <w:basedOn w:val="Policepardfaut"/>
    <w:rsid w:val="00267AF0"/>
  </w:style>
  <w:style w:type="character" w:customStyle="1" w:styleId="a-size-medium">
    <w:name w:val="a-size-medium"/>
    <w:basedOn w:val="Policepardfaut"/>
    <w:rsid w:val="00267AF0"/>
  </w:style>
  <w:style w:type="character" w:customStyle="1" w:styleId="author">
    <w:name w:val="author"/>
    <w:basedOn w:val="Policepardfaut"/>
    <w:rsid w:val="00267AF0"/>
  </w:style>
  <w:style w:type="table" w:customStyle="1" w:styleId="Grilleclaire1">
    <w:name w:val="Grille claire1"/>
    <w:basedOn w:val="TableauNormal"/>
    <w:uiPriority w:val="62"/>
    <w:rsid w:val="006652DE"/>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2">
    <w:name w:val="Light Grid Accent 2"/>
    <w:basedOn w:val="TableauNormal"/>
    <w:uiPriority w:val="62"/>
    <w:rsid w:val="006652DE"/>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Tramecouleur-Accent2">
    <w:name w:val="Colorful Shading Accent 2"/>
    <w:basedOn w:val="TableauNormal"/>
    <w:uiPriority w:val="71"/>
    <w:rsid w:val="00F23D80"/>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Grillemoyenne3-Accent2">
    <w:name w:val="Medium Grid 3 Accent 2"/>
    <w:basedOn w:val="TableauNormal"/>
    <w:uiPriority w:val="69"/>
    <w:rsid w:val="00541C66"/>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s>
</file>

<file path=word/webSettings.xml><?xml version="1.0" encoding="utf-8"?>
<w:webSettings xmlns:r="http://schemas.openxmlformats.org/officeDocument/2006/relationships" xmlns:w="http://schemas.openxmlformats.org/wordprocessingml/2006/main">
  <w:divs>
    <w:div w:id="56823223">
      <w:bodyDiv w:val="1"/>
      <w:marLeft w:val="0"/>
      <w:marRight w:val="0"/>
      <w:marTop w:val="0"/>
      <w:marBottom w:val="0"/>
      <w:divBdr>
        <w:top w:val="none" w:sz="0" w:space="0" w:color="auto"/>
        <w:left w:val="none" w:sz="0" w:space="0" w:color="auto"/>
        <w:bottom w:val="none" w:sz="0" w:space="0" w:color="auto"/>
        <w:right w:val="none" w:sz="0" w:space="0" w:color="auto"/>
      </w:divBdr>
    </w:div>
    <w:div w:id="654527385">
      <w:bodyDiv w:val="1"/>
      <w:marLeft w:val="0"/>
      <w:marRight w:val="0"/>
      <w:marTop w:val="0"/>
      <w:marBottom w:val="0"/>
      <w:divBdr>
        <w:top w:val="none" w:sz="0" w:space="0" w:color="auto"/>
        <w:left w:val="none" w:sz="0" w:space="0" w:color="auto"/>
        <w:bottom w:val="none" w:sz="0" w:space="0" w:color="auto"/>
        <w:right w:val="none" w:sz="0" w:space="0" w:color="auto"/>
      </w:divBdr>
    </w:div>
    <w:div w:id="694187569">
      <w:bodyDiv w:val="1"/>
      <w:marLeft w:val="0"/>
      <w:marRight w:val="0"/>
      <w:marTop w:val="0"/>
      <w:marBottom w:val="0"/>
      <w:divBdr>
        <w:top w:val="none" w:sz="0" w:space="0" w:color="auto"/>
        <w:left w:val="none" w:sz="0" w:space="0" w:color="auto"/>
        <w:bottom w:val="none" w:sz="0" w:space="0" w:color="auto"/>
        <w:right w:val="none" w:sz="0" w:space="0" w:color="auto"/>
      </w:divBdr>
    </w:div>
    <w:div w:id="1105034362">
      <w:bodyDiv w:val="1"/>
      <w:marLeft w:val="0"/>
      <w:marRight w:val="0"/>
      <w:marTop w:val="0"/>
      <w:marBottom w:val="0"/>
      <w:divBdr>
        <w:top w:val="none" w:sz="0" w:space="0" w:color="auto"/>
        <w:left w:val="none" w:sz="0" w:space="0" w:color="auto"/>
        <w:bottom w:val="none" w:sz="0" w:space="0" w:color="auto"/>
        <w:right w:val="none" w:sz="0" w:space="0" w:color="auto"/>
      </w:divBdr>
    </w:div>
    <w:div w:id="1343583453">
      <w:bodyDiv w:val="1"/>
      <w:marLeft w:val="0"/>
      <w:marRight w:val="0"/>
      <w:marTop w:val="0"/>
      <w:marBottom w:val="0"/>
      <w:divBdr>
        <w:top w:val="none" w:sz="0" w:space="0" w:color="auto"/>
        <w:left w:val="none" w:sz="0" w:space="0" w:color="auto"/>
        <w:bottom w:val="none" w:sz="0" w:space="0" w:color="auto"/>
        <w:right w:val="none" w:sz="0" w:space="0" w:color="auto"/>
      </w:divBdr>
    </w:div>
    <w:div w:id="1474567605">
      <w:bodyDiv w:val="1"/>
      <w:marLeft w:val="0"/>
      <w:marRight w:val="0"/>
      <w:marTop w:val="0"/>
      <w:marBottom w:val="0"/>
      <w:divBdr>
        <w:top w:val="none" w:sz="0" w:space="0" w:color="auto"/>
        <w:left w:val="none" w:sz="0" w:space="0" w:color="auto"/>
        <w:bottom w:val="none" w:sz="0" w:space="0" w:color="auto"/>
        <w:right w:val="none" w:sz="0" w:space="0" w:color="auto"/>
      </w:divBdr>
      <w:divsChild>
        <w:div w:id="327710620">
          <w:marLeft w:val="0"/>
          <w:marRight w:val="0"/>
          <w:marTop w:val="0"/>
          <w:marBottom w:val="0"/>
          <w:divBdr>
            <w:top w:val="none" w:sz="0" w:space="0" w:color="auto"/>
            <w:left w:val="none" w:sz="0" w:space="0" w:color="auto"/>
            <w:bottom w:val="none" w:sz="0" w:space="0" w:color="auto"/>
            <w:right w:val="none" w:sz="0" w:space="0" w:color="auto"/>
          </w:divBdr>
        </w:div>
        <w:div w:id="894510890">
          <w:marLeft w:val="0"/>
          <w:marRight w:val="0"/>
          <w:marTop w:val="0"/>
          <w:marBottom w:val="330"/>
          <w:divBdr>
            <w:top w:val="none" w:sz="0" w:space="0" w:color="auto"/>
            <w:left w:val="none" w:sz="0" w:space="0" w:color="auto"/>
            <w:bottom w:val="none" w:sz="0" w:space="0" w:color="auto"/>
            <w:right w:val="none" w:sz="0" w:space="0" w:color="auto"/>
          </w:divBdr>
        </w:div>
      </w:divsChild>
    </w:div>
    <w:div w:id="1533302623">
      <w:bodyDiv w:val="1"/>
      <w:marLeft w:val="0"/>
      <w:marRight w:val="0"/>
      <w:marTop w:val="0"/>
      <w:marBottom w:val="0"/>
      <w:divBdr>
        <w:top w:val="none" w:sz="0" w:space="0" w:color="auto"/>
        <w:left w:val="none" w:sz="0" w:space="0" w:color="auto"/>
        <w:bottom w:val="none" w:sz="0" w:space="0" w:color="auto"/>
        <w:right w:val="none" w:sz="0" w:space="0" w:color="auto"/>
      </w:divBdr>
    </w:div>
    <w:div w:id="1836535143">
      <w:bodyDiv w:val="1"/>
      <w:marLeft w:val="0"/>
      <w:marRight w:val="0"/>
      <w:marTop w:val="0"/>
      <w:marBottom w:val="0"/>
      <w:divBdr>
        <w:top w:val="none" w:sz="0" w:space="0" w:color="auto"/>
        <w:left w:val="none" w:sz="0" w:space="0" w:color="auto"/>
        <w:bottom w:val="none" w:sz="0" w:space="0" w:color="auto"/>
        <w:right w:val="none" w:sz="0" w:space="0" w:color="auto"/>
      </w:divBdr>
      <w:divsChild>
        <w:div w:id="998584383">
          <w:marLeft w:val="0"/>
          <w:marRight w:val="0"/>
          <w:marTop w:val="0"/>
          <w:marBottom w:val="0"/>
          <w:divBdr>
            <w:top w:val="none" w:sz="0" w:space="0" w:color="auto"/>
            <w:left w:val="none" w:sz="0" w:space="0" w:color="auto"/>
            <w:bottom w:val="none" w:sz="0" w:space="0" w:color="auto"/>
            <w:right w:val="none" w:sz="0" w:space="0" w:color="auto"/>
          </w:divBdr>
        </w:div>
        <w:div w:id="1886717066">
          <w:marLeft w:val="0"/>
          <w:marRight w:val="0"/>
          <w:marTop w:val="0"/>
          <w:marBottom w:val="330"/>
          <w:divBdr>
            <w:top w:val="none" w:sz="0" w:space="0" w:color="auto"/>
            <w:left w:val="none" w:sz="0" w:space="0" w:color="auto"/>
            <w:bottom w:val="none" w:sz="0" w:space="0" w:color="auto"/>
            <w:right w:val="none" w:sz="0" w:space="0" w:color="auto"/>
          </w:divBdr>
        </w:div>
      </w:divsChild>
    </w:div>
    <w:div w:id="2050714457">
      <w:bodyDiv w:val="1"/>
      <w:marLeft w:val="0"/>
      <w:marRight w:val="0"/>
      <w:marTop w:val="0"/>
      <w:marBottom w:val="0"/>
      <w:divBdr>
        <w:top w:val="none" w:sz="0" w:space="0" w:color="auto"/>
        <w:left w:val="none" w:sz="0" w:space="0" w:color="auto"/>
        <w:bottom w:val="none" w:sz="0" w:space="0" w:color="auto"/>
        <w:right w:val="none" w:sz="0" w:space="0" w:color="auto"/>
      </w:divBdr>
    </w:div>
    <w:div w:id="2080519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fr.wikipedia.org/wiki/Ixelles" TargetMode="External"/><Relationship Id="rId117" Type="http://schemas.openxmlformats.org/officeDocument/2006/relationships/image" Target="media/image9.png"/><Relationship Id="rId21" Type="http://schemas.openxmlformats.org/officeDocument/2006/relationships/hyperlink" Target="http://fr.wikipedia.org/wiki/1893" TargetMode="External"/><Relationship Id="rId42" Type="http://schemas.openxmlformats.org/officeDocument/2006/relationships/hyperlink" Target="http://fr.wikipedia.org/w/index.php?title=Michel_de_Ghelderode&amp;action=edit&amp;section=5" TargetMode="External"/><Relationship Id="rId47" Type="http://schemas.openxmlformats.org/officeDocument/2006/relationships/hyperlink" Target="http://fr.wikipedia.org/w/index.php?title=Michel_de_Ghelderode&amp;action=edit&amp;section=5" TargetMode="External"/><Relationship Id="rId63" Type="http://schemas.openxmlformats.org/officeDocument/2006/relationships/hyperlink" Target="http://fr.wikipedia.org/wiki/Michel_de_Ghelderode" TargetMode="External"/><Relationship Id="rId68" Type="http://schemas.openxmlformats.org/officeDocument/2006/relationships/hyperlink" Target="http://fr.wikipedia.org/wiki/Michel_de_Ghelderode" TargetMode="External"/><Relationship Id="rId84" Type="http://schemas.openxmlformats.org/officeDocument/2006/relationships/hyperlink" Target="http://fr.wikipedia.org/w/index.php?title=La_Farce_des_T%C3%A9n%C3%A9breux&amp;action=edit&amp;redlink=1" TargetMode="External"/><Relationship Id="rId89" Type="http://schemas.openxmlformats.org/officeDocument/2006/relationships/hyperlink" Target="https://fr.wikipedia.org/wiki/Charles_W._Morris" TargetMode="External"/><Relationship Id="rId112" Type="http://schemas.openxmlformats.org/officeDocument/2006/relationships/hyperlink" Target="http://www.universalis.fr/encyclopedie/fernand-crommelynck/" TargetMode="External"/><Relationship Id="rId16" Type="http://schemas.openxmlformats.org/officeDocument/2006/relationships/hyperlink" Target="http://fr.wikipedia.org/wiki/1952" TargetMode="External"/><Relationship Id="rId107" Type="http://schemas.openxmlformats.org/officeDocument/2006/relationships/hyperlink" Target="http://www.harmattan.fr/" TargetMode="External"/><Relationship Id="rId11" Type="http://schemas.openxmlformats.org/officeDocument/2006/relationships/hyperlink" Target="http://fr.wikipedia.org/wiki/Albert_Camus" TargetMode="External"/><Relationship Id="rId32" Type="http://schemas.openxmlformats.org/officeDocument/2006/relationships/hyperlink" Target="https://fr.wikipedia.org/wiki/Avril_1962" TargetMode="External"/><Relationship Id="rId37" Type="http://schemas.openxmlformats.org/officeDocument/2006/relationships/hyperlink" Target="https://fr.wikipedia.org/wiki/Belgique" TargetMode="External"/><Relationship Id="rId53" Type="http://schemas.openxmlformats.org/officeDocument/2006/relationships/hyperlink" Target="http://fr.wikipedia.org/wiki/Michel_de_Ghelderode" TargetMode="External"/><Relationship Id="rId58" Type="http://schemas.openxmlformats.org/officeDocument/2006/relationships/hyperlink" Target="http://fr.wikipedia.org/wiki/Atlantique_(Ghelderode)" TargetMode="External"/><Relationship Id="rId74" Type="http://schemas.openxmlformats.org/officeDocument/2006/relationships/hyperlink" Target="http://fr.wikipedia.org/wiki/Michel_de_Ghelderode" TargetMode="External"/><Relationship Id="rId79" Type="http://schemas.openxmlformats.org/officeDocument/2006/relationships/hyperlink" Target="http://fr.wikipedia.org/w/index.php?title=La_Farce_des_T%C3%A9n%C3%A9breux&amp;action=edit&amp;redlink=1" TargetMode="External"/><Relationship Id="rId102" Type="http://schemas.openxmlformats.org/officeDocument/2006/relationships/hyperlink" Target="https://fr.wikipedia.org/wiki/Ferdinand_de_Saussure" TargetMode="External"/><Relationship Id="rId123" Type="http://schemas.openxmlformats.org/officeDocument/2006/relationships/header" Target="header2.xml"/><Relationship Id="rId5" Type="http://schemas.openxmlformats.org/officeDocument/2006/relationships/webSettings" Target="webSettings.xml"/><Relationship Id="rId90" Type="http://schemas.openxmlformats.org/officeDocument/2006/relationships/hyperlink" Target="https://fr.wikipedia.org/wiki/S%C3%A9mantique" TargetMode="External"/><Relationship Id="rId95" Type="http://schemas.openxmlformats.org/officeDocument/2006/relationships/hyperlink" Target="https://fr.wikipedia.org/wiki/Bertrand_Russell" TargetMode="External"/><Relationship Id="rId19" Type="http://schemas.openxmlformats.org/officeDocument/2006/relationships/hyperlink" Target="http://fr.wikipedia.org/wiki/1933" TargetMode="External"/><Relationship Id="rId14" Type="http://schemas.openxmlformats.org/officeDocument/2006/relationships/hyperlink" Target="http://fr.wikipedia.org/wiki/Roger_Vitrac" TargetMode="External"/><Relationship Id="rId22" Type="http://schemas.openxmlformats.org/officeDocument/2006/relationships/hyperlink" Target="http://fr.wikipedia.org/wiki/1948" TargetMode="External"/><Relationship Id="rId27" Type="http://schemas.openxmlformats.org/officeDocument/2006/relationships/hyperlink" Target="https://fr.wikipedia.org/wiki/3_avril" TargetMode="External"/><Relationship Id="rId30" Type="http://schemas.openxmlformats.org/officeDocument/2006/relationships/hyperlink" Target="https://fr.wikipedia.org/wiki/Schaerbeek" TargetMode="External"/><Relationship Id="rId35" Type="http://schemas.openxmlformats.org/officeDocument/2006/relationships/hyperlink" Target="https://fr.wikipedia.org/wiki/Article_de_presse" TargetMode="External"/><Relationship Id="rId43" Type="http://schemas.openxmlformats.org/officeDocument/2006/relationships/hyperlink" Target="http://fr.wikipedia.org/w/index.php?title=Michel_de_Ghelderode&amp;action=edit&amp;section=5" TargetMode="External"/><Relationship Id="rId48" Type="http://schemas.openxmlformats.org/officeDocument/2006/relationships/hyperlink" Target="http://fr.wikipedia.org/w/index.php?title=Michel_de_Ghelderode&amp;action=edit&amp;section=5" TargetMode="External"/><Relationship Id="rId56" Type="http://schemas.openxmlformats.org/officeDocument/2006/relationships/hyperlink" Target="http://fr.wikipedia.org/wiki/Michel_de_Ghelderode" TargetMode="External"/><Relationship Id="rId64" Type="http://schemas.openxmlformats.org/officeDocument/2006/relationships/hyperlink" Target="http://fr.wikipedia.org/wiki/Michel_de_Ghelderode" TargetMode="External"/><Relationship Id="rId69" Type="http://schemas.openxmlformats.org/officeDocument/2006/relationships/hyperlink" Target="http://fr.wikipedia.org/wiki/Michel_de_Ghelderode" TargetMode="External"/><Relationship Id="rId77" Type="http://schemas.openxmlformats.org/officeDocument/2006/relationships/hyperlink" Target="http://fr.wikipedia.org/w/index.php?title=La_Farce_des_T%C3%A9n%C3%A9breux&amp;action=edit&amp;redlink=1" TargetMode="External"/><Relationship Id="rId100" Type="http://schemas.openxmlformats.org/officeDocument/2006/relationships/hyperlink" Target="https://fr.wikipedia.org/wiki/Philosophie_des_sciences" TargetMode="External"/><Relationship Id="rId105" Type="http://schemas.openxmlformats.org/officeDocument/2006/relationships/hyperlink" Target="https://fr.wikipedia.org/wiki/Patrice_Thierry" TargetMode="External"/><Relationship Id="rId113" Type="http://schemas.openxmlformats.org/officeDocument/2006/relationships/hyperlink" Target="http://www.photo-arago.fr/C.aspx?VP3=DirectSearch&amp;KWID=2C6NWHEXXPPW" TargetMode="External"/><Relationship Id="rId118" Type="http://schemas.openxmlformats.org/officeDocument/2006/relationships/image" Target="media/image10.jpeg"/><Relationship Id="rId126"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hyperlink" Target="http://fr.wikipedia.org/w/index.php?title=V%C3%A9nus_(Ghelderode)&amp;action=edit&amp;redlink=1" TargetMode="External"/><Relationship Id="rId72" Type="http://schemas.openxmlformats.org/officeDocument/2006/relationships/hyperlink" Target="http://fr.wikipedia.org/wiki/Michel_de_Ghelderode" TargetMode="External"/><Relationship Id="rId80" Type="http://schemas.openxmlformats.org/officeDocument/2006/relationships/hyperlink" Target="http://fr.wikipedia.org/w/index.php?title=La_Farce_des_T%C3%A9n%C3%A9breux&amp;action=edit&amp;redlink=1" TargetMode="External"/><Relationship Id="rId85" Type="http://schemas.openxmlformats.org/officeDocument/2006/relationships/hyperlink" Target="http://fr.wikipedia.org/w/index.php?title=La_Farce_des_T%C3%A9n%C3%A9breux&amp;action=edit&amp;redlink=1" TargetMode="External"/><Relationship Id="rId93" Type="http://schemas.openxmlformats.org/officeDocument/2006/relationships/hyperlink" Target="https://fr.wikipedia.org/wiki/Syntaxe" TargetMode="External"/><Relationship Id="rId98" Type="http://schemas.openxmlformats.org/officeDocument/2006/relationships/hyperlink" Target="https://fr.wikipedia.org/wiki/Pragmatique_%28linguistique%29" TargetMode="External"/><Relationship Id="rId121" Type="http://schemas.openxmlformats.org/officeDocument/2006/relationships/hyperlink" Target="https://www.google.dz/url?sa=i&amp;rct=j&amp;q=&amp;esrc=s&amp;source=images&amp;cd=&amp;cad=rja&amp;uact=8&amp;ved=0ahUKEwjl5NaNs9jMAhUDOBQKHSL6ClEQjB0IBg&amp;url=http%3A%2F%2Fwww.aml-cfwb.be%2Fcatalogues%2Fgeneral%2Fsujets-auteurs%2F82668&amp;psig=AFQjCNH2yNo5Ozihj-MLzgkNCRoFdKyoGQ&amp;ust=1463275126987581" TargetMode="External"/><Relationship Id="rId3" Type="http://schemas.openxmlformats.org/officeDocument/2006/relationships/styles" Target="styles.xml"/><Relationship Id="rId12" Type="http://schemas.openxmlformats.org/officeDocument/2006/relationships/hyperlink" Target="http://fr.wikipedia.org/wiki/1913" TargetMode="External"/><Relationship Id="rId17" Type="http://schemas.openxmlformats.org/officeDocument/2006/relationships/hyperlink" Target="http://fr.wikipedia.org/wiki/Julien_Torma" TargetMode="External"/><Relationship Id="rId25" Type="http://schemas.openxmlformats.org/officeDocument/2006/relationships/hyperlink" Target="http://fr.wikipedia.org/wiki/1962" TargetMode="External"/><Relationship Id="rId33" Type="http://schemas.openxmlformats.org/officeDocument/2006/relationships/hyperlink" Target="https://fr.wikipedia.org/wiki/1962_en_litt%C3%A9rature" TargetMode="External"/><Relationship Id="rId38" Type="http://schemas.openxmlformats.org/officeDocument/2006/relationships/hyperlink" Target="https://fr.wikipedia.org/wiki/Flandre_%28Belgique%29" TargetMode="External"/><Relationship Id="rId46" Type="http://schemas.openxmlformats.org/officeDocument/2006/relationships/hyperlink" Target="http://fr.wikipedia.org/w/index.php?title=Michel_de_Ghelderode&amp;action=edit&amp;section=5" TargetMode="External"/><Relationship Id="rId59" Type="http://schemas.openxmlformats.org/officeDocument/2006/relationships/hyperlink" Target="http://fr.wikipedia.org/wiki/Atlantique_(Ghelderode)" TargetMode="External"/><Relationship Id="rId67" Type="http://schemas.openxmlformats.org/officeDocument/2006/relationships/hyperlink" Target="http://fr.wikipedia.org/wiki/Michel_de_Ghelderode" TargetMode="External"/><Relationship Id="rId103" Type="http://schemas.openxmlformats.org/officeDocument/2006/relationships/hyperlink" Target="https://fr.wikipedia.org/wiki/Linguistique" TargetMode="External"/><Relationship Id="rId108" Type="http://schemas.openxmlformats.org/officeDocument/2006/relationships/image" Target="media/image4.jpeg"/><Relationship Id="rId116" Type="http://schemas.openxmlformats.org/officeDocument/2006/relationships/image" Target="media/image8.jpeg"/><Relationship Id="rId124" Type="http://schemas.openxmlformats.org/officeDocument/2006/relationships/footer" Target="footer1.xml"/><Relationship Id="rId20" Type="http://schemas.openxmlformats.org/officeDocument/2006/relationships/hyperlink" Target="http://fr.wikipedia.org/wiki/Antonin_Artaud" TargetMode="External"/><Relationship Id="rId41" Type="http://schemas.openxmlformats.org/officeDocument/2006/relationships/hyperlink" Target="http://fr.wikipedia.org/w/index.php?title=Michel_de_Ghelderode&amp;action=edit&amp;section=5" TargetMode="External"/><Relationship Id="rId54" Type="http://schemas.openxmlformats.org/officeDocument/2006/relationships/hyperlink" Target="http://fr.wikipedia.org/wiki/Michel_de_Ghelderode" TargetMode="External"/><Relationship Id="rId62" Type="http://schemas.openxmlformats.org/officeDocument/2006/relationships/hyperlink" Target="http://fr.wikipedia.org/w/index.php?title=Godelieve_(Ghelderode)&amp;action=edit&amp;redlink=1" TargetMode="External"/><Relationship Id="rId70" Type="http://schemas.openxmlformats.org/officeDocument/2006/relationships/hyperlink" Target="http://fr.wikipedia.org/wiki/Michel_de_Ghelderode" TargetMode="External"/><Relationship Id="rId75" Type="http://schemas.openxmlformats.org/officeDocument/2006/relationships/hyperlink" Target="http://fr.wikipedia.org/wiki/Michel_de_Ghelderode" TargetMode="External"/><Relationship Id="rId83" Type="http://schemas.openxmlformats.org/officeDocument/2006/relationships/hyperlink" Target="http://fr.wikipedia.org/w/index.php?title=La_Farce_des_T%C3%A9n%C3%A9breux&amp;action=edit&amp;redlink=1" TargetMode="External"/><Relationship Id="rId88" Type="http://schemas.openxmlformats.org/officeDocument/2006/relationships/image" Target="media/image3.jpeg"/><Relationship Id="rId91" Type="http://schemas.openxmlformats.org/officeDocument/2006/relationships/hyperlink" Target="https://fr.wikipedia.org/wiki/Alfred_Tarski" TargetMode="External"/><Relationship Id="rId96" Type="http://schemas.openxmlformats.org/officeDocument/2006/relationships/hyperlink" Target="https://fr.wikipedia.org/wiki/Rudolf_Carnap" TargetMode="External"/><Relationship Id="rId111" Type="http://schemas.openxmlformats.org/officeDocument/2006/relationships/hyperlink" Target="https://www.blogger.com/profile/0921665668514006929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fr.wikipedia.org/wiki/1899" TargetMode="External"/><Relationship Id="rId23" Type="http://schemas.openxmlformats.org/officeDocument/2006/relationships/hyperlink" Target="http://fr.wikipedia.org/wiki/Michel_de_Ghelderode" TargetMode="External"/><Relationship Id="rId28" Type="http://schemas.openxmlformats.org/officeDocument/2006/relationships/hyperlink" Target="https://fr.wikipedia.org/wiki/Avril_1898" TargetMode="External"/><Relationship Id="rId36" Type="http://schemas.openxmlformats.org/officeDocument/2006/relationships/hyperlink" Target="https://fr.wikipedia.org/wiki/%C3%89pistolier_%28litt%C3%A9rature%29" TargetMode="External"/><Relationship Id="rId49" Type="http://schemas.openxmlformats.org/officeDocument/2006/relationships/hyperlink" Target="http://fr.wikipedia.org/w/index.php?title=Christophe_Colomb_(Ghelderode)&amp;action=edit&amp;redlink=1" TargetMode="External"/><Relationship Id="rId57" Type="http://schemas.openxmlformats.org/officeDocument/2006/relationships/hyperlink" Target="http://fr.wikipedia.org/wiki/Michel_de_Ghelderode" TargetMode="External"/><Relationship Id="rId106" Type="http://schemas.openxmlformats.org/officeDocument/2006/relationships/hyperlink" Target="http://www.lesoirdalgerie.com/articles/2011/06/05/article.php?sid=118108&amp;cid=16" TargetMode="External"/><Relationship Id="rId114" Type="http://schemas.openxmlformats.org/officeDocument/2006/relationships/image" Target="media/image6.jpeg"/><Relationship Id="rId119" Type="http://schemas.openxmlformats.org/officeDocument/2006/relationships/hyperlink" Target="https://www.google.dz/url?sa=i&amp;rct=j&amp;q=&amp;esrc=s&amp;source=images&amp;cd=&amp;cad=rja&amp;uact=8&amp;ved=0ahUKEwjS7obWptjMAhVEPBoKHTUECF0QjB0IBg&amp;url=http%3A%2F%2Fbibleencyclopedia.com%2Fpictures%2FLuke_23_Barabbas_the_prisoner.htm&amp;psig=AFQjCNHkBQF9sKrfNPFs4o2jU9j3yojxmw&amp;ust=1463271501465948" TargetMode="External"/><Relationship Id="rId127" Type="http://schemas.openxmlformats.org/officeDocument/2006/relationships/theme" Target="theme/theme1.xml"/><Relationship Id="rId10" Type="http://schemas.openxmlformats.org/officeDocument/2006/relationships/hyperlink" Target="http://fr.wikipedia.org/wiki/1918" TargetMode="External"/><Relationship Id="rId31" Type="http://schemas.openxmlformats.org/officeDocument/2006/relationships/hyperlink" Target="https://fr.wikipedia.org/wiki/1er_avril" TargetMode="External"/><Relationship Id="rId44" Type="http://schemas.openxmlformats.org/officeDocument/2006/relationships/hyperlink" Target="http://fr.wikipedia.org/w/index.php?title=Michel_de_Ghelderode&amp;action=edit&amp;section=5" TargetMode="External"/><Relationship Id="rId52" Type="http://schemas.openxmlformats.org/officeDocument/2006/relationships/hyperlink" Target="http://fr.wikipedia.org/wiki/Michel_de_Ghelderode" TargetMode="External"/><Relationship Id="rId60" Type="http://schemas.openxmlformats.org/officeDocument/2006/relationships/hyperlink" Target="http://fr.wikipedia.org/w/index.php?title=Godelieve_(Ghelderode)&amp;action=edit&amp;redlink=1" TargetMode="External"/><Relationship Id="rId65" Type="http://schemas.openxmlformats.org/officeDocument/2006/relationships/hyperlink" Target="http://fr.wikipedia.org/wiki/Michel_de_Ghelderode" TargetMode="External"/><Relationship Id="rId73" Type="http://schemas.openxmlformats.org/officeDocument/2006/relationships/hyperlink" Target="http://fr.wikipedia.org/wiki/Michel_de_Ghelderode" TargetMode="External"/><Relationship Id="rId78" Type="http://schemas.openxmlformats.org/officeDocument/2006/relationships/hyperlink" Target="http://fr.wikipedia.org/w/index.php?title=La_Farce_des_T%C3%A9n%C3%A9breux&amp;action=edit&amp;redlink=1" TargetMode="External"/><Relationship Id="rId81" Type="http://schemas.openxmlformats.org/officeDocument/2006/relationships/hyperlink" Target="http://fr.wikipedia.org/w/index.php?title=La_Farce_des_T%C3%A9n%C3%A9breux&amp;action=edit&amp;redlink=1" TargetMode="External"/><Relationship Id="rId86" Type="http://schemas.openxmlformats.org/officeDocument/2006/relationships/hyperlink" Target="http://fr.wikipedia.org/wiki/Prix_triennal_du_th%C3%A9%C3%A2tre_de_la_Communaut%C3%A9_fran%C3%A7aise_de_Belgique" TargetMode="External"/><Relationship Id="rId94" Type="http://schemas.openxmlformats.org/officeDocument/2006/relationships/hyperlink" Target="https://fr.wikipedia.org/wiki/Gottlob_Frege" TargetMode="External"/><Relationship Id="rId99" Type="http://schemas.openxmlformats.org/officeDocument/2006/relationships/hyperlink" Target="https://fr.wikipedia.org/wiki/%C3%89pist%C3%A9mologie" TargetMode="External"/><Relationship Id="rId101" Type="http://schemas.openxmlformats.org/officeDocument/2006/relationships/hyperlink" Target="https://fr.wikipedia.org/wiki/Logique" TargetMode="External"/><Relationship Id="rId12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fr.wikipedia.org/wiki/1880" TargetMode="External"/><Relationship Id="rId13" Type="http://schemas.openxmlformats.org/officeDocument/2006/relationships/hyperlink" Target="http://fr.wikipedia.org/wiki/1960" TargetMode="External"/><Relationship Id="rId18" Type="http://schemas.openxmlformats.org/officeDocument/2006/relationships/hyperlink" Target="http://fr.wikipedia.org/wiki/1902" TargetMode="External"/><Relationship Id="rId39" Type="http://schemas.openxmlformats.org/officeDocument/2006/relationships/hyperlink" Target="http://fr.wikipedia.org/w/index.php?title=Michel_de_Ghelderode&amp;action=edit&amp;section=5" TargetMode="External"/><Relationship Id="rId109" Type="http://schemas.openxmlformats.org/officeDocument/2006/relationships/image" Target="media/image5.jpeg"/><Relationship Id="rId34" Type="http://schemas.openxmlformats.org/officeDocument/2006/relationships/hyperlink" Target="https://fr.wikipedia.org/wiki/Auteur_dramatique" TargetMode="External"/><Relationship Id="rId50" Type="http://schemas.openxmlformats.org/officeDocument/2006/relationships/hyperlink" Target="http://fr.wikipedia.org/wiki/Prix_triennal_du_th%C3%A9%C3%A2tre_de_la_Communaut%C3%A9_fran%C3%A7aise_de_Belgique" TargetMode="External"/><Relationship Id="rId55" Type="http://schemas.openxmlformats.org/officeDocument/2006/relationships/hyperlink" Target="http://fr.wikipedia.org/wiki/Michel_de_Ghelderode" TargetMode="External"/><Relationship Id="rId76" Type="http://schemas.openxmlformats.org/officeDocument/2006/relationships/hyperlink" Target="http://fr.wikipedia.org/w/index.php?title=La_Farce_des_T%C3%A9n%C3%A9breux&amp;action=edit&amp;redlink=1" TargetMode="External"/><Relationship Id="rId97" Type="http://schemas.openxmlformats.org/officeDocument/2006/relationships/hyperlink" Target="https://fr.wikipedia.org/wiki/Richard_Montague" TargetMode="External"/><Relationship Id="rId104" Type="http://schemas.openxmlformats.org/officeDocument/2006/relationships/hyperlink" Target="http://www.semiopolis.fr" TargetMode="External"/><Relationship Id="rId120" Type="http://schemas.openxmlformats.org/officeDocument/2006/relationships/image" Target="media/image11.jpeg"/><Relationship Id="rId125"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hyperlink" Target="http://fr.wikipedia.org/wiki/Michel_de_Ghelderode" TargetMode="External"/><Relationship Id="rId92" Type="http://schemas.openxmlformats.org/officeDocument/2006/relationships/hyperlink" Target="https://fr.wikipedia.org/wiki/Roland_Barthes" TargetMode="External"/><Relationship Id="rId2" Type="http://schemas.openxmlformats.org/officeDocument/2006/relationships/numbering" Target="numbering.xml"/><Relationship Id="rId29" Type="http://schemas.openxmlformats.org/officeDocument/2006/relationships/hyperlink" Target="https://fr.wikipedia.org/wiki/1898_en_litt%C3%A9rature" TargetMode="External"/><Relationship Id="rId24" Type="http://schemas.openxmlformats.org/officeDocument/2006/relationships/hyperlink" Target="http://fr.wikipedia.org/wiki/1898" TargetMode="External"/><Relationship Id="rId40" Type="http://schemas.openxmlformats.org/officeDocument/2006/relationships/hyperlink" Target="http://fr.wikipedia.org/w/index.php?title=Michel_de_Ghelderode&amp;action=edit&amp;section=5" TargetMode="External"/><Relationship Id="rId45" Type="http://schemas.openxmlformats.org/officeDocument/2006/relationships/hyperlink" Target="http://fr.wikipedia.org/w/index.php?title=Michel_de_Ghelderode&amp;action=edit&amp;section=5" TargetMode="External"/><Relationship Id="rId66" Type="http://schemas.openxmlformats.org/officeDocument/2006/relationships/hyperlink" Target="http://fr.wikipedia.org/wiki/Michel_de_Ghelderode" TargetMode="External"/><Relationship Id="rId87" Type="http://schemas.openxmlformats.org/officeDocument/2006/relationships/image" Target="media/image2.emf"/><Relationship Id="rId110" Type="http://schemas.openxmlformats.org/officeDocument/2006/relationships/hyperlink" Target="http://braniya.blogspot.com/2012_06_01_archive.html" TargetMode="External"/><Relationship Id="rId115" Type="http://schemas.openxmlformats.org/officeDocument/2006/relationships/image" Target="media/image7.jpeg"/><Relationship Id="rId61" Type="http://schemas.openxmlformats.org/officeDocument/2006/relationships/hyperlink" Target="http://fr.wikipedia.org/w/index.php?title=Godelieve_(Ghelderode)&amp;action=edit&amp;redlink=1" TargetMode="External"/><Relationship Id="rId82" Type="http://schemas.openxmlformats.org/officeDocument/2006/relationships/hyperlink" Target="http://fr.wikipedia.org/w/index.php?title=La_Farce_des_T%C3%A9n%C3%A9breux&amp;action=edit&amp;redlink=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fr.wikipedia.org/wiki/Pi%C3%A8ce_de_th%C3%A9%C3%A2tre" TargetMode="External"/><Relationship Id="rId13" Type="http://schemas.openxmlformats.org/officeDocument/2006/relationships/hyperlink" Target="https://fr.wikipedia.org/wiki/Su%C3%A8de" TargetMode="External"/><Relationship Id="rId18" Type="http://schemas.openxmlformats.org/officeDocument/2006/relationships/hyperlink" Target="https://www.unige.ch/lettres/framo/enseignements/methodes/index.html" TargetMode="External"/><Relationship Id="rId26" Type="http://schemas.openxmlformats.org/officeDocument/2006/relationships/hyperlink" Target="https://fr.wikipedia.org/wiki/1857" TargetMode="External"/><Relationship Id="rId3" Type="http://schemas.openxmlformats.org/officeDocument/2006/relationships/hyperlink" Target="http://www.google.dz/search?hl=fr&amp;tbo=p&amp;tbm=bks&amp;q=inauthor:%22Ahmed+Taleb+Ibrahimi%22" TargetMode="External"/><Relationship Id="rId21" Type="http://schemas.openxmlformats.org/officeDocument/2006/relationships/hyperlink" Target="http://www.danielaroventafrumusani.ro/discours_scientifique.html" TargetMode="External"/><Relationship Id="rId7" Type="http://schemas.openxmlformats.org/officeDocument/2006/relationships/hyperlink" Target="http://mostaghanem.free.fr/Files/17_la_vie_de_kaki.pdf" TargetMode="External"/><Relationship Id="rId12" Type="http://schemas.openxmlformats.org/officeDocument/2006/relationships/hyperlink" Target="https://fr.wikipedia.org/wiki/1940" TargetMode="External"/><Relationship Id="rId17" Type="http://schemas.openxmlformats.org/officeDocument/2006/relationships/hyperlink" Target="http://www.lesoirdalgerie.com/articles/2011/06/05/article.php?sid=118108&amp;cid=16" TargetMode="External"/><Relationship Id="rId25" Type="http://schemas.openxmlformats.org/officeDocument/2006/relationships/hyperlink" Target="https://fr.wikipedia.org/wiki/Ferdinand_de_Saussure" TargetMode="External"/><Relationship Id="rId2" Type="http://schemas.openxmlformats.org/officeDocument/2006/relationships/hyperlink" Target="http://assr.revues.org/11183" TargetMode="External"/><Relationship Id="rId16" Type="http://schemas.openxmlformats.org/officeDocument/2006/relationships/hyperlink" Target="http://textyles.revues.org/772" TargetMode="External"/><Relationship Id="rId20" Type="http://schemas.openxmlformats.org/officeDocument/2006/relationships/hyperlink" Target="http://mimmoc.revues.org/204" TargetMode="External"/><Relationship Id="rId29" Type="http://schemas.openxmlformats.org/officeDocument/2006/relationships/hyperlink" Target="https://fr.wikipedia.org/wiki/Louis_Hjelmslev" TargetMode="External"/><Relationship Id="rId1" Type="http://schemas.openxmlformats.org/officeDocument/2006/relationships/hyperlink" Target="http://remacle.org/bloodwolf/apulee/apologie.htm" TargetMode="External"/><Relationship Id="rId6" Type="http://schemas.openxmlformats.org/officeDocument/2006/relationships/hyperlink" Target="http://www.algerieinfos-saoudi.com/article-kaki-le-fondateur-du-theatre-algerien-moderne-107582677.html" TargetMode="External"/><Relationship Id="rId11" Type="http://schemas.openxmlformats.org/officeDocument/2006/relationships/hyperlink" Target="https://fr.wikipedia.org/wiki/Danemark" TargetMode="External"/><Relationship Id="rId24" Type="http://schemas.openxmlformats.org/officeDocument/2006/relationships/hyperlink" Target="http://www.semiopolis.fr" TargetMode="External"/><Relationship Id="rId32" Type="http://schemas.openxmlformats.org/officeDocument/2006/relationships/hyperlink" Target="https://fr.wikipedia.org/wiki/Roland_Barthes" TargetMode="External"/><Relationship Id="rId5" Type="http://schemas.openxmlformats.org/officeDocument/2006/relationships/hyperlink" Target="http://www.limag.com/new/index.php?inc=dspart&amp;art=00003392" TargetMode="External"/><Relationship Id="rId15" Type="http://schemas.openxmlformats.org/officeDocument/2006/relationships/hyperlink" Target="http://www.djazairess.com/fr/lnr/221578" TargetMode="External"/><Relationship Id="rId23" Type="http://schemas.openxmlformats.org/officeDocument/2006/relationships/hyperlink" Target="http://www.signosemio.com/greimas/modele-actantiel.asp" TargetMode="External"/><Relationship Id="rId28" Type="http://schemas.openxmlformats.org/officeDocument/2006/relationships/hyperlink" Target="https://fr.wikipedia.org/wiki/Linguistique" TargetMode="External"/><Relationship Id="rId10" Type="http://schemas.openxmlformats.org/officeDocument/2006/relationships/hyperlink" Target="https://fr.wikipedia.org/wiki/1938" TargetMode="External"/><Relationship Id="rId19" Type="http://schemas.openxmlformats.org/officeDocument/2006/relationships/hyperlink" Target="http://www.patrick-charaudeau.com/Une-analyse-semiolinguistique-du.html" TargetMode="External"/><Relationship Id="rId31" Type="http://schemas.openxmlformats.org/officeDocument/2006/relationships/hyperlink" Target="https://fr.wikipedia.org/wiki/Linguistique" TargetMode="External"/><Relationship Id="rId4" Type="http://schemas.openxmlformats.org/officeDocument/2006/relationships/hyperlink" Target="http://www.alger-culture.com/readarticle.php?article_id=268" TargetMode="External"/><Relationship Id="rId9" Type="http://schemas.openxmlformats.org/officeDocument/2006/relationships/hyperlink" Target="https://fr.wikipedia.org/wiki/Bertolt_Brecht" TargetMode="External"/><Relationship Id="rId14" Type="http://schemas.openxmlformats.org/officeDocument/2006/relationships/hyperlink" Target="https://fr.wikipedia.org/wiki/Margarete_Steffin" TargetMode="External"/><Relationship Id="rId22" Type="http://schemas.openxmlformats.org/officeDocument/2006/relationships/hyperlink" Target="http://www.refer.sn/ethiopiques" TargetMode="External"/><Relationship Id="rId27" Type="http://schemas.openxmlformats.org/officeDocument/2006/relationships/hyperlink" Target="https://fr.wikipedia.org/wiki/1913" TargetMode="External"/><Relationship Id="rId30" Type="http://schemas.openxmlformats.org/officeDocument/2006/relationships/hyperlink" Target="https://fr.wikipedia.org/wiki/Algirdas_Julien_Greima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9A709F-543B-4464-B04E-7C665D061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300</Pages>
  <Words>96692</Words>
  <Characters>531809</Characters>
  <Application>Microsoft Office Word</Application>
  <DocSecurity>0</DocSecurity>
  <Lines>4431</Lines>
  <Paragraphs>1254</Paragraphs>
  <ScaleCrop>false</ScaleCrop>
  <HeadingPairs>
    <vt:vector size="4" baseType="variant">
      <vt:variant>
        <vt:lpstr>Titre</vt:lpstr>
      </vt:variant>
      <vt:variant>
        <vt:i4>1</vt:i4>
      </vt:variant>
      <vt:variant>
        <vt:lpstr>Titres</vt:lpstr>
      </vt:variant>
      <vt:variant>
        <vt:i4>10</vt:i4>
      </vt:variant>
    </vt:vector>
  </HeadingPairs>
  <TitlesOfParts>
    <vt:vector size="11" baseType="lpstr">
      <vt:lpstr/>
      <vt:lpstr>Remerciements</vt:lpstr>
      <vt:lpstr>Dédicace</vt:lpstr>
      <vt:lpstr>Table des matières</vt:lpstr>
      <vt:lpstr>INTRODUCTION</vt:lpstr>
      <vt:lpstr>PARTIE I : Les théâtres de Kaki et de Ghelderode: Textes, contexte et paratexte</vt:lpstr>
      <vt:lpstr>    Chapitre 1 : Kaki dans le théâtre algérien </vt:lpstr>
      <vt:lpstr>        </vt:lpstr>
      <vt:lpstr>        1. Présentation de la société algérienne et impact de la colonisation</vt:lpstr>
      <vt:lpstr>        </vt:lpstr>
      <vt:lpstr>        2. Le théâtre algérien : contexte historique, enjeux et singularités</vt:lpstr>
    </vt:vector>
  </TitlesOfParts>
  <Company>SPI</Company>
  <LinksUpToDate>false</LinksUpToDate>
  <CharactersWithSpaces>627247</CharactersWithSpaces>
  <SharedDoc>false</SharedDoc>
  <HLinks>
    <vt:vector size="1884" baseType="variant">
      <vt:variant>
        <vt:i4>2621562</vt:i4>
      </vt:variant>
      <vt:variant>
        <vt:i4>1365</vt:i4>
      </vt:variant>
      <vt:variant>
        <vt:i4>0</vt:i4>
      </vt:variant>
      <vt:variant>
        <vt:i4>5</vt:i4>
      </vt:variant>
      <vt:variant>
        <vt:lpwstr>https://www.google.dz/url?sa=i&amp;rct=j&amp;q=&amp;esrc=s&amp;source=images&amp;cd=&amp;cad=rja&amp;uact=8&amp;ved=0ahUKEwjl5NaNs9jMAhUDOBQKHSL6ClEQjB0IBg&amp;url=http%3A%2F%2Fwww.aml-cfwb.be%2Fcatalogues%2Fgeneral%2Fsujets-auteurs%2F82668&amp;psig=AFQjCNH2yNo5Ozihj-MLzgkNCRoFdKyoGQ&amp;ust=1463275126987581</vt:lpwstr>
      </vt:variant>
      <vt:variant>
        <vt:lpwstr/>
      </vt:variant>
      <vt:variant>
        <vt:i4>4194396</vt:i4>
      </vt:variant>
      <vt:variant>
        <vt:i4>1362</vt:i4>
      </vt:variant>
      <vt:variant>
        <vt:i4>0</vt:i4>
      </vt:variant>
      <vt:variant>
        <vt:i4>5</vt:i4>
      </vt:variant>
      <vt:variant>
        <vt:lpwstr>https://www.google.dz/url?sa=i&amp;rct=j&amp;q=&amp;esrc=s&amp;source=images&amp;cd=&amp;cad=rja&amp;uact=8&amp;ved=0ahUKEwjS7obWptjMAhVEPBoKHTUECF0QjB0IBg&amp;url=http%3A%2F%2Fbibleencyclopedia.com%2Fpictures%2FLuke_23_Barabbas_the_prisoner.htm&amp;psig=AFQjCNHkBQF9sKrfNPFs4o2jU9j3yojxmw&amp;ust=1463271501465948</vt:lpwstr>
      </vt:variant>
      <vt:variant>
        <vt:lpwstr/>
      </vt:variant>
      <vt:variant>
        <vt:i4>3276925</vt:i4>
      </vt:variant>
      <vt:variant>
        <vt:i4>1359</vt:i4>
      </vt:variant>
      <vt:variant>
        <vt:i4>0</vt:i4>
      </vt:variant>
      <vt:variant>
        <vt:i4>5</vt:i4>
      </vt:variant>
      <vt:variant>
        <vt:lpwstr>http://www.photo-arago.fr/C.aspx?VP3=DirectSearch&amp;KWID=2C6NWHEXXPPW</vt:lpwstr>
      </vt:variant>
      <vt:variant>
        <vt:lpwstr/>
      </vt:variant>
      <vt:variant>
        <vt:i4>6946924</vt:i4>
      </vt:variant>
      <vt:variant>
        <vt:i4>1356</vt:i4>
      </vt:variant>
      <vt:variant>
        <vt:i4>0</vt:i4>
      </vt:variant>
      <vt:variant>
        <vt:i4>5</vt:i4>
      </vt:variant>
      <vt:variant>
        <vt:lpwstr>http://www.photo-arago.fr/C.aspx?VP3=CMS3&amp;VF=GPPO26_3_VForm&amp;ERIDS=2C6NU0OBY4CR:2C6NU0OBSIV4:2C6NU0OBM3RQ:2C6NU0O0GWB3:2C6NU0O3JYZH</vt:lpwstr>
      </vt:variant>
      <vt:variant>
        <vt:lpwstr/>
      </vt:variant>
      <vt:variant>
        <vt:i4>6553711</vt:i4>
      </vt:variant>
      <vt:variant>
        <vt:i4>1353</vt:i4>
      </vt:variant>
      <vt:variant>
        <vt:i4>0</vt:i4>
      </vt:variant>
      <vt:variant>
        <vt:i4>5</vt:i4>
      </vt:variant>
      <vt:variant>
        <vt:lpwstr>http://www.universalis.fr/encyclopedie/fernand-crommelynck/</vt:lpwstr>
      </vt:variant>
      <vt:variant>
        <vt:lpwstr/>
      </vt:variant>
      <vt:variant>
        <vt:i4>1638522</vt:i4>
      </vt:variant>
      <vt:variant>
        <vt:i4>1350</vt:i4>
      </vt:variant>
      <vt:variant>
        <vt:i4>0</vt:i4>
      </vt:variant>
      <vt:variant>
        <vt:i4>5</vt:i4>
      </vt:variant>
      <vt:variant>
        <vt:lpwstr>http://braniya.blogspot.com/2012/06/celui-par-qui-le-theatre-est-arrive_29.html</vt:lpwstr>
      </vt:variant>
      <vt:variant>
        <vt:lpwstr/>
      </vt:variant>
      <vt:variant>
        <vt:i4>1245251</vt:i4>
      </vt:variant>
      <vt:variant>
        <vt:i4>1347</vt:i4>
      </vt:variant>
      <vt:variant>
        <vt:i4>0</vt:i4>
      </vt:variant>
      <vt:variant>
        <vt:i4>5</vt:i4>
      </vt:variant>
      <vt:variant>
        <vt:lpwstr>https://www.blogger.com/profile/09216656685140069299</vt:lpwstr>
      </vt:variant>
      <vt:variant>
        <vt:lpwstr/>
      </vt:variant>
      <vt:variant>
        <vt:i4>524400</vt:i4>
      </vt:variant>
      <vt:variant>
        <vt:i4>1344</vt:i4>
      </vt:variant>
      <vt:variant>
        <vt:i4>0</vt:i4>
      </vt:variant>
      <vt:variant>
        <vt:i4>5</vt:i4>
      </vt:variant>
      <vt:variant>
        <vt:lpwstr>http://braniya.blogspot.com/2012_06_01_archive.html</vt:lpwstr>
      </vt:variant>
      <vt:variant>
        <vt:lpwstr/>
      </vt:variant>
      <vt:variant>
        <vt:i4>196629</vt:i4>
      </vt:variant>
      <vt:variant>
        <vt:i4>1341</vt:i4>
      </vt:variant>
      <vt:variant>
        <vt:i4>0</vt:i4>
      </vt:variant>
      <vt:variant>
        <vt:i4>5</vt:i4>
      </vt:variant>
      <vt:variant>
        <vt:lpwstr>http://www.harmattan.fr/</vt:lpwstr>
      </vt:variant>
      <vt:variant>
        <vt:lpwstr/>
      </vt:variant>
      <vt:variant>
        <vt:i4>6422639</vt:i4>
      </vt:variant>
      <vt:variant>
        <vt:i4>1338</vt:i4>
      </vt:variant>
      <vt:variant>
        <vt:i4>0</vt:i4>
      </vt:variant>
      <vt:variant>
        <vt:i4>5</vt:i4>
      </vt:variant>
      <vt:variant>
        <vt:lpwstr>http://www.lesoirdalgerie.com/articles/2011/06/05/article.php?sid=118108&amp;cid=16</vt:lpwstr>
      </vt:variant>
      <vt:variant>
        <vt:lpwstr/>
      </vt:variant>
      <vt:variant>
        <vt:i4>6357008</vt:i4>
      </vt:variant>
      <vt:variant>
        <vt:i4>1335</vt:i4>
      </vt:variant>
      <vt:variant>
        <vt:i4>0</vt:i4>
      </vt:variant>
      <vt:variant>
        <vt:i4>5</vt:i4>
      </vt:variant>
      <vt:variant>
        <vt:lpwstr>https://fr.wikipedia.org/wiki/Patrice_Thierry</vt:lpwstr>
      </vt:variant>
      <vt:variant>
        <vt:lpwstr/>
      </vt:variant>
      <vt:variant>
        <vt:i4>2228332</vt:i4>
      </vt:variant>
      <vt:variant>
        <vt:i4>1332</vt:i4>
      </vt:variant>
      <vt:variant>
        <vt:i4>0</vt:i4>
      </vt:variant>
      <vt:variant>
        <vt:i4>5</vt:i4>
      </vt:variant>
      <vt:variant>
        <vt:lpwstr>https://www.amazon.fr/s/ref=dp_byline_sr_book_1?ie=UTF8&amp;text=J.+Fontanille&amp;search-alias=books-fr&amp;field-author=J.+Fontanille&amp;sort=relevancerank</vt:lpwstr>
      </vt:variant>
      <vt:variant>
        <vt:lpwstr/>
      </vt:variant>
      <vt:variant>
        <vt:i4>85</vt:i4>
      </vt:variant>
      <vt:variant>
        <vt:i4>1329</vt:i4>
      </vt:variant>
      <vt:variant>
        <vt:i4>0</vt:i4>
      </vt:variant>
      <vt:variant>
        <vt:i4>5</vt:i4>
      </vt:variant>
      <vt:variant>
        <vt:lpwstr>http://www.semiopolis.fr/</vt:lpwstr>
      </vt:variant>
      <vt:variant>
        <vt:lpwstr/>
      </vt:variant>
      <vt:variant>
        <vt:i4>3539055</vt:i4>
      </vt:variant>
      <vt:variant>
        <vt:i4>1326</vt:i4>
      </vt:variant>
      <vt:variant>
        <vt:i4>0</vt:i4>
      </vt:variant>
      <vt:variant>
        <vt:i4>5</vt:i4>
      </vt:variant>
      <vt:variant>
        <vt:lpwstr>https://fr.wikipedia.org/wiki/Linguistique</vt:lpwstr>
      </vt:variant>
      <vt:variant>
        <vt:lpwstr/>
      </vt:variant>
      <vt:variant>
        <vt:i4>852051</vt:i4>
      </vt:variant>
      <vt:variant>
        <vt:i4>1323</vt:i4>
      </vt:variant>
      <vt:variant>
        <vt:i4>0</vt:i4>
      </vt:variant>
      <vt:variant>
        <vt:i4>5</vt:i4>
      </vt:variant>
      <vt:variant>
        <vt:lpwstr>https://fr.wikipedia.org/wiki/Ferdinand_de_Saussure</vt:lpwstr>
      </vt:variant>
      <vt:variant>
        <vt:lpwstr/>
      </vt:variant>
      <vt:variant>
        <vt:i4>4325389</vt:i4>
      </vt:variant>
      <vt:variant>
        <vt:i4>1320</vt:i4>
      </vt:variant>
      <vt:variant>
        <vt:i4>0</vt:i4>
      </vt:variant>
      <vt:variant>
        <vt:i4>5</vt:i4>
      </vt:variant>
      <vt:variant>
        <vt:lpwstr>https://fr.wikipedia.org/wiki/Logique</vt:lpwstr>
      </vt:variant>
      <vt:variant>
        <vt:lpwstr/>
      </vt:variant>
      <vt:variant>
        <vt:i4>2883685</vt:i4>
      </vt:variant>
      <vt:variant>
        <vt:i4>1317</vt:i4>
      </vt:variant>
      <vt:variant>
        <vt:i4>0</vt:i4>
      </vt:variant>
      <vt:variant>
        <vt:i4>5</vt:i4>
      </vt:variant>
      <vt:variant>
        <vt:lpwstr>https://fr.wikipedia.org/wiki/Philosophie_des_sciences</vt:lpwstr>
      </vt:variant>
      <vt:variant>
        <vt:lpwstr/>
      </vt:variant>
      <vt:variant>
        <vt:i4>4522059</vt:i4>
      </vt:variant>
      <vt:variant>
        <vt:i4>1314</vt:i4>
      </vt:variant>
      <vt:variant>
        <vt:i4>0</vt:i4>
      </vt:variant>
      <vt:variant>
        <vt:i4>5</vt:i4>
      </vt:variant>
      <vt:variant>
        <vt:lpwstr>https://fr.wikipedia.org/wiki/%C3%89pist%C3%A9mologie</vt:lpwstr>
      </vt:variant>
      <vt:variant>
        <vt:lpwstr/>
      </vt:variant>
      <vt:variant>
        <vt:i4>3145795</vt:i4>
      </vt:variant>
      <vt:variant>
        <vt:i4>1311</vt:i4>
      </vt:variant>
      <vt:variant>
        <vt:i4>0</vt:i4>
      </vt:variant>
      <vt:variant>
        <vt:i4>5</vt:i4>
      </vt:variant>
      <vt:variant>
        <vt:lpwstr>https://fr.wikipedia.org/wiki/Pragmatique_%28linguistique%29</vt:lpwstr>
      </vt:variant>
      <vt:variant>
        <vt:lpwstr/>
      </vt:variant>
      <vt:variant>
        <vt:i4>262260</vt:i4>
      </vt:variant>
      <vt:variant>
        <vt:i4>1308</vt:i4>
      </vt:variant>
      <vt:variant>
        <vt:i4>0</vt:i4>
      </vt:variant>
      <vt:variant>
        <vt:i4>5</vt:i4>
      </vt:variant>
      <vt:variant>
        <vt:lpwstr>https://fr.wikipedia.org/wiki/Richard_Montague</vt:lpwstr>
      </vt:variant>
      <vt:variant>
        <vt:lpwstr/>
      </vt:variant>
      <vt:variant>
        <vt:i4>3997789</vt:i4>
      </vt:variant>
      <vt:variant>
        <vt:i4>1305</vt:i4>
      </vt:variant>
      <vt:variant>
        <vt:i4>0</vt:i4>
      </vt:variant>
      <vt:variant>
        <vt:i4>5</vt:i4>
      </vt:variant>
      <vt:variant>
        <vt:lpwstr>https://fr.wikipedia.org/wiki/Rudolf_Carnap</vt:lpwstr>
      </vt:variant>
      <vt:variant>
        <vt:lpwstr/>
      </vt:variant>
      <vt:variant>
        <vt:i4>2949198</vt:i4>
      </vt:variant>
      <vt:variant>
        <vt:i4>1302</vt:i4>
      </vt:variant>
      <vt:variant>
        <vt:i4>0</vt:i4>
      </vt:variant>
      <vt:variant>
        <vt:i4>5</vt:i4>
      </vt:variant>
      <vt:variant>
        <vt:lpwstr>https://fr.wikipedia.org/wiki/Bertrand_Russell</vt:lpwstr>
      </vt:variant>
      <vt:variant>
        <vt:lpwstr/>
      </vt:variant>
      <vt:variant>
        <vt:i4>983145</vt:i4>
      </vt:variant>
      <vt:variant>
        <vt:i4>1299</vt:i4>
      </vt:variant>
      <vt:variant>
        <vt:i4>0</vt:i4>
      </vt:variant>
      <vt:variant>
        <vt:i4>5</vt:i4>
      </vt:variant>
      <vt:variant>
        <vt:lpwstr>https://fr.wikipedia.org/wiki/Gottlob_Frege</vt:lpwstr>
      </vt:variant>
      <vt:variant>
        <vt:lpwstr/>
      </vt:variant>
      <vt:variant>
        <vt:i4>4456459</vt:i4>
      </vt:variant>
      <vt:variant>
        <vt:i4>1296</vt:i4>
      </vt:variant>
      <vt:variant>
        <vt:i4>0</vt:i4>
      </vt:variant>
      <vt:variant>
        <vt:i4>5</vt:i4>
      </vt:variant>
      <vt:variant>
        <vt:lpwstr>https://fr.wikipedia.org/wiki/Syntaxe</vt:lpwstr>
      </vt:variant>
      <vt:variant>
        <vt:lpwstr/>
      </vt:variant>
      <vt:variant>
        <vt:i4>5242920</vt:i4>
      </vt:variant>
      <vt:variant>
        <vt:i4>1293</vt:i4>
      </vt:variant>
      <vt:variant>
        <vt:i4>0</vt:i4>
      </vt:variant>
      <vt:variant>
        <vt:i4>5</vt:i4>
      </vt:variant>
      <vt:variant>
        <vt:lpwstr>https://fr.wikipedia.org/wiki/Roland_Barthes</vt:lpwstr>
      </vt:variant>
      <vt:variant>
        <vt:lpwstr/>
      </vt:variant>
      <vt:variant>
        <vt:i4>2490456</vt:i4>
      </vt:variant>
      <vt:variant>
        <vt:i4>1290</vt:i4>
      </vt:variant>
      <vt:variant>
        <vt:i4>0</vt:i4>
      </vt:variant>
      <vt:variant>
        <vt:i4>5</vt:i4>
      </vt:variant>
      <vt:variant>
        <vt:lpwstr>https://fr.wikipedia.org/wiki/Alfred_Tarski</vt:lpwstr>
      </vt:variant>
      <vt:variant>
        <vt:lpwstr/>
      </vt:variant>
      <vt:variant>
        <vt:i4>5832735</vt:i4>
      </vt:variant>
      <vt:variant>
        <vt:i4>1287</vt:i4>
      </vt:variant>
      <vt:variant>
        <vt:i4>0</vt:i4>
      </vt:variant>
      <vt:variant>
        <vt:i4>5</vt:i4>
      </vt:variant>
      <vt:variant>
        <vt:lpwstr>https://fr.wikipedia.org/wiki/S%C3%A9mantique</vt:lpwstr>
      </vt:variant>
      <vt:variant>
        <vt:lpwstr/>
      </vt:variant>
      <vt:variant>
        <vt:i4>4784223</vt:i4>
      </vt:variant>
      <vt:variant>
        <vt:i4>1284</vt:i4>
      </vt:variant>
      <vt:variant>
        <vt:i4>0</vt:i4>
      </vt:variant>
      <vt:variant>
        <vt:i4>5</vt:i4>
      </vt:variant>
      <vt:variant>
        <vt:lpwstr>https://fr.wikipedia.org/wiki/Charles_W._Morris</vt:lpwstr>
      </vt:variant>
      <vt:variant>
        <vt:lpwstr/>
      </vt:variant>
      <vt:variant>
        <vt:i4>1114239</vt:i4>
      </vt:variant>
      <vt:variant>
        <vt:i4>1278</vt:i4>
      </vt:variant>
      <vt:variant>
        <vt:i4>0</vt:i4>
      </vt:variant>
      <vt:variant>
        <vt:i4>5</vt:i4>
      </vt:variant>
      <vt:variant>
        <vt:lpwstr>http://fr.wikipedia.org/wiki/Prix_triennal_du_th%C3%A9%C3%A2tre_de_la_Communaut%C3%A9_fran%C3%A7aise_de_Belgique</vt:lpwstr>
      </vt:variant>
      <vt:variant>
        <vt:lpwstr/>
      </vt:variant>
      <vt:variant>
        <vt:i4>983162</vt:i4>
      </vt:variant>
      <vt:variant>
        <vt:i4>1275</vt:i4>
      </vt:variant>
      <vt:variant>
        <vt:i4>0</vt:i4>
      </vt:variant>
      <vt:variant>
        <vt:i4>5</vt:i4>
      </vt:variant>
      <vt:variant>
        <vt:lpwstr>http://fr.wikipedia.org/w/index.php?title=La_Farce_des_T%C3%A9n%C3%A9breux&amp;action=edit&amp;redlink=1</vt:lpwstr>
      </vt:variant>
      <vt:variant>
        <vt:lpwstr/>
      </vt:variant>
      <vt:variant>
        <vt:i4>983162</vt:i4>
      </vt:variant>
      <vt:variant>
        <vt:i4>1272</vt:i4>
      </vt:variant>
      <vt:variant>
        <vt:i4>0</vt:i4>
      </vt:variant>
      <vt:variant>
        <vt:i4>5</vt:i4>
      </vt:variant>
      <vt:variant>
        <vt:lpwstr>http://fr.wikipedia.org/w/index.php?title=La_Farce_des_T%C3%A9n%C3%A9breux&amp;action=edit&amp;redlink=1</vt:lpwstr>
      </vt:variant>
      <vt:variant>
        <vt:lpwstr/>
      </vt:variant>
      <vt:variant>
        <vt:i4>983162</vt:i4>
      </vt:variant>
      <vt:variant>
        <vt:i4>1269</vt:i4>
      </vt:variant>
      <vt:variant>
        <vt:i4>0</vt:i4>
      </vt:variant>
      <vt:variant>
        <vt:i4>5</vt:i4>
      </vt:variant>
      <vt:variant>
        <vt:lpwstr>http://fr.wikipedia.org/w/index.php?title=La_Farce_des_T%C3%A9n%C3%A9breux&amp;action=edit&amp;redlink=1</vt:lpwstr>
      </vt:variant>
      <vt:variant>
        <vt:lpwstr/>
      </vt:variant>
      <vt:variant>
        <vt:i4>983162</vt:i4>
      </vt:variant>
      <vt:variant>
        <vt:i4>1266</vt:i4>
      </vt:variant>
      <vt:variant>
        <vt:i4>0</vt:i4>
      </vt:variant>
      <vt:variant>
        <vt:i4>5</vt:i4>
      </vt:variant>
      <vt:variant>
        <vt:lpwstr>http://fr.wikipedia.org/w/index.php?title=La_Farce_des_T%C3%A9n%C3%A9breux&amp;action=edit&amp;redlink=1</vt:lpwstr>
      </vt:variant>
      <vt:variant>
        <vt:lpwstr/>
      </vt:variant>
      <vt:variant>
        <vt:i4>983162</vt:i4>
      </vt:variant>
      <vt:variant>
        <vt:i4>1263</vt:i4>
      </vt:variant>
      <vt:variant>
        <vt:i4>0</vt:i4>
      </vt:variant>
      <vt:variant>
        <vt:i4>5</vt:i4>
      </vt:variant>
      <vt:variant>
        <vt:lpwstr>http://fr.wikipedia.org/w/index.php?title=La_Farce_des_T%C3%A9n%C3%A9breux&amp;action=edit&amp;redlink=1</vt:lpwstr>
      </vt:variant>
      <vt:variant>
        <vt:lpwstr/>
      </vt:variant>
      <vt:variant>
        <vt:i4>983162</vt:i4>
      </vt:variant>
      <vt:variant>
        <vt:i4>1260</vt:i4>
      </vt:variant>
      <vt:variant>
        <vt:i4>0</vt:i4>
      </vt:variant>
      <vt:variant>
        <vt:i4>5</vt:i4>
      </vt:variant>
      <vt:variant>
        <vt:lpwstr>http://fr.wikipedia.org/w/index.php?title=La_Farce_des_T%C3%A9n%C3%A9breux&amp;action=edit&amp;redlink=1</vt:lpwstr>
      </vt:variant>
      <vt:variant>
        <vt:lpwstr/>
      </vt:variant>
      <vt:variant>
        <vt:i4>983162</vt:i4>
      </vt:variant>
      <vt:variant>
        <vt:i4>1257</vt:i4>
      </vt:variant>
      <vt:variant>
        <vt:i4>0</vt:i4>
      </vt:variant>
      <vt:variant>
        <vt:i4>5</vt:i4>
      </vt:variant>
      <vt:variant>
        <vt:lpwstr>http://fr.wikipedia.org/w/index.php?title=La_Farce_des_T%C3%A9n%C3%A9breux&amp;action=edit&amp;redlink=1</vt:lpwstr>
      </vt:variant>
      <vt:variant>
        <vt:lpwstr/>
      </vt:variant>
      <vt:variant>
        <vt:i4>983162</vt:i4>
      </vt:variant>
      <vt:variant>
        <vt:i4>1254</vt:i4>
      </vt:variant>
      <vt:variant>
        <vt:i4>0</vt:i4>
      </vt:variant>
      <vt:variant>
        <vt:i4>5</vt:i4>
      </vt:variant>
      <vt:variant>
        <vt:lpwstr>http://fr.wikipedia.org/w/index.php?title=La_Farce_des_T%C3%A9n%C3%A9breux&amp;action=edit&amp;redlink=1</vt:lpwstr>
      </vt:variant>
      <vt:variant>
        <vt:lpwstr/>
      </vt:variant>
      <vt:variant>
        <vt:i4>983162</vt:i4>
      </vt:variant>
      <vt:variant>
        <vt:i4>1251</vt:i4>
      </vt:variant>
      <vt:variant>
        <vt:i4>0</vt:i4>
      </vt:variant>
      <vt:variant>
        <vt:i4>5</vt:i4>
      </vt:variant>
      <vt:variant>
        <vt:lpwstr>http://fr.wikipedia.org/w/index.php?title=La_Farce_des_T%C3%A9n%C3%A9breux&amp;action=edit&amp;redlink=1</vt:lpwstr>
      </vt:variant>
      <vt:variant>
        <vt:lpwstr/>
      </vt:variant>
      <vt:variant>
        <vt:i4>983162</vt:i4>
      </vt:variant>
      <vt:variant>
        <vt:i4>1248</vt:i4>
      </vt:variant>
      <vt:variant>
        <vt:i4>0</vt:i4>
      </vt:variant>
      <vt:variant>
        <vt:i4>5</vt:i4>
      </vt:variant>
      <vt:variant>
        <vt:lpwstr>http://fr.wikipedia.org/w/index.php?title=La_Farce_des_T%C3%A9n%C3%A9breux&amp;action=edit&amp;redlink=1</vt:lpwstr>
      </vt:variant>
      <vt:variant>
        <vt:lpwstr/>
      </vt:variant>
      <vt:variant>
        <vt:i4>393267</vt:i4>
      </vt:variant>
      <vt:variant>
        <vt:i4>1245</vt:i4>
      </vt:variant>
      <vt:variant>
        <vt:i4>0</vt:i4>
      </vt:variant>
      <vt:variant>
        <vt:i4>5</vt:i4>
      </vt:variant>
      <vt:variant>
        <vt:lpwstr>http://fr.wikipedia.org/wiki/Michel_de_Ghelderode</vt:lpwstr>
      </vt:variant>
      <vt:variant>
        <vt:lpwstr>cite_note-4</vt:lpwstr>
      </vt:variant>
      <vt:variant>
        <vt:i4>393267</vt:i4>
      </vt:variant>
      <vt:variant>
        <vt:i4>1242</vt:i4>
      </vt:variant>
      <vt:variant>
        <vt:i4>0</vt:i4>
      </vt:variant>
      <vt:variant>
        <vt:i4>5</vt:i4>
      </vt:variant>
      <vt:variant>
        <vt:lpwstr>http://fr.wikipedia.org/wiki/Michel_de_Ghelderode</vt:lpwstr>
      </vt:variant>
      <vt:variant>
        <vt:lpwstr>cite_note-4</vt:lpwstr>
      </vt:variant>
      <vt:variant>
        <vt:i4>393267</vt:i4>
      </vt:variant>
      <vt:variant>
        <vt:i4>1239</vt:i4>
      </vt:variant>
      <vt:variant>
        <vt:i4>0</vt:i4>
      </vt:variant>
      <vt:variant>
        <vt:i4>5</vt:i4>
      </vt:variant>
      <vt:variant>
        <vt:lpwstr>http://fr.wikipedia.org/wiki/Michel_de_Ghelderode</vt:lpwstr>
      </vt:variant>
      <vt:variant>
        <vt:lpwstr>cite_note-4</vt:lpwstr>
      </vt:variant>
      <vt:variant>
        <vt:i4>393267</vt:i4>
      </vt:variant>
      <vt:variant>
        <vt:i4>1236</vt:i4>
      </vt:variant>
      <vt:variant>
        <vt:i4>0</vt:i4>
      </vt:variant>
      <vt:variant>
        <vt:i4>5</vt:i4>
      </vt:variant>
      <vt:variant>
        <vt:lpwstr>http://fr.wikipedia.org/wiki/Michel_de_Ghelderode</vt:lpwstr>
      </vt:variant>
      <vt:variant>
        <vt:lpwstr>cite_note-4</vt:lpwstr>
      </vt:variant>
      <vt:variant>
        <vt:i4>393267</vt:i4>
      </vt:variant>
      <vt:variant>
        <vt:i4>1233</vt:i4>
      </vt:variant>
      <vt:variant>
        <vt:i4>0</vt:i4>
      </vt:variant>
      <vt:variant>
        <vt:i4>5</vt:i4>
      </vt:variant>
      <vt:variant>
        <vt:lpwstr>http://fr.wikipedia.org/wiki/Michel_de_Ghelderode</vt:lpwstr>
      </vt:variant>
      <vt:variant>
        <vt:lpwstr>cite_note-4</vt:lpwstr>
      </vt:variant>
      <vt:variant>
        <vt:i4>393267</vt:i4>
      </vt:variant>
      <vt:variant>
        <vt:i4>1230</vt:i4>
      </vt:variant>
      <vt:variant>
        <vt:i4>0</vt:i4>
      </vt:variant>
      <vt:variant>
        <vt:i4>5</vt:i4>
      </vt:variant>
      <vt:variant>
        <vt:lpwstr>http://fr.wikipedia.org/wiki/Michel_de_Ghelderode</vt:lpwstr>
      </vt:variant>
      <vt:variant>
        <vt:lpwstr>cite_note-4</vt:lpwstr>
      </vt:variant>
      <vt:variant>
        <vt:i4>393267</vt:i4>
      </vt:variant>
      <vt:variant>
        <vt:i4>1227</vt:i4>
      </vt:variant>
      <vt:variant>
        <vt:i4>0</vt:i4>
      </vt:variant>
      <vt:variant>
        <vt:i4>5</vt:i4>
      </vt:variant>
      <vt:variant>
        <vt:lpwstr>http://fr.wikipedia.org/wiki/Michel_de_Ghelderode</vt:lpwstr>
      </vt:variant>
      <vt:variant>
        <vt:lpwstr>cite_note-3</vt:lpwstr>
      </vt:variant>
      <vt:variant>
        <vt:i4>393267</vt:i4>
      </vt:variant>
      <vt:variant>
        <vt:i4>1224</vt:i4>
      </vt:variant>
      <vt:variant>
        <vt:i4>0</vt:i4>
      </vt:variant>
      <vt:variant>
        <vt:i4>5</vt:i4>
      </vt:variant>
      <vt:variant>
        <vt:lpwstr>http://fr.wikipedia.org/wiki/Michel_de_Ghelderode</vt:lpwstr>
      </vt:variant>
      <vt:variant>
        <vt:lpwstr>cite_note-3</vt:lpwstr>
      </vt:variant>
      <vt:variant>
        <vt:i4>393267</vt:i4>
      </vt:variant>
      <vt:variant>
        <vt:i4>1221</vt:i4>
      </vt:variant>
      <vt:variant>
        <vt:i4>0</vt:i4>
      </vt:variant>
      <vt:variant>
        <vt:i4>5</vt:i4>
      </vt:variant>
      <vt:variant>
        <vt:lpwstr>http://fr.wikipedia.org/wiki/Michel_de_Ghelderode</vt:lpwstr>
      </vt:variant>
      <vt:variant>
        <vt:lpwstr>cite_note-3</vt:lpwstr>
      </vt:variant>
      <vt:variant>
        <vt:i4>393267</vt:i4>
      </vt:variant>
      <vt:variant>
        <vt:i4>1218</vt:i4>
      </vt:variant>
      <vt:variant>
        <vt:i4>0</vt:i4>
      </vt:variant>
      <vt:variant>
        <vt:i4>5</vt:i4>
      </vt:variant>
      <vt:variant>
        <vt:lpwstr>http://fr.wikipedia.org/wiki/Michel_de_Ghelderode</vt:lpwstr>
      </vt:variant>
      <vt:variant>
        <vt:lpwstr>cite_note-3</vt:lpwstr>
      </vt:variant>
      <vt:variant>
        <vt:i4>393267</vt:i4>
      </vt:variant>
      <vt:variant>
        <vt:i4>1215</vt:i4>
      </vt:variant>
      <vt:variant>
        <vt:i4>0</vt:i4>
      </vt:variant>
      <vt:variant>
        <vt:i4>5</vt:i4>
      </vt:variant>
      <vt:variant>
        <vt:lpwstr>http://fr.wikipedia.org/wiki/Michel_de_Ghelderode</vt:lpwstr>
      </vt:variant>
      <vt:variant>
        <vt:lpwstr>cite_note-3</vt:lpwstr>
      </vt:variant>
      <vt:variant>
        <vt:i4>393267</vt:i4>
      </vt:variant>
      <vt:variant>
        <vt:i4>1212</vt:i4>
      </vt:variant>
      <vt:variant>
        <vt:i4>0</vt:i4>
      </vt:variant>
      <vt:variant>
        <vt:i4>5</vt:i4>
      </vt:variant>
      <vt:variant>
        <vt:lpwstr>http://fr.wikipedia.org/wiki/Michel_de_Ghelderode</vt:lpwstr>
      </vt:variant>
      <vt:variant>
        <vt:lpwstr>cite_note-3</vt:lpwstr>
      </vt:variant>
      <vt:variant>
        <vt:i4>393267</vt:i4>
      </vt:variant>
      <vt:variant>
        <vt:i4>1209</vt:i4>
      </vt:variant>
      <vt:variant>
        <vt:i4>0</vt:i4>
      </vt:variant>
      <vt:variant>
        <vt:i4>5</vt:i4>
      </vt:variant>
      <vt:variant>
        <vt:lpwstr>http://fr.wikipedia.org/wiki/Michel_de_Ghelderode</vt:lpwstr>
      </vt:variant>
      <vt:variant>
        <vt:lpwstr>cite_note-3</vt:lpwstr>
      </vt:variant>
      <vt:variant>
        <vt:i4>1572963</vt:i4>
      </vt:variant>
      <vt:variant>
        <vt:i4>1206</vt:i4>
      </vt:variant>
      <vt:variant>
        <vt:i4>0</vt:i4>
      </vt:variant>
      <vt:variant>
        <vt:i4>5</vt:i4>
      </vt:variant>
      <vt:variant>
        <vt:lpwstr>http://fr.wikipedia.org/w/index.php?title=Godelieve_(Ghelderode)&amp;action=edit&amp;redlink=1</vt:lpwstr>
      </vt:variant>
      <vt:variant>
        <vt:lpwstr/>
      </vt:variant>
      <vt:variant>
        <vt:i4>1572963</vt:i4>
      </vt:variant>
      <vt:variant>
        <vt:i4>1203</vt:i4>
      </vt:variant>
      <vt:variant>
        <vt:i4>0</vt:i4>
      </vt:variant>
      <vt:variant>
        <vt:i4>5</vt:i4>
      </vt:variant>
      <vt:variant>
        <vt:lpwstr>http://fr.wikipedia.org/w/index.php?title=Godelieve_(Ghelderode)&amp;action=edit&amp;redlink=1</vt:lpwstr>
      </vt:variant>
      <vt:variant>
        <vt:lpwstr/>
      </vt:variant>
      <vt:variant>
        <vt:i4>1572963</vt:i4>
      </vt:variant>
      <vt:variant>
        <vt:i4>1200</vt:i4>
      </vt:variant>
      <vt:variant>
        <vt:i4>0</vt:i4>
      </vt:variant>
      <vt:variant>
        <vt:i4>5</vt:i4>
      </vt:variant>
      <vt:variant>
        <vt:lpwstr>http://fr.wikipedia.org/w/index.php?title=Godelieve_(Ghelderode)&amp;action=edit&amp;redlink=1</vt:lpwstr>
      </vt:variant>
      <vt:variant>
        <vt:lpwstr/>
      </vt:variant>
      <vt:variant>
        <vt:i4>6619167</vt:i4>
      </vt:variant>
      <vt:variant>
        <vt:i4>1197</vt:i4>
      </vt:variant>
      <vt:variant>
        <vt:i4>0</vt:i4>
      </vt:variant>
      <vt:variant>
        <vt:i4>5</vt:i4>
      </vt:variant>
      <vt:variant>
        <vt:lpwstr>http://fr.wikipedia.org/wiki/Atlantique_(Ghelderode)</vt:lpwstr>
      </vt:variant>
      <vt:variant>
        <vt:lpwstr/>
      </vt:variant>
      <vt:variant>
        <vt:i4>6619167</vt:i4>
      </vt:variant>
      <vt:variant>
        <vt:i4>1194</vt:i4>
      </vt:variant>
      <vt:variant>
        <vt:i4>0</vt:i4>
      </vt:variant>
      <vt:variant>
        <vt:i4>5</vt:i4>
      </vt:variant>
      <vt:variant>
        <vt:lpwstr>http://fr.wikipedia.org/wiki/Atlantique_(Ghelderode)</vt:lpwstr>
      </vt:variant>
      <vt:variant>
        <vt:lpwstr/>
      </vt:variant>
      <vt:variant>
        <vt:i4>2818130</vt:i4>
      </vt:variant>
      <vt:variant>
        <vt:i4>1191</vt:i4>
      </vt:variant>
      <vt:variant>
        <vt:i4>0</vt:i4>
      </vt:variant>
      <vt:variant>
        <vt:i4>5</vt:i4>
      </vt:variant>
      <vt:variant>
        <vt:lpwstr>http://fr.wikipedia.org/wiki/Michel_de_Ghelderode</vt:lpwstr>
      </vt:variant>
      <vt:variant>
        <vt:lpwstr>cite_note-a-1</vt:lpwstr>
      </vt:variant>
      <vt:variant>
        <vt:i4>2818130</vt:i4>
      </vt:variant>
      <vt:variant>
        <vt:i4>1188</vt:i4>
      </vt:variant>
      <vt:variant>
        <vt:i4>0</vt:i4>
      </vt:variant>
      <vt:variant>
        <vt:i4>5</vt:i4>
      </vt:variant>
      <vt:variant>
        <vt:lpwstr>http://fr.wikipedia.org/wiki/Michel_de_Ghelderode</vt:lpwstr>
      </vt:variant>
      <vt:variant>
        <vt:lpwstr>cite_note-a-1</vt:lpwstr>
      </vt:variant>
      <vt:variant>
        <vt:i4>2818130</vt:i4>
      </vt:variant>
      <vt:variant>
        <vt:i4>1185</vt:i4>
      </vt:variant>
      <vt:variant>
        <vt:i4>0</vt:i4>
      </vt:variant>
      <vt:variant>
        <vt:i4>5</vt:i4>
      </vt:variant>
      <vt:variant>
        <vt:lpwstr>http://fr.wikipedia.org/wiki/Michel_de_Ghelderode</vt:lpwstr>
      </vt:variant>
      <vt:variant>
        <vt:lpwstr>cite_note-a-1</vt:lpwstr>
      </vt:variant>
      <vt:variant>
        <vt:i4>2818130</vt:i4>
      </vt:variant>
      <vt:variant>
        <vt:i4>1182</vt:i4>
      </vt:variant>
      <vt:variant>
        <vt:i4>0</vt:i4>
      </vt:variant>
      <vt:variant>
        <vt:i4>5</vt:i4>
      </vt:variant>
      <vt:variant>
        <vt:lpwstr>http://fr.wikipedia.org/wiki/Michel_de_Ghelderode</vt:lpwstr>
      </vt:variant>
      <vt:variant>
        <vt:lpwstr>cite_note-a-1</vt:lpwstr>
      </vt:variant>
      <vt:variant>
        <vt:i4>2818130</vt:i4>
      </vt:variant>
      <vt:variant>
        <vt:i4>1179</vt:i4>
      </vt:variant>
      <vt:variant>
        <vt:i4>0</vt:i4>
      </vt:variant>
      <vt:variant>
        <vt:i4>5</vt:i4>
      </vt:variant>
      <vt:variant>
        <vt:lpwstr>http://fr.wikipedia.org/wiki/Michel_de_Ghelderode</vt:lpwstr>
      </vt:variant>
      <vt:variant>
        <vt:lpwstr>cite_note-a-1</vt:lpwstr>
      </vt:variant>
      <vt:variant>
        <vt:i4>393267</vt:i4>
      </vt:variant>
      <vt:variant>
        <vt:i4>1176</vt:i4>
      </vt:variant>
      <vt:variant>
        <vt:i4>0</vt:i4>
      </vt:variant>
      <vt:variant>
        <vt:i4>5</vt:i4>
      </vt:variant>
      <vt:variant>
        <vt:lpwstr>http://fr.wikipedia.org/wiki/Michel_de_Ghelderode</vt:lpwstr>
      </vt:variant>
      <vt:variant>
        <vt:lpwstr>cite_note-2</vt:lpwstr>
      </vt:variant>
      <vt:variant>
        <vt:i4>6422596</vt:i4>
      </vt:variant>
      <vt:variant>
        <vt:i4>1173</vt:i4>
      </vt:variant>
      <vt:variant>
        <vt:i4>0</vt:i4>
      </vt:variant>
      <vt:variant>
        <vt:i4>5</vt:i4>
      </vt:variant>
      <vt:variant>
        <vt:lpwstr>http://fr.wikipedia.org/w/index.php?title=V%C3%A9nus_(Ghelderode)&amp;action=edit&amp;redlink=1</vt:lpwstr>
      </vt:variant>
      <vt:variant>
        <vt:lpwstr/>
      </vt:variant>
      <vt:variant>
        <vt:i4>1114239</vt:i4>
      </vt:variant>
      <vt:variant>
        <vt:i4>1170</vt:i4>
      </vt:variant>
      <vt:variant>
        <vt:i4>0</vt:i4>
      </vt:variant>
      <vt:variant>
        <vt:i4>5</vt:i4>
      </vt:variant>
      <vt:variant>
        <vt:lpwstr>http://fr.wikipedia.org/wiki/Prix_triennal_du_th%C3%A9%C3%A2tre_de_la_Communaut%C3%A9_fran%C3%A7aise_de_Belgique</vt:lpwstr>
      </vt:variant>
      <vt:variant>
        <vt:lpwstr/>
      </vt:variant>
      <vt:variant>
        <vt:i4>983124</vt:i4>
      </vt:variant>
      <vt:variant>
        <vt:i4>1167</vt:i4>
      </vt:variant>
      <vt:variant>
        <vt:i4>0</vt:i4>
      </vt:variant>
      <vt:variant>
        <vt:i4>5</vt:i4>
      </vt:variant>
      <vt:variant>
        <vt:lpwstr>http://fr.wikipedia.org/w/index.php?title=Christophe_Colomb_(Ghelderode)&amp;action=edit&amp;redlink=1</vt:lpwstr>
      </vt:variant>
      <vt:variant>
        <vt:lpwstr/>
      </vt:variant>
      <vt:variant>
        <vt:i4>3211383</vt:i4>
      </vt:variant>
      <vt:variant>
        <vt:i4>1164</vt:i4>
      </vt:variant>
      <vt:variant>
        <vt:i4>0</vt:i4>
      </vt:variant>
      <vt:variant>
        <vt:i4>5</vt:i4>
      </vt:variant>
      <vt:variant>
        <vt:lpwstr>http://fr.wikipedia.org/w/index.php?title=Michel_de_Ghelderode&amp;action=edit&amp;section=5</vt:lpwstr>
      </vt:variant>
      <vt:variant>
        <vt:lpwstr/>
      </vt:variant>
      <vt:variant>
        <vt:i4>3211383</vt:i4>
      </vt:variant>
      <vt:variant>
        <vt:i4>1161</vt:i4>
      </vt:variant>
      <vt:variant>
        <vt:i4>0</vt:i4>
      </vt:variant>
      <vt:variant>
        <vt:i4>5</vt:i4>
      </vt:variant>
      <vt:variant>
        <vt:lpwstr>http://fr.wikipedia.org/w/index.php?title=Michel_de_Ghelderode&amp;action=edit&amp;section=5</vt:lpwstr>
      </vt:variant>
      <vt:variant>
        <vt:lpwstr/>
      </vt:variant>
      <vt:variant>
        <vt:i4>3211383</vt:i4>
      </vt:variant>
      <vt:variant>
        <vt:i4>1158</vt:i4>
      </vt:variant>
      <vt:variant>
        <vt:i4>0</vt:i4>
      </vt:variant>
      <vt:variant>
        <vt:i4>5</vt:i4>
      </vt:variant>
      <vt:variant>
        <vt:lpwstr>http://fr.wikipedia.org/w/index.php?title=Michel_de_Ghelderode&amp;action=edit&amp;section=5</vt:lpwstr>
      </vt:variant>
      <vt:variant>
        <vt:lpwstr/>
      </vt:variant>
      <vt:variant>
        <vt:i4>3211383</vt:i4>
      </vt:variant>
      <vt:variant>
        <vt:i4>1155</vt:i4>
      </vt:variant>
      <vt:variant>
        <vt:i4>0</vt:i4>
      </vt:variant>
      <vt:variant>
        <vt:i4>5</vt:i4>
      </vt:variant>
      <vt:variant>
        <vt:lpwstr>http://fr.wikipedia.org/w/index.php?title=Michel_de_Ghelderode&amp;action=edit&amp;section=5</vt:lpwstr>
      </vt:variant>
      <vt:variant>
        <vt:lpwstr/>
      </vt:variant>
      <vt:variant>
        <vt:i4>3211383</vt:i4>
      </vt:variant>
      <vt:variant>
        <vt:i4>1152</vt:i4>
      </vt:variant>
      <vt:variant>
        <vt:i4>0</vt:i4>
      </vt:variant>
      <vt:variant>
        <vt:i4>5</vt:i4>
      </vt:variant>
      <vt:variant>
        <vt:lpwstr>http://fr.wikipedia.org/w/index.php?title=Michel_de_Ghelderode&amp;action=edit&amp;section=5</vt:lpwstr>
      </vt:variant>
      <vt:variant>
        <vt:lpwstr/>
      </vt:variant>
      <vt:variant>
        <vt:i4>3211383</vt:i4>
      </vt:variant>
      <vt:variant>
        <vt:i4>1149</vt:i4>
      </vt:variant>
      <vt:variant>
        <vt:i4>0</vt:i4>
      </vt:variant>
      <vt:variant>
        <vt:i4>5</vt:i4>
      </vt:variant>
      <vt:variant>
        <vt:lpwstr>http://fr.wikipedia.org/w/index.php?title=Michel_de_Ghelderode&amp;action=edit&amp;section=5</vt:lpwstr>
      </vt:variant>
      <vt:variant>
        <vt:lpwstr/>
      </vt:variant>
      <vt:variant>
        <vt:i4>3211383</vt:i4>
      </vt:variant>
      <vt:variant>
        <vt:i4>1146</vt:i4>
      </vt:variant>
      <vt:variant>
        <vt:i4>0</vt:i4>
      </vt:variant>
      <vt:variant>
        <vt:i4>5</vt:i4>
      </vt:variant>
      <vt:variant>
        <vt:lpwstr>http://fr.wikipedia.org/w/index.php?title=Michel_de_Ghelderode&amp;action=edit&amp;section=5</vt:lpwstr>
      </vt:variant>
      <vt:variant>
        <vt:lpwstr/>
      </vt:variant>
      <vt:variant>
        <vt:i4>3211383</vt:i4>
      </vt:variant>
      <vt:variant>
        <vt:i4>1143</vt:i4>
      </vt:variant>
      <vt:variant>
        <vt:i4>0</vt:i4>
      </vt:variant>
      <vt:variant>
        <vt:i4>5</vt:i4>
      </vt:variant>
      <vt:variant>
        <vt:lpwstr>http://fr.wikipedia.org/w/index.php?title=Michel_de_Ghelderode&amp;action=edit&amp;section=5</vt:lpwstr>
      </vt:variant>
      <vt:variant>
        <vt:lpwstr/>
      </vt:variant>
      <vt:variant>
        <vt:i4>3211383</vt:i4>
      </vt:variant>
      <vt:variant>
        <vt:i4>1140</vt:i4>
      </vt:variant>
      <vt:variant>
        <vt:i4>0</vt:i4>
      </vt:variant>
      <vt:variant>
        <vt:i4>5</vt:i4>
      </vt:variant>
      <vt:variant>
        <vt:lpwstr>http://fr.wikipedia.org/w/index.php?title=Michel_de_Ghelderode&amp;action=edit&amp;section=5</vt:lpwstr>
      </vt:variant>
      <vt:variant>
        <vt:lpwstr/>
      </vt:variant>
      <vt:variant>
        <vt:i4>3211383</vt:i4>
      </vt:variant>
      <vt:variant>
        <vt:i4>1137</vt:i4>
      </vt:variant>
      <vt:variant>
        <vt:i4>0</vt:i4>
      </vt:variant>
      <vt:variant>
        <vt:i4>5</vt:i4>
      </vt:variant>
      <vt:variant>
        <vt:lpwstr>http://fr.wikipedia.org/w/index.php?title=Michel_de_Ghelderode&amp;action=edit&amp;section=5</vt:lpwstr>
      </vt:variant>
      <vt:variant>
        <vt:lpwstr/>
      </vt:variant>
      <vt:variant>
        <vt:i4>2228296</vt:i4>
      </vt:variant>
      <vt:variant>
        <vt:i4>1134</vt:i4>
      </vt:variant>
      <vt:variant>
        <vt:i4>0</vt:i4>
      </vt:variant>
      <vt:variant>
        <vt:i4>5</vt:i4>
      </vt:variant>
      <vt:variant>
        <vt:lpwstr>https://fr.wikipedia.org/wiki/Flandre_%28Belgique%29</vt:lpwstr>
      </vt:variant>
      <vt:variant>
        <vt:lpwstr/>
      </vt:variant>
      <vt:variant>
        <vt:i4>2556005</vt:i4>
      </vt:variant>
      <vt:variant>
        <vt:i4>1131</vt:i4>
      </vt:variant>
      <vt:variant>
        <vt:i4>0</vt:i4>
      </vt:variant>
      <vt:variant>
        <vt:i4>5</vt:i4>
      </vt:variant>
      <vt:variant>
        <vt:lpwstr>https://fr.wikipedia.org/wiki/Belgique</vt:lpwstr>
      </vt:variant>
      <vt:variant>
        <vt:lpwstr/>
      </vt:variant>
      <vt:variant>
        <vt:i4>3145746</vt:i4>
      </vt:variant>
      <vt:variant>
        <vt:i4>1128</vt:i4>
      </vt:variant>
      <vt:variant>
        <vt:i4>0</vt:i4>
      </vt:variant>
      <vt:variant>
        <vt:i4>5</vt:i4>
      </vt:variant>
      <vt:variant>
        <vt:lpwstr>https://fr.wikipedia.org/wiki/%C3%89pistolier_%28litt%C3%A9rature%29</vt:lpwstr>
      </vt:variant>
      <vt:variant>
        <vt:lpwstr/>
      </vt:variant>
      <vt:variant>
        <vt:i4>1704030</vt:i4>
      </vt:variant>
      <vt:variant>
        <vt:i4>1125</vt:i4>
      </vt:variant>
      <vt:variant>
        <vt:i4>0</vt:i4>
      </vt:variant>
      <vt:variant>
        <vt:i4>5</vt:i4>
      </vt:variant>
      <vt:variant>
        <vt:lpwstr>https://fr.wikipedia.org/wiki/Article_de_presse</vt:lpwstr>
      </vt:variant>
      <vt:variant>
        <vt:lpwstr/>
      </vt:variant>
      <vt:variant>
        <vt:i4>2818130</vt:i4>
      </vt:variant>
      <vt:variant>
        <vt:i4>1122</vt:i4>
      </vt:variant>
      <vt:variant>
        <vt:i4>0</vt:i4>
      </vt:variant>
      <vt:variant>
        <vt:i4>5</vt:i4>
      </vt:variant>
      <vt:variant>
        <vt:lpwstr>https://fr.wikipedia.org/wiki/Auteur_dramatique</vt:lpwstr>
      </vt:variant>
      <vt:variant>
        <vt:lpwstr/>
      </vt:variant>
      <vt:variant>
        <vt:i4>1245274</vt:i4>
      </vt:variant>
      <vt:variant>
        <vt:i4>1119</vt:i4>
      </vt:variant>
      <vt:variant>
        <vt:i4>0</vt:i4>
      </vt:variant>
      <vt:variant>
        <vt:i4>5</vt:i4>
      </vt:variant>
      <vt:variant>
        <vt:lpwstr>https://fr.wikipedia.org/wiki/1962_en_litt%C3%A9rature</vt:lpwstr>
      </vt:variant>
      <vt:variant>
        <vt:lpwstr/>
      </vt:variant>
      <vt:variant>
        <vt:i4>7995407</vt:i4>
      </vt:variant>
      <vt:variant>
        <vt:i4>1116</vt:i4>
      </vt:variant>
      <vt:variant>
        <vt:i4>0</vt:i4>
      </vt:variant>
      <vt:variant>
        <vt:i4>5</vt:i4>
      </vt:variant>
      <vt:variant>
        <vt:lpwstr>https://fr.wikipedia.org/wiki/Avril_1962</vt:lpwstr>
      </vt:variant>
      <vt:variant>
        <vt:lpwstr/>
      </vt:variant>
      <vt:variant>
        <vt:i4>1310759</vt:i4>
      </vt:variant>
      <vt:variant>
        <vt:i4>1113</vt:i4>
      </vt:variant>
      <vt:variant>
        <vt:i4>0</vt:i4>
      </vt:variant>
      <vt:variant>
        <vt:i4>5</vt:i4>
      </vt:variant>
      <vt:variant>
        <vt:lpwstr>https://fr.wikipedia.org/wiki/1er_avril</vt:lpwstr>
      </vt:variant>
      <vt:variant>
        <vt:lpwstr/>
      </vt:variant>
      <vt:variant>
        <vt:i4>5177358</vt:i4>
      </vt:variant>
      <vt:variant>
        <vt:i4>1110</vt:i4>
      </vt:variant>
      <vt:variant>
        <vt:i4>0</vt:i4>
      </vt:variant>
      <vt:variant>
        <vt:i4>5</vt:i4>
      </vt:variant>
      <vt:variant>
        <vt:lpwstr>https://fr.wikipedia.org/wiki/Schaerbeek</vt:lpwstr>
      </vt:variant>
      <vt:variant>
        <vt:lpwstr/>
      </vt:variant>
      <vt:variant>
        <vt:i4>1572949</vt:i4>
      </vt:variant>
      <vt:variant>
        <vt:i4>1107</vt:i4>
      </vt:variant>
      <vt:variant>
        <vt:i4>0</vt:i4>
      </vt:variant>
      <vt:variant>
        <vt:i4>5</vt:i4>
      </vt:variant>
      <vt:variant>
        <vt:lpwstr>https://fr.wikipedia.org/wiki/1898_en_litt%C3%A9rature</vt:lpwstr>
      </vt:variant>
      <vt:variant>
        <vt:lpwstr/>
      </vt:variant>
      <vt:variant>
        <vt:i4>7405568</vt:i4>
      </vt:variant>
      <vt:variant>
        <vt:i4>1104</vt:i4>
      </vt:variant>
      <vt:variant>
        <vt:i4>0</vt:i4>
      </vt:variant>
      <vt:variant>
        <vt:i4>5</vt:i4>
      </vt:variant>
      <vt:variant>
        <vt:lpwstr>https://fr.wikipedia.org/wiki/Avril_1898</vt:lpwstr>
      </vt:variant>
      <vt:variant>
        <vt:lpwstr/>
      </vt:variant>
      <vt:variant>
        <vt:i4>7405655</vt:i4>
      </vt:variant>
      <vt:variant>
        <vt:i4>1101</vt:i4>
      </vt:variant>
      <vt:variant>
        <vt:i4>0</vt:i4>
      </vt:variant>
      <vt:variant>
        <vt:i4>5</vt:i4>
      </vt:variant>
      <vt:variant>
        <vt:lpwstr>https://fr.wikipedia.org/wiki/3_avril</vt:lpwstr>
      </vt:variant>
      <vt:variant>
        <vt:lpwstr/>
      </vt:variant>
      <vt:variant>
        <vt:i4>4194327</vt:i4>
      </vt:variant>
      <vt:variant>
        <vt:i4>1098</vt:i4>
      </vt:variant>
      <vt:variant>
        <vt:i4>0</vt:i4>
      </vt:variant>
      <vt:variant>
        <vt:i4>5</vt:i4>
      </vt:variant>
      <vt:variant>
        <vt:lpwstr>https://fr.wikipedia.org/wiki/Ixelles</vt:lpwstr>
      </vt:variant>
      <vt:variant>
        <vt:lpwstr/>
      </vt:variant>
      <vt:variant>
        <vt:i4>1769488</vt:i4>
      </vt:variant>
      <vt:variant>
        <vt:i4>1095</vt:i4>
      </vt:variant>
      <vt:variant>
        <vt:i4>0</vt:i4>
      </vt:variant>
      <vt:variant>
        <vt:i4>5</vt:i4>
      </vt:variant>
      <vt:variant>
        <vt:lpwstr>http://fr.wikipedia.org/wiki/1962</vt:lpwstr>
      </vt:variant>
      <vt:variant>
        <vt:lpwstr/>
      </vt:variant>
      <vt:variant>
        <vt:i4>1310737</vt:i4>
      </vt:variant>
      <vt:variant>
        <vt:i4>1092</vt:i4>
      </vt:variant>
      <vt:variant>
        <vt:i4>0</vt:i4>
      </vt:variant>
      <vt:variant>
        <vt:i4>5</vt:i4>
      </vt:variant>
      <vt:variant>
        <vt:lpwstr>http://fr.wikipedia.org/wiki/1898</vt:lpwstr>
      </vt:variant>
      <vt:variant>
        <vt:lpwstr/>
      </vt:variant>
      <vt:variant>
        <vt:i4>3997809</vt:i4>
      </vt:variant>
      <vt:variant>
        <vt:i4>1089</vt:i4>
      </vt:variant>
      <vt:variant>
        <vt:i4>0</vt:i4>
      </vt:variant>
      <vt:variant>
        <vt:i4>5</vt:i4>
      </vt:variant>
      <vt:variant>
        <vt:lpwstr>http://fr.wikipedia.org/wiki/Michel_de_Ghelderode</vt:lpwstr>
      </vt:variant>
      <vt:variant>
        <vt:lpwstr/>
      </vt:variant>
      <vt:variant>
        <vt:i4>1638416</vt:i4>
      </vt:variant>
      <vt:variant>
        <vt:i4>1086</vt:i4>
      </vt:variant>
      <vt:variant>
        <vt:i4>0</vt:i4>
      </vt:variant>
      <vt:variant>
        <vt:i4>5</vt:i4>
      </vt:variant>
      <vt:variant>
        <vt:lpwstr>http://fr.wikipedia.org/wiki/1948</vt:lpwstr>
      </vt:variant>
      <vt:variant>
        <vt:lpwstr/>
      </vt:variant>
      <vt:variant>
        <vt:i4>1310737</vt:i4>
      </vt:variant>
      <vt:variant>
        <vt:i4>1083</vt:i4>
      </vt:variant>
      <vt:variant>
        <vt:i4>0</vt:i4>
      </vt:variant>
      <vt:variant>
        <vt:i4>5</vt:i4>
      </vt:variant>
      <vt:variant>
        <vt:lpwstr>http://fr.wikipedia.org/wiki/1893</vt:lpwstr>
      </vt:variant>
      <vt:variant>
        <vt:lpwstr/>
      </vt:variant>
      <vt:variant>
        <vt:i4>6881293</vt:i4>
      </vt:variant>
      <vt:variant>
        <vt:i4>1080</vt:i4>
      </vt:variant>
      <vt:variant>
        <vt:i4>0</vt:i4>
      </vt:variant>
      <vt:variant>
        <vt:i4>5</vt:i4>
      </vt:variant>
      <vt:variant>
        <vt:lpwstr>http://fr.wikipedia.org/wiki/Antonin_Artaud</vt:lpwstr>
      </vt:variant>
      <vt:variant>
        <vt:lpwstr/>
      </vt:variant>
      <vt:variant>
        <vt:i4>1966096</vt:i4>
      </vt:variant>
      <vt:variant>
        <vt:i4>1077</vt:i4>
      </vt:variant>
      <vt:variant>
        <vt:i4>0</vt:i4>
      </vt:variant>
      <vt:variant>
        <vt:i4>5</vt:i4>
      </vt:variant>
      <vt:variant>
        <vt:lpwstr>http://fr.wikipedia.org/wiki/1933</vt:lpwstr>
      </vt:variant>
      <vt:variant>
        <vt:lpwstr/>
      </vt:variant>
      <vt:variant>
        <vt:i4>1900560</vt:i4>
      </vt:variant>
      <vt:variant>
        <vt:i4>1074</vt:i4>
      </vt:variant>
      <vt:variant>
        <vt:i4>0</vt:i4>
      </vt:variant>
      <vt:variant>
        <vt:i4>5</vt:i4>
      </vt:variant>
      <vt:variant>
        <vt:lpwstr>http://fr.wikipedia.org/wiki/1902</vt:lpwstr>
      </vt:variant>
      <vt:variant>
        <vt:lpwstr/>
      </vt:variant>
      <vt:variant>
        <vt:i4>2228317</vt:i4>
      </vt:variant>
      <vt:variant>
        <vt:i4>1071</vt:i4>
      </vt:variant>
      <vt:variant>
        <vt:i4>0</vt:i4>
      </vt:variant>
      <vt:variant>
        <vt:i4>5</vt:i4>
      </vt:variant>
      <vt:variant>
        <vt:lpwstr>http://fr.wikipedia.org/wiki/Julien_Torma</vt:lpwstr>
      </vt:variant>
      <vt:variant>
        <vt:lpwstr/>
      </vt:variant>
      <vt:variant>
        <vt:i4>1572880</vt:i4>
      </vt:variant>
      <vt:variant>
        <vt:i4>1068</vt:i4>
      </vt:variant>
      <vt:variant>
        <vt:i4>0</vt:i4>
      </vt:variant>
      <vt:variant>
        <vt:i4>5</vt:i4>
      </vt:variant>
      <vt:variant>
        <vt:lpwstr>http://fr.wikipedia.org/wiki/1952</vt:lpwstr>
      </vt:variant>
      <vt:variant>
        <vt:lpwstr/>
      </vt:variant>
      <vt:variant>
        <vt:i4>1310737</vt:i4>
      </vt:variant>
      <vt:variant>
        <vt:i4>1065</vt:i4>
      </vt:variant>
      <vt:variant>
        <vt:i4>0</vt:i4>
      </vt:variant>
      <vt:variant>
        <vt:i4>5</vt:i4>
      </vt:variant>
      <vt:variant>
        <vt:lpwstr>http://fr.wikipedia.org/wiki/1899</vt:lpwstr>
      </vt:variant>
      <vt:variant>
        <vt:lpwstr/>
      </vt:variant>
      <vt:variant>
        <vt:i4>1572967</vt:i4>
      </vt:variant>
      <vt:variant>
        <vt:i4>1062</vt:i4>
      </vt:variant>
      <vt:variant>
        <vt:i4>0</vt:i4>
      </vt:variant>
      <vt:variant>
        <vt:i4>5</vt:i4>
      </vt:variant>
      <vt:variant>
        <vt:lpwstr>http://fr.wikipedia.org/wiki/Roger_Vitrac</vt:lpwstr>
      </vt:variant>
      <vt:variant>
        <vt:lpwstr/>
      </vt:variant>
      <vt:variant>
        <vt:i4>1769488</vt:i4>
      </vt:variant>
      <vt:variant>
        <vt:i4>1059</vt:i4>
      </vt:variant>
      <vt:variant>
        <vt:i4>0</vt:i4>
      </vt:variant>
      <vt:variant>
        <vt:i4>5</vt:i4>
      </vt:variant>
      <vt:variant>
        <vt:lpwstr>http://fr.wikipedia.org/wiki/1960</vt:lpwstr>
      </vt:variant>
      <vt:variant>
        <vt:lpwstr/>
      </vt:variant>
      <vt:variant>
        <vt:i4>1835024</vt:i4>
      </vt:variant>
      <vt:variant>
        <vt:i4>1056</vt:i4>
      </vt:variant>
      <vt:variant>
        <vt:i4>0</vt:i4>
      </vt:variant>
      <vt:variant>
        <vt:i4>5</vt:i4>
      </vt:variant>
      <vt:variant>
        <vt:lpwstr>http://fr.wikipedia.org/wiki/1913</vt:lpwstr>
      </vt:variant>
      <vt:variant>
        <vt:lpwstr/>
      </vt:variant>
      <vt:variant>
        <vt:i4>2490458</vt:i4>
      </vt:variant>
      <vt:variant>
        <vt:i4>1053</vt:i4>
      </vt:variant>
      <vt:variant>
        <vt:i4>0</vt:i4>
      </vt:variant>
      <vt:variant>
        <vt:i4>5</vt:i4>
      </vt:variant>
      <vt:variant>
        <vt:lpwstr>http://fr.wikipedia.org/wiki/Albert_Camus</vt:lpwstr>
      </vt:variant>
      <vt:variant>
        <vt:lpwstr/>
      </vt:variant>
      <vt:variant>
        <vt:i4>1835024</vt:i4>
      </vt:variant>
      <vt:variant>
        <vt:i4>1050</vt:i4>
      </vt:variant>
      <vt:variant>
        <vt:i4>0</vt:i4>
      </vt:variant>
      <vt:variant>
        <vt:i4>5</vt:i4>
      </vt:variant>
      <vt:variant>
        <vt:lpwstr>http://fr.wikipedia.org/wiki/1918</vt:lpwstr>
      </vt:variant>
      <vt:variant>
        <vt:lpwstr/>
      </vt:variant>
      <vt:variant>
        <vt:i4>1376273</vt:i4>
      </vt:variant>
      <vt:variant>
        <vt:i4>1047</vt:i4>
      </vt:variant>
      <vt:variant>
        <vt:i4>0</vt:i4>
      </vt:variant>
      <vt:variant>
        <vt:i4>5</vt:i4>
      </vt:variant>
      <vt:variant>
        <vt:lpwstr>http://fr.wikipedia.org/wiki/1880</vt:lpwstr>
      </vt:variant>
      <vt:variant>
        <vt:lpwstr/>
      </vt:variant>
      <vt:variant>
        <vt:i4>1048630</vt:i4>
      </vt:variant>
      <vt:variant>
        <vt:i4>1040</vt:i4>
      </vt:variant>
      <vt:variant>
        <vt:i4>0</vt:i4>
      </vt:variant>
      <vt:variant>
        <vt:i4>5</vt:i4>
      </vt:variant>
      <vt:variant>
        <vt:lpwstr/>
      </vt:variant>
      <vt:variant>
        <vt:lpwstr>_Toc467420750</vt:lpwstr>
      </vt:variant>
      <vt:variant>
        <vt:i4>1114166</vt:i4>
      </vt:variant>
      <vt:variant>
        <vt:i4>1034</vt:i4>
      </vt:variant>
      <vt:variant>
        <vt:i4>0</vt:i4>
      </vt:variant>
      <vt:variant>
        <vt:i4>5</vt:i4>
      </vt:variant>
      <vt:variant>
        <vt:lpwstr/>
      </vt:variant>
      <vt:variant>
        <vt:lpwstr>_Toc467420749</vt:lpwstr>
      </vt:variant>
      <vt:variant>
        <vt:i4>1114166</vt:i4>
      </vt:variant>
      <vt:variant>
        <vt:i4>1028</vt:i4>
      </vt:variant>
      <vt:variant>
        <vt:i4>0</vt:i4>
      </vt:variant>
      <vt:variant>
        <vt:i4>5</vt:i4>
      </vt:variant>
      <vt:variant>
        <vt:lpwstr/>
      </vt:variant>
      <vt:variant>
        <vt:lpwstr>_Toc467420748</vt:lpwstr>
      </vt:variant>
      <vt:variant>
        <vt:i4>1114166</vt:i4>
      </vt:variant>
      <vt:variant>
        <vt:i4>1022</vt:i4>
      </vt:variant>
      <vt:variant>
        <vt:i4>0</vt:i4>
      </vt:variant>
      <vt:variant>
        <vt:i4>5</vt:i4>
      </vt:variant>
      <vt:variant>
        <vt:lpwstr/>
      </vt:variant>
      <vt:variant>
        <vt:lpwstr>_Toc467420747</vt:lpwstr>
      </vt:variant>
      <vt:variant>
        <vt:i4>1114166</vt:i4>
      </vt:variant>
      <vt:variant>
        <vt:i4>1016</vt:i4>
      </vt:variant>
      <vt:variant>
        <vt:i4>0</vt:i4>
      </vt:variant>
      <vt:variant>
        <vt:i4>5</vt:i4>
      </vt:variant>
      <vt:variant>
        <vt:lpwstr/>
      </vt:variant>
      <vt:variant>
        <vt:lpwstr>_Toc467420746</vt:lpwstr>
      </vt:variant>
      <vt:variant>
        <vt:i4>1114166</vt:i4>
      </vt:variant>
      <vt:variant>
        <vt:i4>1010</vt:i4>
      </vt:variant>
      <vt:variant>
        <vt:i4>0</vt:i4>
      </vt:variant>
      <vt:variant>
        <vt:i4>5</vt:i4>
      </vt:variant>
      <vt:variant>
        <vt:lpwstr/>
      </vt:variant>
      <vt:variant>
        <vt:lpwstr>_Toc467420745</vt:lpwstr>
      </vt:variant>
      <vt:variant>
        <vt:i4>1114166</vt:i4>
      </vt:variant>
      <vt:variant>
        <vt:i4>1004</vt:i4>
      </vt:variant>
      <vt:variant>
        <vt:i4>0</vt:i4>
      </vt:variant>
      <vt:variant>
        <vt:i4>5</vt:i4>
      </vt:variant>
      <vt:variant>
        <vt:lpwstr/>
      </vt:variant>
      <vt:variant>
        <vt:lpwstr>_Toc467420744</vt:lpwstr>
      </vt:variant>
      <vt:variant>
        <vt:i4>1114166</vt:i4>
      </vt:variant>
      <vt:variant>
        <vt:i4>998</vt:i4>
      </vt:variant>
      <vt:variant>
        <vt:i4>0</vt:i4>
      </vt:variant>
      <vt:variant>
        <vt:i4>5</vt:i4>
      </vt:variant>
      <vt:variant>
        <vt:lpwstr/>
      </vt:variant>
      <vt:variant>
        <vt:lpwstr>_Toc467420743</vt:lpwstr>
      </vt:variant>
      <vt:variant>
        <vt:i4>1114166</vt:i4>
      </vt:variant>
      <vt:variant>
        <vt:i4>992</vt:i4>
      </vt:variant>
      <vt:variant>
        <vt:i4>0</vt:i4>
      </vt:variant>
      <vt:variant>
        <vt:i4>5</vt:i4>
      </vt:variant>
      <vt:variant>
        <vt:lpwstr/>
      </vt:variant>
      <vt:variant>
        <vt:lpwstr>_Toc467420742</vt:lpwstr>
      </vt:variant>
      <vt:variant>
        <vt:i4>1114166</vt:i4>
      </vt:variant>
      <vt:variant>
        <vt:i4>986</vt:i4>
      </vt:variant>
      <vt:variant>
        <vt:i4>0</vt:i4>
      </vt:variant>
      <vt:variant>
        <vt:i4>5</vt:i4>
      </vt:variant>
      <vt:variant>
        <vt:lpwstr/>
      </vt:variant>
      <vt:variant>
        <vt:lpwstr>_Toc467420741</vt:lpwstr>
      </vt:variant>
      <vt:variant>
        <vt:i4>1114166</vt:i4>
      </vt:variant>
      <vt:variant>
        <vt:i4>980</vt:i4>
      </vt:variant>
      <vt:variant>
        <vt:i4>0</vt:i4>
      </vt:variant>
      <vt:variant>
        <vt:i4>5</vt:i4>
      </vt:variant>
      <vt:variant>
        <vt:lpwstr/>
      </vt:variant>
      <vt:variant>
        <vt:lpwstr>_Toc467420740</vt:lpwstr>
      </vt:variant>
      <vt:variant>
        <vt:i4>1441846</vt:i4>
      </vt:variant>
      <vt:variant>
        <vt:i4>974</vt:i4>
      </vt:variant>
      <vt:variant>
        <vt:i4>0</vt:i4>
      </vt:variant>
      <vt:variant>
        <vt:i4>5</vt:i4>
      </vt:variant>
      <vt:variant>
        <vt:lpwstr/>
      </vt:variant>
      <vt:variant>
        <vt:lpwstr>_Toc467420739</vt:lpwstr>
      </vt:variant>
      <vt:variant>
        <vt:i4>1441846</vt:i4>
      </vt:variant>
      <vt:variant>
        <vt:i4>968</vt:i4>
      </vt:variant>
      <vt:variant>
        <vt:i4>0</vt:i4>
      </vt:variant>
      <vt:variant>
        <vt:i4>5</vt:i4>
      </vt:variant>
      <vt:variant>
        <vt:lpwstr/>
      </vt:variant>
      <vt:variant>
        <vt:lpwstr>_Toc467420738</vt:lpwstr>
      </vt:variant>
      <vt:variant>
        <vt:i4>1441846</vt:i4>
      </vt:variant>
      <vt:variant>
        <vt:i4>962</vt:i4>
      </vt:variant>
      <vt:variant>
        <vt:i4>0</vt:i4>
      </vt:variant>
      <vt:variant>
        <vt:i4>5</vt:i4>
      </vt:variant>
      <vt:variant>
        <vt:lpwstr/>
      </vt:variant>
      <vt:variant>
        <vt:lpwstr>_Toc467420737</vt:lpwstr>
      </vt:variant>
      <vt:variant>
        <vt:i4>1441846</vt:i4>
      </vt:variant>
      <vt:variant>
        <vt:i4>956</vt:i4>
      </vt:variant>
      <vt:variant>
        <vt:i4>0</vt:i4>
      </vt:variant>
      <vt:variant>
        <vt:i4>5</vt:i4>
      </vt:variant>
      <vt:variant>
        <vt:lpwstr/>
      </vt:variant>
      <vt:variant>
        <vt:lpwstr>_Toc467420736</vt:lpwstr>
      </vt:variant>
      <vt:variant>
        <vt:i4>1441846</vt:i4>
      </vt:variant>
      <vt:variant>
        <vt:i4>950</vt:i4>
      </vt:variant>
      <vt:variant>
        <vt:i4>0</vt:i4>
      </vt:variant>
      <vt:variant>
        <vt:i4>5</vt:i4>
      </vt:variant>
      <vt:variant>
        <vt:lpwstr/>
      </vt:variant>
      <vt:variant>
        <vt:lpwstr>_Toc467420735</vt:lpwstr>
      </vt:variant>
      <vt:variant>
        <vt:i4>1441846</vt:i4>
      </vt:variant>
      <vt:variant>
        <vt:i4>944</vt:i4>
      </vt:variant>
      <vt:variant>
        <vt:i4>0</vt:i4>
      </vt:variant>
      <vt:variant>
        <vt:i4>5</vt:i4>
      </vt:variant>
      <vt:variant>
        <vt:lpwstr/>
      </vt:variant>
      <vt:variant>
        <vt:lpwstr>_Toc467420734</vt:lpwstr>
      </vt:variant>
      <vt:variant>
        <vt:i4>1441846</vt:i4>
      </vt:variant>
      <vt:variant>
        <vt:i4>938</vt:i4>
      </vt:variant>
      <vt:variant>
        <vt:i4>0</vt:i4>
      </vt:variant>
      <vt:variant>
        <vt:i4>5</vt:i4>
      </vt:variant>
      <vt:variant>
        <vt:lpwstr/>
      </vt:variant>
      <vt:variant>
        <vt:lpwstr>_Toc467420733</vt:lpwstr>
      </vt:variant>
      <vt:variant>
        <vt:i4>1441846</vt:i4>
      </vt:variant>
      <vt:variant>
        <vt:i4>932</vt:i4>
      </vt:variant>
      <vt:variant>
        <vt:i4>0</vt:i4>
      </vt:variant>
      <vt:variant>
        <vt:i4>5</vt:i4>
      </vt:variant>
      <vt:variant>
        <vt:lpwstr/>
      </vt:variant>
      <vt:variant>
        <vt:lpwstr>_Toc467420732</vt:lpwstr>
      </vt:variant>
      <vt:variant>
        <vt:i4>1441846</vt:i4>
      </vt:variant>
      <vt:variant>
        <vt:i4>926</vt:i4>
      </vt:variant>
      <vt:variant>
        <vt:i4>0</vt:i4>
      </vt:variant>
      <vt:variant>
        <vt:i4>5</vt:i4>
      </vt:variant>
      <vt:variant>
        <vt:lpwstr/>
      </vt:variant>
      <vt:variant>
        <vt:lpwstr>_Toc467420731</vt:lpwstr>
      </vt:variant>
      <vt:variant>
        <vt:i4>1441846</vt:i4>
      </vt:variant>
      <vt:variant>
        <vt:i4>920</vt:i4>
      </vt:variant>
      <vt:variant>
        <vt:i4>0</vt:i4>
      </vt:variant>
      <vt:variant>
        <vt:i4>5</vt:i4>
      </vt:variant>
      <vt:variant>
        <vt:lpwstr/>
      </vt:variant>
      <vt:variant>
        <vt:lpwstr>_Toc467420730</vt:lpwstr>
      </vt:variant>
      <vt:variant>
        <vt:i4>1507382</vt:i4>
      </vt:variant>
      <vt:variant>
        <vt:i4>914</vt:i4>
      </vt:variant>
      <vt:variant>
        <vt:i4>0</vt:i4>
      </vt:variant>
      <vt:variant>
        <vt:i4>5</vt:i4>
      </vt:variant>
      <vt:variant>
        <vt:lpwstr/>
      </vt:variant>
      <vt:variant>
        <vt:lpwstr>_Toc467420729</vt:lpwstr>
      </vt:variant>
      <vt:variant>
        <vt:i4>1507382</vt:i4>
      </vt:variant>
      <vt:variant>
        <vt:i4>908</vt:i4>
      </vt:variant>
      <vt:variant>
        <vt:i4>0</vt:i4>
      </vt:variant>
      <vt:variant>
        <vt:i4>5</vt:i4>
      </vt:variant>
      <vt:variant>
        <vt:lpwstr/>
      </vt:variant>
      <vt:variant>
        <vt:lpwstr>_Toc467420728</vt:lpwstr>
      </vt:variant>
      <vt:variant>
        <vt:i4>1507382</vt:i4>
      </vt:variant>
      <vt:variant>
        <vt:i4>902</vt:i4>
      </vt:variant>
      <vt:variant>
        <vt:i4>0</vt:i4>
      </vt:variant>
      <vt:variant>
        <vt:i4>5</vt:i4>
      </vt:variant>
      <vt:variant>
        <vt:lpwstr/>
      </vt:variant>
      <vt:variant>
        <vt:lpwstr>_Toc467420727</vt:lpwstr>
      </vt:variant>
      <vt:variant>
        <vt:i4>1507382</vt:i4>
      </vt:variant>
      <vt:variant>
        <vt:i4>896</vt:i4>
      </vt:variant>
      <vt:variant>
        <vt:i4>0</vt:i4>
      </vt:variant>
      <vt:variant>
        <vt:i4>5</vt:i4>
      </vt:variant>
      <vt:variant>
        <vt:lpwstr/>
      </vt:variant>
      <vt:variant>
        <vt:lpwstr>_Toc467420726</vt:lpwstr>
      </vt:variant>
      <vt:variant>
        <vt:i4>1507382</vt:i4>
      </vt:variant>
      <vt:variant>
        <vt:i4>890</vt:i4>
      </vt:variant>
      <vt:variant>
        <vt:i4>0</vt:i4>
      </vt:variant>
      <vt:variant>
        <vt:i4>5</vt:i4>
      </vt:variant>
      <vt:variant>
        <vt:lpwstr/>
      </vt:variant>
      <vt:variant>
        <vt:lpwstr>_Toc467420725</vt:lpwstr>
      </vt:variant>
      <vt:variant>
        <vt:i4>1507382</vt:i4>
      </vt:variant>
      <vt:variant>
        <vt:i4>884</vt:i4>
      </vt:variant>
      <vt:variant>
        <vt:i4>0</vt:i4>
      </vt:variant>
      <vt:variant>
        <vt:i4>5</vt:i4>
      </vt:variant>
      <vt:variant>
        <vt:lpwstr/>
      </vt:variant>
      <vt:variant>
        <vt:lpwstr>_Toc467420724</vt:lpwstr>
      </vt:variant>
      <vt:variant>
        <vt:i4>1507382</vt:i4>
      </vt:variant>
      <vt:variant>
        <vt:i4>878</vt:i4>
      </vt:variant>
      <vt:variant>
        <vt:i4>0</vt:i4>
      </vt:variant>
      <vt:variant>
        <vt:i4>5</vt:i4>
      </vt:variant>
      <vt:variant>
        <vt:lpwstr/>
      </vt:variant>
      <vt:variant>
        <vt:lpwstr>_Toc467420723</vt:lpwstr>
      </vt:variant>
      <vt:variant>
        <vt:i4>1507382</vt:i4>
      </vt:variant>
      <vt:variant>
        <vt:i4>872</vt:i4>
      </vt:variant>
      <vt:variant>
        <vt:i4>0</vt:i4>
      </vt:variant>
      <vt:variant>
        <vt:i4>5</vt:i4>
      </vt:variant>
      <vt:variant>
        <vt:lpwstr/>
      </vt:variant>
      <vt:variant>
        <vt:lpwstr>_Toc467420722</vt:lpwstr>
      </vt:variant>
      <vt:variant>
        <vt:i4>1507382</vt:i4>
      </vt:variant>
      <vt:variant>
        <vt:i4>866</vt:i4>
      </vt:variant>
      <vt:variant>
        <vt:i4>0</vt:i4>
      </vt:variant>
      <vt:variant>
        <vt:i4>5</vt:i4>
      </vt:variant>
      <vt:variant>
        <vt:lpwstr/>
      </vt:variant>
      <vt:variant>
        <vt:lpwstr>_Toc467420721</vt:lpwstr>
      </vt:variant>
      <vt:variant>
        <vt:i4>1507382</vt:i4>
      </vt:variant>
      <vt:variant>
        <vt:i4>860</vt:i4>
      </vt:variant>
      <vt:variant>
        <vt:i4>0</vt:i4>
      </vt:variant>
      <vt:variant>
        <vt:i4>5</vt:i4>
      </vt:variant>
      <vt:variant>
        <vt:lpwstr/>
      </vt:variant>
      <vt:variant>
        <vt:lpwstr>_Toc467420720</vt:lpwstr>
      </vt:variant>
      <vt:variant>
        <vt:i4>1310774</vt:i4>
      </vt:variant>
      <vt:variant>
        <vt:i4>854</vt:i4>
      </vt:variant>
      <vt:variant>
        <vt:i4>0</vt:i4>
      </vt:variant>
      <vt:variant>
        <vt:i4>5</vt:i4>
      </vt:variant>
      <vt:variant>
        <vt:lpwstr/>
      </vt:variant>
      <vt:variant>
        <vt:lpwstr>_Toc467420719</vt:lpwstr>
      </vt:variant>
      <vt:variant>
        <vt:i4>1310774</vt:i4>
      </vt:variant>
      <vt:variant>
        <vt:i4>848</vt:i4>
      </vt:variant>
      <vt:variant>
        <vt:i4>0</vt:i4>
      </vt:variant>
      <vt:variant>
        <vt:i4>5</vt:i4>
      </vt:variant>
      <vt:variant>
        <vt:lpwstr/>
      </vt:variant>
      <vt:variant>
        <vt:lpwstr>_Toc467420718</vt:lpwstr>
      </vt:variant>
      <vt:variant>
        <vt:i4>1310774</vt:i4>
      </vt:variant>
      <vt:variant>
        <vt:i4>842</vt:i4>
      </vt:variant>
      <vt:variant>
        <vt:i4>0</vt:i4>
      </vt:variant>
      <vt:variant>
        <vt:i4>5</vt:i4>
      </vt:variant>
      <vt:variant>
        <vt:lpwstr/>
      </vt:variant>
      <vt:variant>
        <vt:lpwstr>_Toc467420717</vt:lpwstr>
      </vt:variant>
      <vt:variant>
        <vt:i4>1310774</vt:i4>
      </vt:variant>
      <vt:variant>
        <vt:i4>836</vt:i4>
      </vt:variant>
      <vt:variant>
        <vt:i4>0</vt:i4>
      </vt:variant>
      <vt:variant>
        <vt:i4>5</vt:i4>
      </vt:variant>
      <vt:variant>
        <vt:lpwstr/>
      </vt:variant>
      <vt:variant>
        <vt:lpwstr>_Toc467420716</vt:lpwstr>
      </vt:variant>
      <vt:variant>
        <vt:i4>1310774</vt:i4>
      </vt:variant>
      <vt:variant>
        <vt:i4>830</vt:i4>
      </vt:variant>
      <vt:variant>
        <vt:i4>0</vt:i4>
      </vt:variant>
      <vt:variant>
        <vt:i4>5</vt:i4>
      </vt:variant>
      <vt:variant>
        <vt:lpwstr/>
      </vt:variant>
      <vt:variant>
        <vt:lpwstr>_Toc467420715</vt:lpwstr>
      </vt:variant>
      <vt:variant>
        <vt:i4>1310774</vt:i4>
      </vt:variant>
      <vt:variant>
        <vt:i4>824</vt:i4>
      </vt:variant>
      <vt:variant>
        <vt:i4>0</vt:i4>
      </vt:variant>
      <vt:variant>
        <vt:i4>5</vt:i4>
      </vt:variant>
      <vt:variant>
        <vt:lpwstr/>
      </vt:variant>
      <vt:variant>
        <vt:lpwstr>_Toc467420714</vt:lpwstr>
      </vt:variant>
      <vt:variant>
        <vt:i4>1310774</vt:i4>
      </vt:variant>
      <vt:variant>
        <vt:i4>818</vt:i4>
      </vt:variant>
      <vt:variant>
        <vt:i4>0</vt:i4>
      </vt:variant>
      <vt:variant>
        <vt:i4>5</vt:i4>
      </vt:variant>
      <vt:variant>
        <vt:lpwstr/>
      </vt:variant>
      <vt:variant>
        <vt:lpwstr>_Toc467420713</vt:lpwstr>
      </vt:variant>
      <vt:variant>
        <vt:i4>1310774</vt:i4>
      </vt:variant>
      <vt:variant>
        <vt:i4>812</vt:i4>
      </vt:variant>
      <vt:variant>
        <vt:i4>0</vt:i4>
      </vt:variant>
      <vt:variant>
        <vt:i4>5</vt:i4>
      </vt:variant>
      <vt:variant>
        <vt:lpwstr/>
      </vt:variant>
      <vt:variant>
        <vt:lpwstr>_Toc467420712</vt:lpwstr>
      </vt:variant>
      <vt:variant>
        <vt:i4>1310774</vt:i4>
      </vt:variant>
      <vt:variant>
        <vt:i4>806</vt:i4>
      </vt:variant>
      <vt:variant>
        <vt:i4>0</vt:i4>
      </vt:variant>
      <vt:variant>
        <vt:i4>5</vt:i4>
      </vt:variant>
      <vt:variant>
        <vt:lpwstr/>
      </vt:variant>
      <vt:variant>
        <vt:lpwstr>_Toc467420711</vt:lpwstr>
      </vt:variant>
      <vt:variant>
        <vt:i4>1310774</vt:i4>
      </vt:variant>
      <vt:variant>
        <vt:i4>800</vt:i4>
      </vt:variant>
      <vt:variant>
        <vt:i4>0</vt:i4>
      </vt:variant>
      <vt:variant>
        <vt:i4>5</vt:i4>
      </vt:variant>
      <vt:variant>
        <vt:lpwstr/>
      </vt:variant>
      <vt:variant>
        <vt:lpwstr>_Toc467420710</vt:lpwstr>
      </vt:variant>
      <vt:variant>
        <vt:i4>1376310</vt:i4>
      </vt:variant>
      <vt:variant>
        <vt:i4>794</vt:i4>
      </vt:variant>
      <vt:variant>
        <vt:i4>0</vt:i4>
      </vt:variant>
      <vt:variant>
        <vt:i4>5</vt:i4>
      </vt:variant>
      <vt:variant>
        <vt:lpwstr/>
      </vt:variant>
      <vt:variant>
        <vt:lpwstr>_Toc467420709</vt:lpwstr>
      </vt:variant>
      <vt:variant>
        <vt:i4>1376310</vt:i4>
      </vt:variant>
      <vt:variant>
        <vt:i4>788</vt:i4>
      </vt:variant>
      <vt:variant>
        <vt:i4>0</vt:i4>
      </vt:variant>
      <vt:variant>
        <vt:i4>5</vt:i4>
      </vt:variant>
      <vt:variant>
        <vt:lpwstr/>
      </vt:variant>
      <vt:variant>
        <vt:lpwstr>_Toc467420708</vt:lpwstr>
      </vt:variant>
      <vt:variant>
        <vt:i4>1376310</vt:i4>
      </vt:variant>
      <vt:variant>
        <vt:i4>782</vt:i4>
      </vt:variant>
      <vt:variant>
        <vt:i4>0</vt:i4>
      </vt:variant>
      <vt:variant>
        <vt:i4>5</vt:i4>
      </vt:variant>
      <vt:variant>
        <vt:lpwstr/>
      </vt:variant>
      <vt:variant>
        <vt:lpwstr>_Toc467420707</vt:lpwstr>
      </vt:variant>
      <vt:variant>
        <vt:i4>1376310</vt:i4>
      </vt:variant>
      <vt:variant>
        <vt:i4>776</vt:i4>
      </vt:variant>
      <vt:variant>
        <vt:i4>0</vt:i4>
      </vt:variant>
      <vt:variant>
        <vt:i4>5</vt:i4>
      </vt:variant>
      <vt:variant>
        <vt:lpwstr/>
      </vt:variant>
      <vt:variant>
        <vt:lpwstr>_Toc467420706</vt:lpwstr>
      </vt:variant>
      <vt:variant>
        <vt:i4>1376310</vt:i4>
      </vt:variant>
      <vt:variant>
        <vt:i4>770</vt:i4>
      </vt:variant>
      <vt:variant>
        <vt:i4>0</vt:i4>
      </vt:variant>
      <vt:variant>
        <vt:i4>5</vt:i4>
      </vt:variant>
      <vt:variant>
        <vt:lpwstr/>
      </vt:variant>
      <vt:variant>
        <vt:lpwstr>_Toc467420705</vt:lpwstr>
      </vt:variant>
      <vt:variant>
        <vt:i4>1376310</vt:i4>
      </vt:variant>
      <vt:variant>
        <vt:i4>764</vt:i4>
      </vt:variant>
      <vt:variant>
        <vt:i4>0</vt:i4>
      </vt:variant>
      <vt:variant>
        <vt:i4>5</vt:i4>
      </vt:variant>
      <vt:variant>
        <vt:lpwstr/>
      </vt:variant>
      <vt:variant>
        <vt:lpwstr>_Toc467420704</vt:lpwstr>
      </vt:variant>
      <vt:variant>
        <vt:i4>1376310</vt:i4>
      </vt:variant>
      <vt:variant>
        <vt:i4>758</vt:i4>
      </vt:variant>
      <vt:variant>
        <vt:i4>0</vt:i4>
      </vt:variant>
      <vt:variant>
        <vt:i4>5</vt:i4>
      </vt:variant>
      <vt:variant>
        <vt:lpwstr/>
      </vt:variant>
      <vt:variant>
        <vt:lpwstr>_Toc467420703</vt:lpwstr>
      </vt:variant>
      <vt:variant>
        <vt:i4>1376310</vt:i4>
      </vt:variant>
      <vt:variant>
        <vt:i4>752</vt:i4>
      </vt:variant>
      <vt:variant>
        <vt:i4>0</vt:i4>
      </vt:variant>
      <vt:variant>
        <vt:i4>5</vt:i4>
      </vt:variant>
      <vt:variant>
        <vt:lpwstr/>
      </vt:variant>
      <vt:variant>
        <vt:lpwstr>_Toc467420702</vt:lpwstr>
      </vt:variant>
      <vt:variant>
        <vt:i4>1376310</vt:i4>
      </vt:variant>
      <vt:variant>
        <vt:i4>746</vt:i4>
      </vt:variant>
      <vt:variant>
        <vt:i4>0</vt:i4>
      </vt:variant>
      <vt:variant>
        <vt:i4>5</vt:i4>
      </vt:variant>
      <vt:variant>
        <vt:lpwstr/>
      </vt:variant>
      <vt:variant>
        <vt:lpwstr>_Toc467420701</vt:lpwstr>
      </vt:variant>
      <vt:variant>
        <vt:i4>1376310</vt:i4>
      </vt:variant>
      <vt:variant>
        <vt:i4>740</vt:i4>
      </vt:variant>
      <vt:variant>
        <vt:i4>0</vt:i4>
      </vt:variant>
      <vt:variant>
        <vt:i4>5</vt:i4>
      </vt:variant>
      <vt:variant>
        <vt:lpwstr/>
      </vt:variant>
      <vt:variant>
        <vt:lpwstr>_Toc467420700</vt:lpwstr>
      </vt:variant>
      <vt:variant>
        <vt:i4>1835063</vt:i4>
      </vt:variant>
      <vt:variant>
        <vt:i4>734</vt:i4>
      </vt:variant>
      <vt:variant>
        <vt:i4>0</vt:i4>
      </vt:variant>
      <vt:variant>
        <vt:i4>5</vt:i4>
      </vt:variant>
      <vt:variant>
        <vt:lpwstr/>
      </vt:variant>
      <vt:variant>
        <vt:lpwstr>_Toc467420699</vt:lpwstr>
      </vt:variant>
      <vt:variant>
        <vt:i4>1835063</vt:i4>
      </vt:variant>
      <vt:variant>
        <vt:i4>728</vt:i4>
      </vt:variant>
      <vt:variant>
        <vt:i4>0</vt:i4>
      </vt:variant>
      <vt:variant>
        <vt:i4>5</vt:i4>
      </vt:variant>
      <vt:variant>
        <vt:lpwstr/>
      </vt:variant>
      <vt:variant>
        <vt:lpwstr>_Toc467420698</vt:lpwstr>
      </vt:variant>
      <vt:variant>
        <vt:i4>1835063</vt:i4>
      </vt:variant>
      <vt:variant>
        <vt:i4>722</vt:i4>
      </vt:variant>
      <vt:variant>
        <vt:i4>0</vt:i4>
      </vt:variant>
      <vt:variant>
        <vt:i4>5</vt:i4>
      </vt:variant>
      <vt:variant>
        <vt:lpwstr/>
      </vt:variant>
      <vt:variant>
        <vt:lpwstr>_Toc467420697</vt:lpwstr>
      </vt:variant>
      <vt:variant>
        <vt:i4>1835063</vt:i4>
      </vt:variant>
      <vt:variant>
        <vt:i4>716</vt:i4>
      </vt:variant>
      <vt:variant>
        <vt:i4>0</vt:i4>
      </vt:variant>
      <vt:variant>
        <vt:i4>5</vt:i4>
      </vt:variant>
      <vt:variant>
        <vt:lpwstr/>
      </vt:variant>
      <vt:variant>
        <vt:lpwstr>_Toc467420696</vt:lpwstr>
      </vt:variant>
      <vt:variant>
        <vt:i4>1835063</vt:i4>
      </vt:variant>
      <vt:variant>
        <vt:i4>710</vt:i4>
      </vt:variant>
      <vt:variant>
        <vt:i4>0</vt:i4>
      </vt:variant>
      <vt:variant>
        <vt:i4>5</vt:i4>
      </vt:variant>
      <vt:variant>
        <vt:lpwstr/>
      </vt:variant>
      <vt:variant>
        <vt:lpwstr>_Toc467420695</vt:lpwstr>
      </vt:variant>
      <vt:variant>
        <vt:i4>1835063</vt:i4>
      </vt:variant>
      <vt:variant>
        <vt:i4>704</vt:i4>
      </vt:variant>
      <vt:variant>
        <vt:i4>0</vt:i4>
      </vt:variant>
      <vt:variant>
        <vt:i4>5</vt:i4>
      </vt:variant>
      <vt:variant>
        <vt:lpwstr/>
      </vt:variant>
      <vt:variant>
        <vt:lpwstr>_Toc467420694</vt:lpwstr>
      </vt:variant>
      <vt:variant>
        <vt:i4>1835063</vt:i4>
      </vt:variant>
      <vt:variant>
        <vt:i4>698</vt:i4>
      </vt:variant>
      <vt:variant>
        <vt:i4>0</vt:i4>
      </vt:variant>
      <vt:variant>
        <vt:i4>5</vt:i4>
      </vt:variant>
      <vt:variant>
        <vt:lpwstr/>
      </vt:variant>
      <vt:variant>
        <vt:lpwstr>_Toc467420693</vt:lpwstr>
      </vt:variant>
      <vt:variant>
        <vt:i4>1835063</vt:i4>
      </vt:variant>
      <vt:variant>
        <vt:i4>692</vt:i4>
      </vt:variant>
      <vt:variant>
        <vt:i4>0</vt:i4>
      </vt:variant>
      <vt:variant>
        <vt:i4>5</vt:i4>
      </vt:variant>
      <vt:variant>
        <vt:lpwstr/>
      </vt:variant>
      <vt:variant>
        <vt:lpwstr>_Toc467420692</vt:lpwstr>
      </vt:variant>
      <vt:variant>
        <vt:i4>1835063</vt:i4>
      </vt:variant>
      <vt:variant>
        <vt:i4>686</vt:i4>
      </vt:variant>
      <vt:variant>
        <vt:i4>0</vt:i4>
      </vt:variant>
      <vt:variant>
        <vt:i4>5</vt:i4>
      </vt:variant>
      <vt:variant>
        <vt:lpwstr/>
      </vt:variant>
      <vt:variant>
        <vt:lpwstr>_Toc467420691</vt:lpwstr>
      </vt:variant>
      <vt:variant>
        <vt:i4>1835063</vt:i4>
      </vt:variant>
      <vt:variant>
        <vt:i4>680</vt:i4>
      </vt:variant>
      <vt:variant>
        <vt:i4>0</vt:i4>
      </vt:variant>
      <vt:variant>
        <vt:i4>5</vt:i4>
      </vt:variant>
      <vt:variant>
        <vt:lpwstr/>
      </vt:variant>
      <vt:variant>
        <vt:lpwstr>_Toc467420690</vt:lpwstr>
      </vt:variant>
      <vt:variant>
        <vt:i4>1900599</vt:i4>
      </vt:variant>
      <vt:variant>
        <vt:i4>674</vt:i4>
      </vt:variant>
      <vt:variant>
        <vt:i4>0</vt:i4>
      </vt:variant>
      <vt:variant>
        <vt:i4>5</vt:i4>
      </vt:variant>
      <vt:variant>
        <vt:lpwstr/>
      </vt:variant>
      <vt:variant>
        <vt:lpwstr>_Toc467420689</vt:lpwstr>
      </vt:variant>
      <vt:variant>
        <vt:i4>1900599</vt:i4>
      </vt:variant>
      <vt:variant>
        <vt:i4>668</vt:i4>
      </vt:variant>
      <vt:variant>
        <vt:i4>0</vt:i4>
      </vt:variant>
      <vt:variant>
        <vt:i4>5</vt:i4>
      </vt:variant>
      <vt:variant>
        <vt:lpwstr/>
      </vt:variant>
      <vt:variant>
        <vt:lpwstr>_Toc467420688</vt:lpwstr>
      </vt:variant>
      <vt:variant>
        <vt:i4>1900599</vt:i4>
      </vt:variant>
      <vt:variant>
        <vt:i4>662</vt:i4>
      </vt:variant>
      <vt:variant>
        <vt:i4>0</vt:i4>
      </vt:variant>
      <vt:variant>
        <vt:i4>5</vt:i4>
      </vt:variant>
      <vt:variant>
        <vt:lpwstr/>
      </vt:variant>
      <vt:variant>
        <vt:lpwstr>_Toc467420687</vt:lpwstr>
      </vt:variant>
      <vt:variant>
        <vt:i4>1900599</vt:i4>
      </vt:variant>
      <vt:variant>
        <vt:i4>656</vt:i4>
      </vt:variant>
      <vt:variant>
        <vt:i4>0</vt:i4>
      </vt:variant>
      <vt:variant>
        <vt:i4>5</vt:i4>
      </vt:variant>
      <vt:variant>
        <vt:lpwstr/>
      </vt:variant>
      <vt:variant>
        <vt:lpwstr>_Toc467420686</vt:lpwstr>
      </vt:variant>
      <vt:variant>
        <vt:i4>1900599</vt:i4>
      </vt:variant>
      <vt:variant>
        <vt:i4>650</vt:i4>
      </vt:variant>
      <vt:variant>
        <vt:i4>0</vt:i4>
      </vt:variant>
      <vt:variant>
        <vt:i4>5</vt:i4>
      </vt:variant>
      <vt:variant>
        <vt:lpwstr/>
      </vt:variant>
      <vt:variant>
        <vt:lpwstr>_Toc467420685</vt:lpwstr>
      </vt:variant>
      <vt:variant>
        <vt:i4>1900599</vt:i4>
      </vt:variant>
      <vt:variant>
        <vt:i4>644</vt:i4>
      </vt:variant>
      <vt:variant>
        <vt:i4>0</vt:i4>
      </vt:variant>
      <vt:variant>
        <vt:i4>5</vt:i4>
      </vt:variant>
      <vt:variant>
        <vt:lpwstr/>
      </vt:variant>
      <vt:variant>
        <vt:lpwstr>_Toc467420684</vt:lpwstr>
      </vt:variant>
      <vt:variant>
        <vt:i4>1900599</vt:i4>
      </vt:variant>
      <vt:variant>
        <vt:i4>638</vt:i4>
      </vt:variant>
      <vt:variant>
        <vt:i4>0</vt:i4>
      </vt:variant>
      <vt:variant>
        <vt:i4>5</vt:i4>
      </vt:variant>
      <vt:variant>
        <vt:lpwstr/>
      </vt:variant>
      <vt:variant>
        <vt:lpwstr>_Toc467420683</vt:lpwstr>
      </vt:variant>
      <vt:variant>
        <vt:i4>1900599</vt:i4>
      </vt:variant>
      <vt:variant>
        <vt:i4>632</vt:i4>
      </vt:variant>
      <vt:variant>
        <vt:i4>0</vt:i4>
      </vt:variant>
      <vt:variant>
        <vt:i4>5</vt:i4>
      </vt:variant>
      <vt:variant>
        <vt:lpwstr/>
      </vt:variant>
      <vt:variant>
        <vt:lpwstr>_Toc467420682</vt:lpwstr>
      </vt:variant>
      <vt:variant>
        <vt:i4>1900599</vt:i4>
      </vt:variant>
      <vt:variant>
        <vt:i4>626</vt:i4>
      </vt:variant>
      <vt:variant>
        <vt:i4>0</vt:i4>
      </vt:variant>
      <vt:variant>
        <vt:i4>5</vt:i4>
      </vt:variant>
      <vt:variant>
        <vt:lpwstr/>
      </vt:variant>
      <vt:variant>
        <vt:lpwstr>_Toc467420681</vt:lpwstr>
      </vt:variant>
      <vt:variant>
        <vt:i4>1900599</vt:i4>
      </vt:variant>
      <vt:variant>
        <vt:i4>620</vt:i4>
      </vt:variant>
      <vt:variant>
        <vt:i4>0</vt:i4>
      </vt:variant>
      <vt:variant>
        <vt:i4>5</vt:i4>
      </vt:variant>
      <vt:variant>
        <vt:lpwstr/>
      </vt:variant>
      <vt:variant>
        <vt:lpwstr>_Toc467420680</vt:lpwstr>
      </vt:variant>
      <vt:variant>
        <vt:i4>1179703</vt:i4>
      </vt:variant>
      <vt:variant>
        <vt:i4>614</vt:i4>
      </vt:variant>
      <vt:variant>
        <vt:i4>0</vt:i4>
      </vt:variant>
      <vt:variant>
        <vt:i4>5</vt:i4>
      </vt:variant>
      <vt:variant>
        <vt:lpwstr/>
      </vt:variant>
      <vt:variant>
        <vt:lpwstr>_Toc467420679</vt:lpwstr>
      </vt:variant>
      <vt:variant>
        <vt:i4>1179703</vt:i4>
      </vt:variant>
      <vt:variant>
        <vt:i4>608</vt:i4>
      </vt:variant>
      <vt:variant>
        <vt:i4>0</vt:i4>
      </vt:variant>
      <vt:variant>
        <vt:i4>5</vt:i4>
      </vt:variant>
      <vt:variant>
        <vt:lpwstr/>
      </vt:variant>
      <vt:variant>
        <vt:lpwstr>_Toc467420678</vt:lpwstr>
      </vt:variant>
      <vt:variant>
        <vt:i4>1179703</vt:i4>
      </vt:variant>
      <vt:variant>
        <vt:i4>602</vt:i4>
      </vt:variant>
      <vt:variant>
        <vt:i4>0</vt:i4>
      </vt:variant>
      <vt:variant>
        <vt:i4>5</vt:i4>
      </vt:variant>
      <vt:variant>
        <vt:lpwstr/>
      </vt:variant>
      <vt:variant>
        <vt:lpwstr>_Toc467420677</vt:lpwstr>
      </vt:variant>
      <vt:variant>
        <vt:i4>1179703</vt:i4>
      </vt:variant>
      <vt:variant>
        <vt:i4>596</vt:i4>
      </vt:variant>
      <vt:variant>
        <vt:i4>0</vt:i4>
      </vt:variant>
      <vt:variant>
        <vt:i4>5</vt:i4>
      </vt:variant>
      <vt:variant>
        <vt:lpwstr/>
      </vt:variant>
      <vt:variant>
        <vt:lpwstr>_Toc467420676</vt:lpwstr>
      </vt:variant>
      <vt:variant>
        <vt:i4>1179703</vt:i4>
      </vt:variant>
      <vt:variant>
        <vt:i4>590</vt:i4>
      </vt:variant>
      <vt:variant>
        <vt:i4>0</vt:i4>
      </vt:variant>
      <vt:variant>
        <vt:i4>5</vt:i4>
      </vt:variant>
      <vt:variant>
        <vt:lpwstr/>
      </vt:variant>
      <vt:variant>
        <vt:lpwstr>_Toc467420675</vt:lpwstr>
      </vt:variant>
      <vt:variant>
        <vt:i4>1179703</vt:i4>
      </vt:variant>
      <vt:variant>
        <vt:i4>584</vt:i4>
      </vt:variant>
      <vt:variant>
        <vt:i4>0</vt:i4>
      </vt:variant>
      <vt:variant>
        <vt:i4>5</vt:i4>
      </vt:variant>
      <vt:variant>
        <vt:lpwstr/>
      </vt:variant>
      <vt:variant>
        <vt:lpwstr>_Toc467420674</vt:lpwstr>
      </vt:variant>
      <vt:variant>
        <vt:i4>1179703</vt:i4>
      </vt:variant>
      <vt:variant>
        <vt:i4>578</vt:i4>
      </vt:variant>
      <vt:variant>
        <vt:i4>0</vt:i4>
      </vt:variant>
      <vt:variant>
        <vt:i4>5</vt:i4>
      </vt:variant>
      <vt:variant>
        <vt:lpwstr/>
      </vt:variant>
      <vt:variant>
        <vt:lpwstr>_Toc467420673</vt:lpwstr>
      </vt:variant>
      <vt:variant>
        <vt:i4>1179703</vt:i4>
      </vt:variant>
      <vt:variant>
        <vt:i4>572</vt:i4>
      </vt:variant>
      <vt:variant>
        <vt:i4>0</vt:i4>
      </vt:variant>
      <vt:variant>
        <vt:i4>5</vt:i4>
      </vt:variant>
      <vt:variant>
        <vt:lpwstr/>
      </vt:variant>
      <vt:variant>
        <vt:lpwstr>_Toc467420672</vt:lpwstr>
      </vt:variant>
      <vt:variant>
        <vt:i4>1179703</vt:i4>
      </vt:variant>
      <vt:variant>
        <vt:i4>566</vt:i4>
      </vt:variant>
      <vt:variant>
        <vt:i4>0</vt:i4>
      </vt:variant>
      <vt:variant>
        <vt:i4>5</vt:i4>
      </vt:variant>
      <vt:variant>
        <vt:lpwstr/>
      </vt:variant>
      <vt:variant>
        <vt:lpwstr>_Toc467420671</vt:lpwstr>
      </vt:variant>
      <vt:variant>
        <vt:i4>1179703</vt:i4>
      </vt:variant>
      <vt:variant>
        <vt:i4>560</vt:i4>
      </vt:variant>
      <vt:variant>
        <vt:i4>0</vt:i4>
      </vt:variant>
      <vt:variant>
        <vt:i4>5</vt:i4>
      </vt:variant>
      <vt:variant>
        <vt:lpwstr/>
      </vt:variant>
      <vt:variant>
        <vt:lpwstr>_Toc467420670</vt:lpwstr>
      </vt:variant>
      <vt:variant>
        <vt:i4>1245239</vt:i4>
      </vt:variant>
      <vt:variant>
        <vt:i4>554</vt:i4>
      </vt:variant>
      <vt:variant>
        <vt:i4>0</vt:i4>
      </vt:variant>
      <vt:variant>
        <vt:i4>5</vt:i4>
      </vt:variant>
      <vt:variant>
        <vt:lpwstr/>
      </vt:variant>
      <vt:variant>
        <vt:lpwstr>_Toc467420669</vt:lpwstr>
      </vt:variant>
      <vt:variant>
        <vt:i4>1245239</vt:i4>
      </vt:variant>
      <vt:variant>
        <vt:i4>548</vt:i4>
      </vt:variant>
      <vt:variant>
        <vt:i4>0</vt:i4>
      </vt:variant>
      <vt:variant>
        <vt:i4>5</vt:i4>
      </vt:variant>
      <vt:variant>
        <vt:lpwstr/>
      </vt:variant>
      <vt:variant>
        <vt:lpwstr>_Toc467420668</vt:lpwstr>
      </vt:variant>
      <vt:variant>
        <vt:i4>1245239</vt:i4>
      </vt:variant>
      <vt:variant>
        <vt:i4>542</vt:i4>
      </vt:variant>
      <vt:variant>
        <vt:i4>0</vt:i4>
      </vt:variant>
      <vt:variant>
        <vt:i4>5</vt:i4>
      </vt:variant>
      <vt:variant>
        <vt:lpwstr/>
      </vt:variant>
      <vt:variant>
        <vt:lpwstr>_Toc467420667</vt:lpwstr>
      </vt:variant>
      <vt:variant>
        <vt:i4>1245239</vt:i4>
      </vt:variant>
      <vt:variant>
        <vt:i4>536</vt:i4>
      </vt:variant>
      <vt:variant>
        <vt:i4>0</vt:i4>
      </vt:variant>
      <vt:variant>
        <vt:i4>5</vt:i4>
      </vt:variant>
      <vt:variant>
        <vt:lpwstr/>
      </vt:variant>
      <vt:variant>
        <vt:lpwstr>_Toc467420666</vt:lpwstr>
      </vt:variant>
      <vt:variant>
        <vt:i4>1245239</vt:i4>
      </vt:variant>
      <vt:variant>
        <vt:i4>530</vt:i4>
      </vt:variant>
      <vt:variant>
        <vt:i4>0</vt:i4>
      </vt:variant>
      <vt:variant>
        <vt:i4>5</vt:i4>
      </vt:variant>
      <vt:variant>
        <vt:lpwstr/>
      </vt:variant>
      <vt:variant>
        <vt:lpwstr>_Toc467420665</vt:lpwstr>
      </vt:variant>
      <vt:variant>
        <vt:i4>1245239</vt:i4>
      </vt:variant>
      <vt:variant>
        <vt:i4>524</vt:i4>
      </vt:variant>
      <vt:variant>
        <vt:i4>0</vt:i4>
      </vt:variant>
      <vt:variant>
        <vt:i4>5</vt:i4>
      </vt:variant>
      <vt:variant>
        <vt:lpwstr/>
      </vt:variant>
      <vt:variant>
        <vt:lpwstr>_Toc467420664</vt:lpwstr>
      </vt:variant>
      <vt:variant>
        <vt:i4>1245239</vt:i4>
      </vt:variant>
      <vt:variant>
        <vt:i4>518</vt:i4>
      </vt:variant>
      <vt:variant>
        <vt:i4>0</vt:i4>
      </vt:variant>
      <vt:variant>
        <vt:i4>5</vt:i4>
      </vt:variant>
      <vt:variant>
        <vt:lpwstr/>
      </vt:variant>
      <vt:variant>
        <vt:lpwstr>_Toc467420663</vt:lpwstr>
      </vt:variant>
      <vt:variant>
        <vt:i4>1245239</vt:i4>
      </vt:variant>
      <vt:variant>
        <vt:i4>512</vt:i4>
      </vt:variant>
      <vt:variant>
        <vt:i4>0</vt:i4>
      </vt:variant>
      <vt:variant>
        <vt:i4>5</vt:i4>
      </vt:variant>
      <vt:variant>
        <vt:lpwstr/>
      </vt:variant>
      <vt:variant>
        <vt:lpwstr>_Toc467420662</vt:lpwstr>
      </vt:variant>
      <vt:variant>
        <vt:i4>1245239</vt:i4>
      </vt:variant>
      <vt:variant>
        <vt:i4>506</vt:i4>
      </vt:variant>
      <vt:variant>
        <vt:i4>0</vt:i4>
      </vt:variant>
      <vt:variant>
        <vt:i4>5</vt:i4>
      </vt:variant>
      <vt:variant>
        <vt:lpwstr/>
      </vt:variant>
      <vt:variant>
        <vt:lpwstr>_Toc467420661</vt:lpwstr>
      </vt:variant>
      <vt:variant>
        <vt:i4>1245239</vt:i4>
      </vt:variant>
      <vt:variant>
        <vt:i4>500</vt:i4>
      </vt:variant>
      <vt:variant>
        <vt:i4>0</vt:i4>
      </vt:variant>
      <vt:variant>
        <vt:i4>5</vt:i4>
      </vt:variant>
      <vt:variant>
        <vt:lpwstr/>
      </vt:variant>
      <vt:variant>
        <vt:lpwstr>_Toc467420660</vt:lpwstr>
      </vt:variant>
      <vt:variant>
        <vt:i4>1048631</vt:i4>
      </vt:variant>
      <vt:variant>
        <vt:i4>494</vt:i4>
      </vt:variant>
      <vt:variant>
        <vt:i4>0</vt:i4>
      </vt:variant>
      <vt:variant>
        <vt:i4>5</vt:i4>
      </vt:variant>
      <vt:variant>
        <vt:lpwstr/>
      </vt:variant>
      <vt:variant>
        <vt:lpwstr>_Toc467420659</vt:lpwstr>
      </vt:variant>
      <vt:variant>
        <vt:i4>1048631</vt:i4>
      </vt:variant>
      <vt:variant>
        <vt:i4>488</vt:i4>
      </vt:variant>
      <vt:variant>
        <vt:i4>0</vt:i4>
      </vt:variant>
      <vt:variant>
        <vt:i4>5</vt:i4>
      </vt:variant>
      <vt:variant>
        <vt:lpwstr/>
      </vt:variant>
      <vt:variant>
        <vt:lpwstr>_Toc467420658</vt:lpwstr>
      </vt:variant>
      <vt:variant>
        <vt:i4>1048631</vt:i4>
      </vt:variant>
      <vt:variant>
        <vt:i4>482</vt:i4>
      </vt:variant>
      <vt:variant>
        <vt:i4>0</vt:i4>
      </vt:variant>
      <vt:variant>
        <vt:i4>5</vt:i4>
      </vt:variant>
      <vt:variant>
        <vt:lpwstr/>
      </vt:variant>
      <vt:variant>
        <vt:lpwstr>_Toc467420657</vt:lpwstr>
      </vt:variant>
      <vt:variant>
        <vt:i4>1048631</vt:i4>
      </vt:variant>
      <vt:variant>
        <vt:i4>476</vt:i4>
      </vt:variant>
      <vt:variant>
        <vt:i4>0</vt:i4>
      </vt:variant>
      <vt:variant>
        <vt:i4>5</vt:i4>
      </vt:variant>
      <vt:variant>
        <vt:lpwstr/>
      </vt:variant>
      <vt:variant>
        <vt:lpwstr>_Toc467420656</vt:lpwstr>
      </vt:variant>
      <vt:variant>
        <vt:i4>1048631</vt:i4>
      </vt:variant>
      <vt:variant>
        <vt:i4>470</vt:i4>
      </vt:variant>
      <vt:variant>
        <vt:i4>0</vt:i4>
      </vt:variant>
      <vt:variant>
        <vt:i4>5</vt:i4>
      </vt:variant>
      <vt:variant>
        <vt:lpwstr/>
      </vt:variant>
      <vt:variant>
        <vt:lpwstr>_Toc467420655</vt:lpwstr>
      </vt:variant>
      <vt:variant>
        <vt:i4>1048631</vt:i4>
      </vt:variant>
      <vt:variant>
        <vt:i4>464</vt:i4>
      </vt:variant>
      <vt:variant>
        <vt:i4>0</vt:i4>
      </vt:variant>
      <vt:variant>
        <vt:i4>5</vt:i4>
      </vt:variant>
      <vt:variant>
        <vt:lpwstr/>
      </vt:variant>
      <vt:variant>
        <vt:lpwstr>_Toc467420654</vt:lpwstr>
      </vt:variant>
      <vt:variant>
        <vt:i4>1048631</vt:i4>
      </vt:variant>
      <vt:variant>
        <vt:i4>458</vt:i4>
      </vt:variant>
      <vt:variant>
        <vt:i4>0</vt:i4>
      </vt:variant>
      <vt:variant>
        <vt:i4>5</vt:i4>
      </vt:variant>
      <vt:variant>
        <vt:lpwstr/>
      </vt:variant>
      <vt:variant>
        <vt:lpwstr>_Toc467420653</vt:lpwstr>
      </vt:variant>
      <vt:variant>
        <vt:i4>1048631</vt:i4>
      </vt:variant>
      <vt:variant>
        <vt:i4>452</vt:i4>
      </vt:variant>
      <vt:variant>
        <vt:i4>0</vt:i4>
      </vt:variant>
      <vt:variant>
        <vt:i4>5</vt:i4>
      </vt:variant>
      <vt:variant>
        <vt:lpwstr/>
      </vt:variant>
      <vt:variant>
        <vt:lpwstr>_Toc467420652</vt:lpwstr>
      </vt:variant>
      <vt:variant>
        <vt:i4>1048631</vt:i4>
      </vt:variant>
      <vt:variant>
        <vt:i4>446</vt:i4>
      </vt:variant>
      <vt:variant>
        <vt:i4>0</vt:i4>
      </vt:variant>
      <vt:variant>
        <vt:i4>5</vt:i4>
      </vt:variant>
      <vt:variant>
        <vt:lpwstr/>
      </vt:variant>
      <vt:variant>
        <vt:lpwstr>_Toc467420651</vt:lpwstr>
      </vt:variant>
      <vt:variant>
        <vt:i4>1048631</vt:i4>
      </vt:variant>
      <vt:variant>
        <vt:i4>440</vt:i4>
      </vt:variant>
      <vt:variant>
        <vt:i4>0</vt:i4>
      </vt:variant>
      <vt:variant>
        <vt:i4>5</vt:i4>
      </vt:variant>
      <vt:variant>
        <vt:lpwstr/>
      </vt:variant>
      <vt:variant>
        <vt:lpwstr>_Toc467420650</vt:lpwstr>
      </vt:variant>
      <vt:variant>
        <vt:i4>1114167</vt:i4>
      </vt:variant>
      <vt:variant>
        <vt:i4>434</vt:i4>
      </vt:variant>
      <vt:variant>
        <vt:i4>0</vt:i4>
      </vt:variant>
      <vt:variant>
        <vt:i4>5</vt:i4>
      </vt:variant>
      <vt:variant>
        <vt:lpwstr/>
      </vt:variant>
      <vt:variant>
        <vt:lpwstr>_Toc467420649</vt:lpwstr>
      </vt:variant>
      <vt:variant>
        <vt:i4>1114167</vt:i4>
      </vt:variant>
      <vt:variant>
        <vt:i4>428</vt:i4>
      </vt:variant>
      <vt:variant>
        <vt:i4>0</vt:i4>
      </vt:variant>
      <vt:variant>
        <vt:i4>5</vt:i4>
      </vt:variant>
      <vt:variant>
        <vt:lpwstr/>
      </vt:variant>
      <vt:variant>
        <vt:lpwstr>_Toc467420648</vt:lpwstr>
      </vt:variant>
      <vt:variant>
        <vt:i4>1114167</vt:i4>
      </vt:variant>
      <vt:variant>
        <vt:i4>422</vt:i4>
      </vt:variant>
      <vt:variant>
        <vt:i4>0</vt:i4>
      </vt:variant>
      <vt:variant>
        <vt:i4>5</vt:i4>
      </vt:variant>
      <vt:variant>
        <vt:lpwstr/>
      </vt:variant>
      <vt:variant>
        <vt:lpwstr>_Toc467420647</vt:lpwstr>
      </vt:variant>
      <vt:variant>
        <vt:i4>1114167</vt:i4>
      </vt:variant>
      <vt:variant>
        <vt:i4>416</vt:i4>
      </vt:variant>
      <vt:variant>
        <vt:i4>0</vt:i4>
      </vt:variant>
      <vt:variant>
        <vt:i4>5</vt:i4>
      </vt:variant>
      <vt:variant>
        <vt:lpwstr/>
      </vt:variant>
      <vt:variant>
        <vt:lpwstr>_Toc467420646</vt:lpwstr>
      </vt:variant>
      <vt:variant>
        <vt:i4>1114167</vt:i4>
      </vt:variant>
      <vt:variant>
        <vt:i4>410</vt:i4>
      </vt:variant>
      <vt:variant>
        <vt:i4>0</vt:i4>
      </vt:variant>
      <vt:variant>
        <vt:i4>5</vt:i4>
      </vt:variant>
      <vt:variant>
        <vt:lpwstr/>
      </vt:variant>
      <vt:variant>
        <vt:lpwstr>_Toc467420645</vt:lpwstr>
      </vt:variant>
      <vt:variant>
        <vt:i4>1114167</vt:i4>
      </vt:variant>
      <vt:variant>
        <vt:i4>404</vt:i4>
      </vt:variant>
      <vt:variant>
        <vt:i4>0</vt:i4>
      </vt:variant>
      <vt:variant>
        <vt:i4>5</vt:i4>
      </vt:variant>
      <vt:variant>
        <vt:lpwstr/>
      </vt:variant>
      <vt:variant>
        <vt:lpwstr>_Toc467420644</vt:lpwstr>
      </vt:variant>
      <vt:variant>
        <vt:i4>1114167</vt:i4>
      </vt:variant>
      <vt:variant>
        <vt:i4>398</vt:i4>
      </vt:variant>
      <vt:variant>
        <vt:i4>0</vt:i4>
      </vt:variant>
      <vt:variant>
        <vt:i4>5</vt:i4>
      </vt:variant>
      <vt:variant>
        <vt:lpwstr/>
      </vt:variant>
      <vt:variant>
        <vt:lpwstr>_Toc467420643</vt:lpwstr>
      </vt:variant>
      <vt:variant>
        <vt:i4>1114167</vt:i4>
      </vt:variant>
      <vt:variant>
        <vt:i4>392</vt:i4>
      </vt:variant>
      <vt:variant>
        <vt:i4>0</vt:i4>
      </vt:variant>
      <vt:variant>
        <vt:i4>5</vt:i4>
      </vt:variant>
      <vt:variant>
        <vt:lpwstr/>
      </vt:variant>
      <vt:variant>
        <vt:lpwstr>_Toc467420642</vt:lpwstr>
      </vt:variant>
      <vt:variant>
        <vt:i4>1114167</vt:i4>
      </vt:variant>
      <vt:variant>
        <vt:i4>386</vt:i4>
      </vt:variant>
      <vt:variant>
        <vt:i4>0</vt:i4>
      </vt:variant>
      <vt:variant>
        <vt:i4>5</vt:i4>
      </vt:variant>
      <vt:variant>
        <vt:lpwstr/>
      </vt:variant>
      <vt:variant>
        <vt:lpwstr>_Toc467420641</vt:lpwstr>
      </vt:variant>
      <vt:variant>
        <vt:i4>1114167</vt:i4>
      </vt:variant>
      <vt:variant>
        <vt:i4>380</vt:i4>
      </vt:variant>
      <vt:variant>
        <vt:i4>0</vt:i4>
      </vt:variant>
      <vt:variant>
        <vt:i4>5</vt:i4>
      </vt:variant>
      <vt:variant>
        <vt:lpwstr/>
      </vt:variant>
      <vt:variant>
        <vt:lpwstr>_Toc467420640</vt:lpwstr>
      </vt:variant>
      <vt:variant>
        <vt:i4>1441847</vt:i4>
      </vt:variant>
      <vt:variant>
        <vt:i4>374</vt:i4>
      </vt:variant>
      <vt:variant>
        <vt:i4>0</vt:i4>
      </vt:variant>
      <vt:variant>
        <vt:i4>5</vt:i4>
      </vt:variant>
      <vt:variant>
        <vt:lpwstr/>
      </vt:variant>
      <vt:variant>
        <vt:lpwstr>_Toc467420639</vt:lpwstr>
      </vt:variant>
      <vt:variant>
        <vt:i4>1441847</vt:i4>
      </vt:variant>
      <vt:variant>
        <vt:i4>368</vt:i4>
      </vt:variant>
      <vt:variant>
        <vt:i4>0</vt:i4>
      </vt:variant>
      <vt:variant>
        <vt:i4>5</vt:i4>
      </vt:variant>
      <vt:variant>
        <vt:lpwstr/>
      </vt:variant>
      <vt:variant>
        <vt:lpwstr>_Toc467420638</vt:lpwstr>
      </vt:variant>
      <vt:variant>
        <vt:i4>1441847</vt:i4>
      </vt:variant>
      <vt:variant>
        <vt:i4>362</vt:i4>
      </vt:variant>
      <vt:variant>
        <vt:i4>0</vt:i4>
      </vt:variant>
      <vt:variant>
        <vt:i4>5</vt:i4>
      </vt:variant>
      <vt:variant>
        <vt:lpwstr/>
      </vt:variant>
      <vt:variant>
        <vt:lpwstr>_Toc467420637</vt:lpwstr>
      </vt:variant>
      <vt:variant>
        <vt:i4>1441847</vt:i4>
      </vt:variant>
      <vt:variant>
        <vt:i4>356</vt:i4>
      </vt:variant>
      <vt:variant>
        <vt:i4>0</vt:i4>
      </vt:variant>
      <vt:variant>
        <vt:i4>5</vt:i4>
      </vt:variant>
      <vt:variant>
        <vt:lpwstr/>
      </vt:variant>
      <vt:variant>
        <vt:lpwstr>_Toc467420636</vt:lpwstr>
      </vt:variant>
      <vt:variant>
        <vt:i4>1441847</vt:i4>
      </vt:variant>
      <vt:variant>
        <vt:i4>350</vt:i4>
      </vt:variant>
      <vt:variant>
        <vt:i4>0</vt:i4>
      </vt:variant>
      <vt:variant>
        <vt:i4>5</vt:i4>
      </vt:variant>
      <vt:variant>
        <vt:lpwstr/>
      </vt:variant>
      <vt:variant>
        <vt:lpwstr>_Toc467420635</vt:lpwstr>
      </vt:variant>
      <vt:variant>
        <vt:i4>1441847</vt:i4>
      </vt:variant>
      <vt:variant>
        <vt:i4>344</vt:i4>
      </vt:variant>
      <vt:variant>
        <vt:i4>0</vt:i4>
      </vt:variant>
      <vt:variant>
        <vt:i4>5</vt:i4>
      </vt:variant>
      <vt:variant>
        <vt:lpwstr/>
      </vt:variant>
      <vt:variant>
        <vt:lpwstr>_Toc467420634</vt:lpwstr>
      </vt:variant>
      <vt:variant>
        <vt:i4>1441847</vt:i4>
      </vt:variant>
      <vt:variant>
        <vt:i4>338</vt:i4>
      </vt:variant>
      <vt:variant>
        <vt:i4>0</vt:i4>
      </vt:variant>
      <vt:variant>
        <vt:i4>5</vt:i4>
      </vt:variant>
      <vt:variant>
        <vt:lpwstr/>
      </vt:variant>
      <vt:variant>
        <vt:lpwstr>_Toc467420633</vt:lpwstr>
      </vt:variant>
      <vt:variant>
        <vt:i4>1441847</vt:i4>
      </vt:variant>
      <vt:variant>
        <vt:i4>332</vt:i4>
      </vt:variant>
      <vt:variant>
        <vt:i4>0</vt:i4>
      </vt:variant>
      <vt:variant>
        <vt:i4>5</vt:i4>
      </vt:variant>
      <vt:variant>
        <vt:lpwstr/>
      </vt:variant>
      <vt:variant>
        <vt:lpwstr>_Toc467420632</vt:lpwstr>
      </vt:variant>
      <vt:variant>
        <vt:i4>1441847</vt:i4>
      </vt:variant>
      <vt:variant>
        <vt:i4>326</vt:i4>
      </vt:variant>
      <vt:variant>
        <vt:i4>0</vt:i4>
      </vt:variant>
      <vt:variant>
        <vt:i4>5</vt:i4>
      </vt:variant>
      <vt:variant>
        <vt:lpwstr/>
      </vt:variant>
      <vt:variant>
        <vt:lpwstr>_Toc467420631</vt:lpwstr>
      </vt:variant>
      <vt:variant>
        <vt:i4>1441847</vt:i4>
      </vt:variant>
      <vt:variant>
        <vt:i4>320</vt:i4>
      </vt:variant>
      <vt:variant>
        <vt:i4>0</vt:i4>
      </vt:variant>
      <vt:variant>
        <vt:i4>5</vt:i4>
      </vt:variant>
      <vt:variant>
        <vt:lpwstr/>
      </vt:variant>
      <vt:variant>
        <vt:lpwstr>_Toc467420630</vt:lpwstr>
      </vt:variant>
      <vt:variant>
        <vt:i4>1507383</vt:i4>
      </vt:variant>
      <vt:variant>
        <vt:i4>314</vt:i4>
      </vt:variant>
      <vt:variant>
        <vt:i4>0</vt:i4>
      </vt:variant>
      <vt:variant>
        <vt:i4>5</vt:i4>
      </vt:variant>
      <vt:variant>
        <vt:lpwstr/>
      </vt:variant>
      <vt:variant>
        <vt:lpwstr>_Toc467420629</vt:lpwstr>
      </vt:variant>
      <vt:variant>
        <vt:i4>1507383</vt:i4>
      </vt:variant>
      <vt:variant>
        <vt:i4>308</vt:i4>
      </vt:variant>
      <vt:variant>
        <vt:i4>0</vt:i4>
      </vt:variant>
      <vt:variant>
        <vt:i4>5</vt:i4>
      </vt:variant>
      <vt:variant>
        <vt:lpwstr/>
      </vt:variant>
      <vt:variant>
        <vt:lpwstr>_Toc467420628</vt:lpwstr>
      </vt:variant>
      <vt:variant>
        <vt:i4>1507383</vt:i4>
      </vt:variant>
      <vt:variant>
        <vt:i4>302</vt:i4>
      </vt:variant>
      <vt:variant>
        <vt:i4>0</vt:i4>
      </vt:variant>
      <vt:variant>
        <vt:i4>5</vt:i4>
      </vt:variant>
      <vt:variant>
        <vt:lpwstr/>
      </vt:variant>
      <vt:variant>
        <vt:lpwstr>_Toc467420627</vt:lpwstr>
      </vt:variant>
      <vt:variant>
        <vt:i4>1507383</vt:i4>
      </vt:variant>
      <vt:variant>
        <vt:i4>296</vt:i4>
      </vt:variant>
      <vt:variant>
        <vt:i4>0</vt:i4>
      </vt:variant>
      <vt:variant>
        <vt:i4>5</vt:i4>
      </vt:variant>
      <vt:variant>
        <vt:lpwstr/>
      </vt:variant>
      <vt:variant>
        <vt:lpwstr>_Toc467420626</vt:lpwstr>
      </vt:variant>
      <vt:variant>
        <vt:i4>1507383</vt:i4>
      </vt:variant>
      <vt:variant>
        <vt:i4>290</vt:i4>
      </vt:variant>
      <vt:variant>
        <vt:i4>0</vt:i4>
      </vt:variant>
      <vt:variant>
        <vt:i4>5</vt:i4>
      </vt:variant>
      <vt:variant>
        <vt:lpwstr/>
      </vt:variant>
      <vt:variant>
        <vt:lpwstr>_Toc467420625</vt:lpwstr>
      </vt:variant>
      <vt:variant>
        <vt:i4>1507383</vt:i4>
      </vt:variant>
      <vt:variant>
        <vt:i4>284</vt:i4>
      </vt:variant>
      <vt:variant>
        <vt:i4>0</vt:i4>
      </vt:variant>
      <vt:variant>
        <vt:i4>5</vt:i4>
      </vt:variant>
      <vt:variant>
        <vt:lpwstr/>
      </vt:variant>
      <vt:variant>
        <vt:lpwstr>_Toc467420624</vt:lpwstr>
      </vt:variant>
      <vt:variant>
        <vt:i4>1507383</vt:i4>
      </vt:variant>
      <vt:variant>
        <vt:i4>278</vt:i4>
      </vt:variant>
      <vt:variant>
        <vt:i4>0</vt:i4>
      </vt:variant>
      <vt:variant>
        <vt:i4>5</vt:i4>
      </vt:variant>
      <vt:variant>
        <vt:lpwstr/>
      </vt:variant>
      <vt:variant>
        <vt:lpwstr>_Toc467420623</vt:lpwstr>
      </vt:variant>
      <vt:variant>
        <vt:i4>1507383</vt:i4>
      </vt:variant>
      <vt:variant>
        <vt:i4>272</vt:i4>
      </vt:variant>
      <vt:variant>
        <vt:i4>0</vt:i4>
      </vt:variant>
      <vt:variant>
        <vt:i4>5</vt:i4>
      </vt:variant>
      <vt:variant>
        <vt:lpwstr/>
      </vt:variant>
      <vt:variant>
        <vt:lpwstr>_Toc467420622</vt:lpwstr>
      </vt:variant>
      <vt:variant>
        <vt:i4>1507383</vt:i4>
      </vt:variant>
      <vt:variant>
        <vt:i4>266</vt:i4>
      </vt:variant>
      <vt:variant>
        <vt:i4>0</vt:i4>
      </vt:variant>
      <vt:variant>
        <vt:i4>5</vt:i4>
      </vt:variant>
      <vt:variant>
        <vt:lpwstr/>
      </vt:variant>
      <vt:variant>
        <vt:lpwstr>_Toc467420621</vt:lpwstr>
      </vt:variant>
      <vt:variant>
        <vt:i4>1507383</vt:i4>
      </vt:variant>
      <vt:variant>
        <vt:i4>260</vt:i4>
      </vt:variant>
      <vt:variant>
        <vt:i4>0</vt:i4>
      </vt:variant>
      <vt:variant>
        <vt:i4>5</vt:i4>
      </vt:variant>
      <vt:variant>
        <vt:lpwstr/>
      </vt:variant>
      <vt:variant>
        <vt:lpwstr>_Toc467420620</vt:lpwstr>
      </vt:variant>
      <vt:variant>
        <vt:i4>1310775</vt:i4>
      </vt:variant>
      <vt:variant>
        <vt:i4>254</vt:i4>
      </vt:variant>
      <vt:variant>
        <vt:i4>0</vt:i4>
      </vt:variant>
      <vt:variant>
        <vt:i4>5</vt:i4>
      </vt:variant>
      <vt:variant>
        <vt:lpwstr/>
      </vt:variant>
      <vt:variant>
        <vt:lpwstr>_Toc467420619</vt:lpwstr>
      </vt:variant>
      <vt:variant>
        <vt:i4>1310775</vt:i4>
      </vt:variant>
      <vt:variant>
        <vt:i4>248</vt:i4>
      </vt:variant>
      <vt:variant>
        <vt:i4>0</vt:i4>
      </vt:variant>
      <vt:variant>
        <vt:i4>5</vt:i4>
      </vt:variant>
      <vt:variant>
        <vt:lpwstr/>
      </vt:variant>
      <vt:variant>
        <vt:lpwstr>_Toc467420618</vt:lpwstr>
      </vt:variant>
      <vt:variant>
        <vt:i4>1310775</vt:i4>
      </vt:variant>
      <vt:variant>
        <vt:i4>242</vt:i4>
      </vt:variant>
      <vt:variant>
        <vt:i4>0</vt:i4>
      </vt:variant>
      <vt:variant>
        <vt:i4>5</vt:i4>
      </vt:variant>
      <vt:variant>
        <vt:lpwstr/>
      </vt:variant>
      <vt:variant>
        <vt:lpwstr>_Toc467420617</vt:lpwstr>
      </vt:variant>
      <vt:variant>
        <vt:i4>1310775</vt:i4>
      </vt:variant>
      <vt:variant>
        <vt:i4>236</vt:i4>
      </vt:variant>
      <vt:variant>
        <vt:i4>0</vt:i4>
      </vt:variant>
      <vt:variant>
        <vt:i4>5</vt:i4>
      </vt:variant>
      <vt:variant>
        <vt:lpwstr/>
      </vt:variant>
      <vt:variant>
        <vt:lpwstr>_Toc467420616</vt:lpwstr>
      </vt:variant>
      <vt:variant>
        <vt:i4>1310775</vt:i4>
      </vt:variant>
      <vt:variant>
        <vt:i4>230</vt:i4>
      </vt:variant>
      <vt:variant>
        <vt:i4>0</vt:i4>
      </vt:variant>
      <vt:variant>
        <vt:i4>5</vt:i4>
      </vt:variant>
      <vt:variant>
        <vt:lpwstr/>
      </vt:variant>
      <vt:variant>
        <vt:lpwstr>_Toc467420615</vt:lpwstr>
      </vt:variant>
      <vt:variant>
        <vt:i4>1310775</vt:i4>
      </vt:variant>
      <vt:variant>
        <vt:i4>224</vt:i4>
      </vt:variant>
      <vt:variant>
        <vt:i4>0</vt:i4>
      </vt:variant>
      <vt:variant>
        <vt:i4>5</vt:i4>
      </vt:variant>
      <vt:variant>
        <vt:lpwstr/>
      </vt:variant>
      <vt:variant>
        <vt:lpwstr>_Toc467420614</vt:lpwstr>
      </vt:variant>
      <vt:variant>
        <vt:i4>1310775</vt:i4>
      </vt:variant>
      <vt:variant>
        <vt:i4>218</vt:i4>
      </vt:variant>
      <vt:variant>
        <vt:i4>0</vt:i4>
      </vt:variant>
      <vt:variant>
        <vt:i4>5</vt:i4>
      </vt:variant>
      <vt:variant>
        <vt:lpwstr/>
      </vt:variant>
      <vt:variant>
        <vt:lpwstr>_Toc467420613</vt:lpwstr>
      </vt:variant>
      <vt:variant>
        <vt:i4>1310775</vt:i4>
      </vt:variant>
      <vt:variant>
        <vt:i4>212</vt:i4>
      </vt:variant>
      <vt:variant>
        <vt:i4>0</vt:i4>
      </vt:variant>
      <vt:variant>
        <vt:i4>5</vt:i4>
      </vt:variant>
      <vt:variant>
        <vt:lpwstr/>
      </vt:variant>
      <vt:variant>
        <vt:lpwstr>_Toc467420612</vt:lpwstr>
      </vt:variant>
      <vt:variant>
        <vt:i4>1310775</vt:i4>
      </vt:variant>
      <vt:variant>
        <vt:i4>206</vt:i4>
      </vt:variant>
      <vt:variant>
        <vt:i4>0</vt:i4>
      </vt:variant>
      <vt:variant>
        <vt:i4>5</vt:i4>
      </vt:variant>
      <vt:variant>
        <vt:lpwstr/>
      </vt:variant>
      <vt:variant>
        <vt:lpwstr>_Toc467420611</vt:lpwstr>
      </vt:variant>
      <vt:variant>
        <vt:i4>1310775</vt:i4>
      </vt:variant>
      <vt:variant>
        <vt:i4>200</vt:i4>
      </vt:variant>
      <vt:variant>
        <vt:i4>0</vt:i4>
      </vt:variant>
      <vt:variant>
        <vt:i4>5</vt:i4>
      </vt:variant>
      <vt:variant>
        <vt:lpwstr/>
      </vt:variant>
      <vt:variant>
        <vt:lpwstr>_Toc467420610</vt:lpwstr>
      </vt:variant>
      <vt:variant>
        <vt:i4>1376311</vt:i4>
      </vt:variant>
      <vt:variant>
        <vt:i4>194</vt:i4>
      </vt:variant>
      <vt:variant>
        <vt:i4>0</vt:i4>
      </vt:variant>
      <vt:variant>
        <vt:i4>5</vt:i4>
      </vt:variant>
      <vt:variant>
        <vt:lpwstr/>
      </vt:variant>
      <vt:variant>
        <vt:lpwstr>_Toc467420609</vt:lpwstr>
      </vt:variant>
      <vt:variant>
        <vt:i4>1376311</vt:i4>
      </vt:variant>
      <vt:variant>
        <vt:i4>188</vt:i4>
      </vt:variant>
      <vt:variant>
        <vt:i4>0</vt:i4>
      </vt:variant>
      <vt:variant>
        <vt:i4>5</vt:i4>
      </vt:variant>
      <vt:variant>
        <vt:lpwstr/>
      </vt:variant>
      <vt:variant>
        <vt:lpwstr>_Toc467420608</vt:lpwstr>
      </vt:variant>
      <vt:variant>
        <vt:i4>1376311</vt:i4>
      </vt:variant>
      <vt:variant>
        <vt:i4>182</vt:i4>
      </vt:variant>
      <vt:variant>
        <vt:i4>0</vt:i4>
      </vt:variant>
      <vt:variant>
        <vt:i4>5</vt:i4>
      </vt:variant>
      <vt:variant>
        <vt:lpwstr/>
      </vt:variant>
      <vt:variant>
        <vt:lpwstr>_Toc467420607</vt:lpwstr>
      </vt:variant>
      <vt:variant>
        <vt:i4>1376311</vt:i4>
      </vt:variant>
      <vt:variant>
        <vt:i4>176</vt:i4>
      </vt:variant>
      <vt:variant>
        <vt:i4>0</vt:i4>
      </vt:variant>
      <vt:variant>
        <vt:i4>5</vt:i4>
      </vt:variant>
      <vt:variant>
        <vt:lpwstr/>
      </vt:variant>
      <vt:variant>
        <vt:lpwstr>_Toc467420606</vt:lpwstr>
      </vt:variant>
      <vt:variant>
        <vt:i4>1376311</vt:i4>
      </vt:variant>
      <vt:variant>
        <vt:i4>170</vt:i4>
      </vt:variant>
      <vt:variant>
        <vt:i4>0</vt:i4>
      </vt:variant>
      <vt:variant>
        <vt:i4>5</vt:i4>
      </vt:variant>
      <vt:variant>
        <vt:lpwstr/>
      </vt:variant>
      <vt:variant>
        <vt:lpwstr>_Toc467420605</vt:lpwstr>
      </vt:variant>
      <vt:variant>
        <vt:i4>1376311</vt:i4>
      </vt:variant>
      <vt:variant>
        <vt:i4>164</vt:i4>
      </vt:variant>
      <vt:variant>
        <vt:i4>0</vt:i4>
      </vt:variant>
      <vt:variant>
        <vt:i4>5</vt:i4>
      </vt:variant>
      <vt:variant>
        <vt:lpwstr/>
      </vt:variant>
      <vt:variant>
        <vt:lpwstr>_Toc467420604</vt:lpwstr>
      </vt:variant>
      <vt:variant>
        <vt:i4>1376311</vt:i4>
      </vt:variant>
      <vt:variant>
        <vt:i4>158</vt:i4>
      </vt:variant>
      <vt:variant>
        <vt:i4>0</vt:i4>
      </vt:variant>
      <vt:variant>
        <vt:i4>5</vt:i4>
      </vt:variant>
      <vt:variant>
        <vt:lpwstr/>
      </vt:variant>
      <vt:variant>
        <vt:lpwstr>_Toc467420603</vt:lpwstr>
      </vt:variant>
      <vt:variant>
        <vt:i4>1376311</vt:i4>
      </vt:variant>
      <vt:variant>
        <vt:i4>152</vt:i4>
      </vt:variant>
      <vt:variant>
        <vt:i4>0</vt:i4>
      </vt:variant>
      <vt:variant>
        <vt:i4>5</vt:i4>
      </vt:variant>
      <vt:variant>
        <vt:lpwstr/>
      </vt:variant>
      <vt:variant>
        <vt:lpwstr>_Toc467420602</vt:lpwstr>
      </vt:variant>
      <vt:variant>
        <vt:i4>1376311</vt:i4>
      </vt:variant>
      <vt:variant>
        <vt:i4>146</vt:i4>
      </vt:variant>
      <vt:variant>
        <vt:i4>0</vt:i4>
      </vt:variant>
      <vt:variant>
        <vt:i4>5</vt:i4>
      </vt:variant>
      <vt:variant>
        <vt:lpwstr/>
      </vt:variant>
      <vt:variant>
        <vt:lpwstr>_Toc467420601</vt:lpwstr>
      </vt:variant>
      <vt:variant>
        <vt:i4>1376311</vt:i4>
      </vt:variant>
      <vt:variant>
        <vt:i4>140</vt:i4>
      </vt:variant>
      <vt:variant>
        <vt:i4>0</vt:i4>
      </vt:variant>
      <vt:variant>
        <vt:i4>5</vt:i4>
      </vt:variant>
      <vt:variant>
        <vt:lpwstr/>
      </vt:variant>
      <vt:variant>
        <vt:lpwstr>_Toc467420600</vt:lpwstr>
      </vt:variant>
      <vt:variant>
        <vt:i4>1835060</vt:i4>
      </vt:variant>
      <vt:variant>
        <vt:i4>134</vt:i4>
      </vt:variant>
      <vt:variant>
        <vt:i4>0</vt:i4>
      </vt:variant>
      <vt:variant>
        <vt:i4>5</vt:i4>
      </vt:variant>
      <vt:variant>
        <vt:lpwstr/>
      </vt:variant>
      <vt:variant>
        <vt:lpwstr>_Toc467420599</vt:lpwstr>
      </vt:variant>
      <vt:variant>
        <vt:i4>1835060</vt:i4>
      </vt:variant>
      <vt:variant>
        <vt:i4>128</vt:i4>
      </vt:variant>
      <vt:variant>
        <vt:i4>0</vt:i4>
      </vt:variant>
      <vt:variant>
        <vt:i4>5</vt:i4>
      </vt:variant>
      <vt:variant>
        <vt:lpwstr/>
      </vt:variant>
      <vt:variant>
        <vt:lpwstr>_Toc467420598</vt:lpwstr>
      </vt:variant>
      <vt:variant>
        <vt:i4>1835060</vt:i4>
      </vt:variant>
      <vt:variant>
        <vt:i4>122</vt:i4>
      </vt:variant>
      <vt:variant>
        <vt:i4>0</vt:i4>
      </vt:variant>
      <vt:variant>
        <vt:i4>5</vt:i4>
      </vt:variant>
      <vt:variant>
        <vt:lpwstr/>
      </vt:variant>
      <vt:variant>
        <vt:lpwstr>_Toc467420597</vt:lpwstr>
      </vt:variant>
      <vt:variant>
        <vt:i4>1835060</vt:i4>
      </vt:variant>
      <vt:variant>
        <vt:i4>116</vt:i4>
      </vt:variant>
      <vt:variant>
        <vt:i4>0</vt:i4>
      </vt:variant>
      <vt:variant>
        <vt:i4>5</vt:i4>
      </vt:variant>
      <vt:variant>
        <vt:lpwstr/>
      </vt:variant>
      <vt:variant>
        <vt:lpwstr>_Toc467420596</vt:lpwstr>
      </vt:variant>
      <vt:variant>
        <vt:i4>1835060</vt:i4>
      </vt:variant>
      <vt:variant>
        <vt:i4>110</vt:i4>
      </vt:variant>
      <vt:variant>
        <vt:i4>0</vt:i4>
      </vt:variant>
      <vt:variant>
        <vt:i4>5</vt:i4>
      </vt:variant>
      <vt:variant>
        <vt:lpwstr/>
      </vt:variant>
      <vt:variant>
        <vt:lpwstr>_Toc467420595</vt:lpwstr>
      </vt:variant>
      <vt:variant>
        <vt:i4>1835060</vt:i4>
      </vt:variant>
      <vt:variant>
        <vt:i4>104</vt:i4>
      </vt:variant>
      <vt:variant>
        <vt:i4>0</vt:i4>
      </vt:variant>
      <vt:variant>
        <vt:i4>5</vt:i4>
      </vt:variant>
      <vt:variant>
        <vt:lpwstr/>
      </vt:variant>
      <vt:variant>
        <vt:lpwstr>_Toc467420594</vt:lpwstr>
      </vt:variant>
      <vt:variant>
        <vt:i4>1835060</vt:i4>
      </vt:variant>
      <vt:variant>
        <vt:i4>98</vt:i4>
      </vt:variant>
      <vt:variant>
        <vt:i4>0</vt:i4>
      </vt:variant>
      <vt:variant>
        <vt:i4>5</vt:i4>
      </vt:variant>
      <vt:variant>
        <vt:lpwstr/>
      </vt:variant>
      <vt:variant>
        <vt:lpwstr>_Toc467420593</vt:lpwstr>
      </vt:variant>
      <vt:variant>
        <vt:i4>1835060</vt:i4>
      </vt:variant>
      <vt:variant>
        <vt:i4>92</vt:i4>
      </vt:variant>
      <vt:variant>
        <vt:i4>0</vt:i4>
      </vt:variant>
      <vt:variant>
        <vt:i4>5</vt:i4>
      </vt:variant>
      <vt:variant>
        <vt:lpwstr/>
      </vt:variant>
      <vt:variant>
        <vt:lpwstr>_Toc467420592</vt:lpwstr>
      </vt:variant>
      <vt:variant>
        <vt:i4>1835060</vt:i4>
      </vt:variant>
      <vt:variant>
        <vt:i4>86</vt:i4>
      </vt:variant>
      <vt:variant>
        <vt:i4>0</vt:i4>
      </vt:variant>
      <vt:variant>
        <vt:i4>5</vt:i4>
      </vt:variant>
      <vt:variant>
        <vt:lpwstr/>
      </vt:variant>
      <vt:variant>
        <vt:lpwstr>_Toc467420591</vt:lpwstr>
      </vt:variant>
      <vt:variant>
        <vt:i4>1835060</vt:i4>
      </vt:variant>
      <vt:variant>
        <vt:i4>80</vt:i4>
      </vt:variant>
      <vt:variant>
        <vt:i4>0</vt:i4>
      </vt:variant>
      <vt:variant>
        <vt:i4>5</vt:i4>
      </vt:variant>
      <vt:variant>
        <vt:lpwstr/>
      </vt:variant>
      <vt:variant>
        <vt:lpwstr>_Toc467420590</vt:lpwstr>
      </vt:variant>
      <vt:variant>
        <vt:i4>1900596</vt:i4>
      </vt:variant>
      <vt:variant>
        <vt:i4>74</vt:i4>
      </vt:variant>
      <vt:variant>
        <vt:i4>0</vt:i4>
      </vt:variant>
      <vt:variant>
        <vt:i4>5</vt:i4>
      </vt:variant>
      <vt:variant>
        <vt:lpwstr/>
      </vt:variant>
      <vt:variant>
        <vt:lpwstr>_Toc467420589</vt:lpwstr>
      </vt:variant>
      <vt:variant>
        <vt:i4>1900596</vt:i4>
      </vt:variant>
      <vt:variant>
        <vt:i4>68</vt:i4>
      </vt:variant>
      <vt:variant>
        <vt:i4>0</vt:i4>
      </vt:variant>
      <vt:variant>
        <vt:i4>5</vt:i4>
      </vt:variant>
      <vt:variant>
        <vt:lpwstr/>
      </vt:variant>
      <vt:variant>
        <vt:lpwstr>_Toc467420588</vt:lpwstr>
      </vt:variant>
      <vt:variant>
        <vt:i4>1900596</vt:i4>
      </vt:variant>
      <vt:variant>
        <vt:i4>62</vt:i4>
      </vt:variant>
      <vt:variant>
        <vt:i4>0</vt:i4>
      </vt:variant>
      <vt:variant>
        <vt:i4>5</vt:i4>
      </vt:variant>
      <vt:variant>
        <vt:lpwstr/>
      </vt:variant>
      <vt:variant>
        <vt:lpwstr>_Toc467420587</vt:lpwstr>
      </vt:variant>
      <vt:variant>
        <vt:i4>1900596</vt:i4>
      </vt:variant>
      <vt:variant>
        <vt:i4>56</vt:i4>
      </vt:variant>
      <vt:variant>
        <vt:i4>0</vt:i4>
      </vt:variant>
      <vt:variant>
        <vt:i4>5</vt:i4>
      </vt:variant>
      <vt:variant>
        <vt:lpwstr/>
      </vt:variant>
      <vt:variant>
        <vt:lpwstr>_Toc467420586</vt:lpwstr>
      </vt:variant>
      <vt:variant>
        <vt:i4>1900596</vt:i4>
      </vt:variant>
      <vt:variant>
        <vt:i4>50</vt:i4>
      </vt:variant>
      <vt:variant>
        <vt:i4>0</vt:i4>
      </vt:variant>
      <vt:variant>
        <vt:i4>5</vt:i4>
      </vt:variant>
      <vt:variant>
        <vt:lpwstr/>
      </vt:variant>
      <vt:variant>
        <vt:lpwstr>_Toc467420585</vt:lpwstr>
      </vt:variant>
      <vt:variant>
        <vt:i4>1900596</vt:i4>
      </vt:variant>
      <vt:variant>
        <vt:i4>44</vt:i4>
      </vt:variant>
      <vt:variant>
        <vt:i4>0</vt:i4>
      </vt:variant>
      <vt:variant>
        <vt:i4>5</vt:i4>
      </vt:variant>
      <vt:variant>
        <vt:lpwstr/>
      </vt:variant>
      <vt:variant>
        <vt:lpwstr>_Toc467420584</vt:lpwstr>
      </vt:variant>
      <vt:variant>
        <vt:i4>1900596</vt:i4>
      </vt:variant>
      <vt:variant>
        <vt:i4>38</vt:i4>
      </vt:variant>
      <vt:variant>
        <vt:i4>0</vt:i4>
      </vt:variant>
      <vt:variant>
        <vt:i4>5</vt:i4>
      </vt:variant>
      <vt:variant>
        <vt:lpwstr/>
      </vt:variant>
      <vt:variant>
        <vt:lpwstr>_Toc467420583</vt:lpwstr>
      </vt:variant>
      <vt:variant>
        <vt:i4>1900596</vt:i4>
      </vt:variant>
      <vt:variant>
        <vt:i4>32</vt:i4>
      </vt:variant>
      <vt:variant>
        <vt:i4>0</vt:i4>
      </vt:variant>
      <vt:variant>
        <vt:i4>5</vt:i4>
      </vt:variant>
      <vt:variant>
        <vt:lpwstr/>
      </vt:variant>
      <vt:variant>
        <vt:lpwstr>_Toc467420582</vt:lpwstr>
      </vt:variant>
      <vt:variant>
        <vt:i4>1900596</vt:i4>
      </vt:variant>
      <vt:variant>
        <vt:i4>26</vt:i4>
      </vt:variant>
      <vt:variant>
        <vt:i4>0</vt:i4>
      </vt:variant>
      <vt:variant>
        <vt:i4>5</vt:i4>
      </vt:variant>
      <vt:variant>
        <vt:lpwstr/>
      </vt:variant>
      <vt:variant>
        <vt:lpwstr>_Toc467420581</vt:lpwstr>
      </vt:variant>
      <vt:variant>
        <vt:i4>1900596</vt:i4>
      </vt:variant>
      <vt:variant>
        <vt:i4>20</vt:i4>
      </vt:variant>
      <vt:variant>
        <vt:i4>0</vt:i4>
      </vt:variant>
      <vt:variant>
        <vt:i4>5</vt:i4>
      </vt:variant>
      <vt:variant>
        <vt:lpwstr/>
      </vt:variant>
      <vt:variant>
        <vt:lpwstr>_Toc467420580</vt:lpwstr>
      </vt:variant>
      <vt:variant>
        <vt:i4>1179700</vt:i4>
      </vt:variant>
      <vt:variant>
        <vt:i4>14</vt:i4>
      </vt:variant>
      <vt:variant>
        <vt:i4>0</vt:i4>
      </vt:variant>
      <vt:variant>
        <vt:i4>5</vt:i4>
      </vt:variant>
      <vt:variant>
        <vt:lpwstr/>
      </vt:variant>
      <vt:variant>
        <vt:lpwstr>_Toc467420579</vt:lpwstr>
      </vt:variant>
      <vt:variant>
        <vt:i4>1179700</vt:i4>
      </vt:variant>
      <vt:variant>
        <vt:i4>8</vt:i4>
      </vt:variant>
      <vt:variant>
        <vt:i4>0</vt:i4>
      </vt:variant>
      <vt:variant>
        <vt:i4>5</vt:i4>
      </vt:variant>
      <vt:variant>
        <vt:lpwstr/>
      </vt:variant>
      <vt:variant>
        <vt:lpwstr>_Toc467420578</vt:lpwstr>
      </vt:variant>
      <vt:variant>
        <vt:i4>1179700</vt:i4>
      </vt:variant>
      <vt:variant>
        <vt:i4>2</vt:i4>
      </vt:variant>
      <vt:variant>
        <vt:i4>0</vt:i4>
      </vt:variant>
      <vt:variant>
        <vt:i4>5</vt:i4>
      </vt:variant>
      <vt:variant>
        <vt:lpwstr/>
      </vt:variant>
      <vt:variant>
        <vt:lpwstr>_Toc467420577</vt:lpwstr>
      </vt:variant>
      <vt:variant>
        <vt:i4>5242920</vt:i4>
      </vt:variant>
      <vt:variant>
        <vt:i4>99</vt:i4>
      </vt:variant>
      <vt:variant>
        <vt:i4>0</vt:i4>
      </vt:variant>
      <vt:variant>
        <vt:i4>5</vt:i4>
      </vt:variant>
      <vt:variant>
        <vt:lpwstr>https://fr.wikipedia.org/wiki/Roland_Barthes</vt:lpwstr>
      </vt:variant>
      <vt:variant>
        <vt:lpwstr/>
      </vt:variant>
      <vt:variant>
        <vt:i4>3539055</vt:i4>
      </vt:variant>
      <vt:variant>
        <vt:i4>96</vt:i4>
      </vt:variant>
      <vt:variant>
        <vt:i4>0</vt:i4>
      </vt:variant>
      <vt:variant>
        <vt:i4>5</vt:i4>
      </vt:variant>
      <vt:variant>
        <vt:lpwstr>https://fr.wikipedia.org/wiki/Linguistique</vt:lpwstr>
      </vt:variant>
      <vt:variant>
        <vt:lpwstr/>
      </vt:variant>
      <vt:variant>
        <vt:i4>6619168</vt:i4>
      </vt:variant>
      <vt:variant>
        <vt:i4>93</vt:i4>
      </vt:variant>
      <vt:variant>
        <vt:i4>0</vt:i4>
      </vt:variant>
      <vt:variant>
        <vt:i4>5</vt:i4>
      </vt:variant>
      <vt:variant>
        <vt:lpwstr>https://fr.wikipedia.org/wiki/Algirdas_Julien_Greimas</vt:lpwstr>
      </vt:variant>
      <vt:variant>
        <vt:lpwstr/>
      </vt:variant>
      <vt:variant>
        <vt:i4>7864337</vt:i4>
      </vt:variant>
      <vt:variant>
        <vt:i4>90</vt:i4>
      </vt:variant>
      <vt:variant>
        <vt:i4>0</vt:i4>
      </vt:variant>
      <vt:variant>
        <vt:i4>5</vt:i4>
      </vt:variant>
      <vt:variant>
        <vt:lpwstr>https://fr.wikipedia.org/wiki/Louis_Hjelmslev</vt:lpwstr>
      </vt:variant>
      <vt:variant>
        <vt:lpwstr/>
      </vt:variant>
      <vt:variant>
        <vt:i4>3539055</vt:i4>
      </vt:variant>
      <vt:variant>
        <vt:i4>87</vt:i4>
      </vt:variant>
      <vt:variant>
        <vt:i4>0</vt:i4>
      </vt:variant>
      <vt:variant>
        <vt:i4>5</vt:i4>
      </vt:variant>
      <vt:variant>
        <vt:lpwstr>https://fr.wikipedia.org/wiki/Linguistique</vt:lpwstr>
      </vt:variant>
      <vt:variant>
        <vt:lpwstr/>
      </vt:variant>
      <vt:variant>
        <vt:i4>3866743</vt:i4>
      </vt:variant>
      <vt:variant>
        <vt:i4>84</vt:i4>
      </vt:variant>
      <vt:variant>
        <vt:i4>0</vt:i4>
      </vt:variant>
      <vt:variant>
        <vt:i4>5</vt:i4>
      </vt:variant>
      <vt:variant>
        <vt:lpwstr>https://fr.wikipedia.org/wiki/1913</vt:lpwstr>
      </vt:variant>
      <vt:variant>
        <vt:lpwstr/>
      </vt:variant>
      <vt:variant>
        <vt:i4>4063347</vt:i4>
      </vt:variant>
      <vt:variant>
        <vt:i4>81</vt:i4>
      </vt:variant>
      <vt:variant>
        <vt:i4>0</vt:i4>
      </vt:variant>
      <vt:variant>
        <vt:i4>5</vt:i4>
      </vt:variant>
      <vt:variant>
        <vt:lpwstr>https://fr.wikipedia.org/wiki/1857</vt:lpwstr>
      </vt:variant>
      <vt:variant>
        <vt:lpwstr/>
      </vt:variant>
      <vt:variant>
        <vt:i4>852051</vt:i4>
      </vt:variant>
      <vt:variant>
        <vt:i4>78</vt:i4>
      </vt:variant>
      <vt:variant>
        <vt:i4>0</vt:i4>
      </vt:variant>
      <vt:variant>
        <vt:i4>5</vt:i4>
      </vt:variant>
      <vt:variant>
        <vt:lpwstr>https://fr.wikipedia.org/wiki/Ferdinand_de_Saussure</vt:lpwstr>
      </vt:variant>
      <vt:variant>
        <vt:lpwstr/>
      </vt:variant>
      <vt:variant>
        <vt:i4>85</vt:i4>
      </vt:variant>
      <vt:variant>
        <vt:i4>75</vt:i4>
      </vt:variant>
      <vt:variant>
        <vt:i4>0</vt:i4>
      </vt:variant>
      <vt:variant>
        <vt:i4>5</vt:i4>
      </vt:variant>
      <vt:variant>
        <vt:lpwstr>http://www.semiopolis.fr/</vt:lpwstr>
      </vt:variant>
      <vt:variant>
        <vt:lpwstr/>
      </vt:variant>
      <vt:variant>
        <vt:i4>6750258</vt:i4>
      </vt:variant>
      <vt:variant>
        <vt:i4>72</vt:i4>
      </vt:variant>
      <vt:variant>
        <vt:i4>0</vt:i4>
      </vt:variant>
      <vt:variant>
        <vt:i4>5</vt:i4>
      </vt:variant>
      <vt:variant>
        <vt:lpwstr>http://www.signosemio.com/greimas/modele-actantiel.asp</vt:lpwstr>
      </vt:variant>
      <vt:variant>
        <vt:lpwstr/>
      </vt:variant>
      <vt:variant>
        <vt:i4>6815854</vt:i4>
      </vt:variant>
      <vt:variant>
        <vt:i4>69</vt:i4>
      </vt:variant>
      <vt:variant>
        <vt:i4>0</vt:i4>
      </vt:variant>
      <vt:variant>
        <vt:i4>5</vt:i4>
      </vt:variant>
      <vt:variant>
        <vt:lpwstr>http://www.refer.sn/ethiopiques</vt:lpwstr>
      </vt:variant>
      <vt:variant>
        <vt:lpwstr/>
      </vt:variant>
      <vt:variant>
        <vt:i4>5439532</vt:i4>
      </vt:variant>
      <vt:variant>
        <vt:i4>66</vt:i4>
      </vt:variant>
      <vt:variant>
        <vt:i4>0</vt:i4>
      </vt:variant>
      <vt:variant>
        <vt:i4>5</vt:i4>
      </vt:variant>
      <vt:variant>
        <vt:lpwstr>http://www.danielaroventafrumusani.ro/discours_scientifique.html</vt:lpwstr>
      </vt:variant>
      <vt:variant>
        <vt:lpwstr/>
      </vt:variant>
      <vt:variant>
        <vt:i4>458828</vt:i4>
      </vt:variant>
      <vt:variant>
        <vt:i4>63</vt:i4>
      </vt:variant>
      <vt:variant>
        <vt:i4>0</vt:i4>
      </vt:variant>
      <vt:variant>
        <vt:i4>5</vt:i4>
      </vt:variant>
      <vt:variant>
        <vt:lpwstr>http://mimmoc.revues.org/204</vt:lpwstr>
      </vt:variant>
      <vt:variant>
        <vt:lpwstr/>
      </vt:variant>
      <vt:variant>
        <vt:i4>1441859</vt:i4>
      </vt:variant>
      <vt:variant>
        <vt:i4>60</vt:i4>
      </vt:variant>
      <vt:variant>
        <vt:i4>0</vt:i4>
      </vt:variant>
      <vt:variant>
        <vt:i4>5</vt:i4>
      </vt:variant>
      <vt:variant>
        <vt:lpwstr>https://www.unige.ch/lettres/framo/enseignements/methodes/index.html</vt:lpwstr>
      </vt:variant>
      <vt:variant>
        <vt:lpwstr/>
      </vt:variant>
      <vt:variant>
        <vt:i4>6422639</vt:i4>
      </vt:variant>
      <vt:variant>
        <vt:i4>57</vt:i4>
      </vt:variant>
      <vt:variant>
        <vt:i4>0</vt:i4>
      </vt:variant>
      <vt:variant>
        <vt:i4>5</vt:i4>
      </vt:variant>
      <vt:variant>
        <vt:lpwstr>http://www.lesoirdalgerie.com/articles/2011/06/05/article.php?sid=118108&amp;cid=16</vt:lpwstr>
      </vt:variant>
      <vt:variant>
        <vt:lpwstr/>
      </vt:variant>
      <vt:variant>
        <vt:i4>6422639</vt:i4>
      </vt:variant>
      <vt:variant>
        <vt:i4>54</vt:i4>
      </vt:variant>
      <vt:variant>
        <vt:i4>0</vt:i4>
      </vt:variant>
      <vt:variant>
        <vt:i4>5</vt:i4>
      </vt:variant>
      <vt:variant>
        <vt:lpwstr>http://www.lesoirdalgerie.com/articles/2011/06/05/article.php?sid=118108&amp;cid=16</vt:lpwstr>
      </vt:variant>
      <vt:variant>
        <vt:lpwstr/>
      </vt:variant>
      <vt:variant>
        <vt:i4>6422639</vt:i4>
      </vt:variant>
      <vt:variant>
        <vt:i4>51</vt:i4>
      </vt:variant>
      <vt:variant>
        <vt:i4>0</vt:i4>
      </vt:variant>
      <vt:variant>
        <vt:i4>5</vt:i4>
      </vt:variant>
      <vt:variant>
        <vt:lpwstr>http://www.lesoirdalgerie.com/articles/2011/06/05/article.php?sid=118108&amp;cid=16</vt:lpwstr>
      </vt:variant>
      <vt:variant>
        <vt:lpwstr/>
      </vt:variant>
      <vt:variant>
        <vt:i4>8060962</vt:i4>
      </vt:variant>
      <vt:variant>
        <vt:i4>48</vt:i4>
      </vt:variant>
      <vt:variant>
        <vt:i4>0</vt:i4>
      </vt:variant>
      <vt:variant>
        <vt:i4>5</vt:i4>
      </vt:variant>
      <vt:variant>
        <vt:lpwstr>http://textyles.revues.org/772</vt:lpwstr>
      </vt:variant>
      <vt:variant>
        <vt:lpwstr/>
      </vt:variant>
      <vt:variant>
        <vt:i4>7864382</vt:i4>
      </vt:variant>
      <vt:variant>
        <vt:i4>45</vt:i4>
      </vt:variant>
      <vt:variant>
        <vt:i4>0</vt:i4>
      </vt:variant>
      <vt:variant>
        <vt:i4>5</vt:i4>
      </vt:variant>
      <vt:variant>
        <vt:lpwstr>http://www.djazairess.com/fr/lnr/221578</vt:lpwstr>
      </vt:variant>
      <vt:variant>
        <vt:lpwstr/>
      </vt:variant>
      <vt:variant>
        <vt:i4>1376377</vt:i4>
      </vt:variant>
      <vt:variant>
        <vt:i4>42</vt:i4>
      </vt:variant>
      <vt:variant>
        <vt:i4>0</vt:i4>
      </vt:variant>
      <vt:variant>
        <vt:i4>5</vt:i4>
      </vt:variant>
      <vt:variant>
        <vt:lpwstr>https://fr.wikipedia.org/wiki/Margarete_Steffin</vt:lpwstr>
      </vt:variant>
      <vt:variant>
        <vt:lpwstr/>
      </vt:variant>
      <vt:variant>
        <vt:i4>6225943</vt:i4>
      </vt:variant>
      <vt:variant>
        <vt:i4>39</vt:i4>
      </vt:variant>
      <vt:variant>
        <vt:i4>0</vt:i4>
      </vt:variant>
      <vt:variant>
        <vt:i4>5</vt:i4>
      </vt:variant>
      <vt:variant>
        <vt:lpwstr>https://fr.wikipedia.org/wiki/Su%C3%A8de</vt:lpwstr>
      </vt:variant>
      <vt:variant>
        <vt:lpwstr/>
      </vt:variant>
      <vt:variant>
        <vt:i4>3670130</vt:i4>
      </vt:variant>
      <vt:variant>
        <vt:i4>36</vt:i4>
      </vt:variant>
      <vt:variant>
        <vt:i4>0</vt:i4>
      </vt:variant>
      <vt:variant>
        <vt:i4>5</vt:i4>
      </vt:variant>
      <vt:variant>
        <vt:lpwstr>https://fr.wikipedia.org/wiki/1940</vt:lpwstr>
      </vt:variant>
      <vt:variant>
        <vt:lpwstr/>
      </vt:variant>
      <vt:variant>
        <vt:i4>4128866</vt:i4>
      </vt:variant>
      <vt:variant>
        <vt:i4>33</vt:i4>
      </vt:variant>
      <vt:variant>
        <vt:i4>0</vt:i4>
      </vt:variant>
      <vt:variant>
        <vt:i4>5</vt:i4>
      </vt:variant>
      <vt:variant>
        <vt:lpwstr>https://fr.wikipedia.org/wiki/Danemark</vt:lpwstr>
      </vt:variant>
      <vt:variant>
        <vt:lpwstr/>
      </vt:variant>
      <vt:variant>
        <vt:i4>3145845</vt:i4>
      </vt:variant>
      <vt:variant>
        <vt:i4>30</vt:i4>
      </vt:variant>
      <vt:variant>
        <vt:i4>0</vt:i4>
      </vt:variant>
      <vt:variant>
        <vt:i4>5</vt:i4>
      </vt:variant>
      <vt:variant>
        <vt:lpwstr>https://fr.wikipedia.org/wiki/1938</vt:lpwstr>
      </vt:variant>
      <vt:variant>
        <vt:lpwstr/>
      </vt:variant>
      <vt:variant>
        <vt:i4>7733267</vt:i4>
      </vt:variant>
      <vt:variant>
        <vt:i4>27</vt:i4>
      </vt:variant>
      <vt:variant>
        <vt:i4>0</vt:i4>
      </vt:variant>
      <vt:variant>
        <vt:i4>5</vt:i4>
      </vt:variant>
      <vt:variant>
        <vt:lpwstr>https://fr.wikipedia.org/wiki/Bertolt_Brecht</vt:lpwstr>
      </vt:variant>
      <vt:variant>
        <vt:lpwstr/>
      </vt:variant>
      <vt:variant>
        <vt:i4>6881321</vt:i4>
      </vt:variant>
      <vt:variant>
        <vt:i4>24</vt:i4>
      </vt:variant>
      <vt:variant>
        <vt:i4>0</vt:i4>
      </vt:variant>
      <vt:variant>
        <vt:i4>5</vt:i4>
      </vt:variant>
      <vt:variant>
        <vt:lpwstr>https://fr.wikipedia.org/wiki/Pi%C3%A8ce_de_th%C3%A9%C3%A2tre</vt:lpwstr>
      </vt:variant>
      <vt:variant>
        <vt:lpwstr/>
      </vt:variant>
      <vt:variant>
        <vt:i4>2097215</vt:i4>
      </vt:variant>
      <vt:variant>
        <vt:i4>21</vt:i4>
      </vt:variant>
      <vt:variant>
        <vt:i4>0</vt:i4>
      </vt:variant>
      <vt:variant>
        <vt:i4>5</vt:i4>
      </vt:variant>
      <vt:variant>
        <vt:lpwstr>http://mostaghanem.free.fr/Files/17_la_vie_de_kaki.pdf</vt:lpwstr>
      </vt:variant>
      <vt:variant>
        <vt:lpwstr/>
      </vt:variant>
      <vt:variant>
        <vt:i4>7667764</vt:i4>
      </vt:variant>
      <vt:variant>
        <vt:i4>18</vt:i4>
      </vt:variant>
      <vt:variant>
        <vt:i4>0</vt:i4>
      </vt:variant>
      <vt:variant>
        <vt:i4>5</vt:i4>
      </vt:variant>
      <vt:variant>
        <vt:lpwstr>http://www.algerieinfos-saoudi.com/article-kaki-le-fondateur-du-theatre-algerien-moderne-107582677.html</vt:lpwstr>
      </vt:variant>
      <vt:variant>
        <vt:lpwstr/>
      </vt:variant>
      <vt:variant>
        <vt:i4>2818084</vt:i4>
      </vt:variant>
      <vt:variant>
        <vt:i4>15</vt:i4>
      </vt:variant>
      <vt:variant>
        <vt:i4>0</vt:i4>
      </vt:variant>
      <vt:variant>
        <vt:i4>5</vt:i4>
      </vt:variant>
      <vt:variant>
        <vt:lpwstr>http://www.limag.com/new/index.php?inc=dspart&amp;art=00003392</vt:lpwstr>
      </vt:variant>
      <vt:variant>
        <vt:lpwstr/>
      </vt:variant>
      <vt:variant>
        <vt:i4>4128792</vt:i4>
      </vt:variant>
      <vt:variant>
        <vt:i4>12</vt:i4>
      </vt:variant>
      <vt:variant>
        <vt:i4>0</vt:i4>
      </vt:variant>
      <vt:variant>
        <vt:i4>5</vt:i4>
      </vt:variant>
      <vt:variant>
        <vt:lpwstr>http://www.alger-culture.com/readarticle.php?article_id=268</vt:lpwstr>
      </vt:variant>
      <vt:variant>
        <vt:lpwstr/>
      </vt:variant>
      <vt:variant>
        <vt:i4>65550</vt:i4>
      </vt:variant>
      <vt:variant>
        <vt:i4>9</vt:i4>
      </vt:variant>
      <vt:variant>
        <vt:i4>0</vt:i4>
      </vt:variant>
      <vt:variant>
        <vt:i4>5</vt:i4>
      </vt:variant>
      <vt:variant>
        <vt:lpwstr>http://www.google.dz/search?hl=fr&amp;tbo=p&amp;tbm=bks&amp;q=inauthor:%22Ahmed+Taleb+Ibrahimi%22</vt:lpwstr>
      </vt:variant>
      <vt:variant>
        <vt:lpwstr/>
      </vt:variant>
      <vt:variant>
        <vt:i4>5177363</vt:i4>
      </vt:variant>
      <vt:variant>
        <vt:i4>6</vt:i4>
      </vt:variant>
      <vt:variant>
        <vt:i4>0</vt:i4>
      </vt:variant>
      <vt:variant>
        <vt:i4>5</vt:i4>
      </vt:variant>
      <vt:variant>
        <vt:lpwstr>http://assr.revues.org/11183</vt:lpwstr>
      </vt:variant>
      <vt:variant>
        <vt:lpwstr/>
      </vt:variant>
      <vt:variant>
        <vt:i4>2031630</vt:i4>
      </vt:variant>
      <vt:variant>
        <vt:i4>3</vt:i4>
      </vt:variant>
      <vt:variant>
        <vt:i4>0</vt:i4>
      </vt:variant>
      <vt:variant>
        <vt:i4>5</vt:i4>
      </vt:variant>
      <vt:variant>
        <vt:lpwstr>http://remacle.org/bloodwolf/apulee/apologie.htm</vt:lpwstr>
      </vt:variant>
      <vt:variant>
        <vt:lpwstr/>
      </vt:variant>
      <vt:variant>
        <vt:i4>6160464</vt:i4>
      </vt:variant>
      <vt:variant>
        <vt:i4>0</vt:i4>
      </vt:variant>
      <vt:variant>
        <vt:i4>0</vt:i4>
      </vt:variant>
      <vt:variant>
        <vt:i4>5</vt:i4>
      </vt:variant>
      <vt:variant>
        <vt:lpwstr>http://www.lebacausoleil.com/SPIP/IMG/pdf/Feral_tous_th_est_po.pdf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2016-11-25T19:35:00Z</cp:lastPrinted>
  <dcterms:created xsi:type="dcterms:W3CDTF">2018-07-01T09:14:00Z</dcterms:created>
  <dcterms:modified xsi:type="dcterms:W3CDTF">2018-07-01T09:14:00Z</dcterms:modified>
</cp:coreProperties>
</file>