
<file path=[Content_Types].xml><?xml version="1.0" encoding="utf-8"?>
<Types xmlns="http://schemas.openxmlformats.org/package/2006/content-types">
  <Override PartName="/word/footnotes.xml" ContentType="application/vnd.openxmlformats-officedocument.wordprocessingml.footnotes+xml"/>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Default Extension="doc" ContentType="application/msword"/>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47B" w:rsidRDefault="00BA7F0C" w:rsidP="00BA7F0C">
      <w:pPr>
        <w:jc w:val="center"/>
        <w:rPr>
          <w:rFonts w:ascii="Times New Roman" w:hAnsi="Times New Roman" w:cs="Times New Roman"/>
          <w:i/>
          <w:iCs/>
          <w:sz w:val="28"/>
          <w:szCs w:val="28"/>
        </w:rPr>
      </w:pPr>
      <w:r>
        <w:rPr>
          <w:rFonts w:ascii="Times New Roman" w:hAnsi="Times New Roman" w:cs="Times New Roman"/>
          <w:i/>
          <w:iCs/>
          <w:sz w:val="28"/>
          <w:szCs w:val="28"/>
        </w:rPr>
        <w:t>REPUBLIQUE ALGERIENNE DEMOCRATIQUE ET POPULAIRE</w:t>
      </w:r>
    </w:p>
    <w:p w:rsidR="00BA7F0C" w:rsidRDefault="00BA7F0C" w:rsidP="00BA7F0C">
      <w:pPr>
        <w:jc w:val="center"/>
        <w:rPr>
          <w:rFonts w:ascii="Times New Roman" w:hAnsi="Times New Roman" w:cs="Times New Roman"/>
          <w:i/>
          <w:iCs/>
          <w:sz w:val="28"/>
          <w:szCs w:val="28"/>
        </w:rPr>
      </w:pPr>
      <w:r>
        <w:rPr>
          <w:rFonts w:ascii="Times New Roman" w:hAnsi="Times New Roman" w:cs="Times New Roman"/>
          <w:i/>
          <w:iCs/>
          <w:sz w:val="28"/>
          <w:szCs w:val="28"/>
        </w:rPr>
        <w:t>Ministère de l’enseignement supérieur</w:t>
      </w:r>
    </w:p>
    <w:p w:rsidR="00BA7F0C" w:rsidRDefault="00BA7F0C" w:rsidP="00BA7F0C">
      <w:pPr>
        <w:jc w:val="center"/>
        <w:rPr>
          <w:rFonts w:ascii="Times New Roman" w:hAnsi="Times New Roman" w:cs="Times New Roman"/>
          <w:i/>
          <w:iCs/>
          <w:sz w:val="28"/>
          <w:szCs w:val="28"/>
        </w:rPr>
      </w:pPr>
      <w:r>
        <w:rPr>
          <w:rFonts w:ascii="Times New Roman" w:hAnsi="Times New Roman" w:cs="Times New Roman"/>
          <w:i/>
          <w:iCs/>
          <w:sz w:val="28"/>
          <w:szCs w:val="28"/>
        </w:rPr>
        <w:t>et de la recherche scientifique</w:t>
      </w:r>
    </w:p>
    <w:p w:rsidR="00BA7F0C" w:rsidRDefault="00BA7F0C" w:rsidP="00BA7F0C">
      <w:pPr>
        <w:jc w:val="center"/>
        <w:rPr>
          <w:rFonts w:ascii="Times New Roman" w:hAnsi="Times New Roman" w:cs="Times New Roman"/>
          <w:sz w:val="28"/>
          <w:szCs w:val="28"/>
        </w:rPr>
      </w:pPr>
    </w:p>
    <w:p w:rsidR="00BA7F0C" w:rsidRDefault="00BA7F0C" w:rsidP="00BA7F0C">
      <w:pPr>
        <w:jc w:val="center"/>
        <w:rPr>
          <w:rFonts w:ascii="Times New Roman" w:hAnsi="Times New Roman" w:cs="Times New Roman"/>
          <w:sz w:val="28"/>
          <w:szCs w:val="28"/>
        </w:rPr>
      </w:pPr>
      <w:r>
        <w:rPr>
          <w:rFonts w:ascii="Times New Roman" w:hAnsi="Times New Roman" w:cs="Times New Roman"/>
          <w:sz w:val="28"/>
          <w:szCs w:val="28"/>
        </w:rPr>
        <w:t>Université Abdelhamid IBN BADIS de Mostaganem</w:t>
      </w:r>
    </w:p>
    <w:p w:rsidR="00BA7F0C" w:rsidRDefault="00BA7F0C" w:rsidP="00BA7F0C">
      <w:pPr>
        <w:jc w:val="center"/>
        <w:rPr>
          <w:rFonts w:ascii="Times New Roman" w:hAnsi="Times New Roman" w:cs="Times New Roman"/>
          <w:sz w:val="28"/>
          <w:szCs w:val="28"/>
        </w:rPr>
      </w:pPr>
      <w:r>
        <w:rPr>
          <w:rFonts w:ascii="Times New Roman" w:hAnsi="Times New Roman" w:cs="Times New Roman"/>
          <w:sz w:val="28"/>
          <w:szCs w:val="28"/>
        </w:rPr>
        <w:t xml:space="preserve">Ecole doctorale de français </w:t>
      </w:r>
    </w:p>
    <w:p w:rsidR="00BA7F0C" w:rsidRPr="00BA7F0C" w:rsidRDefault="00BA7F0C" w:rsidP="00BA7F0C">
      <w:pPr>
        <w:jc w:val="center"/>
        <w:rPr>
          <w:rFonts w:ascii="Times New Roman" w:hAnsi="Times New Roman" w:cs="Times New Roman"/>
          <w:sz w:val="28"/>
          <w:szCs w:val="28"/>
        </w:rPr>
      </w:pPr>
      <w:r>
        <w:rPr>
          <w:rFonts w:ascii="Times New Roman" w:hAnsi="Times New Roman" w:cs="Times New Roman"/>
          <w:sz w:val="28"/>
          <w:szCs w:val="28"/>
        </w:rPr>
        <w:t>Antenne de Mostaganem</w:t>
      </w:r>
    </w:p>
    <w:p w:rsidR="000859C0" w:rsidRDefault="000859C0">
      <w:pPr>
        <w:rPr>
          <w:rFonts w:ascii="Times New Roman" w:hAnsi="Times New Roman" w:cs="Times New Roman"/>
          <w:sz w:val="28"/>
          <w:szCs w:val="28"/>
        </w:rPr>
      </w:pPr>
    </w:p>
    <w:p w:rsidR="000859C0" w:rsidRDefault="000859C0" w:rsidP="000859C0">
      <w:pPr>
        <w:jc w:val="center"/>
        <w:rPr>
          <w:rFonts w:ascii="Times New Roman" w:hAnsi="Times New Roman" w:cs="Times New Roman"/>
          <w:sz w:val="28"/>
          <w:szCs w:val="28"/>
        </w:rPr>
      </w:pPr>
      <w:r>
        <w:rPr>
          <w:rFonts w:ascii="Times New Roman" w:hAnsi="Times New Roman" w:cs="Times New Roman"/>
          <w:sz w:val="28"/>
          <w:szCs w:val="28"/>
        </w:rPr>
        <w:t xml:space="preserve">Mémoire pour l’obtention du diplôme de Magister </w:t>
      </w:r>
    </w:p>
    <w:p w:rsidR="000859C0" w:rsidRDefault="000859C0" w:rsidP="000859C0">
      <w:pPr>
        <w:jc w:val="center"/>
        <w:rPr>
          <w:rFonts w:ascii="Times New Roman" w:hAnsi="Times New Roman" w:cs="Times New Roman"/>
          <w:sz w:val="28"/>
          <w:szCs w:val="28"/>
        </w:rPr>
      </w:pPr>
      <w:r>
        <w:rPr>
          <w:rFonts w:ascii="Times New Roman" w:hAnsi="Times New Roman" w:cs="Times New Roman"/>
          <w:sz w:val="28"/>
          <w:szCs w:val="28"/>
        </w:rPr>
        <w:t>Option : Sciences des textes littéraires</w:t>
      </w:r>
    </w:p>
    <w:p w:rsidR="000859C0" w:rsidRDefault="000859C0" w:rsidP="000859C0">
      <w:pPr>
        <w:jc w:val="center"/>
        <w:rPr>
          <w:rFonts w:ascii="Times New Roman" w:hAnsi="Times New Roman" w:cs="Times New Roman"/>
          <w:sz w:val="28"/>
          <w:szCs w:val="28"/>
        </w:rPr>
      </w:pPr>
    </w:p>
    <w:p w:rsidR="000859C0" w:rsidRDefault="000859C0" w:rsidP="000859C0">
      <w:pPr>
        <w:jc w:val="center"/>
        <w:rPr>
          <w:rFonts w:ascii="Times New Roman" w:hAnsi="Times New Roman" w:cs="Times New Roman"/>
          <w:sz w:val="28"/>
          <w:szCs w:val="28"/>
        </w:rPr>
      </w:pPr>
    </w:p>
    <w:p w:rsidR="000859C0" w:rsidRPr="004A67C7" w:rsidRDefault="000859C0" w:rsidP="00CC130D">
      <w:pPr>
        <w:jc w:val="center"/>
        <w:rPr>
          <w:rFonts w:ascii="Times New Roman" w:hAnsi="Times New Roman" w:cs="Times New Roman"/>
          <w:b/>
          <w:bCs/>
          <w:i/>
          <w:iCs/>
          <w:sz w:val="36"/>
          <w:szCs w:val="36"/>
        </w:rPr>
      </w:pPr>
      <w:r w:rsidRPr="000859C0">
        <w:rPr>
          <w:rFonts w:ascii="Times New Roman" w:hAnsi="Times New Roman" w:cs="Times New Roman"/>
          <w:b/>
          <w:bCs/>
          <w:i/>
          <w:iCs/>
          <w:sz w:val="36"/>
          <w:szCs w:val="36"/>
        </w:rPr>
        <w:t xml:space="preserve">L’Histoire dans </w:t>
      </w:r>
      <w:r w:rsidR="00CC130D">
        <w:rPr>
          <w:rFonts w:ascii="Times New Roman" w:hAnsi="Times New Roman" w:cs="Times New Roman"/>
          <w:b/>
          <w:bCs/>
          <w:i/>
          <w:iCs/>
          <w:sz w:val="36"/>
          <w:szCs w:val="36"/>
        </w:rPr>
        <w:t>le roman</w:t>
      </w:r>
      <w:r w:rsidRPr="000859C0">
        <w:rPr>
          <w:rFonts w:ascii="Times New Roman" w:hAnsi="Times New Roman" w:cs="Times New Roman"/>
          <w:b/>
          <w:bCs/>
          <w:i/>
          <w:iCs/>
          <w:sz w:val="36"/>
          <w:szCs w:val="36"/>
        </w:rPr>
        <w:t xml:space="preserve"> de J.- M. G. Le Clézio</w:t>
      </w:r>
    </w:p>
    <w:p w:rsidR="000859C0" w:rsidRDefault="004A67C7" w:rsidP="000859C0">
      <w:pPr>
        <w:jc w:val="center"/>
        <w:rPr>
          <w:rFonts w:ascii="Times New Roman" w:hAnsi="Times New Roman" w:cs="Times New Roman"/>
          <w:i/>
          <w:iCs/>
          <w:sz w:val="36"/>
          <w:szCs w:val="36"/>
        </w:rPr>
      </w:pPr>
      <w:r>
        <w:rPr>
          <w:rFonts w:ascii="Times New Roman" w:hAnsi="Times New Roman" w:cs="Times New Roman"/>
          <w:i/>
          <w:iCs/>
          <w:sz w:val="36"/>
          <w:szCs w:val="36"/>
        </w:rPr>
        <w:t>Ritournelle de la faim</w:t>
      </w:r>
    </w:p>
    <w:p w:rsidR="004A67C7" w:rsidRDefault="004A67C7" w:rsidP="004A67C7">
      <w:pPr>
        <w:jc w:val="both"/>
        <w:rPr>
          <w:rFonts w:ascii="Times New Roman" w:hAnsi="Times New Roman" w:cs="Times New Roman"/>
          <w:sz w:val="36"/>
          <w:szCs w:val="36"/>
        </w:rPr>
      </w:pPr>
    </w:p>
    <w:p w:rsidR="004A67C7" w:rsidRDefault="004A67C7" w:rsidP="004A67C7">
      <w:pPr>
        <w:jc w:val="both"/>
        <w:rPr>
          <w:rFonts w:ascii="Times New Roman" w:hAnsi="Times New Roman" w:cs="Times New Roman"/>
          <w:b/>
          <w:bCs/>
          <w:sz w:val="28"/>
          <w:szCs w:val="28"/>
        </w:rPr>
      </w:pPr>
      <w:r>
        <w:rPr>
          <w:rFonts w:ascii="Times New Roman" w:hAnsi="Times New Roman" w:cs="Times New Roman"/>
          <w:b/>
          <w:bCs/>
          <w:sz w:val="28"/>
          <w:szCs w:val="28"/>
        </w:rPr>
        <w:t>Soutenu p</w:t>
      </w:r>
      <w:r w:rsidR="00BD79D4">
        <w:rPr>
          <w:rFonts w:ascii="Times New Roman" w:hAnsi="Times New Roman" w:cs="Times New Roman"/>
          <w:b/>
          <w:bCs/>
          <w:sz w:val="28"/>
          <w:szCs w:val="28"/>
        </w:rPr>
        <w:t>ubliquement par MESSOUS EL Khan</w:t>
      </w:r>
      <w:r>
        <w:rPr>
          <w:rFonts w:ascii="Times New Roman" w:hAnsi="Times New Roman" w:cs="Times New Roman"/>
          <w:b/>
          <w:bCs/>
          <w:sz w:val="28"/>
          <w:szCs w:val="28"/>
        </w:rPr>
        <w:t>s</w:t>
      </w:r>
      <w:r w:rsidR="00BD79D4">
        <w:rPr>
          <w:rFonts w:ascii="Times New Roman" w:hAnsi="Times New Roman" w:cs="Times New Roman"/>
          <w:b/>
          <w:bCs/>
          <w:sz w:val="28"/>
          <w:szCs w:val="28"/>
        </w:rPr>
        <w:t>a</w:t>
      </w:r>
      <w:r>
        <w:rPr>
          <w:rFonts w:ascii="Times New Roman" w:hAnsi="Times New Roman" w:cs="Times New Roman"/>
          <w:b/>
          <w:bCs/>
          <w:sz w:val="28"/>
          <w:szCs w:val="28"/>
        </w:rPr>
        <w:t xml:space="preserve">à le </w:t>
      </w:r>
      <w:r w:rsidR="00B639EB">
        <w:rPr>
          <w:rFonts w:ascii="Times New Roman" w:hAnsi="Times New Roman" w:cs="Times New Roman"/>
          <w:b/>
          <w:bCs/>
          <w:sz w:val="28"/>
          <w:szCs w:val="28"/>
        </w:rPr>
        <w:t>01/12/2011</w:t>
      </w:r>
      <w:r>
        <w:rPr>
          <w:rFonts w:ascii="Times New Roman" w:hAnsi="Times New Roman" w:cs="Times New Roman"/>
          <w:b/>
          <w:bCs/>
          <w:sz w:val="28"/>
          <w:szCs w:val="28"/>
        </w:rPr>
        <w:t xml:space="preserve">                 devant le jury :</w:t>
      </w:r>
    </w:p>
    <w:p w:rsidR="00842DC9" w:rsidRDefault="00842DC9" w:rsidP="00037BE8">
      <w:pPr>
        <w:tabs>
          <w:tab w:val="left" w:pos="-2694"/>
          <w:tab w:val="left" w:pos="5387"/>
        </w:tabs>
        <w:ind w:left="-142" w:right="-709"/>
        <w:rPr>
          <w:rFonts w:ascii="Times New Roman" w:hAnsi="Times New Roman" w:cs="Times New Roman"/>
          <w:sz w:val="28"/>
          <w:szCs w:val="28"/>
        </w:rPr>
      </w:pPr>
      <w:r w:rsidRPr="00842DC9">
        <w:rPr>
          <w:rFonts w:ascii="Times New Roman" w:hAnsi="Times New Roman" w:cs="Times New Roman"/>
          <w:b/>
          <w:bCs/>
          <w:sz w:val="28"/>
          <w:szCs w:val="28"/>
        </w:rPr>
        <w:t>Président</w:t>
      </w:r>
      <w:r w:rsidRPr="00842DC9">
        <w:rPr>
          <w:rFonts w:ascii="Times New Roman" w:hAnsi="Times New Roman" w:cs="Times New Roman"/>
          <w:sz w:val="28"/>
          <w:szCs w:val="28"/>
        </w:rPr>
        <w:t> </w:t>
      </w:r>
      <w:r w:rsidR="00037BE8">
        <w:rPr>
          <w:rFonts w:ascii="Times New Roman" w:hAnsi="Times New Roman" w:cs="Times New Roman"/>
          <w:sz w:val="28"/>
          <w:szCs w:val="28"/>
        </w:rPr>
        <w:t xml:space="preserve">      </w:t>
      </w:r>
      <w:r w:rsidR="00037BE8" w:rsidRPr="007F4502">
        <w:rPr>
          <w:rFonts w:ascii="Times New Roman" w:hAnsi="Times New Roman" w:cs="Times New Roman"/>
          <w:b/>
          <w:bCs/>
          <w:sz w:val="28"/>
          <w:szCs w:val="28"/>
        </w:rPr>
        <w:t>:</w:t>
      </w:r>
      <w:r w:rsidR="00037BE8" w:rsidRPr="00842DC9">
        <w:rPr>
          <w:rFonts w:ascii="Times New Roman" w:hAnsi="Times New Roman" w:cs="Times New Roman"/>
          <w:sz w:val="28"/>
          <w:szCs w:val="28"/>
        </w:rPr>
        <w:t xml:space="preserve"> Mme</w:t>
      </w:r>
      <w:r w:rsidRPr="00842DC9">
        <w:rPr>
          <w:rFonts w:ascii="Times New Roman" w:hAnsi="Times New Roman" w:cs="Times New Roman"/>
          <w:sz w:val="28"/>
          <w:szCs w:val="28"/>
          <w:vertAlign w:val="superscript"/>
        </w:rPr>
        <w:t xml:space="preserve"> </w:t>
      </w:r>
      <w:r w:rsidRPr="00842DC9">
        <w:rPr>
          <w:rFonts w:ascii="Times New Roman" w:hAnsi="Times New Roman" w:cs="Times New Roman"/>
          <w:sz w:val="28"/>
          <w:szCs w:val="28"/>
        </w:rPr>
        <w:t>BENDJELID Fawzia</w:t>
      </w:r>
      <w:r>
        <w:rPr>
          <w:rFonts w:ascii="Times New Roman" w:hAnsi="Times New Roman" w:cs="Times New Roman"/>
          <w:sz w:val="28"/>
          <w:szCs w:val="28"/>
        </w:rPr>
        <w:t>,</w:t>
      </w:r>
      <w:r>
        <w:rPr>
          <w:rFonts w:ascii="Times New Roman" w:hAnsi="Times New Roman" w:cs="Times New Roman"/>
          <w:sz w:val="28"/>
          <w:szCs w:val="28"/>
        </w:rPr>
        <w:tab/>
        <w:t>M.C.A</w:t>
      </w:r>
      <w:r w:rsidRPr="00842DC9">
        <w:rPr>
          <w:rFonts w:ascii="Times New Roman" w:hAnsi="Times New Roman" w:cs="Times New Roman"/>
          <w:sz w:val="28"/>
          <w:szCs w:val="28"/>
        </w:rPr>
        <w:t>, Université</w:t>
      </w:r>
      <w:r>
        <w:rPr>
          <w:rFonts w:ascii="Times New Roman" w:hAnsi="Times New Roman" w:cs="Times New Roman"/>
          <w:sz w:val="28"/>
          <w:szCs w:val="28"/>
        </w:rPr>
        <w:t xml:space="preserve"> d’Oran</w:t>
      </w:r>
    </w:p>
    <w:p w:rsidR="00842DC9" w:rsidRDefault="004A67C7" w:rsidP="00037BE8">
      <w:pPr>
        <w:tabs>
          <w:tab w:val="left" w:pos="-2694"/>
          <w:tab w:val="left" w:pos="5387"/>
        </w:tabs>
        <w:ind w:left="-142" w:right="-709"/>
        <w:rPr>
          <w:rFonts w:ascii="Times New Roman" w:hAnsi="Times New Roman" w:cs="Times New Roman"/>
          <w:sz w:val="28"/>
          <w:szCs w:val="28"/>
        </w:rPr>
      </w:pPr>
      <w:r>
        <w:rPr>
          <w:rFonts w:ascii="Times New Roman" w:hAnsi="Times New Roman" w:cs="Times New Roman"/>
          <w:b/>
          <w:bCs/>
          <w:sz w:val="28"/>
          <w:szCs w:val="28"/>
        </w:rPr>
        <w:t xml:space="preserve">Rapporteur   : </w:t>
      </w:r>
      <w:r w:rsidRPr="00842DC9">
        <w:rPr>
          <w:rFonts w:ascii="Times New Roman" w:hAnsi="Times New Roman" w:cs="Times New Roman"/>
          <w:sz w:val="28"/>
          <w:szCs w:val="28"/>
        </w:rPr>
        <w:t>M. BENHAIMOUDA</w:t>
      </w:r>
      <w:r w:rsidR="000D618D" w:rsidRPr="00842DC9">
        <w:rPr>
          <w:rFonts w:ascii="Times New Roman" w:hAnsi="Times New Roman" w:cs="Times New Roman"/>
          <w:sz w:val="28"/>
          <w:szCs w:val="28"/>
        </w:rPr>
        <w:t xml:space="preserve"> Miloud</w:t>
      </w:r>
      <w:r w:rsidR="00842DC9">
        <w:rPr>
          <w:rFonts w:ascii="Times New Roman" w:hAnsi="Times New Roman" w:cs="Times New Roman"/>
          <w:sz w:val="28"/>
          <w:szCs w:val="28"/>
        </w:rPr>
        <w:t xml:space="preserve">, </w:t>
      </w:r>
      <w:r w:rsidR="00037BE8">
        <w:rPr>
          <w:rFonts w:ascii="Times New Roman" w:hAnsi="Times New Roman" w:cs="Times New Roman"/>
          <w:sz w:val="28"/>
          <w:szCs w:val="28"/>
        </w:rPr>
        <w:tab/>
      </w:r>
      <w:r w:rsidR="00842DC9">
        <w:rPr>
          <w:rFonts w:ascii="Times New Roman" w:hAnsi="Times New Roman" w:cs="Times New Roman"/>
          <w:sz w:val="28"/>
          <w:szCs w:val="28"/>
        </w:rPr>
        <w:t>M.C.A, Université de Mostaganem</w:t>
      </w:r>
      <w:r w:rsidR="000D618D">
        <w:rPr>
          <w:rFonts w:ascii="Times New Roman" w:hAnsi="Times New Roman" w:cs="Times New Roman"/>
          <w:b/>
          <w:bCs/>
          <w:sz w:val="28"/>
          <w:szCs w:val="28"/>
        </w:rPr>
        <w:t xml:space="preserve"> </w:t>
      </w:r>
    </w:p>
    <w:p w:rsidR="00842DC9" w:rsidRDefault="004A67C7" w:rsidP="00037BE8">
      <w:pPr>
        <w:tabs>
          <w:tab w:val="left" w:pos="-2694"/>
          <w:tab w:val="left" w:pos="5387"/>
        </w:tabs>
        <w:ind w:left="-142" w:right="-709"/>
        <w:rPr>
          <w:rFonts w:ascii="Times New Roman" w:hAnsi="Times New Roman" w:cs="Times New Roman"/>
          <w:sz w:val="28"/>
          <w:szCs w:val="28"/>
        </w:rPr>
      </w:pPr>
      <w:r>
        <w:rPr>
          <w:rFonts w:ascii="Times New Roman" w:hAnsi="Times New Roman" w:cs="Times New Roman"/>
          <w:b/>
          <w:bCs/>
          <w:sz w:val="28"/>
          <w:szCs w:val="28"/>
        </w:rPr>
        <w:t xml:space="preserve">Examinateur : </w:t>
      </w:r>
      <w:r w:rsidR="009265B8" w:rsidRPr="00842DC9">
        <w:rPr>
          <w:rFonts w:ascii="Times New Roman" w:hAnsi="Times New Roman" w:cs="Times New Roman"/>
          <w:sz w:val="28"/>
          <w:szCs w:val="28"/>
        </w:rPr>
        <w:t>M</w:t>
      </w:r>
      <w:r w:rsidR="00037BE8">
        <w:rPr>
          <w:rFonts w:ascii="Times New Roman" w:hAnsi="Times New Roman" w:cs="Times New Roman"/>
          <w:sz w:val="28"/>
          <w:szCs w:val="28"/>
        </w:rPr>
        <w:t>me</w:t>
      </w:r>
      <w:r w:rsidR="009265B8" w:rsidRPr="00842DC9">
        <w:rPr>
          <w:rFonts w:ascii="Times New Roman" w:hAnsi="Times New Roman" w:cs="Times New Roman"/>
          <w:sz w:val="28"/>
          <w:szCs w:val="28"/>
        </w:rPr>
        <w:t xml:space="preserve"> </w:t>
      </w:r>
      <w:r w:rsidR="00BD79D4" w:rsidRPr="00842DC9">
        <w:rPr>
          <w:rFonts w:ascii="Times New Roman" w:hAnsi="Times New Roman" w:cs="Times New Roman"/>
          <w:sz w:val="28"/>
          <w:szCs w:val="28"/>
        </w:rPr>
        <w:t>SARI Latifa</w:t>
      </w:r>
      <w:r w:rsidR="00842DC9">
        <w:rPr>
          <w:rFonts w:ascii="Times New Roman" w:hAnsi="Times New Roman" w:cs="Times New Roman"/>
          <w:sz w:val="28"/>
          <w:szCs w:val="28"/>
        </w:rPr>
        <w:t>,</w:t>
      </w:r>
      <w:r w:rsidR="00842DC9">
        <w:rPr>
          <w:rFonts w:ascii="Times New Roman" w:hAnsi="Times New Roman" w:cs="Times New Roman"/>
          <w:sz w:val="28"/>
          <w:szCs w:val="28"/>
        </w:rPr>
        <w:tab/>
      </w:r>
      <w:r w:rsidR="00037BE8">
        <w:rPr>
          <w:rFonts w:ascii="Times New Roman" w:hAnsi="Times New Roman" w:cs="Times New Roman"/>
          <w:sz w:val="28"/>
          <w:szCs w:val="28"/>
        </w:rPr>
        <w:t>M.C.</w:t>
      </w:r>
      <w:r w:rsidR="00842DC9">
        <w:rPr>
          <w:rFonts w:ascii="Times New Roman" w:hAnsi="Times New Roman" w:cs="Times New Roman"/>
          <w:sz w:val="28"/>
          <w:szCs w:val="28"/>
        </w:rPr>
        <w:t xml:space="preserve"> A, Université de Tlemcen</w:t>
      </w:r>
    </w:p>
    <w:p w:rsidR="004A67C7" w:rsidRPr="00842DC9" w:rsidRDefault="004A67C7" w:rsidP="00037BE8">
      <w:pPr>
        <w:tabs>
          <w:tab w:val="left" w:pos="-2694"/>
          <w:tab w:val="left" w:pos="5387"/>
        </w:tabs>
        <w:ind w:left="-142" w:right="-709"/>
        <w:rPr>
          <w:rFonts w:ascii="Times New Roman" w:hAnsi="Times New Roman" w:cs="Times New Roman"/>
          <w:sz w:val="28"/>
          <w:szCs w:val="28"/>
        </w:rPr>
      </w:pPr>
      <w:r>
        <w:rPr>
          <w:rFonts w:ascii="Times New Roman" w:hAnsi="Times New Roman" w:cs="Times New Roman"/>
          <w:b/>
          <w:bCs/>
          <w:sz w:val="28"/>
          <w:szCs w:val="28"/>
        </w:rPr>
        <w:t>Examinateur :</w:t>
      </w:r>
      <w:r w:rsidR="009265B8">
        <w:rPr>
          <w:rFonts w:ascii="Times New Roman" w:hAnsi="Times New Roman" w:cs="Times New Roman"/>
          <w:b/>
          <w:bCs/>
          <w:sz w:val="28"/>
          <w:szCs w:val="28"/>
        </w:rPr>
        <w:t xml:space="preserve"> </w:t>
      </w:r>
      <w:r w:rsidR="009265B8" w:rsidRPr="00842DC9">
        <w:rPr>
          <w:rFonts w:ascii="Times New Roman" w:hAnsi="Times New Roman" w:cs="Times New Roman"/>
          <w:sz w:val="28"/>
          <w:szCs w:val="28"/>
        </w:rPr>
        <w:t>M</w:t>
      </w:r>
      <w:r w:rsidR="00037BE8">
        <w:rPr>
          <w:rFonts w:ascii="Times New Roman" w:hAnsi="Times New Roman" w:cs="Times New Roman"/>
          <w:sz w:val="28"/>
          <w:szCs w:val="28"/>
        </w:rPr>
        <w:t>me</w:t>
      </w:r>
      <w:r w:rsidR="009265B8" w:rsidRPr="00842DC9">
        <w:rPr>
          <w:rFonts w:ascii="Times New Roman" w:hAnsi="Times New Roman" w:cs="Times New Roman"/>
          <w:sz w:val="28"/>
          <w:szCs w:val="28"/>
        </w:rPr>
        <w:t xml:space="preserve"> MEDJAHED Lila</w:t>
      </w:r>
      <w:r w:rsidR="00037BE8">
        <w:rPr>
          <w:rFonts w:ascii="Times New Roman" w:hAnsi="Times New Roman" w:cs="Times New Roman"/>
          <w:sz w:val="28"/>
          <w:szCs w:val="28"/>
        </w:rPr>
        <w:t xml:space="preserve">, </w:t>
      </w:r>
      <w:r w:rsidR="00037BE8">
        <w:rPr>
          <w:rFonts w:ascii="Times New Roman" w:hAnsi="Times New Roman" w:cs="Times New Roman"/>
          <w:sz w:val="28"/>
          <w:szCs w:val="28"/>
        </w:rPr>
        <w:tab/>
        <w:t>M.C.A, Université de Mostaganem</w:t>
      </w:r>
    </w:p>
    <w:p w:rsidR="004A67C7" w:rsidRDefault="004A67C7" w:rsidP="004A67C7">
      <w:pPr>
        <w:ind w:left="709"/>
        <w:jc w:val="both"/>
        <w:rPr>
          <w:rFonts w:ascii="Times New Roman" w:hAnsi="Times New Roman" w:cs="Times New Roman"/>
          <w:b/>
          <w:bCs/>
          <w:sz w:val="28"/>
          <w:szCs w:val="28"/>
        </w:rPr>
      </w:pPr>
    </w:p>
    <w:p w:rsidR="004A67C7" w:rsidRDefault="004A67C7" w:rsidP="004A67C7">
      <w:pPr>
        <w:ind w:left="709"/>
        <w:jc w:val="both"/>
        <w:rPr>
          <w:rFonts w:ascii="Times New Roman" w:hAnsi="Times New Roman" w:cs="Times New Roman"/>
          <w:b/>
          <w:bCs/>
          <w:sz w:val="28"/>
          <w:szCs w:val="28"/>
        </w:rPr>
      </w:pPr>
    </w:p>
    <w:p w:rsidR="004A67C7" w:rsidRDefault="004A67C7" w:rsidP="004A67C7">
      <w:pPr>
        <w:ind w:left="709"/>
        <w:jc w:val="both"/>
        <w:rPr>
          <w:rFonts w:ascii="Times New Roman" w:hAnsi="Times New Roman" w:cs="Times New Roman"/>
          <w:b/>
          <w:bCs/>
          <w:sz w:val="28"/>
          <w:szCs w:val="28"/>
        </w:rPr>
      </w:pPr>
    </w:p>
    <w:p w:rsidR="00307426" w:rsidRDefault="00A475E9" w:rsidP="00580576">
      <w:pPr>
        <w:jc w:val="center"/>
        <w:rPr>
          <w:rFonts w:ascii="Times New Roman" w:hAnsi="Times New Roman" w:cs="Times New Roman"/>
          <w:sz w:val="28"/>
          <w:szCs w:val="28"/>
        </w:rPr>
      </w:pPr>
      <w:r>
        <w:rPr>
          <w:rFonts w:ascii="Times New Roman" w:hAnsi="Times New Roman" w:cs="Times New Roman"/>
          <w:sz w:val="28"/>
          <w:szCs w:val="28"/>
        </w:rPr>
        <w:t xml:space="preserve">Année universitaire : 2010 </w:t>
      </w:r>
      <w:r w:rsidR="00307426">
        <w:rPr>
          <w:rFonts w:ascii="Times New Roman" w:hAnsi="Times New Roman" w:cs="Times New Roman"/>
          <w:sz w:val="28"/>
          <w:szCs w:val="28"/>
        </w:rPr>
        <w:t>–</w:t>
      </w:r>
      <w:r>
        <w:rPr>
          <w:rFonts w:ascii="Times New Roman" w:hAnsi="Times New Roman" w:cs="Times New Roman"/>
          <w:sz w:val="28"/>
          <w:szCs w:val="28"/>
        </w:rPr>
        <w:t xml:space="preserve"> 2011</w:t>
      </w:r>
    </w:p>
    <w:p w:rsidR="00FB7083" w:rsidRDefault="00FB7083">
      <w:pPr>
        <w:rPr>
          <w:rFonts w:ascii="Times New Roman" w:hAnsi="Times New Roman" w:cs="Times New Roman"/>
          <w:sz w:val="28"/>
          <w:szCs w:val="28"/>
        </w:rPr>
        <w:sectPr w:rsidR="00FB7083" w:rsidSect="00E473BC">
          <w:footerReference w:type="default" r:id="rId7"/>
          <w:pgSz w:w="11906" w:h="16838" w:code="9"/>
          <w:pgMar w:top="567" w:right="1418" w:bottom="1418" w:left="1418" w:header="709" w:footer="709" w:gutter="0"/>
          <w:cols w:space="708"/>
          <w:titlePg/>
          <w:docGrid w:linePitch="360"/>
        </w:sectPr>
      </w:pPr>
    </w:p>
    <w:p w:rsidR="00FB7083" w:rsidRDefault="00307426">
      <w:pPr>
        <w:rPr>
          <w:rFonts w:ascii="Times New Roman" w:hAnsi="Times New Roman" w:cs="Times New Roman"/>
          <w:sz w:val="28"/>
          <w:szCs w:val="28"/>
        </w:rPr>
        <w:sectPr w:rsidR="00FB7083" w:rsidSect="00E473BC">
          <w:pgSz w:w="11906" w:h="16838" w:code="9"/>
          <w:pgMar w:top="567" w:right="1418" w:bottom="1418" w:left="1418" w:header="709" w:footer="709" w:gutter="0"/>
          <w:cols w:space="708"/>
          <w:titlePg/>
          <w:docGrid w:linePitch="360"/>
        </w:sectPr>
      </w:pPr>
      <w:r w:rsidRPr="00307426">
        <w:rPr>
          <w:rFonts w:ascii="Times New Roman" w:hAnsi="Times New Roman" w:cs="Times New Roman"/>
          <w:sz w:val="28"/>
          <w:szCs w:val="28"/>
        </w:rPr>
        <w:object w:dxaOrig="9072" w:dyaOrig="14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4pt;height:714pt" o:ole="">
            <v:imagedata r:id="rId8" o:title=""/>
          </v:shape>
          <o:OLEObject Type="Embed" ProgID="Word.Document.12" ShapeID="_x0000_i1025" DrawAspect="Content" ObjectID="_1385140904" r:id="rId9"/>
        </w:object>
      </w:r>
    </w:p>
    <w:p w:rsidR="00307426" w:rsidRPr="00DD08CD" w:rsidRDefault="00307426" w:rsidP="00307426">
      <w:pPr>
        <w:spacing w:line="480" w:lineRule="auto"/>
        <w:jc w:val="center"/>
        <w:rPr>
          <w:rFonts w:ascii="Times New Roman" w:eastAsia="Times New Roman" w:hAnsi="Times New Roman" w:cs="Times New Roman"/>
          <w:b/>
          <w:bCs/>
          <w:sz w:val="28"/>
          <w:szCs w:val="28"/>
          <w:lang w:val="en-US"/>
        </w:rPr>
      </w:pPr>
      <w:r w:rsidRPr="00DD08CD">
        <w:rPr>
          <w:rFonts w:ascii="Times New Roman" w:eastAsia="Times New Roman" w:hAnsi="Times New Roman" w:cs="Times New Roman"/>
          <w:b/>
          <w:bCs/>
          <w:sz w:val="28"/>
          <w:szCs w:val="28"/>
          <w:lang w:val="en-US"/>
        </w:rPr>
        <w:lastRenderedPageBreak/>
        <w:t>Summary</w:t>
      </w:r>
    </w:p>
    <w:p w:rsidR="00307426" w:rsidRPr="00DD08CD" w:rsidRDefault="00307426" w:rsidP="00307426">
      <w:pPr>
        <w:spacing w:line="480" w:lineRule="auto"/>
        <w:jc w:val="both"/>
        <w:rPr>
          <w:rFonts w:ascii="Times New Roman" w:eastAsia="Times New Roman" w:hAnsi="Times New Roman" w:cs="Times New Roman"/>
          <w:sz w:val="24"/>
          <w:szCs w:val="24"/>
          <w:lang w:val="en-US"/>
        </w:rPr>
      </w:pPr>
    </w:p>
    <w:p w:rsidR="00307426" w:rsidRPr="00DD08CD" w:rsidRDefault="00307426" w:rsidP="00307426">
      <w:pPr>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hint="cs"/>
          <w:sz w:val="24"/>
          <w:szCs w:val="24"/>
          <w:rtl/>
          <w:lang w:val="en-US"/>
        </w:rPr>
        <w:t xml:space="preserve">   </w:t>
      </w:r>
      <w:r w:rsidRPr="00A1542D">
        <w:rPr>
          <w:rFonts w:ascii="Times New Roman" w:eastAsia="Times New Roman" w:hAnsi="Times New Roman" w:cs="Times New Roman"/>
          <w:sz w:val="24"/>
          <w:szCs w:val="24"/>
          <w:lang w:val="en-US"/>
        </w:rPr>
        <w:t xml:space="preserve">The work of the greatest French novelist Jean-Marie Gustave Le Clézio, </w:t>
      </w:r>
      <w:r w:rsidRPr="00A1542D">
        <w:rPr>
          <w:rFonts w:ascii="Times New Roman" w:eastAsia="Times New Roman" w:hAnsi="Times New Roman" w:cs="Times New Roman"/>
          <w:i/>
          <w:iCs/>
          <w:sz w:val="24"/>
          <w:szCs w:val="24"/>
          <w:lang w:val="en-US"/>
        </w:rPr>
        <w:t>Ritournelle de la faim</w:t>
      </w:r>
      <w:r w:rsidRPr="00A1542D">
        <w:rPr>
          <w:rFonts w:ascii="Times New Roman" w:eastAsia="Times New Roman" w:hAnsi="Times New Roman" w:cs="Times New Roman"/>
          <w:sz w:val="24"/>
          <w:szCs w:val="24"/>
          <w:lang w:val="en-US"/>
        </w:rPr>
        <w:t xml:space="preserve">, tells the French daily life during the Second World War. </w:t>
      </w:r>
      <w:r w:rsidRPr="00DD08CD">
        <w:rPr>
          <w:rFonts w:ascii="Times New Roman" w:eastAsia="Times New Roman" w:hAnsi="Times New Roman" w:cs="Times New Roman"/>
          <w:sz w:val="24"/>
          <w:szCs w:val="24"/>
          <w:lang w:val="en-US"/>
        </w:rPr>
        <w:t xml:space="preserve">In fact, the historical facts are entirely consistent with the reality set. However, he did not hesitate to switch Historical story and the war ones in order to tell us the reasons and the consequences of the disorder. It makes the place of preservation and the filing of the experience of the earlier generations. </w:t>
      </w:r>
    </w:p>
    <w:p w:rsidR="00307426" w:rsidRPr="00A1542D" w:rsidRDefault="00307426" w:rsidP="00307426">
      <w:pPr>
        <w:spacing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hint="cs"/>
          <w:sz w:val="24"/>
          <w:szCs w:val="24"/>
          <w:rtl/>
          <w:lang w:val="en-US"/>
        </w:rPr>
        <w:t xml:space="preserve">   </w:t>
      </w:r>
      <w:r w:rsidRPr="00DD08CD">
        <w:rPr>
          <w:rFonts w:ascii="Times New Roman" w:eastAsia="Times New Roman" w:hAnsi="Times New Roman" w:cs="Times New Roman"/>
          <w:sz w:val="24"/>
          <w:szCs w:val="24"/>
          <w:lang w:val="en-US"/>
        </w:rPr>
        <w:t xml:space="preserve">Our study focused to decompose in the account for better understanding the style of the author and his include ideology. Then, to confront the events mentioned with those of the real. </w:t>
      </w:r>
      <w:r w:rsidRPr="00A707F9">
        <w:rPr>
          <w:rFonts w:ascii="Times New Roman" w:eastAsia="Times New Roman" w:hAnsi="Times New Roman" w:cs="Times New Roman"/>
          <w:sz w:val="24"/>
          <w:szCs w:val="24"/>
        </w:rPr>
        <w:t>This allowed us to emphasize the kind of novel.</w:t>
      </w:r>
    </w:p>
    <w:p w:rsidR="00307426" w:rsidRDefault="00307426" w:rsidP="00580576">
      <w:pPr>
        <w:jc w:val="center"/>
        <w:rPr>
          <w:rFonts w:ascii="Times New Roman" w:hAnsi="Times New Roman" w:cs="Times New Roman"/>
          <w:sz w:val="24"/>
          <w:szCs w:val="24"/>
        </w:rPr>
      </w:pPr>
    </w:p>
    <w:p w:rsidR="00307426" w:rsidRDefault="00307426">
      <w:pPr>
        <w:rPr>
          <w:rFonts w:ascii="Times New Roman" w:hAnsi="Times New Roman" w:cs="Times New Roman"/>
          <w:sz w:val="24"/>
          <w:szCs w:val="24"/>
        </w:rPr>
      </w:pPr>
      <w:r>
        <w:rPr>
          <w:rFonts w:ascii="Times New Roman" w:hAnsi="Times New Roman" w:cs="Times New Roman"/>
          <w:sz w:val="24"/>
          <w:szCs w:val="24"/>
        </w:rPr>
        <w:br w:type="page"/>
      </w:r>
    </w:p>
    <w:p w:rsidR="00307426" w:rsidRDefault="00307426" w:rsidP="00307426">
      <w:pPr>
        <w:jc w:val="center"/>
        <w:rPr>
          <w:rFonts w:ascii="Times New Roman" w:hAnsi="Times New Roman" w:cs="Times New Roman"/>
          <w:b/>
          <w:bCs/>
          <w:sz w:val="32"/>
          <w:szCs w:val="32"/>
          <w:lang w:val="en-US" w:bidi="ar-DZ"/>
        </w:rPr>
      </w:pPr>
      <w:r w:rsidRPr="00DD08CD">
        <w:rPr>
          <w:rFonts w:ascii="Times New Roman" w:hAnsi="Times New Roman" w:cs="Times New Roman" w:hint="cs"/>
          <w:b/>
          <w:bCs/>
          <w:sz w:val="32"/>
          <w:szCs w:val="32"/>
          <w:rtl/>
          <w:lang w:val="en-US" w:bidi="ar-DZ"/>
        </w:rPr>
        <w:lastRenderedPageBreak/>
        <w:t>تلخيص</w:t>
      </w:r>
    </w:p>
    <w:p w:rsidR="0001020C" w:rsidRPr="00DD08CD" w:rsidRDefault="0001020C" w:rsidP="00307426">
      <w:pPr>
        <w:jc w:val="center"/>
        <w:rPr>
          <w:rFonts w:ascii="Times New Roman" w:hAnsi="Times New Roman" w:cs="Times New Roman"/>
          <w:b/>
          <w:bCs/>
          <w:sz w:val="32"/>
          <w:szCs w:val="32"/>
          <w:rtl/>
          <w:lang w:val="en-US" w:bidi="ar-DZ"/>
        </w:rPr>
      </w:pPr>
    </w:p>
    <w:p w:rsidR="00307426" w:rsidRDefault="00307426" w:rsidP="00307426">
      <w:pPr>
        <w:jc w:val="right"/>
        <w:rPr>
          <w:sz w:val="36"/>
          <w:szCs w:val="36"/>
          <w:rtl/>
          <w:lang w:bidi="ar-DZ"/>
        </w:rPr>
      </w:pPr>
    </w:p>
    <w:p w:rsidR="00307426" w:rsidRDefault="00307426" w:rsidP="00307426">
      <w:pPr>
        <w:jc w:val="right"/>
        <w:rPr>
          <w:sz w:val="36"/>
          <w:szCs w:val="36"/>
          <w:rtl/>
          <w:lang w:bidi="ar-DZ"/>
        </w:rPr>
      </w:pPr>
      <w:r>
        <w:rPr>
          <w:rFonts w:hint="cs"/>
          <w:sz w:val="36"/>
          <w:szCs w:val="36"/>
          <w:rtl/>
          <w:lang w:bidi="ar-DZ"/>
        </w:rPr>
        <w:t xml:space="preserve">تناولت جائزة نوبال 2008, للورمانسي الكبير جون ماري غوستاف لو كليزيو, جانب من عواقب الحرب العالمية الثانية على حياة المدنيين. هؤلاء الدين تلخصت يومياتهم في  جوع, حرمان و الاضطهاد.      </w:t>
      </w:r>
    </w:p>
    <w:p w:rsidR="00307426" w:rsidRDefault="00307426" w:rsidP="00307426">
      <w:pPr>
        <w:jc w:val="right"/>
        <w:rPr>
          <w:sz w:val="36"/>
          <w:szCs w:val="36"/>
          <w:rtl/>
          <w:lang w:bidi="ar-DZ"/>
        </w:rPr>
      </w:pPr>
      <w:r>
        <w:rPr>
          <w:rFonts w:hint="cs"/>
          <w:sz w:val="36"/>
          <w:szCs w:val="36"/>
          <w:rtl/>
          <w:lang w:bidi="ar-DZ"/>
        </w:rPr>
        <w:t>فالكاتب كونه شاهد حي لهده الفترة,تفنن بأسلوب أدبي فريد مزج فيه بين روايات أمه الخاصة و قوانين حكومة فيشي الصادرة في الجريدة الرسمية بتاريخ 2و17 جوان 1941 , التي تضمنت اضطهاد اليهود و الغرباء.</w:t>
      </w:r>
    </w:p>
    <w:p w:rsidR="00307426" w:rsidRDefault="00307426" w:rsidP="00307426">
      <w:pPr>
        <w:jc w:val="right"/>
        <w:rPr>
          <w:sz w:val="36"/>
          <w:szCs w:val="36"/>
          <w:lang w:bidi="ar-DZ"/>
        </w:rPr>
      </w:pPr>
      <w:r>
        <w:rPr>
          <w:rFonts w:hint="cs"/>
          <w:sz w:val="36"/>
          <w:szCs w:val="36"/>
          <w:rtl/>
          <w:lang w:bidi="ar-DZ"/>
        </w:rPr>
        <w:t>دراستنا تناولت في أول الأمر البنية الأدبية  لأسلوب الكاتب من أجل الكشف عن نواياه الخاصة. ومن جانب آخر قمنا بمقارنة صحة الأحداث المد كورة في الكتاب مع الواقع الحقيقي المشار اليه لكي نستطيع أن ندرج القصة تحت طابع تاريخي.</w:t>
      </w:r>
    </w:p>
    <w:p w:rsidR="0001020C" w:rsidRDefault="0001020C" w:rsidP="00307426">
      <w:pPr>
        <w:jc w:val="right"/>
        <w:rPr>
          <w:sz w:val="36"/>
          <w:szCs w:val="36"/>
          <w:rtl/>
          <w:lang w:bidi="ar-DZ"/>
        </w:rPr>
      </w:pPr>
    </w:p>
    <w:p w:rsidR="00FB7083" w:rsidRDefault="00FB7083" w:rsidP="00580576">
      <w:pPr>
        <w:jc w:val="center"/>
        <w:rPr>
          <w:rFonts w:ascii="Times New Roman" w:hAnsi="Times New Roman" w:cs="Times New Roman"/>
          <w:sz w:val="24"/>
          <w:szCs w:val="24"/>
          <w:lang w:bidi="ar-DZ"/>
        </w:rPr>
        <w:sectPr w:rsidR="00FB7083" w:rsidSect="0001020C">
          <w:pgSz w:w="11906" w:h="16838" w:code="9"/>
          <w:pgMar w:top="567" w:right="1418" w:bottom="1418" w:left="1418" w:header="709" w:footer="709" w:gutter="0"/>
          <w:cols w:space="708"/>
          <w:titlePg/>
          <w:docGrid w:linePitch="360"/>
        </w:sectPr>
      </w:pPr>
    </w:p>
    <w:p w:rsidR="00307426" w:rsidRDefault="00307426" w:rsidP="00580576">
      <w:pPr>
        <w:jc w:val="center"/>
        <w:rPr>
          <w:rFonts w:ascii="Times New Roman" w:hAnsi="Times New Roman" w:cs="Times New Roman"/>
          <w:sz w:val="24"/>
          <w:szCs w:val="24"/>
          <w:lang w:bidi="ar-DZ"/>
        </w:rPr>
      </w:pPr>
    </w:p>
    <w:p w:rsidR="00307426" w:rsidRDefault="00307426" w:rsidP="00580576">
      <w:pPr>
        <w:jc w:val="center"/>
        <w:rPr>
          <w:rFonts w:ascii="Times New Roman" w:hAnsi="Times New Roman" w:cs="Times New Roman"/>
          <w:sz w:val="24"/>
          <w:szCs w:val="24"/>
          <w:lang w:bidi="ar-DZ"/>
        </w:rPr>
      </w:pPr>
      <w:r w:rsidRPr="00307426">
        <w:rPr>
          <w:rFonts w:ascii="Times New Roman" w:hAnsi="Times New Roman" w:cs="Times New Roman"/>
          <w:sz w:val="24"/>
          <w:szCs w:val="24"/>
          <w:lang w:bidi="ar-DZ"/>
        </w:rPr>
        <w:object w:dxaOrig="9072" w:dyaOrig="13277">
          <v:shape id="_x0000_i1026" type="#_x0000_t75" style="width:454pt;height:664pt" o:ole="">
            <v:imagedata r:id="rId10" o:title=""/>
          </v:shape>
          <o:OLEObject Type="Embed" ProgID="Word.Document.12" ShapeID="_x0000_i1026" DrawAspect="Content" ObjectID="_1385140905" r:id="rId11"/>
        </w:object>
      </w:r>
    </w:p>
    <w:p w:rsidR="00307426" w:rsidRDefault="00307426">
      <w:pPr>
        <w:rPr>
          <w:rFonts w:ascii="Times New Roman" w:hAnsi="Times New Roman" w:cs="Times New Roman"/>
          <w:sz w:val="24"/>
          <w:szCs w:val="24"/>
          <w:lang w:bidi="ar-DZ"/>
        </w:rPr>
      </w:pPr>
      <w:r>
        <w:rPr>
          <w:rFonts w:ascii="Times New Roman" w:hAnsi="Times New Roman" w:cs="Times New Roman"/>
          <w:sz w:val="24"/>
          <w:szCs w:val="24"/>
          <w:lang w:bidi="ar-DZ"/>
        </w:rPr>
        <w:br w:type="page"/>
      </w:r>
    </w:p>
    <w:p w:rsidR="00E473BC" w:rsidRDefault="00E473BC" w:rsidP="00580576">
      <w:pPr>
        <w:jc w:val="center"/>
        <w:rPr>
          <w:rFonts w:ascii="Times New Roman" w:hAnsi="Times New Roman" w:cs="Times New Roman"/>
          <w:sz w:val="24"/>
          <w:szCs w:val="24"/>
          <w:lang w:bidi="ar-DZ"/>
        </w:rPr>
        <w:sectPr w:rsidR="00E473BC" w:rsidSect="00E473BC">
          <w:pgSz w:w="11906" w:h="16838" w:code="9"/>
          <w:pgMar w:top="567" w:right="1418" w:bottom="1418" w:left="1418" w:header="709" w:footer="709" w:gutter="0"/>
          <w:cols w:space="708"/>
          <w:titlePg/>
          <w:docGrid w:linePitch="360"/>
        </w:sectPr>
      </w:pPr>
    </w:p>
    <w:p w:rsidR="00E473BC" w:rsidRDefault="00307426" w:rsidP="00580576">
      <w:pPr>
        <w:jc w:val="center"/>
        <w:rPr>
          <w:rFonts w:ascii="Times New Roman" w:hAnsi="Times New Roman" w:cs="Times New Roman"/>
          <w:sz w:val="24"/>
          <w:szCs w:val="24"/>
          <w:lang w:bidi="ar-DZ"/>
        </w:rPr>
        <w:sectPr w:rsidR="00E473BC" w:rsidSect="00E473BC">
          <w:pgSz w:w="11906" w:h="16838" w:code="9"/>
          <w:pgMar w:top="567" w:right="1418" w:bottom="1418" w:left="1418" w:header="709" w:footer="709" w:gutter="0"/>
          <w:cols w:space="708"/>
          <w:titlePg/>
          <w:docGrid w:linePitch="360"/>
        </w:sectPr>
      </w:pPr>
      <w:r w:rsidRPr="00307426">
        <w:rPr>
          <w:rFonts w:ascii="Times New Roman" w:hAnsi="Times New Roman" w:cs="Times New Roman"/>
          <w:sz w:val="24"/>
          <w:szCs w:val="24"/>
          <w:lang w:bidi="ar-DZ"/>
        </w:rPr>
        <w:object w:dxaOrig="9072" w:dyaOrig="14004">
          <v:shape id="_x0000_i1027" type="#_x0000_t75" style="width:454pt;height:700pt" o:ole="">
            <v:imagedata r:id="rId12" o:title=""/>
          </v:shape>
          <o:OLEObject Type="Embed" ProgID="Word.Document.8" ShapeID="_x0000_i1027" DrawAspect="Content" ObjectID="_1385140906" r:id="rId13">
            <o:FieldCodes>\s</o:FieldCodes>
          </o:OLEObject>
        </w:object>
      </w:r>
    </w:p>
    <w:p w:rsidR="00307426" w:rsidRDefault="00307426" w:rsidP="00580576">
      <w:pPr>
        <w:jc w:val="center"/>
        <w:rPr>
          <w:rFonts w:ascii="Times New Roman" w:hAnsi="Times New Roman" w:cs="Times New Roman"/>
          <w:sz w:val="24"/>
          <w:szCs w:val="24"/>
          <w:lang w:bidi="ar-DZ"/>
        </w:rPr>
      </w:pPr>
    </w:p>
    <w:p w:rsidR="00307426" w:rsidRPr="00307426" w:rsidRDefault="00307426" w:rsidP="00307426">
      <w:pPr>
        <w:spacing w:after="0" w:line="240" w:lineRule="auto"/>
        <w:jc w:val="center"/>
        <w:rPr>
          <w:rFonts w:ascii="Times New Roman" w:eastAsia="Times New Roman" w:hAnsi="Times New Roman" w:cs="Times New Roman"/>
          <w:b/>
          <w:bCs/>
          <w:sz w:val="36"/>
          <w:szCs w:val="36"/>
        </w:rPr>
      </w:pPr>
      <w:r w:rsidRPr="00307426">
        <w:rPr>
          <w:rFonts w:ascii="Times New Roman" w:eastAsia="Times New Roman" w:hAnsi="Times New Roman" w:cs="Times New Roman"/>
          <w:b/>
          <w:bCs/>
          <w:sz w:val="36"/>
          <w:szCs w:val="36"/>
        </w:rPr>
        <w:t>Table de matières</w:t>
      </w:r>
    </w:p>
    <w:p w:rsidR="00307426" w:rsidRPr="00307426" w:rsidRDefault="00307426" w:rsidP="00307426">
      <w:pPr>
        <w:spacing w:after="0" w:line="240" w:lineRule="auto"/>
        <w:rPr>
          <w:rFonts w:ascii="Times New Roman" w:eastAsia="Times New Roman" w:hAnsi="Times New Roman" w:cs="Times New Roman"/>
          <w:b/>
          <w:bCs/>
          <w:sz w:val="32"/>
          <w:szCs w:val="32"/>
          <w:u w:val="single"/>
        </w:rPr>
      </w:pPr>
    </w:p>
    <w:p w:rsidR="00307426" w:rsidRPr="00307426" w:rsidRDefault="00307426" w:rsidP="00307426">
      <w:pPr>
        <w:spacing w:after="0" w:line="240" w:lineRule="auto"/>
        <w:rPr>
          <w:rFonts w:ascii="Times New Roman" w:eastAsia="Times New Roman" w:hAnsi="Times New Roman" w:cs="Times New Roman"/>
          <w:b/>
          <w:bCs/>
          <w:sz w:val="32"/>
          <w:szCs w:val="32"/>
          <w:u w:val="single"/>
        </w:rPr>
      </w:pPr>
    </w:p>
    <w:p w:rsidR="00307426" w:rsidRPr="00307426" w:rsidRDefault="00307426" w:rsidP="00307426">
      <w:pPr>
        <w:spacing w:after="0" w:line="240" w:lineRule="auto"/>
        <w:jc w:val="both"/>
        <w:rPr>
          <w:rFonts w:ascii="Times New Roman" w:eastAsia="Times New Roman" w:hAnsi="Times New Roman" w:cs="Times New Roman"/>
          <w:b/>
          <w:bCs/>
          <w:sz w:val="32"/>
          <w:szCs w:val="32"/>
        </w:rPr>
      </w:pPr>
      <w:r w:rsidRPr="00307426">
        <w:rPr>
          <w:rFonts w:ascii="Times New Roman" w:eastAsia="Times New Roman" w:hAnsi="Times New Roman" w:cs="Times New Roman"/>
          <w:b/>
          <w:bCs/>
          <w:sz w:val="32"/>
          <w:szCs w:val="32"/>
        </w:rPr>
        <w:t xml:space="preserve">                                               </w:t>
      </w:r>
    </w:p>
    <w:p w:rsidR="00307426" w:rsidRPr="00307426" w:rsidRDefault="00307426" w:rsidP="00307426">
      <w:pPr>
        <w:spacing w:after="0" w:line="240" w:lineRule="auto"/>
        <w:jc w:val="both"/>
        <w:rPr>
          <w:rFonts w:ascii="Times New Roman" w:eastAsia="Times New Roman" w:hAnsi="Times New Roman" w:cs="Times New Roman"/>
          <w:b/>
          <w:bCs/>
          <w:sz w:val="32"/>
          <w:szCs w:val="32"/>
        </w:rPr>
      </w:pPr>
    </w:p>
    <w:p w:rsidR="00307426" w:rsidRPr="00307426" w:rsidRDefault="00307426" w:rsidP="00307426">
      <w:pPr>
        <w:spacing w:after="0" w:line="240" w:lineRule="auto"/>
        <w:jc w:val="both"/>
        <w:rPr>
          <w:rFonts w:ascii="Times New Roman" w:eastAsia="Times New Roman" w:hAnsi="Times New Roman" w:cs="Times New Roman"/>
          <w:b/>
          <w:bCs/>
          <w:sz w:val="32"/>
          <w:szCs w:val="32"/>
        </w:rPr>
      </w:pPr>
    </w:p>
    <w:p w:rsidR="00307426" w:rsidRPr="00307426" w:rsidRDefault="00307426" w:rsidP="008817B5">
      <w:pPr>
        <w:spacing w:after="0" w:line="240" w:lineRule="auto"/>
        <w:jc w:val="both"/>
        <w:rPr>
          <w:rFonts w:ascii="Times New Roman" w:eastAsia="Times New Roman" w:hAnsi="Times New Roman" w:cs="Times New Roman"/>
          <w:sz w:val="28"/>
          <w:szCs w:val="28"/>
        </w:rPr>
      </w:pPr>
      <w:r w:rsidRPr="00307426">
        <w:rPr>
          <w:rFonts w:ascii="Times New Roman" w:eastAsia="Times New Roman" w:hAnsi="Times New Roman" w:cs="Times New Roman"/>
          <w:b/>
          <w:bCs/>
          <w:sz w:val="32"/>
          <w:szCs w:val="32"/>
        </w:rPr>
        <w:t>INTRODUCTION</w:t>
      </w:r>
      <w:r w:rsidRPr="00307426">
        <w:rPr>
          <w:rFonts w:ascii="Times New Roman" w:eastAsia="Times New Roman" w:hAnsi="Times New Roman" w:cs="Times New Roman"/>
          <w:sz w:val="32"/>
          <w:szCs w:val="32"/>
        </w:rPr>
        <w:t>………………………………………………</w:t>
      </w:r>
      <w:r w:rsidRPr="00307426">
        <w:rPr>
          <w:rFonts w:ascii="Times New Roman" w:eastAsia="Times New Roman" w:hAnsi="Times New Roman" w:cs="Times New Roman"/>
          <w:sz w:val="28"/>
          <w:szCs w:val="28"/>
        </w:rPr>
        <w:t>1</w:t>
      </w:r>
    </w:p>
    <w:p w:rsidR="00307426" w:rsidRPr="00307426" w:rsidRDefault="00307426" w:rsidP="00307426">
      <w:pPr>
        <w:spacing w:after="0" w:line="240" w:lineRule="auto"/>
        <w:jc w:val="both"/>
        <w:rPr>
          <w:rFonts w:ascii="Times New Roman" w:eastAsia="Times New Roman" w:hAnsi="Times New Roman" w:cs="Times New Roman"/>
          <w:b/>
          <w:bCs/>
          <w:sz w:val="32"/>
          <w:szCs w:val="32"/>
        </w:rPr>
      </w:pPr>
    </w:p>
    <w:p w:rsidR="00307426" w:rsidRPr="00307426" w:rsidRDefault="00307426" w:rsidP="00307426">
      <w:pPr>
        <w:spacing w:after="0" w:line="240" w:lineRule="auto"/>
        <w:jc w:val="both"/>
        <w:rPr>
          <w:rFonts w:ascii="Times New Roman" w:eastAsia="Times New Roman" w:hAnsi="Times New Roman" w:cs="Times New Roman"/>
          <w:b/>
          <w:bCs/>
          <w:sz w:val="32"/>
          <w:szCs w:val="32"/>
        </w:rPr>
      </w:pPr>
      <w:r w:rsidRPr="00307426">
        <w:rPr>
          <w:rFonts w:ascii="Times New Roman" w:eastAsia="Times New Roman" w:hAnsi="Times New Roman" w:cs="Times New Roman"/>
          <w:b/>
          <w:bCs/>
          <w:sz w:val="32"/>
          <w:szCs w:val="32"/>
        </w:rPr>
        <w:t xml:space="preserve">CHAPITRE I : Analyse formelle du roman  </w:t>
      </w:r>
    </w:p>
    <w:p w:rsidR="00307426" w:rsidRPr="00307426" w:rsidRDefault="00307426" w:rsidP="00307426">
      <w:pPr>
        <w:spacing w:after="0" w:line="240" w:lineRule="auto"/>
        <w:jc w:val="center"/>
        <w:rPr>
          <w:rFonts w:ascii="Times New Roman" w:eastAsia="Times New Roman" w:hAnsi="Times New Roman" w:cs="Times New Roman"/>
          <w:b/>
          <w:bCs/>
          <w:sz w:val="32"/>
          <w:szCs w:val="32"/>
        </w:rPr>
      </w:pPr>
    </w:p>
    <w:p w:rsidR="00307426" w:rsidRPr="00307426" w:rsidRDefault="00307426" w:rsidP="00307426">
      <w:pPr>
        <w:spacing w:after="0" w:line="240" w:lineRule="auto"/>
        <w:rPr>
          <w:rFonts w:ascii="Times New Roman" w:eastAsia="Times New Roman" w:hAnsi="Times New Roman" w:cs="Times New Roman"/>
          <w:b/>
          <w:sz w:val="32"/>
          <w:szCs w:val="32"/>
        </w:rPr>
      </w:pPr>
      <w:r w:rsidRPr="00307426">
        <w:rPr>
          <w:rFonts w:ascii="Times New Roman" w:eastAsia="Times New Roman" w:hAnsi="Times New Roman" w:cs="Times New Roman"/>
          <w:b/>
          <w:sz w:val="32"/>
          <w:szCs w:val="32"/>
        </w:rPr>
        <w:t xml:space="preserve">I.1 le paratexte </w:t>
      </w:r>
    </w:p>
    <w:p w:rsidR="00307426" w:rsidRPr="00307426" w:rsidRDefault="00307426" w:rsidP="00307426">
      <w:pPr>
        <w:spacing w:after="0"/>
        <w:jc w:val="both"/>
        <w:rPr>
          <w:rFonts w:ascii="Times New Roman" w:eastAsia="Times New Roman" w:hAnsi="Times New Roman" w:cs="Times New Roman"/>
          <w:b/>
          <w:sz w:val="28"/>
          <w:szCs w:val="28"/>
        </w:rPr>
      </w:pP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I.1.1 la titrologie…………………………………………………………….5</w:t>
      </w: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I.1.2 les sous- titre ………………………………………………………….</w:t>
      </w:r>
      <w:r w:rsidR="00F25A97">
        <w:rPr>
          <w:rFonts w:ascii="Times New Roman" w:eastAsia="Times New Roman" w:hAnsi="Times New Roman" w:cs="Times New Roman"/>
          <w:sz w:val="28"/>
          <w:szCs w:val="28"/>
        </w:rPr>
        <w:t xml:space="preserve"> </w:t>
      </w:r>
      <w:r w:rsidRPr="00307426">
        <w:rPr>
          <w:rFonts w:ascii="Times New Roman" w:eastAsia="Times New Roman" w:hAnsi="Times New Roman" w:cs="Times New Roman"/>
          <w:sz w:val="28"/>
          <w:szCs w:val="28"/>
        </w:rPr>
        <w:t>6</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I.1.3 la quatrième de couverture…………………………………………….8</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I.1.4 Epi</w:t>
      </w:r>
      <w:r w:rsidR="00F25A97">
        <w:rPr>
          <w:rFonts w:ascii="Times New Roman" w:eastAsia="Times New Roman" w:hAnsi="Times New Roman" w:cs="Times New Roman"/>
          <w:sz w:val="28"/>
          <w:szCs w:val="28"/>
        </w:rPr>
        <w:t xml:space="preserve">graphe…………………………………………………………….. </w:t>
      </w:r>
      <w:r w:rsidRPr="00307426">
        <w:rPr>
          <w:rFonts w:ascii="Times New Roman" w:eastAsia="Times New Roman" w:hAnsi="Times New Roman" w:cs="Times New Roman"/>
          <w:sz w:val="28"/>
          <w:szCs w:val="28"/>
        </w:rPr>
        <w:t>9</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I.1.5 Edition ……………………………………………………………….10</w:t>
      </w:r>
    </w:p>
    <w:p w:rsidR="00307426" w:rsidRPr="00307426" w:rsidRDefault="00307426" w:rsidP="00307426">
      <w:pPr>
        <w:spacing w:after="0"/>
        <w:ind w:left="36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w:t>
      </w:r>
    </w:p>
    <w:p w:rsidR="00307426" w:rsidRPr="00307426" w:rsidRDefault="00307426" w:rsidP="00307426">
      <w:pPr>
        <w:spacing w:after="0"/>
        <w:jc w:val="both"/>
        <w:rPr>
          <w:rFonts w:ascii="Times New Roman" w:eastAsia="Times New Roman" w:hAnsi="Times New Roman" w:cs="Times New Roman"/>
          <w:b/>
          <w:sz w:val="28"/>
          <w:szCs w:val="28"/>
        </w:rPr>
      </w:pPr>
      <w:r w:rsidRPr="00307426">
        <w:rPr>
          <w:rFonts w:ascii="Times New Roman" w:eastAsia="Times New Roman" w:hAnsi="Times New Roman" w:cs="Times New Roman"/>
          <w:b/>
          <w:sz w:val="32"/>
          <w:szCs w:val="32"/>
        </w:rPr>
        <w:t>I.2</w:t>
      </w:r>
      <w:r w:rsidRPr="00307426">
        <w:rPr>
          <w:rFonts w:ascii="Times New Roman" w:eastAsia="Times New Roman" w:hAnsi="Times New Roman" w:cs="Times New Roman"/>
          <w:b/>
          <w:sz w:val="28"/>
          <w:szCs w:val="28"/>
        </w:rPr>
        <w:t xml:space="preserve"> </w:t>
      </w:r>
      <w:r w:rsidRPr="00307426">
        <w:rPr>
          <w:rFonts w:ascii="Times New Roman" w:eastAsia="Times New Roman" w:hAnsi="Times New Roman" w:cs="Times New Roman"/>
          <w:b/>
          <w:sz w:val="32"/>
          <w:szCs w:val="32"/>
        </w:rPr>
        <w:t>la microstructure du roman</w:t>
      </w:r>
      <w:r w:rsidRPr="00307426">
        <w:rPr>
          <w:rFonts w:ascii="Times New Roman" w:eastAsia="Times New Roman" w:hAnsi="Times New Roman" w:cs="Times New Roman"/>
          <w:b/>
          <w:sz w:val="28"/>
          <w:szCs w:val="28"/>
        </w:rPr>
        <w:t> </w:t>
      </w:r>
    </w:p>
    <w:p w:rsidR="00307426" w:rsidRPr="00307426" w:rsidRDefault="00307426" w:rsidP="00307426">
      <w:pPr>
        <w:spacing w:after="0"/>
        <w:ind w:left="360"/>
        <w:jc w:val="both"/>
        <w:rPr>
          <w:rFonts w:ascii="Times New Roman" w:eastAsia="Times New Roman" w:hAnsi="Times New Roman" w:cs="Times New Roman"/>
          <w:b/>
          <w:sz w:val="28"/>
          <w:szCs w:val="28"/>
        </w:rPr>
      </w:pP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I.2.1  Structure du roman …………………………………………………</w:t>
      </w:r>
      <w:r w:rsidR="00617330">
        <w:rPr>
          <w:rFonts w:ascii="Times New Roman" w:eastAsia="Times New Roman" w:hAnsi="Times New Roman" w:cs="Times New Roman"/>
          <w:sz w:val="28"/>
          <w:szCs w:val="28"/>
        </w:rPr>
        <w:t xml:space="preserve"> </w:t>
      </w:r>
      <w:r w:rsidRPr="00307426">
        <w:rPr>
          <w:rFonts w:ascii="Times New Roman" w:eastAsia="Times New Roman" w:hAnsi="Times New Roman" w:cs="Times New Roman"/>
          <w:sz w:val="28"/>
          <w:szCs w:val="28"/>
        </w:rPr>
        <w:t xml:space="preserve">12   </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I.2.2  Prologue……………………………………………………………..17</w:t>
      </w: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I.2.3  Epilogue……………………………………………………………..18</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I.2.4  Personnages………………………………………………………… 20</w:t>
      </w: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I.2.5  Agencement thématique……………………………………………. 27 </w:t>
      </w: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I.2.6  Séquences…………………………………………………………. ..31</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I.2.7  Schéma narratif…………………………………………………… ..34</w:t>
      </w:r>
    </w:p>
    <w:p w:rsidR="00307426" w:rsidRPr="00307426" w:rsidRDefault="00307426" w:rsidP="00307426">
      <w:pPr>
        <w:tabs>
          <w:tab w:val="left" w:pos="8505"/>
        </w:tabs>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I.2.8  Cadre spatio-temporel……………………………………………… 36</w:t>
      </w:r>
    </w:p>
    <w:p w:rsidR="00307426" w:rsidRPr="00307426" w:rsidRDefault="00307426" w:rsidP="00307426">
      <w:pPr>
        <w:spacing w:after="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I.2.8.1L’espace……………………………………………………………</w:t>
      </w:r>
      <w:r w:rsidR="008817B5">
        <w:rPr>
          <w:rFonts w:ascii="Times New Roman" w:eastAsia="Times New Roman" w:hAnsi="Times New Roman" w:cs="Times New Roman"/>
          <w:sz w:val="28"/>
          <w:szCs w:val="28"/>
        </w:rPr>
        <w:t>.</w:t>
      </w:r>
      <w:r w:rsidRPr="00307426">
        <w:rPr>
          <w:rFonts w:ascii="Times New Roman" w:eastAsia="Times New Roman" w:hAnsi="Times New Roman" w:cs="Times New Roman"/>
          <w:sz w:val="28"/>
          <w:szCs w:val="28"/>
        </w:rPr>
        <w:t>36</w:t>
      </w:r>
    </w:p>
    <w:p w:rsidR="00307426" w:rsidRPr="00307426" w:rsidRDefault="00307426" w:rsidP="00307426">
      <w:pPr>
        <w:pStyle w:val="Paragraphedeliste"/>
        <w:numPr>
          <w:ilvl w:val="0"/>
          <w:numId w:val="3"/>
        </w:numPr>
        <w:tabs>
          <w:tab w:val="left" w:pos="8505"/>
        </w:tabs>
        <w:spacing w:after="0"/>
        <w:jc w:val="both"/>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L’espace intérieur…………………………………………………</w:t>
      </w:r>
      <w:r w:rsidR="008817B5">
        <w:rPr>
          <w:rFonts w:ascii="Times New Roman" w:eastAsia="Times New Roman" w:hAnsi="Times New Roman" w:cs="Times New Roman"/>
          <w:bCs/>
          <w:sz w:val="28"/>
          <w:szCs w:val="28"/>
        </w:rPr>
        <w:t xml:space="preserve">   </w:t>
      </w:r>
      <w:r w:rsidRPr="00307426">
        <w:rPr>
          <w:rFonts w:ascii="Times New Roman" w:eastAsia="Times New Roman" w:hAnsi="Times New Roman" w:cs="Times New Roman"/>
          <w:bCs/>
          <w:sz w:val="28"/>
          <w:szCs w:val="28"/>
        </w:rPr>
        <w:t>37</w:t>
      </w:r>
    </w:p>
    <w:p w:rsidR="00307426" w:rsidRPr="00307426" w:rsidRDefault="00307426" w:rsidP="00307426">
      <w:pPr>
        <w:pStyle w:val="Paragraphedeliste"/>
        <w:numPr>
          <w:ilvl w:val="0"/>
          <w:numId w:val="3"/>
        </w:numPr>
        <w:spacing w:after="0"/>
        <w:jc w:val="both"/>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L’espace extérieur………………………………………………...</w:t>
      </w:r>
      <w:r w:rsidR="008817B5">
        <w:rPr>
          <w:rFonts w:ascii="Times New Roman" w:eastAsia="Times New Roman" w:hAnsi="Times New Roman" w:cs="Times New Roman"/>
          <w:bCs/>
          <w:sz w:val="28"/>
          <w:szCs w:val="28"/>
        </w:rPr>
        <w:t xml:space="preserve">   </w:t>
      </w:r>
      <w:r w:rsidRPr="00307426">
        <w:rPr>
          <w:rFonts w:ascii="Times New Roman" w:eastAsia="Times New Roman" w:hAnsi="Times New Roman" w:cs="Times New Roman"/>
          <w:bCs/>
          <w:sz w:val="28"/>
          <w:szCs w:val="28"/>
        </w:rPr>
        <w:t>41</w:t>
      </w:r>
    </w:p>
    <w:p w:rsidR="00307426" w:rsidRPr="00307426" w:rsidRDefault="00307426" w:rsidP="00307426">
      <w:pPr>
        <w:tabs>
          <w:tab w:val="left" w:pos="8364"/>
        </w:tabs>
        <w:spacing w:after="0"/>
        <w:jc w:val="both"/>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I.2.8.2 le temps………………………………………………….. ………..42</w:t>
      </w:r>
    </w:p>
    <w:p w:rsidR="00307426" w:rsidRPr="00307426" w:rsidRDefault="00307426" w:rsidP="00307426">
      <w:pPr>
        <w:spacing w:after="0"/>
        <w:jc w:val="both"/>
        <w:rPr>
          <w:rFonts w:ascii="Times New Roman" w:eastAsia="Times New Roman" w:hAnsi="Times New Roman" w:cs="Times New Roman"/>
          <w:bCs/>
          <w:sz w:val="28"/>
          <w:szCs w:val="28"/>
        </w:rPr>
      </w:pPr>
    </w:p>
    <w:p w:rsidR="00307426" w:rsidRPr="00307426" w:rsidRDefault="00307426" w:rsidP="00307426">
      <w:pPr>
        <w:spacing w:after="0"/>
        <w:jc w:val="both"/>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I.3 Contexte social et historique…………………………………………</w:t>
      </w:r>
      <w:r w:rsidR="008817B5">
        <w:rPr>
          <w:rFonts w:ascii="Times New Roman" w:eastAsia="Times New Roman" w:hAnsi="Times New Roman" w:cs="Times New Roman"/>
          <w:bCs/>
          <w:sz w:val="28"/>
          <w:szCs w:val="28"/>
        </w:rPr>
        <w:t xml:space="preserve">   </w:t>
      </w:r>
      <w:r w:rsidRPr="00307426">
        <w:rPr>
          <w:rFonts w:ascii="Times New Roman" w:eastAsia="Times New Roman" w:hAnsi="Times New Roman" w:cs="Times New Roman"/>
          <w:bCs/>
          <w:sz w:val="28"/>
          <w:szCs w:val="28"/>
        </w:rPr>
        <w:t>47</w:t>
      </w:r>
    </w:p>
    <w:p w:rsidR="00307426" w:rsidRPr="00307426" w:rsidRDefault="00307426" w:rsidP="00307426">
      <w:pPr>
        <w:tabs>
          <w:tab w:val="left" w:pos="5260"/>
        </w:tabs>
        <w:spacing w:after="0" w:line="240" w:lineRule="auto"/>
        <w:ind w:left="426"/>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 xml:space="preserve">  </w:t>
      </w:r>
    </w:p>
    <w:p w:rsidR="00307426" w:rsidRDefault="00307426" w:rsidP="00307426">
      <w:pPr>
        <w:tabs>
          <w:tab w:val="left" w:pos="8364"/>
        </w:tabs>
        <w:spacing w:after="0"/>
        <w:jc w:val="both"/>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Conc</w:t>
      </w:r>
      <w:r w:rsidR="008817B5">
        <w:rPr>
          <w:rFonts w:ascii="Times New Roman" w:eastAsia="Times New Roman" w:hAnsi="Times New Roman" w:cs="Times New Roman"/>
          <w:bCs/>
          <w:sz w:val="28"/>
          <w:szCs w:val="28"/>
        </w:rPr>
        <w:t>lusion…………………………………………………………………</w:t>
      </w:r>
      <w:r w:rsidRPr="00307426">
        <w:rPr>
          <w:rFonts w:ascii="Times New Roman" w:eastAsia="Times New Roman" w:hAnsi="Times New Roman" w:cs="Times New Roman"/>
          <w:bCs/>
          <w:sz w:val="28"/>
          <w:szCs w:val="28"/>
        </w:rPr>
        <w:t>50</w:t>
      </w:r>
    </w:p>
    <w:p w:rsidR="00307426" w:rsidRDefault="00307426">
      <w:pP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br w:type="page"/>
      </w:r>
    </w:p>
    <w:p w:rsidR="00E473BC" w:rsidRDefault="00E473BC" w:rsidP="00307426">
      <w:pPr>
        <w:spacing w:after="240" w:line="240" w:lineRule="auto"/>
        <w:jc w:val="both"/>
        <w:rPr>
          <w:rFonts w:ascii="Times New Roman" w:eastAsia="Times New Roman" w:hAnsi="Times New Roman" w:cs="Times New Roman"/>
          <w:b/>
          <w:bCs/>
          <w:sz w:val="32"/>
          <w:szCs w:val="32"/>
        </w:rPr>
        <w:sectPr w:rsidR="00E473BC" w:rsidSect="00E473BC">
          <w:pgSz w:w="11906" w:h="16838" w:code="9"/>
          <w:pgMar w:top="567" w:right="1418" w:bottom="1418" w:left="1418" w:header="709" w:footer="709" w:gutter="0"/>
          <w:cols w:space="708"/>
          <w:titlePg/>
          <w:docGrid w:linePitch="360"/>
        </w:sectPr>
      </w:pPr>
    </w:p>
    <w:p w:rsidR="00307426" w:rsidRPr="00307426" w:rsidRDefault="00307426" w:rsidP="00307426">
      <w:pPr>
        <w:spacing w:after="240" w:line="240" w:lineRule="auto"/>
        <w:jc w:val="both"/>
        <w:rPr>
          <w:rFonts w:ascii="Times New Roman" w:eastAsia="Times New Roman" w:hAnsi="Times New Roman" w:cs="Times New Roman"/>
          <w:b/>
          <w:bCs/>
          <w:sz w:val="32"/>
          <w:szCs w:val="32"/>
        </w:rPr>
      </w:pPr>
      <w:r w:rsidRPr="00307426">
        <w:rPr>
          <w:rFonts w:ascii="Times New Roman" w:eastAsia="Times New Roman" w:hAnsi="Times New Roman" w:cs="Times New Roman"/>
          <w:b/>
          <w:bCs/>
          <w:sz w:val="32"/>
          <w:szCs w:val="32"/>
        </w:rPr>
        <w:lastRenderedPageBreak/>
        <w:t xml:space="preserve">CHAPITRE II : Aperçu historique  </w:t>
      </w:r>
    </w:p>
    <w:p w:rsidR="00307426" w:rsidRPr="00307426" w:rsidRDefault="00307426" w:rsidP="00307426">
      <w:pPr>
        <w:spacing w:after="0" w:line="240" w:lineRule="auto"/>
        <w:rPr>
          <w:rFonts w:ascii="Times New Roman" w:eastAsia="Times New Roman" w:hAnsi="Times New Roman" w:cs="Times New Roman"/>
          <w:sz w:val="24"/>
          <w:szCs w:val="24"/>
        </w:rPr>
      </w:pPr>
      <w:r w:rsidRPr="00307426">
        <w:rPr>
          <w:rFonts w:ascii="Times New Roman" w:eastAsia="Times New Roman" w:hAnsi="Times New Roman" w:cs="Times New Roman"/>
          <w:sz w:val="24"/>
          <w:szCs w:val="24"/>
        </w:rPr>
        <w:t xml:space="preserve">  </w:t>
      </w:r>
    </w:p>
    <w:p w:rsidR="00307426" w:rsidRPr="00307426" w:rsidRDefault="00307426" w:rsidP="00307426">
      <w:pPr>
        <w:spacing w:after="240"/>
        <w:ind w:right="567"/>
        <w:jc w:val="both"/>
        <w:rPr>
          <w:rFonts w:ascii="Times New Roman" w:eastAsia="Times New Roman" w:hAnsi="Times New Roman" w:cs="Times New Roman"/>
          <w:sz w:val="28"/>
          <w:szCs w:val="28"/>
        </w:rPr>
      </w:pPr>
      <w:r w:rsidRPr="00307426">
        <w:rPr>
          <w:rFonts w:ascii="Times New Roman" w:eastAsia="Times New Roman" w:hAnsi="Times New Roman" w:cs="Times New Roman"/>
          <w:sz w:val="24"/>
          <w:szCs w:val="24"/>
        </w:rPr>
        <w:t xml:space="preserve"> </w:t>
      </w:r>
      <w:r w:rsidRPr="00307426">
        <w:rPr>
          <w:rFonts w:ascii="Times New Roman" w:eastAsia="Times New Roman" w:hAnsi="Times New Roman" w:cs="Times New Roman"/>
          <w:sz w:val="28"/>
          <w:szCs w:val="28"/>
        </w:rPr>
        <w:t>II.1</w:t>
      </w:r>
      <w:r w:rsidRPr="00307426">
        <w:rPr>
          <w:rFonts w:ascii="Times New Roman" w:eastAsia="Times New Roman" w:hAnsi="Times New Roman" w:cs="Times New Roman"/>
          <w:sz w:val="24"/>
          <w:szCs w:val="24"/>
        </w:rPr>
        <w:t xml:space="preserve">  </w:t>
      </w:r>
      <w:r w:rsidRPr="00307426">
        <w:rPr>
          <w:rFonts w:ascii="Times New Roman" w:eastAsia="Times New Roman" w:hAnsi="Times New Roman" w:cs="Times New Roman"/>
          <w:sz w:val="28"/>
          <w:szCs w:val="28"/>
        </w:rPr>
        <w:t>L’émergence du roman histo</w:t>
      </w:r>
      <w:r w:rsidR="00617330">
        <w:rPr>
          <w:rFonts w:ascii="Times New Roman" w:eastAsia="Times New Roman" w:hAnsi="Times New Roman" w:cs="Times New Roman"/>
          <w:sz w:val="28"/>
          <w:szCs w:val="28"/>
        </w:rPr>
        <w:t xml:space="preserve">rique en France …………………        </w:t>
      </w:r>
      <w:r w:rsidRPr="00307426">
        <w:rPr>
          <w:rFonts w:ascii="Times New Roman" w:eastAsia="Times New Roman" w:hAnsi="Times New Roman" w:cs="Times New Roman"/>
          <w:sz w:val="28"/>
          <w:szCs w:val="28"/>
        </w:rPr>
        <w:t>51</w:t>
      </w:r>
    </w:p>
    <w:p w:rsidR="00307426" w:rsidRPr="00307426" w:rsidRDefault="00307426" w:rsidP="00307426">
      <w:pPr>
        <w:tabs>
          <w:tab w:val="left" w:pos="8505"/>
        </w:tabs>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II.2  Le roman historique au X IX siècle………………………………   54</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II.3 le roman historique au XXe siècle ………………………………… 58</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II.4 Définition du roman historique et le mal du siècle………………… 61</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II.5 Le rapport entre le passé et le présent dans le roman historique ……63</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II.6 Comment le roman historique s’organise-t-il techniquement ?.........64</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II.7 La différence entre  Mémoires, chronique et récit historique ………65</w:t>
      </w:r>
    </w:p>
    <w:p w:rsidR="00307426" w:rsidRPr="00307426" w:rsidRDefault="00307426" w:rsidP="00307426">
      <w:pPr>
        <w:spacing w:after="240"/>
        <w:jc w:val="both"/>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 xml:space="preserve"> II.8 l’Histoire dans </w:t>
      </w:r>
      <w:r w:rsidRPr="00307426">
        <w:rPr>
          <w:rFonts w:ascii="Times New Roman" w:eastAsia="Times New Roman" w:hAnsi="Times New Roman" w:cs="Times New Roman"/>
          <w:i/>
          <w:iCs/>
          <w:sz w:val="28"/>
          <w:szCs w:val="28"/>
        </w:rPr>
        <w:t>Ritournelle de la faim ……………………………………</w:t>
      </w:r>
      <w:r w:rsidRPr="00307426">
        <w:rPr>
          <w:rFonts w:ascii="Times New Roman" w:eastAsia="Times New Roman" w:hAnsi="Times New Roman" w:cs="Times New Roman"/>
          <w:sz w:val="28"/>
          <w:szCs w:val="28"/>
        </w:rPr>
        <w:t>66</w:t>
      </w:r>
    </w:p>
    <w:p w:rsidR="00307426" w:rsidRPr="00307426" w:rsidRDefault="00307426" w:rsidP="00307426">
      <w:pPr>
        <w:numPr>
          <w:ilvl w:val="0"/>
          <w:numId w:val="4"/>
        </w:numPr>
        <w:spacing w:after="0" w:line="240" w:lineRule="auto"/>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L’histoire  ………………………………………………68</w:t>
      </w:r>
    </w:p>
    <w:p w:rsidR="00307426" w:rsidRPr="00307426" w:rsidRDefault="00307426" w:rsidP="00307426">
      <w:pPr>
        <w:spacing w:after="0" w:line="240" w:lineRule="auto"/>
        <w:ind w:left="780"/>
        <w:rPr>
          <w:rFonts w:ascii="Times New Roman" w:eastAsia="Times New Roman" w:hAnsi="Times New Roman" w:cs="Times New Roman"/>
          <w:bCs/>
          <w:sz w:val="28"/>
          <w:szCs w:val="28"/>
        </w:rPr>
      </w:pPr>
    </w:p>
    <w:p w:rsidR="00307426" w:rsidRPr="00307426" w:rsidRDefault="00307426" w:rsidP="00307426">
      <w:pPr>
        <w:numPr>
          <w:ilvl w:val="0"/>
          <w:numId w:val="4"/>
        </w:numPr>
        <w:spacing w:after="0" w:line="240" w:lineRule="auto"/>
        <w:rPr>
          <w:rFonts w:ascii="Times New Roman" w:eastAsia="Times New Roman" w:hAnsi="Times New Roman" w:cs="Times New Roman"/>
          <w:bCs/>
          <w:sz w:val="28"/>
          <w:szCs w:val="28"/>
        </w:rPr>
      </w:pPr>
      <w:r w:rsidRPr="00307426">
        <w:rPr>
          <w:rFonts w:ascii="Times New Roman" w:eastAsia="Times New Roman" w:hAnsi="Times New Roman" w:cs="Times New Roman"/>
          <w:bCs/>
          <w:sz w:val="28"/>
          <w:szCs w:val="28"/>
        </w:rPr>
        <w:t>La société ………………………………………………</w:t>
      </w:r>
      <w:r w:rsidR="008817B5">
        <w:rPr>
          <w:rFonts w:ascii="Times New Roman" w:eastAsia="Times New Roman" w:hAnsi="Times New Roman" w:cs="Times New Roman"/>
          <w:bCs/>
          <w:sz w:val="28"/>
          <w:szCs w:val="28"/>
        </w:rPr>
        <w:t xml:space="preserve"> </w:t>
      </w:r>
      <w:r w:rsidRPr="00307426">
        <w:rPr>
          <w:rFonts w:ascii="Times New Roman" w:eastAsia="Times New Roman" w:hAnsi="Times New Roman" w:cs="Times New Roman"/>
          <w:bCs/>
          <w:sz w:val="28"/>
          <w:szCs w:val="28"/>
        </w:rPr>
        <w:t>73</w:t>
      </w:r>
    </w:p>
    <w:p w:rsidR="00307426" w:rsidRPr="00307426" w:rsidRDefault="00307426" w:rsidP="00307426">
      <w:pPr>
        <w:spacing w:after="0" w:line="240" w:lineRule="auto"/>
        <w:rPr>
          <w:rFonts w:ascii="Times New Roman" w:eastAsia="Times New Roman" w:hAnsi="Times New Roman" w:cs="Times New Roman"/>
          <w:bCs/>
          <w:sz w:val="28"/>
          <w:szCs w:val="28"/>
        </w:rPr>
      </w:pPr>
    </w:p>
    <w:p w:rsidR="00307426" w:rsidRPr="00307426" w:rsidRDefault="00307426" w:rsidP="00307426">
      <w:pPr>
        <w:tabs>
          <w:tab w:val="left" w:pos="8505"/>
        </w:tabs>
        <w:spacing w:after="0" w:line="240" w:lineRule="auto"/>
        <w:ind w:right="141"/>
        <w:rPr>
          <w:rFonts w:ascii="Times New Roman" w:eastAsia="Times New Roman" w:hAnsi="Times New Roman" w:cs="Times New Roman"/>
          <w:sz w:val="28"/>
          <w:szCs w:val="28"/>
        </w:rPr>
      </w:pPr>
      <w:r w:rsidRPr="00307426">
        <w:rPr>
          <w:rFonts w:ascii="Times New Roman" w:eastAsia="Times New Roman" w:hAnsi="Times New Roman" w:cs="Times New Roman"/>
          <w:bCs/>
          <w:sz w:val="28"/>
          <w:szCs w:val="28"/>
        </w:rPr>
        <w:t>II.</w:t>
      </w:r>
      <w:r w:rsidRPr="00307426">
        <w:rPr>
          <w:rFonts w:ascii="Times New Roman" w:eastAsia="Times New Roman" w:hAnsi="Times New Roman" w:cs="Times New Roman"/>
          <w:sz w:val="28"/>
          <w:szCs w:val="28"/>
        </w:rPr>
        <w:t>9 la société française durant la guerre</w:t>
      </w:r>
      <w:r w:rsidR="00617330">
        <w:rPr>
          <w:rFonts w:ascii="Times New Roman" w:eastAsia="Times New Roman" w:hAnsi="Times New Roman" w:cs="Times New Roman"/>
          <w:sz w:val="28"/>
          <w:szCs w:val="28"/>
        </w:rPr>
        <w:t xml:space="preserve"> (l’histoire telle quelle) …………</w:t>
      </w:r>
      <w:r w:rsidRPr="00307426">
        <w:rPr>
          <w:rFonts w:ascii="Times New Roman" w:eastAsia="Times New Roman" w:hAnsi="Times New Roman" w:cs="Times New Roman"/>
          <w:sz w:val="28"/>
          <w:szCs w:val="28"/>
        </w:rPr>
        <w:t>78</w:t>
      </w:r>
    </w:p>
    <w:p w:rsidR="00307426" w:rsidRPr="00307426" w:rsidRDefault="00307426" w:rsidP="00307426">
      <w:pPr>
        <w:spacing w:after="0" w:line="240" w:lineRule="auto"/>
        <w:ind w:left="360"/>
        <w:rPr>
          <w:rFonts w:ascii="Times New Roman" w:eastAsia="Times New Roman" w:hAnsi="Times New Roman" w:cs="Times New Roman"/>
          <w:sz w:val="28"/>
          <w:szCs w:val="28"/>
        </w:rPr>
      </w:pPr>
    </w:p>
    <w:p w:rsidR="00307426" w:rsidRPr="00307426" w:rsidRDefault="00307426" w:rsidP="00307426">
      <w:pPr>
        <w:numPr>
          <w:ilvl w:val="0"/>
          <w:numId w:val="5"/>
        </w:numPr>
        <w:spacing w:after="240" w:line="240" w:lineRule="auto"/>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La véracité des évènements histor</w:t>
      </w:r>
      <w:r w:rsidR="00617330">
        <w:rPr>
          <w:rFonts w:ascii="Times New Roman" w:eastAsia="Times New Roman" w:hAnsi="Times New Roman" w:cs="Times New Roman"/>
          <w:sz w:val="28"/>
          <w:szCs w:val="28"/>
        </w:rPr>
        <w:t xml:space="preserve">iques relatés dans le roman …… </w:t>
      </w:r>
      <w:r w:rsidRPr="00307426">
        <w:rPr>
          <w:rFonts w:ascii="Times New Roman" w:eastAsia="Times New Roman" w:hAnsi="Times New Roman" w:cs="Times New Roman"/>
          <w:sz w:val="28"/>
          <w:szCs w:val="28"/>
        </w:rPr>
        <w:t>78</w:t>
      </w:r>
    </w:p>
    <w:p w:rsidR="00307426" w:rsidRPr="00307426" w:rsidRDefault="00307426" w:rsidP="00307426">
      <w:pPr>
        <w:spacing w:after="240" w:line="240" w:lineRule="auto"/>
        <w:rPr>
          <w:rFonts w:ascii="Times New Roman" w:eastAsia="Times New Roman" w:hAnsi="Times New Roman" w:cs="Times New Roman"/>
          <w:sz w:val="28"/>
          <w:szCs w:val="28"/>
        </w:rPr>
      </w:pPr>
      <w:r w:rsidRPr="00307426">
        <w:rPr>
          <w:rFonts w:ascii="Times New Roman" w:eastAsia="Times New Roman" w:hAnsi="Times New Roman" w:cs="Times New Roman"/>
          <w:sz w:val="28"/>
          <w:szCs w:val="28"/>
        </w:rPr>
        <w:t>Conclusion…………………………………………………………………91</w:t>
      </w:r>
    </w:p>
    <w:p w:rsidR="00307426" w:rsidRPr="00307426" w:rsidRDefault="00307426" w:rsidP="00307426">
      <w:pPr>
        <w:spacing w:after="240" w:line="240" w:lineRule="auto"/>
        <w:rPr>
          <w:rFonts w:ascii="Times New Roman" w:eastAsia="Times New Roman" w:hAnsi="Times New Roman" w:cs="Times New Roman"/>
          <w:sz w:val="28"/>
          <w:szCs w:val="28"/>
        </w:rPr>
      </w:pPr>
      <w:r w:rsidRPr="00307426">
        <w:rPr>
          <w:rFonts w:ascii="Times New Roman" w:eastAsia="Times New Roman" w:hAnsi="Times New Roman" w:cs="Times New Roman"/>
          <w:b/>
          <w:bCs/>
          <w:sz w:val="28"/>
          <w:szCs w:val="28"/>
        </w:rPr>
        <w:t>Conclusion générale</w:t>
      </w:r>
      <w:r w:rsidRPr="00307426">
        <w:rPr>
          <w:rFonts w:ascii="Times New Roman" w:eastAsia="Times New Roman" w:hAnsi="Times New Roman" w:cs="Times New Roman"/>
          <w:sz w:val="28"/>
          <w:szCs w:val="28"/>
        </w:rPr>
        <w:t>……………………………………………………...</w:t>
      </w:r>
      <w:r w:rsidR="008817B5">
        <w:rPr>
          <w:rFonts w:ascii="Times New Roman" w:eastAsia="Times New Roman" w:hAnsi="Times New Roman" w:cs="Times New Roman"/>
          <w:sz w:val="28"/>
          <w:szCs w:val="28"/>
        </w:rPr>
        <w:t xml:space="preserve"> </w:t>
      </w:r>
      <w:r w:rsidRPr="00307426">
        <w:rPr>
          <w:rFonts w:ascii="Times New Roman" w:eastAsia="Times New Roman" w:hAnsi="Times New Roman" w:cs="Times New Roman"/>
          <w:sz w:val="28"/>
          <w:szCs w:val="28"/>
        </w:rPr>
        <w:t>92</w:t>
      </w:r>
    </w:p>
    <w:p w:rsidR="008817B5" w:rsidRDefault="00307426" w:rsidP="00307426">
      <w:pPr>
        <w:spacing w:after="0" w:line="240" w:lineRule="auto"/>
        <w:rPr>
          <w:rFonts w:ascii="Times New Roman" w:eastAsia="Times New Roman" w:hAnsi="Times New Roman" w:cs="Times New Roman"/>
          <w:sz w:val="28"/>
          <w:szCs w:val="28"/>
        </w:rPr>
      </w:pPr>
      <w:r w:rsidRPr="00307426">
        <w:rPr>
          <w:rFonts w:ascii="Times New Roman" w:eastAsia="Times New Roman" w:hAnsi="Times New Roman" w:cs="Times New Roman"/>
          <w:b/>
          <w:bCs/>
          <w:sz w:val="28"/>
          <w:szCs w:val="28"/>
        </w:rPr>
        <w:t>Bibliographie</w:t>
      </w:r>
      <w:r w:rsidRPr="00307426">
        <w:rPr>
          <w:rFonts w:ascii="Times New Roman" w:eastAsia="Times New Roman" w:hAnsi="Times New Roman" w:cs="Times New Roman"/>
          <w:sz w:val="28"/>
          <w:szCs w:val="28"/>
        </w:rPr>
        <w:t>……………………………………………………………..</w:t>
      </w:r>
      <w:r w:rsidR="008817B5">
        <w:rPr>
          <w:rFonts w:ascii="Times New Roman" w:eastAsia="Times New Roman" w:hAnsi="Times New Roman" w:cs="Times New Roman"/>
          <w:sz w:val="28"/>
          <w:szCs w:val="28"/>
        </w:rPr>
        <w:t xml:space="preserve"> </w:t>
      </w:r>
      <w:r w:rsidRPr="00307426">
        <w:rPr>
          <w:rFonts w:ascii="Times New Roman" w:eastAsia="Times New Roman" w:hAnsi="Times New Roman" w:cs="Times New Roman"/>
          <w:sz w:val="28"/>
          <w:szCs w:val="28"/>
        </w:rPr>
        <w:t>94</w:t>
      </w:r>
    </w:p>
    <w:p w:rsidR="008817B5" w:rsidRDefault="008817B5">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8817B5" w:rsidRPr="008817B5" w:rsidRDefault="008817B5" w:rsidP="008817B5">
      <w:pPr>
        <w:pBdr>
          <w:bottom w:val="thickThinSmallGap" w:sz="24" w:space="1" w:color="622423"/>
        </w:pBdr>
        <w:tabs>
          <w:tab w:val="center" w:pos="4153"/>
          <w:tab w:val="right" w:pos="8306"/>
        </w:tabs>
        <w:spacing w:after="0" w:line="240" w:lineRule="auto"/>
        <w:jc w:val="center"/>
        <w:rPr>
          <w:rFonts w:ascii="Cambria" w:eastAsia="Times New Roman" w:hAnsi="Cambria" w:cs="Times New Roman"/>
          <w:sz w:val="28"/>
          <w:szCs w:val="28"/>
        </w:rPr>
      </w:pPr>
      <w:r w:rsidRPr="008817B5">
        <w:rPr>
          <w:rFonts w:ascii="Cambria" w:eastAsia="Times New Roman" w:hAnsi="Cambria" w:cs="Times New Roman"/>
          <w:sz w:val="28"/>
          <w:szCs w:val="28"/>
        </w:rPr>
        <w:lastRenderedPageBreak/>
        <w:t xml:space="preserve">Introduction </w:t>
      </w:r>
    </w:p>
    <w:p w:rsidR="008817B5" w:rsidRPr="008817B5" w:rsidRDefault="008817B5" w:rsidP="008817B5">
      <w:pPr>
        <w:tabs>
          <w:tab w:val="center" w:pos="4153"/>
          <w:tab w:val="right" w:pos="8306"/>
        </w:tabs>
        <w:spacing w:after="0" w:line="240" w:lineRule="auto"/>
        <w:jc w:val="center"/>
        <w:rPr>
          <w:rFonts w:ascii="Times New Roman" w:eastAsia="Times New Roman" w:hAnsi="Times New Roman" w:cs="Times New Roman"/>
          <w:i/>
          <w:iCs/>
          <w:sz w:val="28"/>
          <w:szCs w:val="28"/>
        </w:rPr>
      </w:pPr>
    </w:p>
    <w:p w:rsidR="008817B5" w:rsidRPr="008817B5" w:rsidRDefault="008817B5" w:rsidP="008817B5">
      <w:pPr>
        <w:spacing w:after="0" w:line="36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Contrairement à la grande guerre, la deuxième guerre mondiale fut la plus meurtrière et toucha beaucoup plus les civils que les militaires.  </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En effet Les populations civiles dans leurs villes et leurs compagnes ont subi de plein fouet les conséquences de la guerre. La nourriture était rationnée et les gens ne mangeaient pas à leur faim, par endroits on en mourait. Pendant l’hiver, on manquait de moyens et le froid faisait d’innombrables victimes. Ajouté à tout cela, les agissements de malfrats et de truands qui extorquaient, dépouillaient et volaient sans être inquiétés car ils étaient au service de l’occupant, et collaboraient avec lui dans les rafles, les arrestations arbitraires, et les séquestrations.</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Les camps de concentration, d’extermination et la destruction - sans motif - des villes et villages provoquèrent un traumatisme moral très important que ni les condamnations des responsables (au procès de Nuremberg) ni le partage de l’Allemagne ne parvinrent à l’apaiser.</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Le retour à la vie "normale" resta difficile. Les  rationnements se poursuivirent jusqu’en 1947. Le bilan des atrocités commises marqua à jamais les mémoires. Les névroses de guerre ainsi que les traumatismes psychiques furent parmi les grands symptômes d’un tel drame social.</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Le souvenir des souffrances infligées aux populations a longtemps nourri le récit dramatique, historique et social. Parmi les œuvres qui ont relaté, avec authenticité, les évènements de cette période noire, nous citons l’œuvre de J. -P Sartre : </w:t>
      </w:r>
      <w:r w:rsidRPr="008817B5">
        <w:rPr>
          <w:rFonts w:ascii="Times New Roman" w:eastAsia="Times New Roman" w:hAnsi="Times New Roman" w:cs="Times New Roman"/>
          <w:i/>
          <w:iCs/>
          <w:sz w:val="24"/>
          <w:szCs w:val="24"/>
        </w:rPr>
        <w:t>Les chemins de la</w:t>
      </w:r>
      <w:r w:rsidRPr="008817B5">
        <w:rPr>
          <w:rFonts w:ascii="Times New Roman" w:eastAsia="Times New Roman" w:hAnsi="Times New Roman" w:cs="Times New Roman"/>
          <w:i/>
          <w:iCs/>
          <w:sz w:val="24"/>
          <w:szCs w:val="24"/>
          <w:u w:val="single"/>
        </w:rPr>
        <w:t xml:space="preserve"> </w:t>
      </w:r>
      <w:r w:rsidRPr="008817B5">
        <w:rPr>
          <w:rFonts w:ascii="Times New Roman" w:eastAsia="Times New Roman" w:hAnsi="Times New Roman" w:cs="Times New Roman"/>
          <w:i/>
          <w:iCs/>
          <w:sz w:val="24"/>
          <w:szCs w:val="24"/>
        </w:rPr>
        <w:t>liberté</w:t>
      </w:r>
      <w:r w:rsidRPr="008817B5">
        <w:rPr>
          <w:rFonts w:ascii="Times New Roman" w:eastAsia="Times New Roman" w:hAnsi="Times New Roman" w:cs="Times New Roman"/>
          <w:sz w:val="24"/>
          <w:szCs w:val="24"/>
        </w:rPr>
        <w:t xml:space="preserve">, II (Le Sursis), Gallimard, 1945, et celle de J.-M.G .Le Clézio : </w:t>
      </w:r>
      <w:r w:rsidRPr="008817B5">
        <w:rPr>
          <w:rFonts w:ascii="Times New Roman" w:eastAsia="Times New Roman" w:hAnsi="Times New Roman" w:cs="Times New Roman"/>
          <w:i/>
          <w:iCs/>
          <w:sz w:val="24"/>
          <w:szCs w:val="24"/>
        </w:rPr>
        <w:t>Le procès</w:t>
      </w:r>
      <w:r w:rsidRPr="008817B5">
        <w:rPr>
          <w:rFonts w:ascii="Times New Roman" w:eastAsia="Times New Roman" w:hAnsi="Times New Roman" w:cs="Times New Roman"/>
          <w:sz w:val="24"/>
          <w:szCs w:val="24"/>
        </w:rPr>
        <w:t>-</w:t>
      </w:r>
      <w:r w:rsidRPr="008817B5">
        <w:rPr>
          <w:rFonts w:ascii="Times New Roman" w:eastAsia="Times New Roman" w:hAnsi="Times New Roman" w:cs="Times New Roman"/>
          <w:i/>
          <w:iCs/>
          <w:sz w:val="24"/>
          <w:szCs w:val="24"/>
        </w:rPr>
        <w:t>verbal</w:t>
      </w:r>
      <w:r w:rsidRPr="008817B5">
        <w:rPr>
          <w:rFonts w:ascii="Times New Roman" w:eastAsia="Times New Roman" w:hAnsi="Times New Roman" w:cs="Times New Roman"/>
          <w:sz w:val="24"/>
          <w:szCs w:val="24"/>
        </w:rPr>
        <w:t>, Gallimard, 1963.</w:t>
      </w:r>
    </w:p>
    <w:p w:rsidR="008817B5" w:rsidRPr="008817B5" w:rsidRDefault="008817B5" w:rsidP="00F25A97">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Soixante cinq ans après, nombreux sont les récits mais également  les reportages et les films historiques qui traitent encore de l’horreur que les français aient enduré pendant cette période. Toutefois, certaines œuvres relativement récentes ont abordé un tout autre aspect de la guerre.</w:t>
      </w:r>
    </w:p>
    <w:p w:rsidR="008817B5" w:rsidRPr="008817B5" w:rsidRDefault="008817B5" w:rsidP="008817B5">
      <w:pPr>
        <w:pBdr>
          <w:bottom w:val="thickThinSmallGap" w:sz="24" w:space="1" w:color="622423"/>
        </w:pBdr>
        <w:tabs>
          <w:tab w:val="center" w:pos="4153"/>
          <w:tab w:val="right" w:pos="8306"/>
        </w:tabs>
        <w:spacing w:after="0" w:line="240" w:lineRule="auto"/>
        <w:jc w:val="center"/>
        <w:rPr>
          <w:rFonts w:ascii="Cambria" w:eastAsia="Times New Roman" w:hAnsi="Cambria" w:cs="Times New Roman"/>
          <w:sz w:val="28"/>
          <w:szCs w:val="28"/>
        </w:rPr>
      </w:pPr>
      <w:r w:rsidRPr="008817B5">
        <w:rPr>
          <w:rFonts w:ascii="Cambria" w:eastAsia="Times New Roman" w:hAnsi="Cambria" w:cs="Times New Roman"/>
          <w:sz w:val="28"/>
          <w:szCs w:val="28"/>
        </w:rPr>
        <w:lastRenderedPageBreak/>
        <w:t xml:space="preserve">Introduction </w:t>
      </w:r>
    </w:p>
    <w:p w:rsidR="008817B5" w:rsidRPr="008817B5" w:rsidRDefault="008817B5" w:rsidP="008817B5">
      <w:pPr>
        <w:tabs>
          <w:tab w:val="center" w:pos="4153"/>
          <w:tab w:val="right" w:pos="8306"/>
        </w:tabs>
        <w:spacing w:after="0" w:line="240" w:lineRule="auto"/>
        <w:jc w:val="center"/>
        <w:rPr>
          <w:rFonts w:ascii="Times New Roman" w:eastAsia="Times New Roman" w:hAnsi="Times New Roman" w:cs="Times New Roman"/>
          <w:i/>
          <w:iCs/>
          <w:sz w:val="28"/>
          <w:szCs w:val="28"/>
        </w:rPr>
      </w:pP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L’œuvre de J.-M.G Le Clézio : </w:t>
      </w:r>
      <w:r w:rsidRPr="008817B5">
        <w:rPr>
          <w:rFonts w:ascii="Times New Roman" w:eastAsia="Times New Roman" w:hAnsi="Times New Roman" w:cs="Times New Roman"/>
          <w:i/>
          <w:sz w:val="24"/>
          <w:szCs w:val="24"/>
        </w:rPr>
        <w:t>Ritournelle de la faim</w:t>
      </w:r>
      <w:r w:rsidRPr="008817B5">
        <w:rPr>
          <w:rFonts w:ascii="Times New Roman" w:eastAsia="Times New Roman" w:hAnsi="Times New Roman" w:cs="Times New Roman"/>
          <w:sz w:val="24"/>
          <w:szCs w:val="24"/>
        </w:rPr>
        <w:t xml:space="preserve">, Gallimard, 2008, et celle de Marc Dugain : </w:t>
      </w:r>
      <w:r w:rsidRPr="008817B5">
        <w:rPr>
          <w:rFonts w:ascii="Times New Roman" w:eastAsia="Times New Roman" w:hAnsi="Times New Roman" w:cs="Times New Roman"/>
          <w:i/>
          <w:sz w:val="24"/>
          <w:szCs w:val="24"/>
        </w:rPr>
        <w:t>L’insomnie des</w:t>
      </w:r>
      <w:r w:rsidRPr="008817B5">
        <w:rPr>
          <w:rFonts w:ascii="Times New Roman" w:eastAsia="Times New Roman" w:hAnsi="Times New Roman" w:cs="Times New Roman"/>
          <w:sz w:val="24"/>
          <w:szCs w:val="24"/>
        </w:rPr>
        <w:t xml:space="preserve"> </w:t>
      </w:r>
      <w:r w:rsidRPr="008817B5">
        <w:rPr>
          <w:rFonts w:ascii="Times New Roman" w:eastAsia="Times New Roman" w:hAnsi="Times New Roman" w:cs="Times New Roman"/>
          <w:i/>
          <w:sz w:val="24"/>
          <w:szCs w:val="24"/>
        </w:rPr>
        <w:t>étoiles</w:t>
      </w:r>
      <w:r w:rsidRPr="008817B5">
        <w:rPr>
          <w:rFonts w:ascii="Times New Roman" w:eastAsia="Times New Roman" w:hAnsi="Times New Roman" w:cs="Times New Roman"/>
          <w:sz w:val="24"/>
          <w:szCs w:val="24"/>
        </w:rPr>
        <w:t>, Gallimard, 2010 s’inscrivent dans cette littérature spécifique. Une littérature dite aussi sociale ou socio- historique qui relate rétrospectivement des évènements dignes d’une mémoire.</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Mais c’est le Prix Nobel 2008 </w:t>
      </w:r>
      <w:r w:rsidRPr="008817B5">
        <w:rPr>
          <w:rFonts w:ascii="Times New Roman" w:eastAsia="Times New Roman" w:hAnsi="Times New Roman" w:cs="Times New Roman"/>
          <w:i/>
          <w:iCs/>
          <w:sz w:val="24"/>
          <w:szCs w:val="24"/>
        </w:rPr>
        <w:t>« Ritournelle de la faim</w:t>
      </w:r>
      <w:r w:rsidRPr="008817B5">
        <w:rPr>
          <w:rFonts w:ascii="Times New Roman" w:eastAsia="Times New Roman" w:hAnsi="Times New Roman" w:cs="Times New Roman"/>
          <w:sz w:val="24"/>
          <w:szCs w:val="24"/>
        </w:rPr>
        <w:t> »  qui nous a interpellé et le plus conquis par son style, sa forme et ses sens.  L’auteur, inspiré des ouï-dire de sa mère, des témoignages trouvés dans les archives et de son vécu infantile, s’est appliqué à nous reproduire une réalité très semblable à celle de son enfance.</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Brisant tous les tabous, Le Clézio s’est voulu auteur, chroniqueur et porte parole d’une population d’avant, pendant et d’après guerre. </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Il nous retrace l’insouciance de la bourgeoisie des années trente, le quotidien de la deuxième guerre mondiale et l’actualité d’après guerre jusqu’à l’amnésie de nos jours.</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Notre présent  travail tentera d’affirmer que les évènements cités par le roman sont réellement historiques. Pour ce fait, nous devons d’abord les délimiter, ensuite, vérifier le degré de leur véracité grâce à des documents authentiques (des témoignages et des archives).</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Ceci dit, nous devons justifier la conception du roman : comment Le Clézio relate- il ces évènements ? Quelle est sa position ?  Et surtout comment il les interprète ? </w:t>
      </w:r>
    </w:p>
    <w:p w:rsidR="008817B5" w:rsidRP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   Ensuite nous tenterons de prouver si l’ensemble des évènements énoncés dans le roman sont vraiment réels. Ou l’effet d’une imagination ?</w:t>
      </w:r>
    </w:p>
    <w:p w:rsidR="008817B5" w:rsidRDefault="008817B5" w:rsidP="008817B5">
      <w:pPr>
        <w:spacing w:after="0" w:line="480" w:lineRule="auto"/>
        <w:jc w:val="both"/>
        <w:rPr>
          <w:rFonts w:ascii="Times New Roman" w:eastAsia="Times New Roman" w:hAnsi="Times New Roman" w:cs="Times New Roman"/>
          <w:sz w:val="24"/>
          <w:szCs w:val="24"/>
        </w:rPr>
      </w:pPr>
      <w:r w:rsidRPr="008817B5">
        <w:rPr>
          <w:rFonts w:ascii="Times New Roman" w:eastAsia="Times New Roman" w:hAnsi="Times New Roman" w:cs="Times New Roman"/>
          <w:sz w:val="24"/>
          <w:szCs w:val="24"/>
        </w:rPr>
        <w:t xml:space="preserve">Quels sont les moments forts ? Et enfin, comment prendre La Ritournelle ? </w:t>
      </w:r>
    </w:p>
    <w:p w:rsidR="00F25A97" w:rsidRPr="008817B5" w:rsidRDefault="00F25A97" w:rsidP="008817B5">
      <w:pPr>
        <w:spacing w:after="0" w:line="480" w:lineRule="auto"/>
        <w:jc w:val="both"/>
        <w:rPr>
          <w:rFonts w:ascii="Times New Roman" w:eastAsia="Times New Roman" w:hAnsi="Times New Roman" w:cs="Times New Roman"/>
          <w:sz w:val="24"/>
          <w:szCs w:val="24"/>
        </w:rPr>
      </w:pPr>
    </w:p>
    <w:p w:rsidR="008817B5" w:rsidRPr="008817B5" w:rsidRDefault="008817B5" w:rsidP="008817B5">
      <w:pPr>
        <w:spacing w:after="0" w:line="480" w:lineRule="auto"/>
        <w:jc w:val="both"/>
        <w:rPr>
          <w:rFonts w:ascii="Times New Roman" w:eastAsia="Times New Roman" w:hAnsi="Times New Roman" w:cs="Times New Roman"/>
          <w:sz w:val="24"/>
          <w:szCs w:val="24"/>
        </w:rPr>
      </w:pPr>
    </w:p>
    <w:p w:rsidR="008817B5" w:rsidRPr="008817B5" w:rsidRDefault="008817B5" w:rsidP="008817B5">
      <w:pPr>
        <w:spacing w:after="0" w:line="480" w:lineRule="auto"/>
        <w:jc w:val="both"/>
        <w:rPr>
          <w:rFonts w:ascii="Times New Roman" w:eastAsia="Times New Roman" w:hAnsi="Times New Roman" w:cs="Times New Roman"/>
          <w:sz w:val="24"/>
          <w:szCs w:val="24"/>
        </w:rPr>
      </w:pPr>
    </w:p>
    <w:p w:rsidR="008817B5" w:rsidRPr="008817B5" w:rsidRDefault="008817B5" w:rsidP="008817B5">
      <w:pPr>
        <w:spacing w:after="0" w:line="480" w:lineRule="auto"/>
        <w:jc w:val="both"/>
        <w:rPr>
          <w:rFonts w:ascii="Times New Roman" w:eastAsia="Times New Roman" w:hAnsi="Times New Roman" w:cs="Times New Roman"/>
          <w:sz w:val="24"/>
          <w:szCs w:val="24"/>
        </w:rPr>
      </w:pPr>
    </w:p>
    <w:p w:rsidR="008817B5" w:rsidRPr="008817B5" w:rsidRDefault="008817B5" w:rsidP="00F25A97">
      <w:pPr>
        <w:spacing w:after="0" w:line="480" w:lineRule="auto"/>
        <w:rPr>
          <w:rFonts w:ascii="Times New Roman" w:eastAsia="Times New Roman" w:hAnsi="Times New Roman" w:cs="Times New Roman"/>
          <w:sz w:val="24"/>
          <w:szCs w:val="24"/>
        </w:rPr>
      </w:pPr>
    </w:p>
    <w:p w:rsidR="008817B5" w:rsidRPr="008817B5" w:rsidRDefault="008817B5" w:rsidP="008817B5">
      <w:pPr>
        <w:pBdr>
          <w:bottom w:val="thickThinSmallGap" w:sz="24" w:space="1" w:color="622423"/>
        </w:pBdr>
        <w:tabs>
          <w:tab w:val="center" w:pos="4153"/>
          <w:tab w:val="right" w:pos="8306"/>
        </w:tabs>
        <w:spacing w:after="0" w:line="240" w:lineRule="auto"/>
        <w:jc w:val="center"/>
        <w:rPr>
          <w:rFonts w:ascii="Cambria" w:eastAsia="Times New Roman" w:hAnsi="Cambria" w:cs="Times New Roman"/>
          <w:sz w:val="28"/>
          <w:szCs w:val="28"/>
        </w:rPr>
      </w:pPr>
      <w:r w:rsidRPr="008817B5">
        <w:rPr>
          <w:rFonts w:ascii="Cambria" w:eastAsia="Times New Roman" w:hAnsi="Cambria" w:cs="Times New Roman"/>
          <w:sz w:val="28"/>
          <w:szCs w:val="28"/>
        </w:rPr>
        <w:lastRenderedPageBreak/>
        <w:t xml:space="preserve">Introduction </w:t>
      </w:r>
    </w:p>
    <w:p w:rsidR="008817B5" w:rsidRPr="008817B5" w:rsidRDefault="008817B5" w:rsidP="008817B5">
      <w:pPr>
        <w:tabs>
          <w:tab w:val="center" w:pos="4153"/>
          <w:tab w:val="right" w:pos="8306"/>
        </w:tabs>
        <w:spacing w:after="0" w:line="240" w:lineRule="auto"/>
        <w:jc w:val="center"/>
        <w:rPr>
          <w:rFonts w:ascii="Times New Roman" w:eastAsia="Times New Roman" w:hAnsi="Times New Roman" w:cs="Times New Roman"/>
          <w:i/>
          <w:iCs/>
          <w:sz w:val="28"/>
          <w:szCs w:val="28"/>
        </w:rPr>
      </w:pPr>
    </w:p>
    <w:p w:rsidR="008F0BF3" w:rsidRPr="008F0BF3" w:rsidRDefault="008F0BF3" w:rsidP="009F5CF5">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Notre travail comporte deux chapitres. Le premier est consacré à une analyse formelle afin de cerner respectivement l’univers, le temps, les personnages ainsi que le déroulement des actions dans l’ordre des faits. Par la suite, nous coderons le rôle du principal protagoniste, afin  d’opérer à un  agencement des évènements et des actions et faire la synthèse des rôles de l’intrigue. Ceci nous a permis d’éliminer toute information non évènementielle, mais aussi,  de mettre de côté toute information non fonctionnelle.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Dans le deuxième chapitre nous proposons un aperçu historique sur la genèse du roman historique afin de délimiter la composition et la conception de l’œuvre.</w:t>
      </w:r>
    </w:p>
    <w:p w:rsidR="008F0BF3" w:rsidRPr="008F0BF3" w:rsidRDefault="008F0BF3" w:rsidP="008F0BF3">
      <w:pPr>
        <w:spacing w:after="24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Enfin, une conclusion générale vient clore ce travail, dans laquelle nous avons fait ressortir les points forts de notre étude et proposer comment nous envisageons la suite à ce travail.</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b/>
          <w:bCs/>
          <w:sz w:val="24"/>
          <w:szCs w:val="24"/>
        </w:rPr>
        <w:t xml:space="preserve">Les écrits de l’auteur </w:t>
      </w:r>
      <w:r w:rsidRPr="008F0BF3">
        <w:rPr>
          <w:rFonts w:ascii="Times New Roman" w:eastAsia="Times New Roman" w:hAnsi="Times New Roman" w:cs="Times New Roman"/>
          <w:b/>
          <w:bCs/>
          <w:sz w:val="24"/>
          <w:szCs w:val="24"/>
          <w:vertAlign w:val="superscript"/>
        </w:rPr>
        <w:footnoteReference w:id="2"/>
      </w:r>
      <w:r w:rsidRPr="008F0BF3">
        <w:rPr>
          <w:rFonts w:ascii="Times New Roman" w:eastAsia="Times New Roman" w:hAnsi="Times New Roman" w:cs="Times New Roman"/>
          <w:b/>
          <w:bCs/>
          <w:sz w:val="24"/>
          <w:szCs w:val="24"/>
          <w:vertAlign w:val="superscript"/>
        </w:rPr>
        <w:t>,</w:t>
      </w:r>
      <w:r w:rsidRPr="008F0BF3">
        <w:rPr>
          <w:rFonts w:ascii="Times New Roman" w:eastAsia="Times New Roman" w:hAnsi="Times New Roman" w:cs="Times New Roman"/>
          <w:b/>
          <w:bCs/>
          <w:sz w:val="24"/>
          <w:szCs w:val="24"/>
          <w:vertAlign w:val="superscript"/>
        </w:rPr>
        <w:footnoteReference w:id="3"/>
      </w:r>
    </w:p>
    <w:p w:rsidR="008F0BF3" w:rsidRPr="008F0BF3" w:rsidRDefault="008F0BF3" w:rsidP="008F0BF3">
      <w:pPr>
        <w:spacing w:after="0" w:line="480" w:lineRule="auto"/>
        <w:jc w:val="both"/>
        <w:rPr>
          <w:rFonts w:ascii="Times New Roman" w:eastAsia="Times New Roman" w:hAnsi="Times New Roman" w:cs="Times New Roman"/>
          <w:b/>
          <w:bCs/>
          <w:sz w:val="24"/>
          <w:szCs w:val="24"/>
        </w:rPr>
      </w:pPr>
      <w:r w:rsidRPr="008F0BF3">
        <w:rPr>
          <w:rFonts w:ascii="Times New Roman" w:eastAsia="Times New Roman" w:hAnsi="Times New Roman" w:cs="Times New Roman"/>
          <w:sz w:val="24"/>
          <w:szCs w:val="24"/>
        </w:rPr>
        <w:t xml:space="preserve">      L’œuvre de Jean- Marie Gustave Le Clézio est vaste et multiple. L’auteur a publié plus d’une quarantaine </w:t>
      </w:r>
      <w:r w:rsidRPr="008F0BF3">
        <w:rPr>
          <w:rFonts w:ascii="Times New Roman" w:eastAsia="Times New Roman" w:hAnsi="Times New Roman" w:cs="Times New Roman"/>
          <w:bCs/>
          <w:sz w:val="24"/>
          <w:szCs w:val="24"/>
        </w:rPr>
        <w:t xml:space="preserve">de livres, dans divers genres littéraires : romans, nouvelles, essais, traductions de mythologie indienne, biographies, livres pour enfants, ainsi que d'innombrables préfaces, articles et quelques contributions à des ouvrages collectifs.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b/>
          <w:bCs/>
          <w:sz w:val="24"/>
          <w:szCs w:val="24"/>
        </w:rPr>
        <w:t xml:space="preserve">   </w:t>
      </w:r>
      <w:r w:rsidRPr="008F0BF3">
        <w:rPr>
          <w:rFonts w:ascii="Times New Roman" w:eastAsia="Times New Roman" w:hAnsi="Times New Roman" w:cs="Times New Roman"/>
          <w:sz w:val="24"/>
          <w:szCs w:val="24"/>
        </w:rPr>
        <w:t>L’ensemble de l’œuvre s’étale sur deux périodes distinctes : les années de révolte (1963-1973) dont les romans</w:t>
      </w:r>
      <w:r w:rsidRPr="008F0BF3">
        <w:rPr>
          <w:rFonts w:ascii="Times New Roman" w:eastAsia="Times New Roman" w:hAnsi="Times New Roman" w:cs="Times New Roman"/>
          <w:i/>
          <w:iCs/>
          <w:sz w:val="24"/>
          <w:szCs w:val="24"/>
        </w:rPr>
        <w:t xml:space="preserve"> </w:t>
      </w:r>
      <w:r w:rsidRPr="008F0BF3">
        <w:rPr>
          <w:rFonts w:ascii="Times New Roman" w:eastAsia="Times New Roman" w:hAnsi="Times New Roman" w:cs="Times New Roman"/>
          <w:sz w:val="24"/>
          <w:szCs w:val="24"/>
        </w:rPr>
        <w:t>se caractérisent par des scénarios qui retracent par moment une fuite devant l’imminence d’une catastrophe assimilée à la guerre et l’errance (</w:t>
      </w:r>
      <w:r w:rsidRPr="008F0BF3">
        <w:rPr>
          <w:rFonts w:ascii="Times New Roman" w:eastAsia="Times New Roman" w:hAnsi="Times New Roman" w:cs="Times New Roman"/>
          <w:i/>
          <w:iCs/>
          <w:sz w:val="24"/>
          <w:szCs w:val="24"/>
        </w:rPr>
        <w:t>Le Procès –Verbal</w:t>
      </w:r>
      <w:r w:rsidRPr="008F0BF3">
        <w:rPr>
          <w:rFonts w:ascii="Times New Roman" w:eastAsia="Times New Roman" w:hAnsi="Times New Roman" w:cs="Times New Roman"/>
          <w:sz w:val="24"/>
          <w:szCs w:val="24"/>
        </w:rPr>
        <w:t xml:space="preserve">, </w:t>
      </w:r>
      <w:r w:rsidRPr="008F0BF3">
        <w:rPr>
          <w:rFonts w:ascii="Times New Roman" w:eastAsia="Times New Roman" w:hAnsi="Times New Roman" w:cs="Times New Roman"/>
          <w:i/>
          <w:iCs/>
          <w:sz w:val="24"/>
          <w:szCs w:val="24"/>
        </w:rPr>
        <w:t>Le Déluge, Terra Amata, La Guerre</w:t>
      </w:r>
      <w:r w:rsidRPr="008F0BF3">
        <w:rPr>
          <w:rFonts w:ascii="Times New Roman" w:eastAsia="Times New Roman" w:hAnsi="Times New Roman" w:cs="Times New Roman"/>
          <w:sz w:val="24"/>
          <w:szCs w:val="24"/>
        </w:rPr>
        <w:t xml:space="preserve"> et surtout </w:t>
      </w:r>
      <w:r w:rsidRPr="008F0BF3">
        <w:rPr>
          <w:rFonts w:ascii="Times New Roman" w:eastAsia="Times New Roman" w:hAnsi="Times New Roman" w:cs="Times New Roman"/>
          <w:i/>
          <w:iCs/>
          <w:sz w:val="24"/>
          <w:szCs w:val="24"/>
        </w:rPr>
        <w:t>Le Livre des fuites</w:t>
      </w:r>
      <w:r w:rsidRPr="008F0BF3">
        <w:rPr>
          <w:rFonts w:ascii="Times New Roman" w:eastAsia="Times New Roman" w:hAnsi="Times New Roman" w:cs="Times New Roman"/>
          <w:sz w:val="24"/>
          <w:szCs w:val="24"/>
        </w:rPr>
        <w:t>). Les œuvres suivantes (</w:t>
      </w:r>
      <w:r w:rsidRPr="008F0BF3">
        <w:rPr>
          <w:rFonts w:ascii="Times New Roman" w:eastAsia="Times New Roman" w:hAnsi="Times New Roman" w:cs="Times New Roman"/>
          <w:i/>
          <w:iCs/>
          <w:sz w:val="24"/>
          <w:szCs w:val="24"/>
        </w:rPr>
        <w:t>Mydriase, Haï, Voyages de l’autre côté, Le Rêve mexicain, Mondo et autres histoires, L’inconnu sur la terre, Désert, Trois villes saintes, La Ronde et autres faits, Relation de Michoacán, Le Chercheur d’or, Voyage à Rodrigues, Le rêve mexicain, Printemps</w:t>
      </w:r>
      <w:r w:rsidRPr="008F0BF3">
        <w:rPr>
          <w:rFonts w:ascii="Times New Roman" w:eastAsia="Times New Roman" w:hAnsi="Times New Roman" w:cs="Times New Roman"/>
          <w:sz w:val="24"/>
          <w:szCs w:val="24"/>
        </w:rPr>
        <w:t xml:space="preserve">,..) témoignent d’un tournant progressif dans l’écriture Le Clézienne. En effet, la rencontre de la </w:t>
      </w:r>
    </w:p>
    <w:p w:rsidR="00307426" w:rsidRPr="00307426" w:rsidRDefault="00307426" w:rsidP="00307426">
      <w:pPr>
        <w:spacing w:after="0" w:line="240" w:lineRule="auto"/>
        <w:rPr>
          <w:rFonts w:ascii="Times New Roman" w:eastAsia="Times New Roman" w:hAnsi="Times New Roman" w:cs="Times New Roman"/>
          <w:sz w:val="28"/>
          <w:szCs w:val="28"/>
        </w:rPr>
      </w:pPr>
    </w:p>
    <w:p w:rsidR="00307426" w:rsidRPr="00307426" w:rsidRDefault="00307426" w:rsidP="00307426">
      <w:pPr>
        <w:tabs>
          <w:tab w:val="left" w:pos="8364"/>
        </w:tabs>
        <w:spacing w:after="0"/>
        <w:jc w:val="both"/>
        <w:rPr>
          <w:rFonts w:ascii="Times New Roman" w:eastAsia="Times New Roman" w:hAnsi="Times New Roman" w:cs="Times New Roman"/>
          <w:bCs/>
          <w:sz w:val="28"/>
          <w:szCs w:val="28"/>
        </w:rPr>
      </w:pPr>
    </w:p>
    <w:p w:rsidR="008F0BF3" w:rsidRPr="008F0BF3" w:rsidRDefault="008F0BF3" w:rsidP="008F0BF3">
      <w:pPr>
        <w:pBdr>
          <w:bottom w:val="thickThinSmallGap" w:sz="24" w:space="1" w:color="622423"/>
        </w:pBdr>
        <w:tabs>
          <w:tab w:val="center" w:pos="4153"/>
          <w:tab w:val="right" w:pos="8306"/>
        </w:tabs>
        <w:spacing w:after="0" w:line="240" w:lineRule="auto"/>
        <w:jc w:val="center"/>
        <w:rPr>
          <w:rFonts w:ascii="Cambria" w:eastAsia="Times New Roman" w:hAnsi="Cambria" w:cs="Times New Roman"/>
          <w:sz w:val="28"/>
          <w:szCs w:val="28"/>
        </w:rPr>
      </w:pPr>
      <w:r w:rsidRPr="008F0BF3">
        <w:rPr>
          <w:rFonts w:ascii="Cambria" w:eastAsia="Times New Roman" w:hAnsi="Cambria" w:cs="Times New Roman"/>
          <w:sz w:val="28"/>
          <w:szCs w:val="28"/>
        </w:rPr>
        <w:t xml:space="preserve">Introduction </w:t>
      </w:r>
    </w:p>
    <w:p w:rsidR="008F0BF3" w:rsidRPr="008F0BF3" w:rsidRDefault="008F0BF3" w:rsidP="008F0BF3">
      <w:pPr>
        <w:tabs>
          <w:tab w:val="center" w:pos="4153"/>
          <w:tab w:val="right" w:pos="8306"/>
        </w:tabs>
        <w:spacing w:after="0" w:line="240" w:lineRule="auto"/>
        <w:jc w:val="center"/>
        <w:rPr>
          <w:rFonts w:ascii="Times New Roman" w:eastAsia="Times New Roman" w:hAnsi="Times New Roman" w:cs="Times New Roman"/>
          <w:i/>
          <w:iCs/>
          <w:sz w:val="28"/>
          <w:szCs w:val="28"/>
        </w:rPr>
      </w:pPr>
    </w:p>
    <w:p w:rsidR="00617330" w:rsidRDefault="00617330" w:rsidP="008F0BF3">
      <w:pPr>
        <w:spacing w:after="0" w:line="480" w:lineRule="auto"/>
        <w:jc w:val="both"/>
        <w:rPr>
          <w:rFonts w:ascii="Times New Roman" w:eastAsia="Times New Roman" w:hAnsi="Times New Roman" w:cs="Times New Roman"/>
          <w:sz w:val="24"/>
          <w:szCs w:val="24"/>
        </w:rPr>
      </w:pPr>
    </w:p>
    <w:p w:rsidR="008F0BF3" w:rsidRPr="008F0BF3" w:rsidRDefault="008F0BF3" w:rsidP="008F0BF3">
      <w:pPr>
        <w:spacing w:after="0" w:line="480" w:lineRule="auto"/>
        <w:jc w:val="both"/>
        <w:rPr>
          <w:rFonts w:ascii="Times New Roman" w:eastAsia="Times New Roman" w:hAnsi="Times New Roman" w:cs="Times New Roman"/>
          <w:b/>
          <w:bCs/>
          <w:sz w:val="24"/>
          <w:szCs w:val="24"/>
        </w:rPr>
      </w:pPr>
      <w:r w:rsidRPr="008F0BF3">
        <w:rPr>
          <w:rFonts w:ascii="Times New Roman" w:eastAsia="Times New Roman" w:hAnsi="Times New Roman" w:cs="Times New Roman"/>
          <w:sz w:val="24"/>
          <w:szCs w:val="24"/>
        </w:rPr>
        <w:t xml:space="preserve">civilisation amérindienne a contribué à lénifier son écriture. Ceci dit, il place le héros proche d’une pureté originelle afin d’approcher une vérité spirituelle.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Par ailleurs,  ses romans témoignent de son  mépris pour la notion du  genre littéraire. Tout compte fait, ses écrits intègrent des formes d’écriture non romanesque : poèmes, dessins, collages, textes de publicité, caricature etc.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Son écriture est  simple. Elle est chargée de sens, de couleurs, de chaleur, de beauté et d'émotions. Plutôt,  des phrases limpides et denses. Il embarque le lecteur d'un bout à l'autre du monde, dans l'errance. L’auteur</w:t>
      </w:r>
      <w:r w:rsidRPr="008F0BF3">
        <w:rPr>
          <w:rFonts w:ascii="Times New Roman" w:eastAsia="Times New Roman" w:hAnsi="Times New Roman" w:cs="Times New Roman"/>
          <w:b/>
          <w:sz w:val="24"/>
          <w:szCs w:val="24"/>
        </w:rPr>
        <w:t xml:space="preserve"> </w:t>
      </w:r>
      <w:r w:rsidRPr="008F0BF3">
        <w:rPr>
          <w:rFonts w:ascii="Times New Roman" w:eastAsia="Times New Roman" w:hAnsi="Times New Roman" w:cs="Times New Roman"/>
          <w:sz w:val="24"/>
          <w:szCs w:val="24"/>
        </w:rPr>
        <w:t>des désillusions est un homme libre, un écrivain qui dénonce, combat, et provoque. La question centrale que l'œuvre le clézienne pose, et qui lui a valut enfin le Nobel,  est : comment penser la diversité et la mondialité sans rompre l'unité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Ceci dit, notre étude est une approche qui appréhende cette forme d’écriture aussi, notre choix s’est porté sur le prix Nobel (2008) </w:t>
      </w:r>
      <w:r w:rsidRPr="008F0BF3">
        <w:rPr>
          <w:rFonts w:ascii="Times New Roman" w:eastAsia="Times New Roman" w:hAnsi="Times New Roman" w:cs="Times New Roman"/>
          <w:i/>
          <w:iCs/>
          <w:sz w:val="24"/>
          <w:szCs w:val="24"/>
        </w:rPr>
        <w:t>Ritournelle de la faim</w:t>
      </w:r>
      <w:r w:rsidRPr="008F0BF3">
        <w:rPr>
          <w:rFonts w:ascii="Times New Roman" w:eastAsia="Times New Roman" w:hAnsi="Times New Roman" w:cs="Times New Roman"/>
          <w:sz w:val="24"/>
          <w:szCs w:val="24"/>
        </w:rPr>
        <w:t xml:space="preserve">, dans laquelle l’écrivain revient vers ses origines et  explore la mémoire de sa mère. </w:t>
      </w:r>
    </w:p>
    <w:p w:rsidR="008F0BF3" w:rsidRPr="008F0BF3" w:rsidRDefault="008F0BF3" w:rsidP="008F0BF3">
      <w:pPr>
        <w:spacing w:after="0" w:line="480" w:lineRule="auto"/>
        <w:jc w:val="both"/>
        <w:rPr>
          <w:rFonts w:ascii="Times New Roman" w:eastAsia="Times New Roman" w:hAnsi="Times New Roman" w:cs="Times New Roman"/>
          <w:sz w:val="24"/>
          <w:szCs w:val="24"/>
        </w:rPr>
      </w:pPr>
      <w:r w:rsidRPr="008F0BF3">
        <w:rPr>
          <w:rFonts w:ascii="Times New Roman" w:eastAsia="Times New Roman" w:hAnsi="Times New Roman" w:cs="Times New Roman"/>
          <w:sz w:val="24"/>
          <w:szCs w:val="24"/>
        </w:rPr>
        <w:t xml:space="preserve">   La première caractéristique du roman est d’être une œuvre où le lecteur retrouve une formulation sereine et une technique narrative simple. La  voix narrative narre la vie d’une femme. Elle  retrace son itinéraire datant de 1931 à 1945. Elle renferme une vie de quinze ans, dont les épisodes narratifs sont ponctués de repères : géographiques (Paris et Nice), et historiques (l’entre -deux -guerres et la deuxième guerre mondiale). Une réponse à l'énigme des origines et de l'avenir. Elle puise dans la mémoire et lutte contre l'oubli. « L’écriture est la forme parfaite du temps</w:t>
      </w:r>
      <w:r w:rsidRPr="008F0BF3">
        <w:rPr>
          <w:rFonts w:ascii="Times New Roman" w:eastAsia="Times New Roman" w:hAnsi="Times New Roman" w:cs="Times New Roman"/>
          <w:sz w:val="24"/>
          <w:szCs w:val="24"/>
          <w:vertAlign w:val="superscript"/>
        </w:rPr>
        <w:footnoteReference w:id="4"/>
      </w:r>
      <w:r w:rsidRPr="008F0BF3">
        <w:rPr>
          <w:rFonts w:ascii="Times New Roman" w:eastAsia="Times New Roman" w:hAnsi="Times New Roman" w:cs="Times New Roman"/>
          <w:sz w:val="24"/>
          <w:szCs w:val="24"/>
        </w:rPr>
        <w:t xml:space="preserve"> »</w:t>
      </w:r>
    </w:p>
    <w:p w:rsidR="008F0BF3" w:rsidRPr="008F0BF3" w:rsidRDefault="008F0BF3" w:rsidP="008F0BF3">
      <w:pPr>
        <w:spacing w:after="0" w:line="240" w:lineRule="auto"/>
        <w:jc w:val="both"/>
        <w:rPr>
          <w:rFonts w:ascii="Times New Roman" w:eastAsia="Times New Roman" w:hAnsi="Times New Roman" w:cs="Times New Roman"/>
          <w:sz w:val="24"/>
          <w:szCs w:val="24"/>
        </w:rPr>
      </w:pPr>
    </w:p>
    <w:p w:rsidR="008F0BF3" w:rsidRPr="008F0BF3" w:rsidRDefault="008F0BF3" w:rsidP="008F0BF3">
      <w:pPr>
        <w:spacing w:after="0" w:line="480" w:lineRule="auto"/>
        <w:jc w:val="both"/>
        <w:rPr>
          <w:rFonts w:ascii="Times New Roman" w:eastAsia="Times New Roman" w:hAnsi="Times New Roman" w:cs="Times New Roman"/>
          <w:sz w:val="24"/>
          <w:szCs w:val="24"/>
        </w:rPr>
      </w:pPr>
    </w:p>
    <w:p w:rsidR="008F0BF3" w:rsidRPr="008F0BF3" w:rsidRDefault="008F0BF3" w:rsidP="008F0BF3">
      <w:pPr>
        <w:spacing w:after="0" w:line="480" w:lineRule="auto"/>
        <w:jc w:val="both"/>
        <w:rPr>
          <w:rFonts w:ascii="Times New Roman" w:eastAsia="Times New Roman" w:hAnsi="Times New Roman" w:cs="Times New Roman"/>
          <w:sz w:val="24"/>
          <w:szCs w:val="24"/>
        </w:rPr>
      </w:pPr>
    </w:p>
    <w:p w:rsidR="008F0BF3" w:rsidRPr="008F0BF3" w:rsidRDefault="008F0BF3" w:rsidP="008F0BF3">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F0BF3">
        <w:rPr>
          <w:rFonts w:ascii="Times New Roman" w:eastAsia="Times New Roman" w:hAnsi="Times New Roman" w:cs="Times New Roman"/>
          <w:sz w:val="28"/>
          <w:szCs w:val="28"/>
          <w:lang w:eastAsia="en-US"/>
        </w:rPr>
        <w:lastRenderedPageBreak/>
        <w:t>Chapitre I : analyse formelle</w:t>
      </w:r>
    </w:p>
    <w:p w:rsidR="008F0BF3" w:rsidRPr="008F0BF3" w:rsidRDefault="008F0BF3" w:rsidP="008F0BF3">
      <w:pPr>
        <w:tabs>
          <w:tab w:val="center" w:pos="4536"/>
          <w:tab w:val="right" w:pos="9072"/>
        </w:tabs>
        <w:spacing w:line="480" w:lineRule="auto"/>
        <w:jc w:val="center"/>
        <w:rPr>
          <w:rFonts w:ascii="Times New Roman" w:eastAsia="Calibri" w:hAnsi="Times New Roman" w:cs="Times New Roman"/>
          <w:sz w:val="24"/>
          <w:szCs w:val="24"/>
          <w:lang w:eastAsia="en-US"/>
        </w:rPr>
      </w:pPr>
    </w:p>
    <w:p w:rsidR="008F0BF3" w:rsidRPr="008F0BF3" w:rsidRDefault="008F0BF3" w:rsidP="008F0BF3">
      <w:pPr>
        <w:spacing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Le récit insère dans sa trame un certain nombre d’informations qui sont concevables dans leur ensemble comme pré-texte au récit Historique. Ainsi, dans un premier temps une analyse narratologique permettra de cerner le cadre géographique et historique, et les déterminations concrètes des personnages (le sexe, la race, la condition sociale, le degré de parenté), ainsi que les thématiques investis dans leurs rôles. Ensuite, nous coderons les rôles afin d’opérer à un agencement des évènements et des actions. </w:t>
      </w:r>
    </w:p>
    <w:p w:rsidR="008F0BF3" w:rsidRPr="008F0BF3" w:rsidRDefault="008F0BF3" w:rsidP="008F0BF3">
      <w:pPr>
        <w:spacing w:after="0" w:line="480" w:lineRule="auto"/>
        <w:jc w:val="both"/>
        <w:rPr>
          <w:rFonts w:ascii="Times New Roman" w:eastAsia="Calibri" w:hAnsi="Times New Roman" w:cs="Times New Roman"/>
          <w:b/>
          <w:bCs/>
          <w:sz w:val="24"/>
          <w:szCs w:val="24"/>
          <w:lang w:eastAsia="en-US"/>
        </w:rPr>
      </w:pPr>
      <w:r w:rsidRPr="008F0BF3">
        <w:rPr>
          <w:rFonts w:ascii="Times New Roman" w:eastAsia="Calibri" w:hAnsi="Times New Roman" w:cs="Times New Roman"/>
          <w:b/>
          <w:bCs/>
          <w:sz w:val="24"/>
          <w:szCs w:val="24"/>
          <w:lang w:eastAsia="en-US"/>
        </w:rPr>
        <w:t xml:space="preserve">I.1 Le paratexte </w:t>
      </w:r>
    </w:p>
    <w:p w:rsidR="008F0BF3" w:rsidRPr="008F0BF3" w:rsidRDefault="008F0BF3" w:rsidP="008F0BF3">
      <w:pPr>
        <w:spacing w:after="0" w:line="480" w:lineRule="auto"/>
        <w:jc w:val="both"/>
        <w:rPr>
          <w:rFonts w:ascii="Times New Roman" w:eastAsia="Calibri" w:hAnsi="Times New Roman" w:cs="Times New Roman"/>
          <w:b/>
          <w:bCs/>
          <w:sz w:val="24"/>
          <w:szCs w:val="24"/>
          <w:lang w:eastAsia="en-US"/>
        </w:rPr>
      </w:pPr>
      <w:r w:rsidRPr="008F0BF3">
        <w:rPr>
          <w:rFonts w:ascii="Times New Roman" w:eastAsia="Calibri" w:hAnsi="Times New Roman" w:cs="Times New Roman"/>
          <w:b/>
          <w:bCs/>
          <w:sz w:val="24"/>
          <w:szCs w:val="24"/>
          <w:lang w:eastAsia="en-US"/>
        </w:rPr>
        <w:t xml:space="preserve">I.1.1 titrologie </w:t>
      </w:r>
    </w:p>
    <w:p w:rsidR="008F0BF3" w:rsidRPr="008F0BF3" w:rsidRDefault="008F0BF3" w:rsidP="008F0BF3">
      <w:pPr>
        <w:spacing w:after="0"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Le titre renferme la thématique d’une dramatique faim qui s’est produite à deux reprises dans l’Histoire de France. Celle de 1870 et celle de 1940.  Deux évènements à un siècle d’intervalle, qui interpellent les mêmes facteurs et les mêmes agents responsables des faits. </w:t>
      </w:r>
    </w:p>
    <w:p w:rsidR="008F0BF3" w:rsidRPr="008F0BF3" w:rsidRDefault="008F0BF3" w:rsidP="008F0BF3">
      <w:pPr>
        <w:spacing w:after="0"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En fait, grâce à la recherche sur l’épigraphe de Rimbaud « la fête de la Faim</w:t>
      </w:r>
      <w:r w:rsidRPr="008F0BF3">
        <w:rPr>
          <w:rFonts w:ascii="Times New Roman" w:eastAsia="Calibri" w:hAnsi="Times New Roman" w:cs="Times New Roman"/>
          <w:i/>
          <w:sz w:val="24"/>
          <w:szCs w:val="24"/>
          <w:lang w:eastAsia="en-US"/>
        </w:rPr>
        <w:t> » que</w:t>
      </w:r>
      <w:r w:rsidRPr="008F0BF3">
        <w:rPr>
          <w:rFonts w:ascii="Times New Roman" w:eastAsia="Calibri" w:hAnsi="Times New Roman" w:cs="Times New Roman"/>
          <w:sz w:val="24"/>
          <w:szCs w:val="24"/>
          <w:lang w:eastAsia="en-US"/>
        </w:rPr>
        <w:t xml:space="preserve"> nous avons pu dégager le lien qui existe entre les deux évènements et la titrologie. En effet, Le poème fait allusion à l’hiver, 1870 - 1871, du temps du siège de Paris par les Prusses</w:t>
      </w:r>
      <w:r w:rsidRPr="008F0BF3">
        <w:rPr>
          <w:rFonts w:ascii="Times New Roman" w:eastAsia="Calibri" w:hAnsi="Times New Roman" w:cs="Times New Roman"/>
          <w:sz w:val="24"/>
          <w:szCs w:val="24"/>
          <w:vertAlign w:val="superscript"/>
          <w:lang w:eastAsia="en-US"/>
        </w:rPr>
        <w:footnoteReference w:id="5"/>
      </w:r>
      <w:r w:rsidRPr="008F0BF3">
        <w:rPr>
          <w:rFonts w:ascii="Times New Roman" w:eastAsia="Calibri" w:hAnsi="Times New Roman" w:cs="Times New Roman"/>
          <w:sz w:val="24"/>
          <w:szCs w:val="24"/>
          <w:lang w:eastAsia="en-US"/>
        </w:rPr>
        <w:t>. La signature de l’armistice du 28 janvier 1871, avec Bismark a donné lieu à « la semaine sanglante »</w:t>
      </w:r>
      <w:r w:rsidRPr="008F0BF3">
        <w:rPr>
          <w:rFonts w:ascii="Times New Roman" w:eastAsia="Calibri" w:hAnsi="Times New Roman" w:cs="Times New Roman"/>
          <w:sz w:val="24"/>
          <w:szCs w:val="24"/>
          <w:vertAlign w:val="superscript"/>
          <w:lang w:eastAsia="en-US"/>
        </w:rPr>
        <w:footnoteReference w:id="6"/>
      </w:r>
      <w:r w:rsidRPr="008F0BF3">
        <w:rPr>
          <w:rFonts w:ascii="Times New Roman" w:eastAsia="Calibri" w:hAnsi="Times New Roman" w:cs="Times New Roman"/>
          <w:sz w:val="24"/>
          <w:szCs w:val="24"/>
          <w:lang w:eastAsia="en-US"/>
        </w:rPr>
        <w:t xml:space="preserve"> entre les Communard et les Versaillais. Une guerre civile, où les gens s’étaient entretués et presque tout Paris a été incendié. La ville fut réduite en cendre, et les esprits fussent marqués par une grande famine. </w:t>
      </w:r>
    </w:p>
    <w:p w:rsidR="008F0BF3" w:rsidRDefault="008F0BF3" w:rsidP="008F0BF3">
      <w:pPr>
        <w:jc w:val="both"/>
        <w:rPr>
          <w:rFonts w:ascii="Times New Roman" w:hAnsi="Times New Roman" w:cs="Times New Roman"/>
          <w:sz w:val="24"/>
          <w:szCs w:val="24"/>
          <w:lang w:bidi="ar-DZ"/>
        </w:rPr>
      </w:pPr>
    </w:p>
    <w:p w:rsidR="008F0BF3" w:rsidRDefault="008F0BF3">
      <w:pPr>
        <w:rPr>
          <w:rFonts w:ascii="Times New Roman" w:hAnsi="Times New Roman" w:cs="Times New Roman"/>
          <w:sz w:val="24"/>
          <w:szCs w:val="24"/>
          <w:lang w:bidi="ar-DZ"/>
        </w:rPr>
      </w:pPr>
      <w:r>
        <w:rPr>
          <w:rFonts w:ascii="Times New Roman" w:hAnsi="Times New Roman" w:cs="Times New Roman"/>
          <w:sz w:val="24"/>
          <w:szCs w:val="24"/>
          <w:lang w:bidi="ar-DZ"/>
        </w:rPr>
        <w:br w:type="page"/>
      </w:r>
    </w:p>
    <w:p w:rsidR="008F0BF3" w:rsidRPr="008F0BF3" w:rsidRDefault="008F0BF3" w:rsidP="008F0BF3">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F0BF3">
        <w:rPr>
          <w:rFonts w:ascii="Times New Roman" w:eastAsia="Times New Roman" w:hAnsi="Times New Roman" w:cs="Times New Roman"/>
          <w:sz w:val="28"/>
          <w:szCs w:val="28"/>
          <w:lang w:eastAsia="en-US"/>
        </w:rPr>
        <w:lastRenderedPageBreak/>
        <w:t>Chapitre I : analyse formelle</w:t>
      </w:r>
    </w:p>
    <w:p w:rsidR="008F0BF3" w:rsidRPr="008F0BF3" w:rsidRDefault="008F0BF3" w:rsidP="008F0BF3">
      <w:pPr>
        <w:tabs>
          <w:tab w:val="center" w:pos="4536"/>
          <w:tab w:val="right" w:pos="9072"/>
        </w:tabs>
        <w:spacing w:line="480" w:lineRule="auto"/>
        <w:jc w:val="center"/>
        <w:rPr>
          <w:rFonts w:ascii="Times New Roman" w:eastAsia="Calibri" w:hAnsi="Times New Roman" w:cs="Times New Roman"/>
          <w:sz w:val="24"/>
          <w:szCs w:val="24"/>
          <w:lang w:eastAsia="en-US"/>
        </w:rPr>
      </w:pPr>
    </w:p>
    <w:p w:rsidR="008F0BF3" w:rsidRPr="008F0BF3" w:rsidRDefault="008F0BF3" w:rsidP="008F0BF3">
      <w:pPr>
        <w:spacing w:after="0"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Un siècle après, soit le 22 Juin 1940, la signature de l’armistice franco-allemande, avait fait ressusciter le spectre de cette période. Les conditions hivernales, et les clauses de l’occupation, affamèrent la population. Les gens avaient tellement faim (voir annexe I)  qu’ils étaient prés à toutes les ignominies afin d’assouvir leur manque.</w:t>
      </w:r>
    </w:p>
    <w:p w:rsidR="008F0BF3" w:rsidRPr="008F0BF3" w:rsidRDefault="008F0BF3" w:rsidP="008F0BF3">
      <w:pPr>
        <w:spacing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Ceci dit, </w:t>
      </w:r>
      <w:r w:rsidRPr="008F0BF3">
        <w:rPr>
          <w:rFonts w:ascii="Times New Roman" w:eastAsia="Calibri" w:hAnsi="Times New Roman" w:cs="Times New Roman"/>
          <w:i/>
          <w:sz w:val="24"/>
          <w:szCs w:val="24"/>
          <w:lang w:eastAsia="en-US"/>
        </w:rPr>
        <w:t>Ritournelle de la faim</w:t>
      </w:r>
      <w:r w:rsidRPr="008F0BF3">
        <w:rPr>
          <w:rFonts w:ascii="Times New Roman" w:eastAsia="Calibri" w:hAnsi="Times New Roman" w:cs="Times New Roman"/>
          <w:sz w:val="24"/>
          <w:szCs w:val="24"/>
          <w:lang w:eastAsia="en-US"/>
        </w:rPr>
        <w:t xml:space="preserve">, renvoie aux deux grands évènements historiques de l’histoire de l’humanité. </w:t>
      </w:r>
    </w:p>
    <w:p w:rsidR="008F0BF3" w:rsidRPr="008F0BF3" w:rsidRDefault="008F0BF3" w:rsidP="008F0BF3">
      <w:pPr>
        <w:spacing w:after="0"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b/>
          <w:bCs/>
          <w:sz w:val="24"/>
          <w:szCs w:val="24"/>
          <w:lang w:eastAsia="en-US"/>
        </w:rPr>
        <w:t xml:space="preserve">I.1.2 Sous-titres  </w:t>
      </w:r>
    </w:p>
    <w:p w:rsidR="008F0BF3" w:rsidRPr="008F0BF3" w:rsidRDefault="008F0BF3" w:rsidP="008F0BF3">
      <w:pPr>
        <w:spacing w:after="0" w:line="480" w:lineRule="auto"/>
        <w:jc w:val="both"/>
        <w:rPr>
          <w:rFonts w:ascii="Times New Roman" w:eastAsia="Calibri" w:hAnsi="Times New Roman" w:cs="Times New Roman"/>
          <w:sz w:val="28"/>
          <w:szCs w:val="28"/>
          <w:lang w:eastAsia="en-US"/>
        </w:rPr>
      </w:pPr>
      <w:r w:rsidRPr="008F0BF3">
        <w:rPr>
          <w:rFonts w:ascii="Times New Roman" w:eastAsia="Calibri" w:hAnsi="Times New Roman" w:cs="Times New Roman"/>
          <w:sz w:val="28"/>
          <w:szCs w:val="28"/>
          <w:lang w:eastAsia="en-US"/>
        </w:rPr>
        <w:t xml:space="preserve">   </w:t>
      </w:r>
      <w:r w:rsidRPr="008F0BF3">
        <w:rPr>
          <w:rFonts w:ascii="Times New Roman" w:eastAsia="Calibri" w:hAnsi="Times New Roman" w:cs="Times New Roman"/>
          <w:sz w:val="24"/>
          <w:szCs w:val="24"/>
          <w:lang w:eastAsia="en-US"/>
        </w:rPr>
        <w:t xml:space="preserve">Ils apparaissent respectivement dans l’ordre linéaire des segments temporels, et ils prennent l’apparence de séquences.  </w:t>
      </w:r>
    </w:p>
    <w:p w:rsidR="008F0BF3" w:rsidRPr="008F0BF3" w:rsidRDefault="008F0BF3" w:rsidP="008F0BF3">
      <w:pPr>
        <w:spacing w:after="0" w:line="48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Dans le premier chapitre intitulé : « LA MAISON MAUVE », on retrouve les sous titres suivants : « Ethel », « Xénia », « Conversations de salon », « Les Choses se sont précipitées… », « Conversations de salon (suite) », « Toujours le même bruit ». Ce sont des évènements qui mettent en avant le décor de la fiction. En effet l’auteur s’attarde sur l’organisation du décor et des principaux protagonistes pour nous habituer aux mœurs et aux coutumes de l’environnement interne du récit. Il nous convie à une parfaite immersion dans le temps de la fiction.  De fil en aiguille nous vivons un temps  de joie et d’insouciance à travers les habitudes, les agissements, et les dires d’une micro société bourgeoise, résidante dans un quartier de luxe (le quatorzième et le quinzième arrondissement.) puis, tout d’un coup, comme un coup de théâtre, la fiction s’interrompe dans  «  Les Choses se sont précipitées », ensuite, le récit revient pour rajouter d’autres évènements dans « Conversations de salon ».</w:t>
      </w:r>
    </w:p>
    <w:p w:rsidR="00545548" w:rsidRDefault="008F0BF3" w:rsidP="00545548">
      <w:pPr>
        <w:spacing w:line="360" w:lineRule="auto"/>
        <w:jc w:val="both"/>
        <w:rPr>
          <w:rFonts w:ascii="Times New Roman" w:eastAsia="Calibri" w:hAnsi="Times New Roman" w:cs="Times New Roman"/>
          <w:sz w:val="24"/>
          <w:szCs w:val="24"/>
          <w:lang w:eastAsia="en-US"/>
        </w:rPr>
      </w:pPr>
      <w:r w:rsidRPr="008F0BF3">
        <w:rPr>
          <w:rFonts w:ascii="Times New Roman" w:eastAsia="Calibri" w:hAnsi="Times New Roman" w:cs="Times New Roman"/>
          <w:sz w:val="24"/>
          <w:szCs w:val="24"/>
          <w:lang w:eastAsia="en-US"/>
        </w:rPr>
        <w:t xml:space="preserve">   Le deuxième chapitre, « LA CHUTE », ne comporte que deux sous titres : « La Chute », un prédicat qualificatif qui incarne la situation financière de la famille, et « Le Pouldu »</w:t>
      </w:r>
      <w:r>
        <w:rPr>
          <w:rFonts w:ascii="Times New Roman" w:eastAsia="Calibri" w:hAnsi="Times New Roman" w:cs="Times New Roman"/>
          <w:sz w:val="24"/>
          <w:szCs w:val="24"/>
          <w:lang w:eastAsia="en-US"/>
        </w:rPr>
        <w:t xml:space="preserve"> un</w:t>
      </w:r>
    </w:p>
    <w:p w:rsidR="00545548" w:rsidRDefault="0054554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45548" w:rsidRPr="00545548" w:rsidRDefault="00545548" w:rsidP="00545548">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45548">
        <w:rPr>
          <w:rFonts w:ascii="Times New Roman" w:eastAsia="Times New Roman" w:hAnsi="Times New Roman" w:cs="Times New Roman"/>
          <w:sz w:val="28"/>
          <w:szCs w:val="28"/>
          <w:lang w:eastAsia="en-US"/>
        </w:rPr>
        <w:lastRenderedPageBreak/>
        <w:t>Chapitre I : analyse formelle</w:t>
      </w:r>
    </w:p>
    <w:p w:rsidR="00545548" w:rsidRPr="00545548" w:rsidRDefault="00545548" w:rsidP="00545548">
      <w:pPr>
        <w:tabs>
          <w:tab w:val="center" w:pos="4536"/>
          <w:tab w:val="right" w:pos="9072"/>
        </w:tabs>
        <w:spacing w:line="480" w:lineRule="auto"/>
        <w:jc w:val="center"/>
        <w:rPr>
          <w:rFonts w:ascii="Times New Roman" w:eastAsia="Calibri" w:hAnsi="Times New Roman" w:cs="Times New Roman"/>
          <w:sz w:val="24"/>
          <w:szCs w:val="24"/>
          <w:lang w:eastAsia="en-US"/>
        </w:rPr>
      </w:pPr>
    </w:p>
    <w:p w:rsidR="00545548" w:rsidRPr="00545548" w:rsidRDefault="00545548" w:rsidP="00545548">
      <w:pPr>
        <w:spacing w:after="0"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entracte marqué par le récit pour reprendre les actes du premier chapitre et faire le bilan de toute une vie passée, afin de mieux saisir les causes de la faillite de la famille. </w:t>
      </w:r>
    </w:p>
    <w:p w:rsidR="00545548" w:rsidRPr="00545548" w:rsidRDefault="00545548" w:rsidP="00545548">
      <w:pPr>
        <w:spacing w:after="0"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   Le troisième chapitre, « LE SILENCE », renferme les sous-titres suivants : « Le Silence » qui jouit de deux visées. A la fois, la faillite de la famille et son expulsion, et l’occupation du pays. Deux grands désastres dans l’existence de l’humanité. Juste après, c’est une date qui entre en scène « 1942 » une date à la fois très éloquente dans l’histoire de la deuxième guerre mondiale, et dont l’auteur s’en sert pour que le lecteur puisse saisir toute l’ampleur de la situation de la famille condamnée à l’errance et l’exode. En effet, ce sont les conséquences de cette année qui sont décrites à travers les deux sous-titres qui suivent « La Faim » et « Ils sont partis à l’aube » La part de la fiction du troisième chapitre se termine par la séquence intitulée « Adieu » dans laquelle l’héroïne fait ses adieux à son propre passé, se détache de sa vie antérieure et choisit une vie dans l’anonymat et la neutralité. C’est ainsi, qu’elle donne la parole et l’accès à l’auteur dans la dernière séquence « Aujourd’hui » à travers laquelle, il n’hésite pas à nous mettre sur la voie des confidences de sa mère et de ses propres souvenirs.</w:t>
      </w:r>
    </w:p>
    <w:p w:rsidR="00545548" w:rsidRDefault="00545548" w:rsidP="00545548">
      <w:pPr>
        <w:spacing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   Chaque chapitre entretient une relation étroite avec ses sous-titres. Ainsi le premier met en scène le décor et l’ambiance d’un temps, à travers les tenues vestimentaires des personnages, les meubles, l’architecture, et les mœurs. Le deuxième chapitre est un temps mort / un temps de pause ; une pure invention de l’auteur pour étudier les répercussions psychologiques du premier chapitre sur la vie des personnages (c’est une caractéristique très importante du roman réaliste). Le troisième chapitre est l’Histoire entre 1940 et 1945. Un chapitre qui rompt avec la fiction et dresse le tapis rouge au récit historique et récit sociétal. Il est la conséquence directe du premier chapitre. D’ailleurs il représente les états d’âmes du personnage principal,</w:t>
      </w:r>
    </w:p>
    <w:p w:rsidR="00545548" w:rsidRDefault="0054554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45548" w:rsidRPr="00545548" w:rsidRDefault="00545548" w:rsidP="00545548">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45548">
        <w:rPr>
          <w:rFonts w:ascii="Times New Roman" w:eastAsia="Times New Roman" w:hAnsi="Times New Roman" w:cs="Times New Roman"/>
          <w:sz w:val="28"/>
          <w:szCs w:val="28"/>
          <w:lang w:eastAsia="en-US"/>
        </w:rPr>
        <w:lastRenderedPageBreak/>
        <w:t>Chapitre I : analyse formelle</w:t>
      </w:r>
    </w:p>
    <w:p w:rsidR="00545548" w:rsidRPr="00545548" w:rsidRDefault="00545548" w:rsidP="00545548">
      <w:pPr>
        <w:tabs>
          <w:tab w:val="center" w:pos="4536"/>
          <w:tab w:val="right" w:pos="9072"/>
        </w:tabs>
        <w:spacing w:line="480" w:lineRule="auto"/>
        <w:jc w:val="center"/>
        <w:rPr>
          <w:rFonts w:ascii="Times New Roman" w:eastAsia="Calibri" w:hAnsi="Times New Roman" w:cs="Times New Roman"/>
          <w:sz w:val="24"/>
          <w:szCs w:val="24"/>
          <w:lang w:eastAsia="en-US"/>
        </w:rPr>
      </w:pPr>
    </w:p>
    <w:p w:rsidR="00545548" w:rsidRPr="00545548" w:rsidRDefault="00545548" w:rsidP="00545548">
      <w:pPr>
        <w:spacing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ses réflexions, ses hésitations, ses peurs, et ses angoisses intercalés par les lois du journal officiel, du mois de juin 1941, 1942. Ainsi que tout le quotidien français de la zone non-occupée durant l’occupation allemande. </w:t>
      </w:r>
    </w:p>
    <w:p w:rsidR="00545548" w:rsidRPr="00545548" w:rsidRDefault="00545548" w:rsidP="00545548">
      <w:pPr>
        <w:spacing w:after="0" w:line="480" w:lineRule="auto"/>
        <w:jc w:val="both"/>
        <w:rPr>
          <w:rFonts w:ascii="Times New Roman" w:eastAsia="Calibri" w:hAnsi="Times New Roman" w:cs="Times New Roman"/>
          <w:b/>
          <w:bCs/>
          <w:sz w:val="24"/>
          <w:szCs w:val="24"/>
          <w:lang w:eastAsia="en-US"/>
        </w:rPr>
      </w:pPr>
      <w:r w:rsidRPr="00545548">
        <w:rPr>
          <w:rFonts w:ascii="Times New Roman" w:eastAsia="Calibri" w:hAnsi="Times New Roman" w:cs="Times New Roman"/>
          <w:b/>
          <w:bCs/>
          <w:sz w:val="24"/>
          <w:szCs w:val="24"/>
          <w:lang w:eastAsia="en-US"/>
        </w:rPr>
        <w:t>I.1.3 Quatrième de couverture</w:t>
      </w:r>
    </w:p>
    <w:p w:rsidR="00545548" w:rsidRPr="00545548" w:rsidRDefault="00545548" w:rsidP="00545548">
      <w:pPr>
        <w:spacing w:after="0"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   L’usage du discours commentatif est le privilège du narrateur omniscient. Ainsi, la fonction dite ‘testimoniale’</w:t>
      </w:r>
      <w:r w:rsidRPr="00545548">
        <w:rPr>
          <w:rFonts w:ascii="Times New Roman" w:eastAsia="Calibri" w:hAnsi="Times New Roman" w:cs="Times New Roman"/>
          <w:sz w:val="24"/>
          <w:szCs w:val="24"/>
          <w:vertAlign w:val="superscript"/>
          <w:lang w:eastAsia="en-US"/>
        </w:rPr>
        <w:footnoteReference w:id="7"/>
      </w:r>
      <w:r w:rsidRPr="00545548">
        <w:rPr>
          <w:rFonts w:ascii="Times New Roman" w:eastAsia="Calibri" w:hAnsi="Times New Roman" w:cs="Times New Roman"/>
          <w:sz w:val="24"/>
          <w:szCs w:val="24"/>
          <w:lang w:eastAsia="en-US"/>
        </w:rPr>
        <w:t xml:space="preserve"> atteste et certifie les propos de l’auteur et leur authenticité. Aussi, Le Clézio en bon historien se veut témoin rétrospectif afin d’attester la véracité de ses sources.</w:t>
      </w:r>
    </w:p>
    <w:p w:rsidR="00545548" w:rsidRPr="00545548" w:rsidRDefault="00545548" w:rsidP="00545548">
      <w:pPr>
        <w:spacing w:after="0"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De ce fait, le petit discours de l’auteur est une construction mentale fondée sur l’ensemble du roman. Autrement dit, le réseau d’indices ponctuels et localisés offre au lecteur virtuel des pistes d’une lecture allant dans le sens de l’autobiographie. Toute fois, ses propos travestissent sa motivation et son aptitude à mobiliser dans le présent une expérience et un fait hérité (par sa mère) du passé.</w:t>
      </w:r>
    </w:p>
    <w:p w:rsidR="00545548" w:rsidRDefault="00545548" w:rsidP="00545548">
      <w:pPr>
        <w:spacing w:after="0" w:line="480" w:lineRule="auto"/>
        <w:jc w:val="both"/>
        <w:rPr>
          <w:rFonts w:ascii="Times New Roman" w:eastAsia="Calibri" w:hAnsi="Times New Roman" w:cs="Times New Roman"/>
          <w:sz w:val="24"/>
          <w:szCs w:val="24"/>
          <w:lang w:eastAsia="en-US"/>
        </w:rPr>
      </w:pPr>
      <w:r w:rsidRPr="00545548">
        <w:rPr>
          <w:rFonts w:ascii="Times New Roman" w:eastAsia="Calibri" w:hAnsi="Times New Roman" w:cs="Times New Roman"/>
          <w:sz w:val="24"/>
          <w:szCs w:val="24"/>
          <w:lang w:eastAsia="en-US"/>
        </w:rPr>
        <w:t xml:space="preserve">   Quant à la dédicace, elle définit un extrait tout à fait explicite de la dimension autobiographique, situé à la frontière du paratexte. C’est ainsi que le lecteur est convié à une lecture référentielle.  Ce que Genette considère comme anachronie complétive</w:t>
      </w:r>
      <w:r w:rsidRPr="00545548">
        <w:rPr>
          <w:rFonts w:ascii="Times New Roman" w:eastAsia="Calibri" w:hAnsi="Times New Roman" w:cs="Times New Roman"/>
          <w:sz w:val="24"/>
          <w:szCs w:val="24"/>
          <w:vertAlign w:val="superscript"/>
          <w:lang w:eastAsia="en-US"/>
        </w:rPr>
        <w:footnoteReference w:id="8"/>
      </w:r>
      <w:r w:rsidRPr="00545548">
        <w:rPr>
          <w:rFonts w:ascii="Times New Roman" w:eastAsia="Calibri" w:hAnsi="Times New Roman" w:cs="Times New Roman"/>
          <w:sz w:val="24"/>
          <w:szCs w:val="24"/>
          <w:lang w:eastAsia="en-US"/>
        </w:rPr>
        <w:t xml:space="preserve"> parce qu’elle prépare la lecture d’évènements à venir ou comble une lacune antérieure du récit.</w:t>
      </w:r>
    </w:p>
    <w:p w:rsidR="00545548" w:rsidRDefault="00545548">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45548" w:rsidRPr="00545548" w:rsidRDefault="00545548" w:rsidP="00545548">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45548">
        <w:rPr>
          <w:rFonts w:ascii="Times New Roman" w:eastAsia="Times New Roman" w:hAnsi="Times New Roman" w:cs="Times New Roman"/>
          <w:sz w:val="28"/>
          <w:szCs w:val="28"/>
          <w:lang w:eastAsia="en-US"/>
        </w:rPr>
        <w:lastRenderedPageBreak/>
        <w:t>Chapitre I : analyse formelle</w:t>
      </w:r>
    </w:p>
    <w:p w:rsidR="00545548" w:rsidRPr="00545548" w:rsidRDefault="00545548" w:rsidP="00545548">
      <w:pPr>
        <w:tabs>
          <w:tab w:val="center" w:pos="4536"/>
          <w:tab w:val="right" w:pos="9072"/>
        </w:tabs>
        <w:spacing w:line="480" w:lineRule="auto"/>
        <w:jc w:val="center"/>
        <w:rPr>
          <w:rFonts w:ascii="Times New Roman" w:eastAsia="Calibri" w:hAnsi="Times New Roman" w:cs="Times New Roman"/>
          <w:sz w:val="24"/>
          <w:szCs w:val="24"/>
          <w:lang w:eastAsia="en-US"/>
        </w:rPr>
      </w:pPr>
    </w:p>
    <w:p w:rsidR="00545548" w:rsidRPr="00545548" w:rsidRDefault="00545548" w:rsidP="00545548">
      <w:pPr>
        <w:spacing w:after="0" w:line="480" w:lineRule="auto"/>
        <w:jc w:val="both"/>
        <w:rPr>
          <w:rFonts w:ascii="Times New Roman" w:eastAsia="Calibri" w:hAnsi="Times New Roman" w:cs="Times New Roman"/>
          <w:b/>
          <w:bCs/>
          <w:sz w:val="24"/>
          <w:szCs w:val="24"/>
          <w:lang w:eastAsia="en-US"/>
        </w:rPr>
      </w:pPr>
      <w:r w:rsidRPr="00545548">
        <w:rPr>
          <w:rFonts w:ascii="Times New Roman" w:eastAsia="Calibri" w:hAnsi="Times New Roman" w:cs="Times New Roman"/>
          <w:b/>
          <w:bCs/>
          <w:sz w:val="24"/>
          <w:szCs w:val="24"/>
          <w:lang w:eastAsia="en-US"/>
        </w:rPr>
        <w:t xml:space="preserve">I.1.4 Epigraphe </w:t>
      </w:r>
    </w:p>
    <w:p w:rsidR="00545548" w:rsidRPr="00545548" w:rsidRDefault="00545548" w:rsidP="00545548">
      <w:pPr>
        <w:spacing w:after="0" w:line="480" w:lineRule="auto"/>
        <w:jc w:val="both"/>
        <w:rPr>
          <w:rFonts w:ascii="Times New Roman" w:eastAsia="Calibri" w:hAnsi="Times New Roman" w:cs="Times New Roman"/>
          <w:bCs/>
          <w:sz w:val="24"/>
          <w:szCs w:val="24"/>
          <w:lang w:eastAsia="en-US"/>
        </w:rPr>
      </w:pPr>
      <w:r w:rsidRPr="00545548">
        <w:rPr>
          <w:rFonts w:ascii="Times New Roman" w:eastAsia="Calibri" w:hAnsi="Times New Roman" w:cs="Times New Roman"/>
          <w:bCs/>
          <w:sz w:val="24"/>
          <w:szCs w:val="24"/>
          <w:lang w:eastAsia="en-US"/>
        </w:rPr>
        <w:t xml:space="preserve">   Il nous est impossible d’étudier l’épigraphe « fête de la faim » sans parler du mythe de Rimbaud. Un mythe qui se compose de sa vie, de son œuvre et de son image. Surnommé « L’homme aux semelles de vent » </w:t>
      </w:r>
      <w:r w:rsidRPr="00545548">
        <w:rPr>
          <w:rFonts w:ascii="Times New Roman" w:eastAsia="Calibri" w:hAnsi="Times New Roman" w:cs="Times New Roman"/>
          <w:bCs/>
          <w:sz w:val="24"/>
          <w:szCs w:val="24"/>
          <w:vertAlign w:val="superscript"/>
          <w:lang w:eastAsia="en-US"/>
        </w:rPr>
        <w:footnoteReference w:id="9"/>
      </w:r>
      <w:r w:rsidRPr="00545548">
        <w:rPr>
          <w:rFonts w:ascii="Times New Roman" w:eastAsia="Calibri" w:hAnsi="Times New Roman" w:cs="Times New Roman"/>
          <w:bCs/>
          <w:sz w:val="24"/>
          <w:szCs w:val="24"/>
          <w:vertAlign w:val="superscript"/>
          <w:lang w:eastAsia="en-US"/>
        </w:rPr>
        <w:t xml:space="preserve">  </w:t>
      </w:r>
      <w:r w:rsidRPr="00545548">
        <w:rPr>
          <w:rFonts w:ascii="Times New Roman" w:eastAsia="Calibri" w:hAnsi="Times New Roman" w:cs="Times New Roman"/>
          <w:bCs/>
          <w:sz w:val="24"/>
          <w:szCs w:val="24"/>
          <w:lang w:eastAsia="en-US"/>
        </w:rPr>
        <w:t>Rimbaud était un homme libre et un grand voyageur. Son génie de la langue lui a permit de choisir la poésie comme moyen de révolte, pour transgresser et briser tous les tabous à la quête d’une nouvelle vie et une nouvelle liberté. L’envie de changer la société, de changer le monde le mena jusqu’à renoncer à son talent très tôt au profit de l’errance et de la liberté. Tant d’artistes et de chanteurs comme « </w:t>
      </w:r>
      <w:r w:rsidRPr="00545548">
        <w:rPr>
          <w:rFonts w:ascii="Times New Roman" w:eastAsia="Calibri" w:hAnsi="Times New Roman" w:cs="Times New Roman"/>
          <w:bCs/>
          <w:i/>
          <w:sz w:val="24"/>
          <w:szCs w:val="24"/>
          <w:lang w:eastAsia="en-US"/>
        </w:rPr>
        <w:t>Noir Désir</w:t>
      </w:r>
      <w:r w:rsidRPr="00545548">
        <w:rPr>
          <w:rFonts w:ascii="Times New Roman" w:eastAsia="Calibri" w:hAnsi="Times New Roman" w:cs="Times New Roman"/>
          <w:bCs/>
          <w:sz w:val="24"/>
          <w:szCs w:val="24"/>
          <w:lang w:eastAsia="en-US"/>
        </w:rPr>
        <w:t xml:space="preserve"> » se sont inspirés de l’œuvre de Rimbaud et spécialement de « Saison d’Enfer ». </w:t>
      </w:r>
    </w:p>
    <w:p w:rsidR="00545548" w:rsidRPr="00545548" w:rsidRDefault="00545548" w:rsidP="00545548">
      <w:pPr>
        <w:spacing w:line="480" w:lineRule="auto"/>
        <w:jc w:val="both"/>
        <w:rPr>
          <w:rFonts w:ascii="Times New Roman" w:eastAsia="Calibri" w:hAnsi="Times New Roman" w:cs="Times New Roman"/>
          <w:bCs/>
          <w:sz w:val="24"/>
          <w:szCs w:val="24"/>
          <w:lang w:eastAsia="en-US"/>
        </w:rPr>
      </w:pPr>
      <w:r w:rsidRPr="00545548">
        <w:rPr>
          <w:rFonts w:ascii="Times New Roman" w:eastAsia="Calibri" w:hAnsi="Times New Roman" w:cs="Times New Roman"/>
          <w:bCs/>
          <w:sz w:val="24"/>
          <w:szCs w:val="24"/>
          <w:lang w:eastAsia="en-US"/>
        </w:rPr>
        <w:t xml:space="preserve">   Comme tout homme de lettre, Le Clézio est soucieux de transmettre et de sauvegarder le patrimoine littéraire. Aussi, son style personnel repose sur la réhabilitation du patrimoine condamné à la perdition. Comme il le dit si bien :</w:t>
      </w:r>
    </w:p>
    <w:p w:rsidR="00545548" w:rsidRPr="00545548" w:rsidRDefault="00545548" w:rsidP="00545548">
      <w:pPr>
        <w:spacing w:line="480" w:lineRule="auto"/>
        <w:jc w:val="both"/>
        <w:rPr>
          <w:rFonts w:ascii="Times New Roman" w:eastAsia="Calibri" w:hAnsi="Times New Roman" w:cs="Times New Roman"/>
          <w:bCs/>
          <w:sz w:val="24"/>
          <w:szCs w:val="24"/>
          <w:lang w:eastAsia="en-US"/>
        </w:rPr>
      </w:pPr>
      <w:r w:rsidRPr="00545548">
        <w:rPr>
          <w:rFonts w:ascii="Times New Roman" w:eastAsia="Calibri" w:hAnsi="Times New Roman" w:cs="Times New Roman"/>
          <w:bCs/>
          <w:sz w:val="24"/>
          <w:szCs w:val="24"/>
          <w:lang w:eastAsia="en-US"/>
        </w:rPr>
        <w:t xml:space="preserve">     «   Toute écriture n’est qu’un pastiche d’une autre littérature »</w:t>
      </w:r>
      <w:r w:rsidRPr="00545548">
        <w:rPr>
          <w:rFonts w:ascii="Times New Roman" w:eastAsia="Calibri" w:hAnsi="Times New Roman" w:cs="Times New Roman"/>
          <w:bCs/>
          <w:sz w:val="24"/>
          <w:szCs w:val="24"/>
          <w:vertAlign w:val="superscript"/>
          <w:lang w:eastAsia="en-US"/>
        </w:rPr>
        <w:footnoteReference w:id="10"/>
      </w:r>
      <w:r w:rsidRPr="00545548">
        <w:rPr>
          <w:rFonts w:ascii="Times New Roman" w:eastAsia="Calibri" w:hAnsi="Times New Roman" w:cs="Times New Roman"/>
          <w:bCs/>
          <w:sz w:val="24"/>
          <w:szCs w:val="24"/>
          <w:vertAlign w:val="superscript"/>
          <w:lang w:eastAsia="en-US"/>
        </w:rPr>
        <w:t xml:space="preserve">  </w:t>
      </w:r>
    </w:p>
    <w:p w:rsidR="00545548" w:rsidRPr="00545548" w:rsidRDefault="00545548" w:rsidP="00545548">
      <w:pPr>
        <w:spacing w:line="480" w:lineRule="auto"/>
        <w:jc w:val="both"/>
        <w:rPr>
          <w:rFonts w:ascii="Times New Roman" w:eastAsia="Calibri" w:hAnsi="Times New Roman" w:cs="Times New Roman"/>
          <w:bCs/>
          <w:sz w:val="24"/>
          <w:szCs w:val="24"/>
          <w:lang w:eastAsia="en-US"/>
        </w:rPr>
      </w:pPr>
      <w:r w:rsidRPr="00545548">
        <w:rPr>
          <w:rFonts w:ascii="Times New Roman" w:eastAsia="Calibri" w:hAnsi="Times New Roman" w:cs="Times New Roman"/>
          <w:bCs/>
          <w:sz w:val="24"/>
          <w:szCs w:val="24"/>
          <w:lang w:eastAsia="en-US"/>
        </w:rPr>
        <w:t xml:space="preserve">   Ainsi, la collaboration involontaire d’un autre auteur</w:t>
      </w:r>
      <w:r w:rsidRPr="00545548">
        <w:rPr>
          <w:rFonts w:ascii="Times New Roman" w:eastAsia="Calibri" w:hAnsi="Times New Roman" w:cs="Times New Roman"/>
          <w:bCs/>
          <w:sz w:val="24"/>
          <w:szCs w:val="24"/>
          <w:vertAlign w:val="superscript"/>
          <w:lang w:eastAsia="en-US"/>
        </w:rPr>
        <w:footnoteReference w:id="11"/>
      </w:r>
      <w:r w:rsidRPr="00545548">
        <w:rPr>
          <w:rFonts w:ascii="Times New Roman" w:eastAsia="Calibri" w:hAnsi="Times New Roman" w:cs="Times New Roman"/>
          <w:bCs/>
          <w:sz w:val="24"/>
          <w:szCs w:val="24"/>
          <w:lang w:eastAsia="en-US"/>
        </w:rPr>
        <w:t xml:space="preserve">engendre l’image d’un « autoportrait » de l’auteur authentique. Autrement dit, le Choix Lé Clézien d’illustrer son roman par un des poèmes de Rimbaud (à la façon classique) témoigne de son désir de s’identifier à l’autre.    </w:t>
      </w:r>
    </w:p>
    <w:p w:rsidR="005977BE" w:rsidRDefault="005977BE" w:rsidP="00545548">
      <w:pPr>
        <w:spacing w:after="0" w:line="480" w:lineRule="auto"/>
        <w:jc w:val="both"/>
        <w:rPr>
          <w:rFonts w:ascii="Times New Roman" w:eastAsia="Calibri" w:hAnsi="Times New Roman" w:cs="Times New Roman"/>
          <w:sz w:val="24"/>
          <w:szCs w:val="24"/>
          <w:lang w:eastAsia="en-US"/>
        </w:rPr>
      </w:pPr>
    </w:p>
    <w:p w:rsidR="005977BE" w:rsidRDefault="005977B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977BE" w:rsidRPr="005977BE" w:rsidRDefault="005977BE" w:rsidP="005977B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977BE">
        <w:rPr>
          <w:rFonts w:ascii="Times New Roman" w:eastAsia="Times New Roman" w:hAnsi="Times New Roman" w:cs="Times New Roman"/>
          <w:sz w:val="28"/>
          <w:szCs w:val="28"/>
          <w:lang w:eastAsia="en-US"/>
        </w:rPr>
        <w:lastRenderedPageBreak/>
        <w:t>Chapitre I : analyse formelle</w:t>
      </w:r>
    </w:p>
    <w:p w:rsidR="005977BE" w:rsidRPr="005977BE" w:rsidRDefault="005977BE" w:rsidP="005977BE">
      <w:pPr>
        <w:tabs>
          <w:tab w:val="center" w:pos="4536"/>
          <w:tab w:val="right" w:pos="9072"/>
        </w:tabs>
        <w:spacing w:line="480" w:lineRule="auto"/>
        <w:jc w:val="center"/>
        <w:rPr>
          <w:rFonts w:ascii="Times New Roman" w:eastAsia="Calibri" w:hAnsi="Times New Roman" w:cs="Times New Roman"/>
          <w:sz w:val="24"/>
          <w:szCs w:val="24"/>
          <w:lang w:eastAsia="en-US"/>
        </w:rPr>
      </w:pPr>
    </w:p>
    <w:p w:rsidR="005977BE" w:rsidRP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Cependant, le poème « </w:t>
      </w:r>
      <w:r w:rsidRPr="005977BE">
        <w:rPr>
          <w:rFonts w:ascii="Times New Roman" w:eastAsia="Calibri" w:hAnsi="Times New Roman" w:cs="Times New Roman"/>
          <w:bCs/>
          <w:iCs/>
          <w:sz w:val="24"/>
          <w:szCs w:val="24"/>
          <w:lang w:eastAsia="en-US"/>
        </w:rPr>
        <w:t>la fête de la faim</w:t>
      </w:r>
      <w:r w:rsidRPr="005977BE">
        <w:rPr>
          <w:rFonts w:ascii="Times New Roman" w:eastAsia="Calibri" w:hAnsi="Times New Roman" w:cs="Times New Roman"/>
          <w:bCs/>
          <w:sz w:val="24"/>
          <w:szCs w:val="24"/>
          <w:lang w:eastAsia="en-US"/>
        </w:rPr>
        <w:t> </w:t>
      </w:r>
      <w:r w:rsidRPr="005977BE">
        <w:rPr>
          <w:rFonts w:ascii="Times New Roman" w:eastAsia="Calibri" w:hAnsi="Times New Roman" w:cs="Times New Roman"/>
          <w:bCs/>
          <w:sz w:val="24"/>
          <w:szCs w:val="24"/>
          <w:vertAlign w:val="superscript"/>
          <w:lang w:eastAsia="en-US"/>
        </w:rPr>
        <w:footnoteReference w:id="12"/>
      </w:r>
      <w:r w:rsidRPr="005977BE">
        <w:rPr>
          <w:rFonts w:ascii="Times New Roman" w:eastAsia="Calibri" w:hAnsi="Times New Roman" w:cs="Times New Roman"/>
          <w:bCs/>
          <w:sz w:val="24"/>
          <w:szCs w:val="24"/>
          <w:lang w:eastAsia="en-US"/>
        </w:rPr>
        <w:t xml:space="preserve">», publiait en été 1872, n’a pas été un choix hasardeux, bien au contraire, il s’agit pour l’auteur d’appuyer son projet d’écriture historique et de rassembler les deux évènements dans un seul livre. Ceci étant, le vocabulaire employé dans le poème : </w:t>
      </w:r>
    </w:p>
    <w:p w:rsidR="005977BE" w:rsidRPr="005977BE" w:rsidRDefault="005977BE" w:rsidP="005977BE">
      <w:pPr>
        <w:spacing w:after="0" w:line="480" w:lineRule="auto"/>
        <w:jc w:val="center"/>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Si j’ai du goût, ce n’est guères,</w:t>
      </w:r>
    </w:p>
    <w:p w:rsidR="005977BE" w:rsidRPr="005977BE" w:rsidRDefault="005977BE" w:rsidP="005977BE">
      <w:pPr>
        <w:spacing w:after="0" w:line="480" w:lineRule="auto"/>
        <w:jc w:val="center"/>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Que pour la terre et les pierres.</w:t>
      </w:r>
    </w:p>
    <w:p w:rsidR="005977BE" w:rsidRPr="005977BE" w:rsidRDefault="005977BE" w:rsidP="005977BE">
      <w:pPr>
        <w:spacing w:after="0" w:line="480" w:lineRule="auto"/>
        <w:jc w:val="center"/>
        <w:rPr>
          <w:rFonts w:ascii="Times New Roman" w:eastAsia="Calibri" w:hAnsi="Times New Roman" w:cs="Times New Roman"/>
          <w:bCs/>
          <w:sz w:val="24"/>
          <w:szCs w:val="24"/>
          <w:lang w:val="en-US" w:eastAsia="en-US"/>
        </w:rPr>
      </w:pPr>
      <w:r w:rsidRPr="005977BE">
        <w:rPr>
          <w:rFonts w:ascii="Times New Roman" w:eastAsia="Calibri" w:hAnsi="Times New Roman" w:cs="Times New Roman"/>
          <w:bCs/>
          <w:sz w:val="24"/>
          <w:szCs w:val="24"/>
          <w:lang w:val="en-US" w:eastAsia="en-US"/>
        </w:rPr>
        <w:t>Din! dinn! Dinn! Dinn! Mangeons l’air,</w:t>
      </w:r>
    </w:p>
    <w:p w:rsidR="005977BE" w:rsidRPr="005977BE" w:rsidRDefault="005977BE" w:rsidP="005977BE">
      <w:pPr>
        <w:spacing w:line="480" w:lineRule="auto"/>
        <w:jc w:val="center"/>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Le roc, les charbons, le fer. </w:t>
      </w:r>
    </w:p>
    <w:p w:rsidR="005977BE" w:rsidRPr="005977BE" w:rsidRDefault="005977BE" w:rsidP="005977BE">
      <w:pPr>
        <w:spacing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Nous le retrouvons dans la troisième partie, et dans la séquence «la faim» :</w:t>
      </w:r>
    </w:p>
    <w:p w:rsidR="005977BE" w:rsidRPr="005977BE" w:rsidRDefault="005977BE" w:rsidP="005977BE">
      <w:pPr>
        <w:spacing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 Sans autre nourriture…Comme s’ils mangeaient la terre, le charbon et le fer, dans cet hiver interminable. »(R.D.L.F.P.157). Ceci est sans aucun doute une immersion dans un temps lointain, soit à un siècle de distance. </w:t>
      </w:r>
    </w:p>
    <w:p w:rsidR="005977BE" w:rsidRPr="005977BE" w:rsidRDefault="005977BE" w:rsidP="005977BE">
      <w:pPr>
        <w:spacing w:after="0" w:line="480" w:lineRule="auto"/>
        <w:jc w:val="both"/>
        <w:rPr>
          <w:rFonts w:ascii="Times New Roman" w:eastAsia="Calibri" w:hAnsi="Times New Roman" w:cs="Times New Roman"/>
          <w:b/>
          <w:bCs/>
          <w:sz w:val="24"/>
          <w:szCs w:val="24"/>
          <w:lang w:eastAsia="en-US"/>
        </w:rPr>
      </w:pPr>
      <w:r w:rsidRPr="005977BE">
        <w:rPr>
          <w:rFonts w:ascii="Times New Roman" w:eastAsia="Calibri" w:hAnsi="Times New Roman" w:cs="Times New Roman"/>
          <w:b/>
          <w:bCs/>
          <w:sz w:val="24"/>
          <w:szCs w:val="24"/>
          <w:lang w:eastAsia="en-US"/>
        </w:rPr>
        <w:t xml:space="preserve">I.1.5 Edition </w:t>
      </w:r>
    </w:p>
    <w:p w:rsid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    L’historique de la maison d’Editions, offre un seuil de vie intellectuelle, des auteurs français et étrangers. En effet, la maison d’Editions Gaston Gallimard est le prolongement de la célèbre Nouvelle Revue française crée et dominée par André Gide en 1908</w:t>
      </w:r>
      <w:r w:rsidRPr="005977BE">
        <w:rPr>
          <w:rFonts w:ascii="Times New Roman" w:eastAsia="Calibri" w:hAnsi="Times New Roman" w:cs="Times New Roman"/>
          <w:bCs/>
          <w:sz w:val="24"/>
          <w:szCs w:val="24"/>
          <w:vertAlign w:val="superscript"/>
          <w:lang w:eastAsia="en-US"/>
        </w:rPr>
        <w:footnoteReference w:id="13"/>
      </w:r>
      <w:r w:rsidRPr="005977BE">
        <w:rPr>
          <w:rFonts w:ascii="Times New Roman" w:eastAsia="Calibri" w:hAnsi="Times New Roman" w:cs="Times New Roman"/>
          <w:bCs/>
          <w:sz w:val="24"/>
          <w:szCs w:val="24"/>
          <w:lang w:eastAsia="en-US"/>
        </w:rPr>
        <w:t>. Elle soutenait</w:t>
      </w:r>
    </w:p>
    <w:p w:rsidR="005977BE" w:rsidRDefault="005977BE">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5977BE" w:rsidRPr="005977BE" w:rsidRDefault="005977BE" w:rsidP="005977B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977BE">
        <w:rPr>
          <w:rFonts w:ascii="Times New Roman" w:eastAsia="Times New Roman" w:hAnsi="Times New Roman" w:cs="Times New Roman"/>
          <w:sz w:val="28"/>
          <w:szCs w:val="28"/>
          <w:lang w:eastAsia="en-US"/>
        </w:rPr>
        <w:lastRenderedPageBreak/>
        <w:t>Chapitre I : analyse formelle</w:t>
      </w:r>
    </w:p>
    <w:p w:rsidR="005977BE" w:rsidRPr="005977BE" w:rsidRDefault="005977BE" w:rsidP="005977BE">
      <w:pPr>
        <w:tabs>
          <w:tab w:val="center" w:pos="4536"/>
          <w:tab w:val="right" w:pos="9072"/>
        </w:tabs>
        <w:spacing w:line="480" w:lineRule="auto"/>
        <w:jc w:val="center"/>
        <w:rPr>
          <w:rFonts w:ascii="Times New Roman" w:eastAsia="Calibri" w:hAnsi="Times New Roman" w:cs="Times New Roman"/>
          <w:sz w:val="24"/>
          <w:szCs w:val="24"/>
          <w:lang w:eastAsia="en-US"/>
        </w:rPr>
      </w:pPr>
    </w:p>
    <w:p w:rsidR="005977BE" w:rsidRP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la tradition classique française, où la littérature était défendue pour elle-même, affranchie de toutes contingences politiques ou morales qui corrompent son propos.</w:t>
      </w:r>
    </w:p>
    <w:p w:rsidR="005977BE" w:rsidRP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   Elle est l’une des plus prestigieuses Maison d’Edition fondée à partir du comptoir d’Edition, crée le 31 mai 1911 par Gide, Schlumberger, et Gaston Gallimard</w:t>
      </w:r>
      <w:r w:rsidRPr="005977BE">
        <w:rPr>
          <w:rFonts w:ascii="Times New Roman" w:eastAsia="Calibri" w:hAnsi="Times New Roman" w:cs="Times New Roman"/>
          <w:bCs/>
          <w:sz w:val="24"/>
          <w:szCs w:val="24"/>
          <w:vertAlign w:val="superscript"/>
          <w:lang w:eastAsia="en-US"/>
        </w:rPr>
        <w:footnoteReference w:id="14"/>
      </w:r>
      <w:r w:rsidRPr="005977BE">
        <w:rPr>
          <w:rFonts w:ascii="Times New Roman" w:eastAsia="Calibri" w:hAnsi="Times New Roman" w:cs="Times New Roman"/>
          <w:bCs/>
          <w:sz w:val="24"/>
          <w:szCs w:val="24"/>
          <w:lang w:eastAsia="en-US"/>
        </w:rPr>
        <w:t>. Le 23janvier 1913</w:t>
      </w:r>
      <w:r w:rsidRPr="005977BE">
        <w:rPr>
          <w:rFonts w:ascii="Times New Roman" w:eastAsia="Calibri" w:hAnsi="Times New Roman" w:cs="Times New Roman"/>
          <w:bCs/>
          <w:sz w:val="24"/>
          <w:szCs w:val="24"/>
          <w:vertAlign w:val="superscript"/>
          <w:lang w:eastAsia="en-US"/>
        </w:rPr>
        <w:footnoteReference w:id="15"/>
      </w:r>
      <w:r w:rsidRPr="005977BE">
        <w:rPr>
          <w:rFonts w:ascii="Times New Roman" w:eastAsia="Calibri" w:hAnsi="Times New Roman" w:cs="Times New Roman"/>
          <w:bCs/>
          <w:sz w:val="24"/>
          <w:szCs w:val="24"/>
          <w:lang w:eastAsia="en-US"/>
        </w:rPr>
        <w:t xml:space="preserve"> Gaston Gallimard fait établir un acte de notoriété certifiant qu’il est seul propriétaire de la N.R.F. </w:t>
      </w:r>
    </w:p>
    <w:p w:rsidR="005977BE" w:rsidRP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  Cependant, la revue avait été interrompue durant la grande guerre, aussi ses auteurs s’étaient dispersés à travers le monde. D’ailleurs, Gaston n’était revenu en France qu’en 1919. Aussi, 26 juillet de la même année, il crée la librairie Gallimard</w:t>
      </w:r>
      <w:r w:rsidRPr="005977BE">
        <w:rPr>
          <w:rFonts w:ascii="Times New Roman" w:eastAsia="Calibri" w:hAnsi="Times New Roman" w:cs="Times New Roman"/>
          <w:bCs/>
          <w:sz w:val="24"/>
          <w:szCs w:val="24"/>
          <w:vertAlign w:val="superscript"/>
          <w:lang w:eastAsia="en-US"/>
        </w:rPr>
        <w:footnoteReference w:id="16"/>
      </w:r>
      <w:r w:rsidRPr="005977BE">
        <w:rPr>
          <w:rFonts w:ascii="Times New Roman" w:eastAsia="Calibri" w:hAnsi="Times New Roman" w:cs="Times New Roman"/>
          <w:bCs/>
          <w:sz w:val="24"/>
          <w:szCs w:val="24"/>
          <w:lang w:eastAsia="en-US"/>
        </w:rPr>
        <w:t xml:space="preserve"> avec son frère Raymond, et diversifie l’activité de la maison. Ainsi, en 1920, la Revue ouvre ses sommaires à une nouvelle génération d’auteurs, qui bouleversent les valeurs littéraires d’avant-guerre. Cependant Gallimard avait soutenue plusieurs revues, comme la Revue musicale, la Revue juive ou la Revue du cinéma. Il s’était construit un répertoire d’auteurs très important. </w:t>
      </w:r>
    </w:p>
    <w:p w:rsid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   En 1939 Gallimard se replie au sud avec le mouvement de l’exode. Par ailleurs, la réouverture n’avait été autorisée que sous la direction de Drieu La Rochelle. Gallimard s’était incliné et repris l’activité et le contrôle de ses Editions, en novembre 1940, en dépit des limitations et des censures imposées.</w:t>
      </w:r>
    </w:p>
    <w:p w:rsidR="005977BE" w:rsidRDefault="005977BE">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5977BE" w:rsidRPr="005977BE" w:rsidRDefault="005977BE" w:rsidP="005977B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977BE">
        <w:rPr>
          <w:rFonts w:ascii="Times New Roman" w:eastAsia="Times New Roman" w:hAnsi="Times New Roman" w:cs="Times New Roman"/>
          <w:sz w:val="28"/>
          <w:szCs w:val="28"/>
          <w:lang w:eastAsia="en-US"/>
        </w:rPr>
        <w:lastRenderedPageBreak/>
        <w:t>Chapitre I : analyse formelle</w:t>
      </w:r>
    </w:p>
    <w:p w:rsidR="005977BE" w:rsidRPr="005977BE" w:rsidRDefault="005977BE" w:rsidP="005977BE">
      <w:pPr>
        <w:tabs>
          <w:tab w:val="center" w:pos="4536"/>
          <w:tab w:val="right" w:pos="9072"/>
        </w:tabs>
        <w:spacing w:line="480" w:lineRule="auto"/>
        <w:jc w:val="center"/>
        <w:rPr>
          <w:rFonts w:ascii="Times New Roman" w:eastAsia="Calibri" w:hAnsi="Times New Roman" w:cs="Times New Roman"/>
          <w:sz w:val="24"/>
          <w:szCs w:val="24"/>
          <w:lang w:eastAsia="en-US"/>
        </w:rPr>
      </w:pPr>
    </w:p>
    <w:p w:rsidR="005977BE" w:rsidRPr="005977BE" w:rsidRDefault="005977BE" w:rsidP="005977BE">
      <w:pPr>
        <w:spacing w:after="0" w:line="480" w:lineRule="auto"/>
        <w:jc w:val="both"/>
        <w:rPr>
          <w:rFonts w:ascii="Times New Roman" w:eastAsia="Calibri" w:hAnsi="Times New Roman" w:cs="Times New Roman"/>
          <w:bCs/>
          <w:sz w:val="24"/>
          <w:szCs w:val="24"/>
          <w:lang w:eastAsia="en-US"/>
        </w:rPr>
      </w:pPr>
      <w:r w:rsidRPr="005977BE">
        <w:rPr>
          <w:rFonts w:ascii="Times New Roman" w:eastAsia="Calibri" w:hAnsi="Times New Roman" w:cs="Times New Roman"/>
          <w:bCs/>
          <w:sz w:val="24"/>
          <w:szCs w:val="24"/>
          <w:lang w:eastAsia="en-US"/>
        </w:rPr>
        <w:t xml:space="preserve">Depuis 1945, et après avoir été disculpé par les comités d’épuration, les Gallimard redonnent une nouvelle ampleur à leur catalogue, et intensifie sa diversification. Ils s’ouvrent aux ouvrages de connaissance et de référence, ce qui avait fait d’elle un haut lieu de littérature française. Sur ce fait, l’historien Pierre Nora, lança la bibliothèque des sciences humaines, puis la bibliothèque des histoires et la Revue Le Débat. Il publia trois tomes, </w:t>
      </w:r>
      <w:r w:rsidRPr="005977BE">
        <w:rPr>
          <w:rFonts w:ascii="Times New Roman" w:eastAsia="Calibri" w:hAnsi="Times New Roman" w:cs="Times New Roman"/>
          <w:bCs/>
          <w:i/>
          <w:sz w:val="24"/>
          <w:szCs w:val="24"/>
          <w:lang w:eastAsia="en-US"/>
        </w:rPr>
        <w:t>Les lieux de</w:t>
      </w:r>
      <w:r w:rsidRPr="005977BE">
        <w:rPr>
          <w:rFonts w:ascii="Times New Roman" w:eastAsia="Calibri" w:hAnsi="Times New Roman" w:cs="Times New Roman"/>
          <w:bCs/>
          <w:sz w:val="24"/>
          <w:szCs w:val="24"/>
          <w:lang w:eastAsia="en-US"/>
        </w:rPr>
        <w:t xml:space="preserve"> </w:t>
      </w:r>
      <w:r w:rsidRPr="005977BE">
        <w:rPr>
          <w:rFonts w:ascii="Times New Roman" w:eastAsia="Calibri" w:hAnsi="Times New Roman" w:cs="Times New Roman"/>
          <w:bCs/>
          <w:i/>
          <w:sz w:val="24"/>
          <w:szCs w:val="24"/>
          <w:lang w:eastAsia="en-US"/>
        </w:rPr>
        <w:t>mémoires</w:t>
      </w:r>
      <w:r w:rsidRPr="005977BE">
        <w:rPr>
          <w:rFonts w:ascii="Times New Roman" w:eastAsia="Calibri" w:hAnsi="Times New Roman" w:cs="Times New Roman"/>
          <w:bCs/>
          <w:sz w:val="24"/>
          <w:szCs w:val="24"/>
          <w:lang w:eastAsia="en-US"/>
        </w:rPr>
        <w:t xml:space="preserve">, où s’enracine la mémoire nationale française. </w:t>
      </w:r>
    </w:p>
    <w:p w:rsidR="005977BE" w:rsidRPr="005977BE" w:rsidRDefault="005977BE" w:rsidP="005977BE">
      <w:pPr>
        <w:spacing w:line="480" w:lineRule="auto"/>
        <w:jc w:val="both"/>
        <w:rPr>
          <w:rFonts w:ascii="Times New Roman" w:eastAsia="Calibri" w:hAnsi="Times New Roman" w:cs="Times New Roman"/>
          <w:b/>
          <w:bCs/>
          <w:sz w:val="28"/>
          <w:szCs w:val="28"/>
          <w:lang w:eastAsia="en-US"/>
        </w:rPr>
      </w:pPr>
      <w:r w:rsidRPr="005977BE">
        <w:rPr>
          <w:rFonts w:ascii="Times New Roman" w:eastAsia="Calibri" w:hAnsi="Times New Roman" w:cs="Times New Roman"/>
          <w:bCs/>
          <w:sz w:val="24"/>
          <w:szCs w:val="24"/>
          <w:lang w:eastAsia="en-US"/>
        </w:rPr>
        <w:t xml:space="preserve">Gallimard, la maison aux cent ans de création se trouve être le fond d’archive très important avec tous les mouvements intellectuels du siècle. Ceci étant, le choix de l’auteur pour les Editions Gallimard renforce son désir d’inscrire son œuvre dans l’histoire de l’humanité. </w:t>
      </w:r>
    </w:p>
    <w:p w:rsidR="005977BE" w:rsidRPr="005977BE" w:rsidRDefault="005977BE" w:rsidP="005977BE">
      <w:pPr>
        <w:spacing w:after="0" w:line="480" w:lineRule="auto"/>
        <w:jc w:val="both"/>
        <w:rPr>
          <w:rFonts w:ascii="Times New Roman" w:eastAsia="Calibri" w:hAnsi="Times New Roman" w:cs="Times New Roman"/>
          <w:b/>
          <w:bCs/>
          <w:sz w:val="24"/>
          <w:szCs w:val="24"/>
          <w:lang w:eastAsia="en-US"/>
        </w:rPr>
      </w:pPr>
      <w:r w:rsidRPr="005977BE">
        <w:rPr>
          <w:rFonts w:ascii="Times New Roman" w:eastAsia="Calibri" w:hAnsi="Times New Roman" w:cs="Times New Roman"/>
          <w:b/>
          <w:bCs/>
          <w:sz w:val="24"/>
          <w:szCs w:val="24"/>
          <w:lang w:eastAsia="en-US"/>
        </w:rPr>
        <w:t>I.2 microstructure</w:t>
      </w:r>
    </w:p>
    <w:p w:rsidR="005977BE" w:rsidRPr="005977BE" w:rsidRDefault="005977BE" w:rsidP="005977BE">
      <w:pPr>
        <w:spacing w:after="0" w:line="480" w:lineRule="auto"/>
        <w:jc w:val="both"/>
        <w:rPr>
          <w:rFonts w:ascii="Times New Roman" w:eastAsia="Calibri" w:hAnsi="Times New Roman" w:cs="Times New Roman"/>
          <w:b/>
          <w:bCs/>
          <w:sz w:val="24"/>
          <w:szCs w:val="24"/>
          <w:lang w:eastAsia="en-US"/>
        </w:rPr>
      </w:pPr>
      <w:r w:rsidRPr="005977BE">
        <w:rPr>
          <w:rFonts w:ascii="Times New Roman" w:eastAsia="Calibri" w:hAnsi="Times New Roman" w:cs="Times New Roman"/>
          <w:b/>
          <w:bCs/>
          <w:sz w:val="24"/>
          <w:szCs w:val="24"/>
          <w:lang w:eastAsia="en-US"/>
        </w:rPr>
        <w:t xml:space="preserve">I .2.1 structure du roman </w:t>
      </w:r>
    </w:p>
    <w:p w:rsidR="005977BE" w:rsidRDefault="005977BE" w:rsidP="005977BE">
      <w:pPr>
        <w:spacing w:after="0" w:line="480" w:lineRule="auto"/>
        <w:jc w:val="both"/>
        <w:rPr>
          <w:rFonts w:ascii="Times New Roman" w:eastAsia="Calibri" w:hAnsi="Times New Roman" w:cs="Times New Roman"/>
          <w:sz w:val="24"/>
          <w:szCs w:val="24"/>
          <w:lang w:eastAsia="en-US"/>
        </w:rPr>
      </w:pPr>
      <w:r w:rsidRPr="005977BE">
        <w:rPr>
          <w:rFonts w:ascii="Times New Roman" w:eastAsia="Calibri" w:hAnsi="Times New Roman" w:cs="Times New Roman"/>
          <w:sz w:val="24"/>
          <w:szCs w:val="24"/>
          <w:lang w:eastAsia="en-US"/>
        </w:rPr>
        <w:t xml:space="preserve">   La compatibilité de la fin du roman avec les deux dernières fonctions de Propp : T W, nous incite à envisager les fonctions de Propp comme, outil d’étude de la structure du récit. Autrement dit, le mariage de l’héroïne symbolise la récompense et la valorisation du héros pour l’ensemble des tâches accomplies et que le passage de la famille d’un état d’errance à un état sédentaire (l’attachement de Justine à la maison) renvoie à la fonction de transfiguration. Le schéma suivant couvre toute la structure de l’histoire et résume sa signification :</w:t>
      </w:r>
    </w:p>
    <w:p w:rsidR="005977BE" w:rsidRDefault="005977B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977BE" w:rsidRPr="005977BE" w:rsidRDefault="005977BE" w:rsidP="005977B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5977BE">
        <w:rPr>
          <w:rFonts w:ascii="Times New Roman" w:eastAsia="Times New Roman" w:hAnsi="Times New Roman" w:cs="Times New Roman"/>
          <w:sz w:val="28"/>
          <w:szCs w:val="28"/>
          <w:lang w:eastAsia="en-US"/>
        </w:rPr>
        <w:lastRenderedPageBreak/>
        <w:t>Chapitre I : analyse formelle</w:t>
      </w:r>
    </w:p>
    <w:p w:rsidR="005977BE" w:rsidRPr="005977BE" w:rsidRDefault="005977BE" w:rsidP="005977BE">
      <w:pPr>
        <w:tabs>
          <w:tab w:val="center" w:pos="4536"/>
          <w:tab w:val="right" w:pos="9072"/>
        </w:tabs>
        <w:spacing w:line="480" w:lineRule="auto"/>
        <w:jc w:val="center"/>
        <w:rPr>
          <w:rFonts w:ascii="Times New Roman" w:eastAsia="Calibri" w:hAnsi="Times New Roman" w:cs="Times New Roman"/>
          <w:sz w:val="24"/>
          <w:szCs w:val="24"/>
          <w:lang w:eastAsia="en-US"/>
        </w:rPr>
      </w:pPr>
    </w:p>
    <w:p w:rsidR="005977BE" w:rsidRPr="005977BE" w:rsidRDefault="007C38E9" w:rsidP="005977BE">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048" style="position:absolute;left:0;text-align:left;margin-left:.95pt;margin-top:-11.7pt;width:417.1pt;height:228.4pt;z-index:251661312" coordorigin="1832,9856" coordsize="8342,4568">
            <v:shapetype id="_x0000_t202" coordsize="21600,21600" o:spt="202" path="m,l,21600r21600,l21600,xe">
              <v:stroke joinstyle="miter"/>
              <v:path gradientshapeok="t" o:connecttype="rect"/>
            </v:shapetype>
            <v:shape id="_x0000_s1049" type="#_x0000_t202" style="position:absolute;left:1832;top:9856;width:8174;height:916" filled="f" stroked="f">
              <v:textbox style="mso-next-textbox:#_x0000_s1049">
                <w:txbxContent>
                  <w:p w:rsidR="00F25A97" w:rsidRDefault="00F25A97" w:rsidP="005977BE">
                    <w:pPr>
                      <w:spacing w:after="0" w:line="240" w:lineRule="auto"/>
                    </w:pPr>
                    <w:r>
                      <w:t xml:space="preserve">          Méfait </w:t>
                    </w:r>
                    <w:r w:rsidRPr="005977BE">
                      <w:rPr>
                        <w:rFonts w:asciiTheme="majorBidi" w:hAnsiTheme="majorBidi" w:cstheme="majorBidi"/>
                      </w:rPr>
                      <w:t>accompli</w:t>
                    </w:r>
                    <w:r>
                      <w:t xml:space="preserve">                      </w:t>
                    </w:r>
                    <w:r w:rsidRPr="005977BE">
                      <w:rPr>
                        <w:rFonts w:asciiTheme="majorBidi" w:hAnsiTheme="majorBidi" w:cstheme="majorBidi"/>
                      </w:rPr>
                      <w:t>Dommage</w:t>
                    </w:r>
                    <w:r>
                      <w:t xml:space="preserve"> subi               </w:t>
                    </w:r>
                    <w:r w:rsidRPr="005977BE">
                      <w:rPr>
                        <w:rFonts w:asciiTheme="majorBidi" w:hAnsiTheme="majorBidi" w:cstheme="majorBidi"/>
                      </w:rPr>
                      <w:t>Occasion</w:t>
                    </w:r>
                    <w:r>
                      <w:t xml:space="preserve"> de montrer </w:t>
                    </w:r>
                  </w:p>
                  <w:p w:rsidR="00F25A97" w:rsidRDefault="00F25A97" w:rsidP="005977BE">
                    <w:pPr>
                      <w:spacing w:line="240" w:lineRule="auto"/>
                    </w:pPr>
                    <w:r>
                      <w:t xml:space="preserve">                                                                                                         sa </w:t>
                    </w:r>
                    <w:r w:rsidRPr="005977BE">
                      <w:rPr>
                        <w:rFonts w:asciiTheme="majorBidi" w:hAnsiTheme="majorBidi" w:cstheme="majorBidi"/>
                      </w:rPr>
                      <w:t>valeur</w:t>
                    </w:r>
                    <w:r>
                      <w:t xml:space="preserve"> </w:t>
                    </w:r>
                  </w:p>
                </w:txbxContent>
              </v:textbox>
            </v:shape>
            <v:shapetype id="_x0000_t32" coordsize="21600,21600" o:spt="32" o:oned="t" path="m,l21600,21600e" filled="f">
              <v:path arrowok="t" fillok="f" o:connecttype="none"/>
              <o:lock v:ext="edit" shapetype="t"/>
            </v:shapetype>
            <v:shape id="_x0000_s1050" type="#_x0000_t32" style="position:absolute;left:3143;top:10306;width:1;height:449" o:connectortype="straight">
              <v:stroke endarrow="block"/>
            </v:shape>
            <v:shape id="_x0000_s1051" type="#_x0000_t202" style="position:absolute;left:2338;top:10766;width:5386;height:468" filled="f" stroked="f">
              <v:textbox style="mso-next-textbox:#_x0000_s1051">
                <w:txbxContent>
                  <w:p w:rsidR="00F25A97" w:rsidRDefault="00F25A97" w:rsidP="005977BE">
                    <w:r>
                      <w:t xml:space="preserve"> </w:t>
                    </w:r>
                    <w:r w:rsidRPr="005977BE">
                      <w:rPr>
                        <w:rFonts w:asciiTheme="majorBidi" w:hAnsiTheme="majorBidi" w:cstheme="majorBidi"/>
                      </w:rPr>
                      <w:t>Action</w:t>
                    </w:r>
                    <w:r>
                      <w:t xml:space="preserve"> </w:t>
                    </w:r>
                    <w:r w:rsidRPr="005977BE">
                      <w:rPr>
                        <w:rFonts w:asciiTheme="majorBidi" w:hAnsiTheme="majorBidi" w:cstheme="majorBidi"/>
                      </w:rPr>
                      <w:t>justicière</w:t>
                    </w:r>
                    <w:r>
                      <w:t xml:space="preserve">                    </w:t>
                    </w:r>
                    <w:r w:rsidRPr="005977BE">
                      <w:rPr>
                        <w:rFonts w:asciiTheme="majorBidi" w:hAnsiTheme="majorBidi" w:cstheme="majorBidi"/>
                      </w:rPr>
                      <w:t>Action</w:t>
                    </w:r>
                    <w:r>
                      <w:t xml:space="preserve"> réparatrice </w:t>
                    </w:r>
                  </w:p>
                </w:txbxContent>
              </v:textbox>
            </v:shape>
            <v:shape id="_x0000_s1052" type="#_x0000_t32" style="position:absolute;left:3142;top:11236;width:1;height:449" o:connectortype="straight">
              <v:stroke endarrow="block"/>
            </v:shape>
            <v:shape id="_x0000_s1053" type="#_x0000_t202" style="position:absolute;left:1832;top:11647;width:8342;height:580" filled="f" stroked="f">
              <v:textbox style="mso-next-textbox:#_x0000_s1053">
                <w:txbxContent>
                  <w:p w:rsidR="00F25A97" w:rsidRDefault="00F25A97" w:rsidP="005977BE">
                    <w:r>
                      <w:t xml:space="preserve">           </w:t>
                    </w:r>
                    <w:r w:rsidRPr="005977BE">
                      <w:rPr>
                        <w:rFonts w:asciiTheme="majorBidi" w:hAnsiTheme="majorBidi" w:cstheme="majorBidi"/>
                      </w:rPr>
                      <w:t>Châtiment                                                                       Conduite</w:t>
                    </w:r>
                    <w:r>
                      <w:t xml:space="preserve"> </w:t>
                    </w:r>
                    <w:r w:rsidRPr="005977BE">
                      <w:rPr>
                        <w:rFonts w:asciiTheme="majorBidi" w:hAnsiTheme="majorBidi" w:cstheme="majorBidi"/>
                      </w:rPr>
                      <w:t>méritoire</w:t>
                    </w:r>
                  </w:p>
                </w:txbxContent>
              </v:textbox>
            </v:shape>
            <v:shape id="_x0000_s1054" type="#_x0000_t32" style="position:absolute;left:3123;top:12036;width:2;height:449" o:connectortype="straight"/>
            <v:group id="_x0000_s1055" style="position:absolute;left:3123;top:12485;width:2040;height:449" coordorigin="3123,12485" coordsize="2040,449">
              <v:shape id="_x0000_s1056" type="#_x0000_t32" style="position:absolute;left:3123;top:12485;width:2039;height:0" o:connectortype="straight"/>
              <v:shape id="_x0000_s1057" type="#_x0000_t32" style="position:absolute;left:5162;top:12485;width:1;height:449" o:connectortype="straight">
                <v:stroke endarrow="block"/>
              </v:shape>
            </v:group>
            <v:shape id="_x0000_s1058" type="#_x0000_t202" style="position:absolute;left:4219;top:12902;width:2132;height:411" filled="f" stroked="f">
              <v:textbox style="mso-next-textbox:#_x0000_s1058">
                <w:txbxContent>
                  <w:p w:rsidR="00F25A97" w:rsidRDefault="00F25A97" w:rsidP="005977BE">
                    <w:r w:rsidRPr="005977BE">
                      <w:rPr>
                        <w:rFonts w:asciiTheme="majorBidi" w:hAnsiTheme="majorBidi" w:cstheme="majorBidi"/>
                      </w:rPr>
                      <w:t>Dommage</w:t>
                    </w:r>
                    <w:r>
                      <w:t xml:space="preserve"> réparé </w:t>
                    </w:r>
                  </w:p>
                </w:txbxContent>
              </v:textbox>
            </v:shape>
            <v:shape id="_x0000_s1059" type="#_x0000_t32" style="position:absolute;left:5160;top:13545;width:3345;height:1" o:connectortype="straight"/>
            <v:shape id="_x0000_s1060" type="#_x0000_t32" style="position:absolute;left:8504;top:13546;width:1;height:449" o:connectortype="straight">
              <v:stroke endarrow="block"/>
            </v:shape>
            <v:shape id="_x0000_s1061" type="#_x0000_t32" style="position:absolute;left:5160;top:13262;width:2;height:283" o:connectortype="straight"/>
            <v:shape id="_x0000_s1062" type="#_x0000_t202" style="position:absolute;left:7738;top:13919;width:1571;height:505" filled="f" stroked="f">
              <v:textbox style="mso-next-textbox:#_x0000_s1062">
                <w:txbxContent>
                  <w:p w:rsidR="00F25A97" w:rsidRDefault="00F25A97" w:rsidP="005977BE">
                    <w:r w:rsidRPr="005977BE">
                      <w:rPr>
                        <w:rFonts w:asciiTheme="majorBidi" w:hAnsiTheme="majorBidi" w:cstheme="majorBidi"/>
                      </w:rPr>
                      <w:t>Récompense</w:t>
                    </w:r>
                    <w:r>
                      <w:t xml:space="preserve"> </w:t>
                    </w:r>
                  </w:p>
                </w:txbxContent>
              </v:textbox>
            </v:shape>
            <v:shape id="_x0000_s1063" type="#_x0000_t202" style="position:absolute;left:1870;top:9875;width:393;height:450" filled="f" stroked="f">
              <v:textbox style="mso-next-textbox:#_x0000_s1063">
                <w:txbxContent>
                  <w:p w:rsidR="00F25A97" w:rsidRPr="005977BE" w:rsidRDefault="00F25A97" w:rsidP="005977BE">
                    <w:pPr>
                      <w:rPr>
                        <w:rFonts w:asciiTheme="majorBidi" w:hAnsiTheme="majorBidi" w:cstheme="majorBidi"/>
                        <w:b/>
                        <w:bCs/>
                      </w:rPr>
                    </w:pPr>
                    <w:r w:rsidRPr="00A638DD">
                      <w:rPr>
                        <w:b/>
                        <w:bCs/>
                      </w:rPr>
                      <w:t>A</w:t>
                    </w:r>
                  </w:p>
                </w:txbxContent>
              </v:textbox>
            </v:shape>
            <v:shape id="_x0000_s1064" type="#_x0000_t202" style="position:absolute;left:1867;top:10772;width:431;height:363" filled="f" stroked="f">
              <v:textbox style="mso-next-textbox:#_x0000_s1064">
                <w:txbxContent>
                  <w:p w:rsidR="00F25A97" w:rsidRPr="005977BE" w:rsidRDefault="00F25A97" w:rsidP="005977BE">
                    <w:pPr>
                      <w:rPr>
                        <w:rFonts w:asciiTheme="majorBidi" w:hAnsiTheme="majorBidi" w:cstheme="majorBidi"/>
                        <w:b/>
                        <w:bCs/>
                      </w:rPr>
                    </w:pPr>
                    <w:r w:rsidRPr="005977BE">
                      <w:rPr>
                        <w:rFonts w:asciiTheme="majorBidi" w:hAnsiTheme="majorBidi" w:cstheme="majorBidi"/>
                        <w:b/>
                        <w:bCs/>
                      </w:rPr>
                      <w:t>H</w:t>
                    </w:r>
                  </w:p>
                </w:txbxContent>
              </v:textbox>
            </v:shape>
            <v:shape id="_x0000_s1065" type="#_x0000_t202" style="position:absolute;left:1927;top:11647;width:468;height:351" filled="f" stroked="f">
              <v:textbox style="mso-next-textbox:#_x0000_s1065">
                <w:txbxContent>
                  <w:p w:rsidR="00F25A97" w:rsidRPr="005977BE" w:rsidRDefault="00F25A97" w:rsidP="005977BE">
                    <w:pPr>
                      <w:rPr>
                        <w:rFonts w:asciiTheme="majorBidi" w:hAnsiTheme="majorBidi" w:cstheme="majorBidi"/>
                        <w:b/>
                        <w:bCs/>
                      </w:rPr>
                    </w:pPr>
                    <w:r w:rsidRPr="00A638DD">
                      <w:rPr>
                        <w:b/>
                        <w:bCs/>
                      </w:rPr>
                      <w:t>I</w:t>
                    </w:r>
                  </w:p>
                </w:txbxContent>
              </v:textbox>
            </v:shape>
            <v:shape id="_x0000_s1066" type="#_x0000_t202" style="position:absolute;left:1904;top:12947;width:561;height:484" filled="f" stroked="f">
              <v:textbox style="mso-next-textbox:#_x0000_s1066">
                <w:txbxContent>
                  <w:p w:rsidR="00F25A97" w:rsidRPr="005977BE" w:rsidRDefault="00F25A97" w:rsidP="005977BE">
                    <w:pPr>
                      <w:rPr>
                        <w:rFonts w:asciiTheme="majorBidi" w:hAnsiTheme="majorBidi" w:cstheme="majorBidi"/>
                        <w:b/>
                        <w:bCs/>
                      </w:rPr>
                    </w:pPr>
                    <w:r w:rsidRPr="00A638DD">
                      <w:rPr>
                        <w:b/>
                        <w:bCs/>
                      </w:rPr>
                      <w:t>K</w:t>
                    </w:r>
                  </w:p>
                </w:txbxContent>
              </v:textbox>
            </v:shape>
            <v:shape id="_x0000_s1067" type="#_x0000_t202" style="position:absolute;left:1904;top:13900;width:826;height:334" filled="f" stroked="f">
              <v:textbox style="mso-next-textbox:#_x0000_s1067">
                <w:txbxContent>
                  <w:p w:rsidR="00F25A97" w:rsidRPr="005977BE" w:rsidRDefault="00F25A97" w:rsidP="005977BE">
                    <w:pPr>
                      <w:rPr>
                        <w:rFonts w:asciiTheme="majorBidi" w:hAnsiTheme="majorBidi" w:cstheme="majorBidi"/>
                        <w:b/>
                        <w:bCs/>
                      </w:rPr>
                    </w:pPr>
                    <w:r w:rsidRPr="005977BE">
                      <w:rPr>
                        <w:rFonts w:asciiTheme="majorBidi" w:hAnsiTheme="majorBidi" w:cstheme="majorBidi"/>
                        <w:b/>
                        <w:bCs/>
                      </w:rPr>
                      <w:t>T W</w:t>
                    </w:r>
                  </w:p>
                </w:txbxContent>
              </v:textbox>
            </v:shape>
          </v:group>
        </w:pict>
      </w: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5977BE" w:rsidRPr="005977BE" w:rsidRDefault="005977BE" w:rsidP="005977BE">
      <w:pPr>
        <w:spacing w:line="480" w:lineRule="auto"/>
        <w:jc w:val="both"/>
        <w:rPr>
          <w:rFonts w:ascii="Times New Roman" w:eastAsia="Calibri" w:hAnsi="Times New Roman" w:cs="Times New Roman"/>
          <w:sz w:val="24"/>
          <w:szCs w:val="24"/>
          <w:lang w:eastAsia="en-US"/>
        </w:rPr>
      </w:pPr>
    </w:p>
    <w:p w:rsidR="00BB72F2" w:rsidRDefault="007C38E9" w:rsidP="005977BE">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shape id="_x0000_s1047" type="#_x0000_t32" style="position:absolute;left:0;text-align:left;margin-left:339.1pt;margin-top:162.6pt;width:0;height:15.8pt;z-index:251660288" o:connectortype="straight">
            <v:stroke endarrow="block"/>
          </v:shape>
        </w:pict>
      </w:r>
      <w:r w:rsidR="005977BE" w:rsidRPr="005977BE">
        <w:rPr>
          <w:rFonts w:ascii="Times New Roman" w:eastAsia="Calibri" w:hAnsi="Times New Roman" w:cs="Times New Roman"/>
          <w:sz w:val="24"/>
          <w:szCs w:val="24"/>
          <w:lang w:eastAsia="en-US"/>
        </w:rPr>
        <w:t xml:space="preserve">   Le père d’Ethel engloutit toute la fortune des siens dans des actions frauduleuses. Sa fille subit le contrecoup de ses actions et décide de sauver ce qui reste de la fortune familiale. Mais sa mère s’oppose à ses décisions. Au même moment, son père vend tout, et s’acquitte de ses dettes. Ceci causa la perte de la famille. Parallèlement, à la faillite des Brun, l’auteur juxtapose l’écrasement militaire de 1940. Ceci étant, la famille endure doublement le déshonneur. Ainsi, l’héroïne –soutenue par sa mère- entretient un long périple vers le sud fuyant le danger et l’indignité.  Ceci dit, entre la fonction de départ (   ) et celle d’arrivée (</w:t>
      </w:r>
      <w:r w:rsidR="005977BE" w:rsidRPr="005977BE">
        <w:rPr>
          <w:rFonts w:ascii="Times New Roman" w:eastAsia="Calibri" w:hAnsi="Times New Roman" w:cs="Times New Roman"/>
          <w:b/>
          <w:bCs/>
          <w:sz w:val="24"/>
          <w:szCs w:val="24"/>
          <w:lang w:eastAsia="en-US"/>
        </w:rPr>
        <w:t>O</w:t>
      </w:r>
      <w:r w:rsidR="005977BE" w:rsidRPr="005977BE">
        <w:rPr>
          <w:rFonts w:ascii="Times New Roman" w:eastAsia="Calibri" w:hAnsi="Times New Roman" w:cs="Times New Roman"/>
          <w:sz w:val="24"/>
          <w:szCs w:val="24"/>
          <w:lang w:eastAsia="en-US"/>
        </w:rPr>
        <w:t>), des fonctions de (</w:t>
      </w:r>
      <w:r w:rsidR="005977BE" w:rsidRPr="005977BE">
        <w:rPr>
          <w:rFonts w:ascii="Times New Roman" w:eastAsia="Calibri" w:hAnsi="Times New Roman" w:cs="Times New Roman"/>
          <w:b/>
          <w:bCs/>
          <w:sz w:val="24"/>
          <w:szCs w:val="24"/>
          <w:lang w:eastAsia="en-US"/>
        </w:rPr>
        <w:t>Pr</w:t>
      </w:r>
      <w:r w:rsidR="005977BE" w:rsidRPr="005977BE">
        <w:rPr>
          <w:rFonts w:ascii="Times New Roman" w:eastAsia="Calibri" w:hAnsi="Times New Roman" w:cs="Times New Roman"/>
          <w:sz w:val="24"/>
          <w:szCs w:val="24"/>
          <w:lang w:eastAsia="en-US"/>
        </w:rPr>
        <w:t>) poursuite et de (</w:t>
      </w:r>
      <w:r w:rsidR="005977BE" w:rsidRPr="005977BE">
        <w:rPr>
          <w:rFonts w:ascii="Times New Roman" w:eastAsia="Calibri" w:hAnsi="Times New Roman" w:cs="Times New Roman"/>
          <w:b/>
          <w:bCs/>
          <w:sz w:val="24"/>
          <w:szCs w:val="24"/>
          <w:lang w:eastAsia="en-US"/>
        </w:rPr>
        <w:t>Rs</w:t>
      </w:r>
      <w:r w:rsidR="005977BE" w:rsidRPr="005977BE">
        <w:rPr>
          <w:rFonts w:ascii="Times New Roman" w:eastAsia="Calibri" w:hAnsi="Times New Roman" w:cs="Times New Roman"/>
          <w:sz w:val="24"/>
          <w:szCs w:val="24"/>
          <w:lang w:eastAsia="en-US"/>
        </w:rPr>
        <w:t>) sauvetage viennent s’y intercaler, comme le montre le schéma suivant :</w:t>
      </w:r>
    </w:p>
    <w:p w:rsidR="00BB72F2" w:rsidRDefault="00BB72F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B72F2" w:rsidRPr="00BB72F2" w:rsidRDefault="00BB72F2" w:rsidP="00BB72F2">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B72F2">
        <w:rPr>
          <w:rFonts w:ascii="Times New Roman" w:eastAsia="Times New Roman" w:hAnsi="Times New Roman" w:cs="Times New Roman"/>
          <w:sz w:val="28"/>
          <w:szCs w:val="28"/>
          <w:lang w:eastAsia="en-US"/>
        </w:rPr>
        <w:lastRenderedPageBreak/>
        <w:t>Chapitre I : analyse formelle</w:t>
      </w:r>
    </w:p>
    <w:p w:rsidR="00BB72F2" w:rsidRPr="00BB72F2" w:rsidRDefault="00BB72F2" w:rsidP="00BB72F2">
      <w:pPr>
        <w:tabs>
          <w:tab w:val="center" w:pos="4536"/>
          <w:tab w:val="right" w:pos="9072"/>
        </w:tabs>
        <w:spacing w:line="480" w:lineRule="auto"/>
        <w:jc w:val="center"/>
        <w:rPr>
          <w:rFonts w:ascii="Times New Roman" w:eastAsia="Calibri" w:hAnsi="Times New Roman" w:cs="Times New Roman"/>
          <w:sz w:val="24"/>
          <w:szCs w:val="24"/>
          <w:lang w:eastAsia="en-US"/>
        </w:rPr>
      </w:pPr>
    </w:p>
    <w:p w:rsidR="00BB72F2" w:rsidRPr="00BB72F2" w:rsidRDefault="007C38E9" w:rsidP="00BB72F2">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088" style="position:absolute;left:0;text-align:left;margin-left:83.45pt;margin-top:-22.4pt;width:299.35pt;height:273.9pt;z-index:251663360" coordorigin="2035,4096" coordsize="5987,5478">
            <v:shape id="_x0000_s1089" type="#_x0000_t202" style="position:absolute;left:4826;top:4096;width:1102;height:448" filled="f" stroked="f">
              <v:textbox style="mso-next-textbox:#_x0000_s1089">
                <w:txbxContent>
                  <w:p w:rsidR="00F25A97" w:rsidRDefault="00F25A97" w:rsidP="00BB72F2">
                    <w:r w:rsidRPr="00BB72F2">
                      <w:rPr>
                        <w:rFonts w:ascii="Times New Roman" w:hAnsi="Times New Roman" w:cs="Times New Roman"/>
                      </w:rPr>
                      <w:t>Départ</w:t>
                    </w:r>
                    <w:r>
                      <w:t xml:space="preserve"> </w:t>
                    </w:r>
                  </w:p>
                </w:txbxContent>
              </v:textbox>
            </v:shape>
            <v:shape id="_x0000_s1090" type="#_x0000_t32" style="position:absolute;left:5274;top:4523;width:1;height:486" o:connectortype="straight">
              <v:stroke endarrow="block"/>
            </v:shape>
            <v:shape id="_x0000_s1091" type="#_x0000_t202" style="position:absolute;left:4750;top:5009;width:1102;height:489" filled="f" stroked="f">
              <v:textbox style="mso-next-textbox:#_x0000_s1091">
                <w:txbxContent>
                  <w:p w:rsidR="00F25A97" w:rsidRDefault="00F25A97" w:rsidP="00BB72F2">
                    <w:r w:rsidRPr="00BB72F2">
                      <w:rPr>
                        <w:rFonts w:ascii="Times New Roman" w:hAnsi="Times New Roman" w:cs="Times New Roman"/>
                      </w:rPr>
                      <w:t>Voyage</w:t>
                    </w:r>
                  </w:p>
                </w:txbxContent>
              </v:textbox>
            </v:shape>
            <v:shape id="_x0000_s1092" type="#_x0000_t32" style="position:absolute;left:5275;top:5420;width:1;height:454" o:connectortype="straight"/>
            <v:shape id="_x0000_s1093" type="#_x0000_t32" style="position:absolute;left:5276;top:5874;width:2041;height:1" o:connectortype="straight"/>
            <v:shape id="_x0000_s1094" type="#_x0000_t32" style="position:absolute;left:7316;top:5874;width:1;height:484" o:connectortype="straight">
              <v:stroke endarrow="block"/>
            </v:shape>
            <v:shape id="_x0000_s1095" type="#_x0000_t202" style="position:absolute;left:6903;top:6358;width:861;height:412" filled="f" stroked="f">
              <v:textbox style="mso-next-textbox:#_x0000_s1095">
                <w:txbxContent>
                  <w:p w:rsidR="00F25A97" w:rsidRDefault="00F25A97" w:rsidP="00BB72F2">
                    <w:r w:rsidRPr="00BB72F2">
                      <w:rPr>
                        <w:rFonts w:ascii="Times New Roman" w:hAnsi="Times New Roman" w:cs="Times New Roman"/>
                      </w:rPr>
                      <w:t>Péril</w:t>
                    </w:r>
                    <w:r>
                      <w:t xml:space="preserve"> </w:t>
                    </w:r>
                  </w:p>
                </w:txbxContent>
              </v:textbox>
            </v:shape>
            <v:shape id="_x0000_s1096" type="#_x0000_t32" style="position:absolute;left:7316;top:6713;width:1;height:484" o:connectortype="straight">
              <v:stroke endarrow="block"/>
            </v:shape>
            <v:shape id="_x0000_s1097" type="#_x0000_t202" style="position:absolute;left:6655;top:7121;width:1290;height:508" filled="f" stroked="f">
              <v:textbox style="mso-next-textbox:#_x0000_s1097">
                <w:txbxContent>
                  <w:p w:rsidR="00F25A97" w:rsidRDefault="00F25A97" w:rsidP="00BB72F2">
                    <w:r w:rsidRPr="00BB72F2">
                      <w:rPr>
                        <w:rFonts w:ascii="Times New Roman" w:hAnsi="Times New Roman" w:cs="Times New Roman"/>
                      </w:rPr>
                      <w:t>Protection</w:t>
                    </w:r>
                    <w:r>
                      <w:t xml:space="preserve"> </w:t>
                    </w:r>
                  </w:p>
                </w:txbxContent>
              </v:textbox>
            </v:shape>
            <v:shape id="_x0000_s1098" type="#_x0000_t32" style="position:absolute;left:7316;top:7477;width:1;height:484" o:connectortype="straight">
              <v:stroke endarrow="block"/>
            </v:shape>
            <v:shape id="_x0000_s1099" type="#_x0000_t202" style="position:absolute;left:6617;top:7923;width:1405;height:417" filled="f" stroked="f">
              <v:textbox style="mso-next-textbox:#_x0000_s1099">
                <w:txbxContent>
                  <w:p w:rsidR="00F25A97" w:rsidRDefault="00F25A97" w:rsidP="00BB72F2">
                    <w:r w:rsidRPr="00BB72F2">
                      <w:rPr>
                        <w:rFonts w:ascii="Times New Roman" w:hAnsi="Times New Roman" w:cs="Times New Roman"/>
                      </w:rPr>
                      <w:t>Péril</w:t>
                    </w:r>
                    <w:r>
                      <w:t xml:space="preserve"> </w:t>
                    </w:r>
                    <w:r w:rsidRPr="00BB72F2">
                      <w:rPr>
                        <w:rFonts w:ascii="Times New Roman" w:hAnsi="Times New Roman" w:cs="Times New Roman"/>
                      </w:rPr>
                      <w:t>écarté</w:t>
                    </w:r>
                    <w:r>
                      <w:t xml:space="preserve"> </w:t>
                    </w:r>
                  </w:p>
                </w:txbxContent>
              </v:textbox>
            </v:shape>
            <v:shape id="_x0000_s1100" type="#_x0000_t32" style="position:absolute;left:7317;top:8277;width:1;height:454" o:connectortype="straight"/>
            <v:shape id="_x0000_s1101" type="#_x0000_t32" style="position:absolute;left:5852;top:8731;width:1464;height:0;flip:x" o:connectortype="straight"/>
            <v:shape id="_x0000_s1102" type="#_x0000_t32" style="position:absolute;left:5851;top:8731;width:1;height:484" o:connectortype="straight">
              <v:stroke endarrow="block"/>
            </v:shape>
            <v:shape id="_x0000_s1103" type="#_x0000_t202" style="position:absolute;left:5312;top:9120;width:1066;height:454" filled="f" stroked="f">
              <v:textbox style="mso-next-textbox:#_x0000_s1103">
                <w:txbxContent>
                  <w:p w:rsidR="00F25A97" w:rsidRDefault="00F25A97" w:rsidP="00BB72F2">
                    <w:r w:rsidRPr="00BB72F2">
                      <w:rPr>
                        <w:rFonts w:ascii="Times New Roman" w:hAnsi="Times New Roman" w:cs="Times New Roman"/>
                      </w:rPr>
                      <w:t>Arrivée</w:t>
                    </w:r>
                    <w:r>
                      <w:t xml:space="preserve"> </w:t>
                    </w:r>
                  </w:p>
                </w:txbxContent>
              </v:textbox>
            </v:shape>
            <v:shape id="_x0000_s1104" type="#_x0000_t32" style="position:absolute;left:2412;top:4411;width:1;height:486" o:connectortype="straight" strokeweight="1.5pt">
              <v:stroke endarrow="block"/>
            </v:shape>
            <v:shape id="_x0000_s1105" type="#_x0000_t202" style="position:absolute;left:2076;top:6338;width:542;height:449" filled="f" stroked="f">
              <v:textbox style="mso-next-textbox:#_x0000_s1105">
                <w:txbxContent>
                  <w:p w:rsidR="00F25A97" w:rsidRPr="007718A9" w:rsidRDefault="00F25A97" w:rsidP="00BB72F2">
                    <w:pPr>
                      <w:rPr>
                        <w:b/>
                        <w:bCs/>
                      </w:rPr>
                    </w:pPr>
                    <w:r w:rsidRPr="00BB72F2">
                      <w:rPr>
                        <w:rFonts w:ascii="Times New Roman" w:hAnsi="Times New Roman" w:cs="Times New Roman"/>
                        <w:b/>
                        <w:bCs/>
                      </w:rPr>
                      <w:t>Pr</w:t>
                    </w:r>
                  </w:p>
                </w:txbxContent>
              </v:textbox>
            </v:shape>
            <v:shape id="_x0000_s1106" type="#_x0000_t202" style="position:absolute;left:2035;top:7477;width:561;height:484" filled="f" stroked="f">
              <v:textbox style="mso-next-textbox:#_x0000_s1106">
                <w:txbxContent>
                  <w:p w:rsidR="00F25A97" w:rsidRPr="007718A9" w:rsidRDefault="00F25A97" w:rsidP="00BB72F2">
                    <w:pPr>
                      <w:rPr>
                        <w:b/>
                        <w:bCs/>
                      </w:rPr>
                    </w:pPr>
                    <w:r w:rsidRPr="007718A9">
                      <w:rPr>
                        <w:b/>
                        <w:bCs/>
                      </w:rPr>
                      <w:t xml:space="preserve">Rs </w:t>
                    </w:r>
                  </w:p>
                </w:txbxContent>
              </v:textbox>
            </v:shape>
            <v:shape id="_x0000_s1107" type="#_x0000_t202" style="position:absolute;left:2093;top:9092;width:430;height:430" filled="f" stroked="f">
              <v:textbox style="mso-next-textbox:#_x0000_s1107">
                <w:txbxContent>
                  <w:p w:rsidR="00F25A97" w:rsidRPr="00BB72F2" w:rsidRDefault="00F25A97" w:rsidP="00BB72F2">
                    <w:pPr>
                      <w:rPr>
                        <w:rFonts w:ascii="Times New Roman" w:hAnsi="Times New Roman" w:cs="Times New Roman"/>
                        <w:b/>
                        <w:bCs/>
                      </w:rPr>
                    </w:pPr>
                    <w:r w:rsidRPr="007718A9">
                      <w:rPr>
                        <w:b/>
                        <w:bCs/>
                      </w:rPr>
                      <w:t>O</w:t>
                    </w:r>
                  </w:p>
                </w:txbxContent>
              </v:textbox>
            </v:shape>
          </v:group>
        </w:pict>
      </w:r>
    </w:p>
    <w:p w:rsidR="00BB72F2" w:rsidRPr="00BB72F2" w:rsidRDefault="00BB72F2" w:rsidP="00BB72F2">
      <w:pPr>
        <w:spacing w:line="480" w:lineRule="auto"/>
        <w:jc w:val="both"/>
        <w:rPr>
          <w:rFonts w:ascii="Times New Roman" w:eastAsia="Calibri" w:hAnsi="Times New Roman" w:cs="Times New Roman"/>
          <w:sz w:val="24"/>
          <w:szCs w:val="24"/>
          <w:lang w:eastAsia="en-US"/>
        </w:rPr>
      </w:pPr>
    </w:p>
    <w:p w:rsidR="00BB72F2" w:rsidRPr="00BB72F2" w:rsidRDefault="00BB72F2" w:rsidP="00BB72F2">
      <w:pPr>
        <w:spacing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w:t>
      </w:r>
    </w:p>
    <w:p w:rsidR="00BB72F2" w:rsidRPr="00BB72F2" w:rsidRDefault="00BB72F2" w:rsidP="00BB72F2">
      <w:pPr>
        <w:spacing w:line="480" w:lineRule="auto"/>
        <w:jc w:val="both"/>
        <w:rPr>
          <w:rFonts w:ascii="Times New Roman" w:eastAsia="Calibri" w:hAnsi="Times New Roman" w:cs="Times New Roman"/>
          <w:sz w:val="24"/>
          <w:szCs w:val="24"/>
          <w:lang w:eastAsia="en-US"/>
        </w:rPr>
      </w:pPr>
    </w:p>
    <w:p w:rsidR="00BB72F2" w:rsidRPr="00BB72F2" w:rsidRDefault="00BB72F2" w:rsidP="00BB72F2">
      <w:pPr>
        <w:spacing w:line="480" w:lineRule="auto"/>
        <w:jc w:val="both"/>
        <w:rPr>
          <w:rFonts w:ascii="Times New Roman" w:eastAsia="Calibri" w:hAnsi="Times New Roman" w:cs="Times New Roman"/>
          <w:sz w:val="24"/>
          <w:szCs w:val="24"/>
          <w:lang w:eastAsia="en-US"/>
        </w:rPr>
      </w:pPr>
    </w:p>
    <w:p w:rsidR="00BB72F2" w:rsidRPr="00BB72F2" w:rsidRDefault="00BB72F2" w:rsidP="00BB72F2">
      <w:pPr>
        <w:spacing w:line="480" w:lineRule="auto"/>
        <w:jc w:val="both"/>
        <w:rPr>
          <w:rFonts w:ascii="Times New Roman" w:eastAsia="Calibri" w:hAnsi="Times New Roman" w:cs="Times New Roman"/>
          <w:sz w:val="24"/>
          <w:szCs w:val="24"/>
          <w:lang w:eastAsia="en-US"/>
        </w:rPr>
      </w:pPr>
    </w:p>
    <w:p w:rsidR="00BB72F2" w:rsidRPr="00BB72F2" w:rsidRDefault="00BB72F2" w:rsidP="00BB72F2">
      <w:pPr>
        <w:spacing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Or, à leur arrivée discrètement, à destination (Nice), l’héroïne constate que la situation périlleuse persiste (signe d’inachèvement de l’action). Car elle devait faire face à de pénibles situations. Une péripétie supplémentaire qui interpelle la fonction </w:t>
      </w:r>
      <w:r w:rsidRPr="00BB72F2">
        <w:rPr>
          <w:rFonts w:ascii="Times New Roman" w:eastAsia="Calibri" w:hAnsi="Times New Roman" w:cs="Times New Roman"/>
          <w:b/>
          <w:sz w:val="24"/>
          <w:szCs w:val="24"/>
          <w:lang w:eastAsia="en-US"/>
        </w:rPr>
        <w:t>(J),</w:t>
      </w:r>
      <w:r w:rsidRPr="00BB72F2">
        <w:rPr>
          <w:rFonts w:ascii="Times New Roman" w:eastAsia="Calibri" w:hAnsi="Times New Roman" w:cs="Times New Roman"/>
          <w:sz w:val="24"/>
          <w:szCs w:val="24"/>
          <w:lang w:eastAsia="en-US"/>
        </w:rPr>
        <w:t xml:space="preserve"> celle-ci servira d’épreuve probatoire. Ainsi, Ethel obéit à l’ordre (d’un auxiliaire) de se réfugier en montagne. Une action qui lui garantie une situation satisfaisante, grâce à la détermination à l’auxiliaire magique (De Dion). Ainsi, elle accomplie sa tâche et réussit à s’intégrer dans la vie des montagnards. L’histoire s’achève par la reconnaissance de la valeur de l’exploit de l’héroïne et de sa mère (récompense). </w:t>
      </w:r>
    </w:p>
    <w:p w:rsidR="00BB72F2" w:rsidRDefault="00BB72F2" w:rsidP="00BB72F2">
      <w:pPr>
        <w:spacing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Le méfait commis par le père fonctionne comme un invariant, dont la propriété est d’introduire une autre action, qui assumera à son tour la même fonction, par rapport à une autre. Autrement dit, la banqueroute devait ouvrir la possibilité à une action justicière, mais comme elle s’est terminée par un échec, celle-ci en appelle une autre dont la fonction est de</w:t>
      </w:r>
    </w:p>
    <w:p w:rsidR="00BB72F2" w:rsidRDefault="00BB72F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B72F2" w:rsidRPr="00BB72F2" w:rsidRDefault="00BB72F2" w:rsidP="00BB72F2">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B72F2">
        <w:rPr>
          <w:rFonts w:ascii="Times New Roman" w:eastAsia="Times New Roman" w:hAnsi="Times New Roman" w:cs="Times New Roman"/>
          <w:sz w:val="28"/>
          <w:szCs w:val="28"/>
          <w:lang w:eastAsia="en-US"/>
        </w:rPr>
        <w:lastRenderedPageBreak/>
        <w:t>Chapitre I : analyse formelle</w:t>
      </w:r>
    </w:p>
    <w:p w:rsidR="00BB72F2" w:rsidRPr="00BB72F2" w:rsidRDefault="00BB72F2" w:rsidP="00BB72F2">
      <w:pPr>
        <w:tabs>
          <w:tab w:val="center" w:pos="4536"/>
          <w:tab w:val="right" w:pos="9072"/>
        </w:tabs>
        <w:spacing w:line="480" w:lineRule="auto"/>
        <w:jc w:val="center"/>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prolonger d’avantage le méfait. Toutefois, l’auteur joue sur la simultanéité de deux évènements et ainsi, garantie la fonction-pivot</w:t>
      </w:r>
      <w:r w:rsidRPr="00BB72F2">
        <w:rPr>
          <w:rFonts w:ascii="Times New Roman" w:eastAsia="Calibri" w:hAnsi="Times New Roman" w:cs="Times New Roman"/>
          <w:sz w:val="24"/>
          <w:szCs w:val="24"/>
          <w:vertAlign w:val="superscript"/>
          <w:lang w:eastAsia="en-US"/>
        </w:rPr>
        <w:footnoteReference w:customMarkFollows="1" w:id="17"/>
        <w:sym w:font="Symbol" w:char="F02A"/>
      </w:r>
      <w:r w:rsidRPr="00BB72F2">
        <w:rPr>
          <w:rFonts w:ascii="Times New Roman" w:eastAsia="Calibri" w:hAnsi="Times New Roman" w:cs="Times New Roman"/>
          <w:sz w:val="24"/>
          <w:szCs w:val="24"/>
          <w:vertAlign w:val="superscript"/>
          <w:lang w:eastAsia="en-US"/>
        </w:rPr>
        <w:footnoteReference w:id="18"/>
      </w:r>
      <w:r w:rsidRPr="00BB72F2">
        <w:rPr>
          <w:rFonts w:ascii="Times New Roman" w:eastAsia="Calibri" w:hAnsi="Times New Roman" w:cs="Times New Roman"/>
          <w:sz w:val="24"/>
          <w:szCs w:val="24"/>
          <w:lang w:eastAsia="en-US"/>
        </w:rPr>
        <w:t xml:space="preserve"> à l’héroïne. </w:t>
      </w: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Chaque fonction prend son sens par référence à celle qui la précède et qui la suit. En fait, chacune ouvre une alternative à une autre. Aussi, elles se regroupent en séquences élémentaires qui se suivent dans un ordre croissant. Celles-ci se délimitent par trois moments principaux : </w:t>
      </w:r>
    </w:p>
    <w:p w:rsidR="00BB72F2" w:rsidRPr="00BB72F2" w:rsidRDefault="00BB72F2" w:rsidP="00BB72F2">
      <w:pPr>
        <w:numPr>
          <w:ilvl w:val="0"/>
          <w:numId w:val="6"/>
        </w:num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Situation qui ouvre la possibilité d’un comportement ou d’un évènement (sous                        réserve que cette virtualité s’actualise).</w:t>
      </w:r>
    </w:p>
    <w:p w:rsidR="00BB72F2" w:rsidRPr="00BB72F2" w:rsidRDefault="00BB72F2" w:rsidP="00BB72F2">
      <w:pPr>
        <w:numPr>
          <w:ilvl w:val="0"/>
          <w:numId w:val="6"/>
        </w:num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Le passage à l’acte de cette virtualité (répondre à l’incitation contenue dans la situation « ouvrante »).</w:t>
      </w:r>
    </w:p>
    <w:p w:rsidR="00BB72F2" w:rsidRPr="00BB72F2" w:rsidRDefault="00BB72F2" w:rsidP="00BB72F2">
      <w:pPr>
        <w:numPr>
          <w:ilvl w:val="0"/>
          <w:numId w:val="7"/>
        </w:num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L’aboutissement de cette action, qui « clôt » le processus par succès ou par échec. </w:t>
      </w:r>
    </w:p>
    <w:p w:rsidR="00BB72F2" w:rsidRPr="00BB72F2" w:rsidRDefault="00BB72F2" w:rsidP="00BB72F2">
      <w:pPr>
        <w:spacing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Nous les schématiserons comme suit :</w:t>
      </w:r>
    </w:p>
    <w:p w:rsidR="00BB72F2" w:rsidRDefault="00BB72F2" w:rsidP="00BB72F2">
      <w:pPr>
        <w:spacing w:line="480" w:lineRule="auto"/>
        <w:jc w:val="both"/>
        <w:rPr>
          <w:rFonts w:ascii="Times New Roman" w:eastAsia="Calibri" w:hAnsi="Times New Roman" w:cs="Times New Roman"/>
          <w:sz w:val="24"/>
          <w:szCs w:val="24"/>
          <w:lang w:eastAsia="en-US"/>
        </w:rPr>
      </w:pPr>
    </w:p>
    <w:p w:rsidR="00BB72F2" w:rsidRDefault="00BB72F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B72F2" w:rsidRPr="00BB72F2" w:rsidRDefault="00BB72F2" w:rsidP="00BB72F2">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B72F2">
        <w:rPr>
          <w:rFonts w:ascii="Times New Roman" w:eastAsia="Times New Roman" w:hAnsi="Times New Roman" w:cs="Times New Roman"/>
          <w:sz w:val="28"/>
          <w:szCs w:val="28"/>
          <w:lang w:eastAsia="en-US"/>
        </w:rPr>
        <w:lastRenderedPageBreak/>
        <w:t>Chapitre I : analyse formelle</w:t>
      </w:r>
    </w:p>
    <w:p w:rsidR="00BB72F2" w:rsidRPr="00BB72F2" w:rsidRDefault="00BB72F2" w:rsidP="00BB72F2">
      <w:pPr>
        <w:tabs>
          <w:tab w:val="center" w:pos="4536"/>
          <w:tab w:val="right" w:pos="9072"/>
        </w:tabs>
        <w:spacing w:line="480" w:lineRule="auto"/>
        <w:jc w:val="center"/>
        <w:rPr>
          <w:rFonts w:ascii="Times New Roman" w:eastAsia="Calibri" w:hAnsi="Times New Roman" w:cs="Times New Roman"/>
          <w:sz w:val="24"/>
          <w:szCs w:val="24"/>
          <w:lang w:eastAsia="en-US"/>
        </w:rPr>
      </w:pPr>
    </w:p>
    <w:p w:rsidR="00BB72F2" w:rsidRPr="00BB72F2" w:rsidRDefault="007C38E9" w:rsidP="00BB72F2">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122" style="position:absolute;left:0;text-align:left;margin-left:46.35pt;margin-top:2.55pt;width:360.2pt;height:173.5pt;z-index:251665408" coordorigin="2296,3254" coordsize="7204,3470">
            <v:shape id="_x0000_s1123" type="#_x0000_t202" style="position:absolute;left:3871;top:3254;width:3534;height:469" filled="f" stroked="f">
              <v:textbox style="mso-next-textbox:#_x0000_s1123">
                <w:txbxContent>
                  <w:p w:rsidR="00F25A97" w:rsidRPr="00BB72F2" w:rsidRDefault="00F25A97" w:rsidP="00BB72F2">
                    <w:pPr>
                      <w:rPr>
                        <w:rFonts w:ascii="Times New Roman" w:hAnsi="Times New Roman" w:cs="Times New Roman"/>
                      </w:rPr>
                    </w:pPr>
                    <w:r w:rsidRPr="00BB72F2">
                      <w:rPr>
                        <w:rFonts w:ascii="Times New Roman" w:hAnsi="Times New Roman" w:cs="Times New Roman"/>
                      </w:rPr>
                      <w:t xml:space="preserve">Situation ouvrant une possibilité </w:t>
                    </w:r>
                  </w:p>
                </w:txbxContent>
              </v:textbox>
            </v:shape>
            <v:shape id="_x0000_s1124" type="#_x0000_t32" style="position:absolute;left:5629;top:3723;width:9;height:541;flip:x" o:connectortype="straight"/>
            <v:shape id="_x0000_s1125" type="#_x0000_t32" style="position:absolute;left:3700;top:4264;width:3909;height:2" o:connectortype="straight"/>
            <v:shape id="_x0000_s1126" type="#_x0000_t32" style="position:absolute;left:7609;top:4264;width:1;height:524" o:connectortype="straight">
              <v:stroke endarrow="block"/>
            </v:shape>
            <v:shape id="_x0000_s1127" type="#_x0000_t32" style="position:absolute;left:3707;top:4257;width:1;height:524" o:connectortype="straight">
              <v:stroke endarrow="block"/>
            </v:shape>
            <v:shape id="_x0000_s1128" type="#_x0000_t202" style="position:absolute;left:2296;top:4671;width:2768;height:505" filled="f" stroked="f">
              <v:textbox style="mso-next-textbox:#_x0000_s1128">
                <w:txbxContent>
                  <w:p w:rsidR="00F25A97" w:rsidRPr="00BB72F2" w:rsidRDefault="00F25A97" w:rsidP="00BB72F2">
                    <w:pPr>
                      <w:rPr>
                        <w:rFonts w:ascii="Times New Roman" w:hAnsi="Times New Roman" w:cs="Times New Roman"/>
                      </w:rPr>
                    </w:pPr>
                    <w:r w:rsidRPr="00BB72F2">
                      <w:rPr>
                        <w:rFonts w:ascii="Times New Roman" w:hAnsi="Times New Roman" w:cs="Times New Roman"/>
                      </w:rPr>
                      <w:t>Possibilité non actualisée</w:t>
                    </w:r>
                  </w:p>
                </w:txbxContent>
              </v:textbox>
            </v:shape>
            <v:shape id="_x0000_s1129" type="#_x0000_t202" style="position:absolute;left:6000;top:4731;width:3179;height:486" filled="f" stroked="f">
              <v:textbox style="mso-next-textbox:#_x0000_s1129">
                <w:txbxContent>
                  <w:p w:rsidR="00F25A97" w:rsidRPr="00BB72F2" w:rsidRDefault="00F25A97" w:rsidP="00BB72F2">
                    <w:pPr>
                      <w:rPr>
                        <w:rFonts w:ascii="Times New Roman" w:hAnsi="Times New Roman" w:cs="Times New Roman"/>
                      </w:rPr>
                    </w:pPr>
                    <w:r w:rsidRPr="00BB72F2">
                      <w:rPr>
                        <w:rFonts w:ascii="Times New Roman" w:hAnsi="Times New Roman" w:cs="Times New Roman"/>
                      </w:rPr>
                      <w:t xml:space="preserve">Actualisation de la possibilité </w:t>
                    </w:r>
                  </w:p>
                </w:txbxContent>
              </v:textbox>
            </v:shape>
            <v:shape id="_x0000_s1130" type="#_x0000_t32" style="position:absolute;left:7608;top:5139;width:1;height:624" o:connectortype="straight"/>
            <v:shape id="_x0000_s1131" type="#_x0000_t32" style="position:absolute;left:6245;top:5782;width:2749;height:1" o:connectortype="straight"/>
            <v:shape id="_x0000_s1132" type="#_x0000_t32" style="position:absolute;left:6245;top:5782;width:1;height:510" o:connectortype="straight">
              <v:stroke endarrow="block"/>
            </v:shape>
            <v:shape id="_x0000_s1133" type="#_x0000_t32" style="position:absolute;left:9012;top:5775;width:1;height:510" o:connectortype="straight">
              <v:stroke endarrow="block"/>
            </v:shape>
            <v:shape id="_x0000_s1134" type="#_x0000_t202" style="position:absolute;left:5708;top:6292;width:991;height:432" filled="f" stroked="f">
              <v:textbox style="mso-next-textbox:#_x0000_s1134">
                <w:txbxContent>
                  <w:p w:rsidR="00F25A97" w:rsidRDefault="00F25A97" w:rsidP="00BB72F2">
                    <w:r w:rsidRPr="00BB72F2">
                      <w:rPr>
                        <w:rFonts w:ascii="Times New Roman" w:hAnsi="Times New Roman" w:cs="Times New Roman"/>
                      </w:rPr>
                      <w:t>Echec</w:t>
                    </w:r>
                    <w:r>
                      <w:t xml:space="preserve"> </w:t>
                    </w:r>
                  </w:p>
                </w:txbxContent>
              </v:textbox>
            </v:shape>
            <v:shape id="_x0000_s1135" type="#_x0000_t202" style="position:absolute;left:8490;top:6254;width:1010;height:432" filled="f" stroked="f">
              <v:textbox style="mso-next-textbox:#_x0000_s1135">
                <w:txbxContent>
                  <w:p w:rsidR="00F25A97" w:rsidRDefault="00F25A97" w:rsidP="00BB72F2">
                    <w:r w:rsidRPr="00BB72F2">
                      <w:rPr>
                        <w:rFonts w:ascii="Times New Roman" w:hAnsi="Times New Roman" w:cs="Times New Roman"/>
                      </w:rPr>
                      <w:t>Succès</w:t>
                    </w:r>
                    <w:r>
                      <w:t xml:space="preserve"> </w:t>
                    </w:r>
                  </w:p>
                </w:txbxContent>
              </v:textbox>
            </v:shape>
          </v:group>
        </w:pict>
      </w: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w:t>
      </w: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w:t>
      </w: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   La narration est jumelée à des séquences dialogales. Celles-ci sont caractérisées par un enchainement de répliques, de déclarations ou de questions-réponses. Elles sont soigneusement reportées dans le journal intime de l’héroïne. La fiction comprend trois chapitres : </w:t>
      </w:r>
    </w:p>
    <w:p w:rsidR="00BB72F2" w:rsidRPr="00BB72F2" w:rsidRDefault="00BB72F2" w:rsidP="00BB72F2">
      <w:pPr>
        <w:spacing w:after="0"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 xml:space="preserve">Le premier chapitre, intitulé « la Maison Mauve », comprend six séquences : « Ethel », « Xénia », « Conversation de salon », « Les choses se sont précipitées », « Conversation de salon (suite) », « Toujours le même bruit ». Elles mettent en scène des personnes en proie au malheur, à la déchéance. </w:t>
      </w:r>
    </w:p>
    <w:p w:rsidR="00BB72F2" w:rsidRDefault="00BB72F2" w:rsidP="00BB72F2">
      <w:pPr>
        <w:spacing w:line="480" w:lineRule="auto"/>
        <w:jc w:val="both"/>
        <w:rPr>
          <w:rFonts w:ascii="Times New Roman" w:eastAsia="Calibri" w:hAnsi="Times New Roman" w:cs="Times New Roman"/>
          <w:sz w:val="24"/>
          <w:szCs w:val="24"/>
          <w:lang w:eastAsia="en-US"/>
        </w:rPr>
      </w:pPr>
      <w:r w:rsidRPr="00BB72F2">
        <w:rPr>
          <w:rFonts w:ascii="Times New Roman" w:eastAsia="Calibri" w:hAnsi="Times New Roman" w:cs="Times New Roman"/>
          <w:sz w:val="24"/>
          <w:szCs w:val="24"/>
          <w:lang w:eastAsia="en-US"/>
        </w:rPr>
        <w:t>Le deuxième chapitre, intitulé « La chute »</w:t>
      </w:r>
      <w:r w:rsidRPr="00BB72F2">
        <w:rPr>
          <w:rFonts w:ascii="Times New Roman" w:eastAsia="Calibri" w:hAnsi="Times New Roman" w:cs="Times New Roman"/>
          <w:i/>
          <w:sz w:val="24"/>
          <w:szCs w:val="24"/>
          <w:lang w:eastAsia="en-US"/>
        </w:rPr>
        <w:t xml:space="preserve">, </w:t>
      </w:r>
      <w:r w:rsidRPr="00BB72F2">
        <w:rPr>
          <w:rFonts w:ascii="Times New Roman" w:eastAsia="Calibri" w:hAnsi="Times New Roman" w:cs="Times New Roman"/>
          <w:sz w:val="24"/>
          <w:szCs w:val="24"/>
          <w:lang w:eastAsia="en-US"/>
        </w:rPr>
        <w:t>est la mise en scène d’un</w:t>
      </w:r>
      <w:r w:rsidRPr="00BB72F2">
        <w:rPr>
          <w:rFonts w:ascii="Times New Roman" w:eastAsia="Calibri" w:hAnsi="Times New Roman" w:cs="Times New Roman"/>
          <w:i/>
          <w:sz w:val="24"/>
          <w:szCs w:val="24"/>
          <w:lang w:eastAsia="en-US"/>
        </w:rPr>
        <w:t xml:space="preserve"> </w:t>
      </w:r>
      <w:r w:rsidRPr="00BB72F2">
        <w:rPr>
          <w:rFonts w:ascii="Times New Roman" w:eastAsia="Calibri" w:hAnsi="Times New Roman" w:cs="Times New Roman"/>
          <w:sz w:val="24"/>
          <w:szCs w:val="24"/>
          <w:lang w:eastAsia="en-US"/>
        </w:rPr>
        <w:t>récit auto-explicatif</w:t>
      </w:r>
      <w:r w:rsidRPr="00BB72F2">
        <w:rPr>
          <w:rFonts w:ascii="Times New Roman" w:eastAsia="Calibri" w:hAnsi="Times New Roman" w:cs="Times New Roman"/>
          <w:sz w:val="24"/>
          <w:szCs w:val="24"/>
          <w:vertAlign w:val="superscript"/>
          <w:lang w:eastAsia="en-US"/>
        </w:rPr>
        <w:footnoteReference w:id="19"/>
      </w:r>
      <w:r w:rsidRPr="00BB72F2">
        <w:rPr>
          <w:rFonts w:ascii="Times New Roman" w:eastAsia="Calibri" w:hAnsi="Times New Roman" w:cs="Times New Roman"/>
          <w:sz w:val="24"/>
          <w:szCs w:val="24"/>
          <w:lang w:eastAsia="en-US"/>
        </w:rPr>
        <w:t>.</w:t>
      </w:r>
      <w:r w:rsidRPr="00BB72F2">
        <w:rPr>
          <w:rFonts w:ascii="Times New Roman" w:eastAsia="Calibri" w:hAnsi="Times New Roman" w:cs="Times New Roman"/>
          <w:sz w:val="24"/>
          <w:szCs w:val="24"/>
          <w:vertAlign w:val="superscript"/>
          <w:lang w:eastAsia="en-US"/>
        </w:rPr>
        <w:t xml:space="preserve"> </w:t>
      </w:r>
      <w:r w:rsidRPr="00BB72F2">
        <w:rPr>
          <w:rFonts w:ascii="Times New Roman" w:eastAsia="Calibri" w:hAnsi="Times New Roman" w:cs="Times New Roman"/>
          <w:sz w:val="24"/>
          <w:szCs w:val="24"/>
          <w:lang w:eastAsia="en-US"/>
        </w:rPr>
        <w:t>L’auteur tente de trouver des explications et justifier ainsi, le pourquoi et le comment de la perte de la famille. Il recouvre deux séquences : « C’est par Xénia » et « Le Pouldu ».</w:t>
      </w:r>
    </w:p>
    <w:p w:rsidR="00BB72F2" w:rsidRDefault="00BB72F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B60FD0" w:rsidRPr="00B60FD0" w:rsidRDefault="00B60FD0" w:rsidP="00B60FD0">
      <w:pPr>
        <w:tabs>
          <w:tab w:val="center" w:pos="4536"/>
          <w:tab w:val="right" w:pos="9072"/>
        </w:tabs>
        <w:spacing w:line="480" w:lineRule="auto"/>
        <w:jc w:val="center"/>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Le dernier chapitre se détache de la trame du récit et devient l’histoire authentique, d’une société durant la deuxième guerre mondiale. L’auteur nous fait vivre la période de l’occupation allemande du territoire français par les lois du journal officiel, les déclarations publiques du gouvernement, les sentiments et les actions des gens. Mais surtout les conséquences sur la population civile. Elle ralentit l’histoire et instruit le lecteur sur une situation réelle (une vie). Sept séquences lui sont subordonnées : « Le Silence », « 1942 », « A Lussac-les-Châteaux », « La faim »   « Ils sont partis à l’aube », « Adieu », « Aujourd’hui ».  </w:t>
      </w: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La fin du chapitre sépare le corps du récit de la morale. Les jugements insérés dans le discours du narrateur actualisent les faits racontés. Ils attestent et justifient le cours des choses. </w:t>
      </w: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b/>
          <w:bCs/>
          <w:sz w:val="24"/>
          <w:szCs w:val="24"/>
          <w:lang w:eastAsia="en-US"/>
        </w:rPr>
        <w:t>I.2.2 Prologue</w:t>
      </w:r>
    </w:p>
    <w:p w:rsid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L’image de l’auteur réel « Enfant, à la fin de la guerre, je suis avec ceux qui courent sur la route à côté des camions des Américains, je tends mes mains pour rattraper les barrettes de chewing-gum, le chocolat, les paquets de pain que les soldats lancent à la volée. » (R.D.L.F.P.11) construite par le texte donné et perçue comme telle par le lecteur. En fait, la fonction essentielle de cette image est essentiellement idéologique</w:t>
      </w:r>
      <w:r w:rsidRPr="00B60FD0">
        <w:rPr>
          <w:rFonts w:ascii="Times New Roman" w:eastAsia="Calibri" w:hAnsi="Times New Roman" w:cs="Times New Roman"/>
          <w:sz w:val="24"/>
          <w:szCs w:val="24"/>
          <w:vertAlign w:val="superscript"/>
          <w:lang w:eastAsia="en-US"/>
        </w:rPr>
        <w:footnoteReference w:id="20"/>
      </w:r>
      <w:r w:rsidRPr="00B60FD0">
        <w:rPr>
          <w:rFonts w:ascii="Times New Roman" w:eastAsia="Calibri" w:hAnsi="Times New Roman" w:cs="Times New Roman"/>
          <w:sz w:val="24"/>
          <w:szCs w:val="24"/>
          <w:lang w:eastAsia="en-US"/>
        </w:rPr>
        <w:t> : elle permet d’assumer l’idéologie du texte et de condamner un texte sans condamner son auteur, et vice versa. Le Clézio s’implique par ce témoignage et assume le fait qu’il soit lui-même l’auteur du roman.</w:t>
      </w:r>
    </w:p>
    <w:p w:rsidR="00B60FD0" w:rsidRDefault="00B60FD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B60FD0" w:rsidRPr="00B60FD0" w:rsidRDefault="00B60FD0" w:rsidP="00B60FD0">
      <w:pPr>
        <w:tabs>
          <w:tab w:val="center" w:pos="4536"/>
          <w:tab w:val="right" w:pos="9072"/>
        </w:tabs>
        <w:spacing w:line="480" w:lineRule="auto"/>
        <w:jc w:val="center"/>
        <w:rPr>
          <w:rFonts w:ascii="Times New Roman" w:eastAsia="Calibri" w:hAnsi="Times New Roman" w:cs="Times New Roman"/>
          <w:sz w:val="24"/>
          <w:szCs w:val="24"/>
          <w:lang w:eastAsia="en-US"/>
        </w:rPr>
      </w:pP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Il nous livre une partie de sa vie qui est compatible avec celle de son œuvre. Il termine par une recommandation : </w:t>
      </w:r>
      <w:r w:rsidRPr="00B60FD0">
        <w:rPr>
          <w:rFonts w:ascii="Times New Roman" w:eastAsia="Calibri" w:hAnsi="Times New Roman" w:cs="Times New Roman"/>
          <w:i/>
          <w:sz w:val="24"/>
          <w:szCs w:val="24"/>
          <w:lang w:eastAsia="en-US"/>
        </w:rPr>
        <w:t>« c’est</w:t>
      </w:r>
      <w:r w:rsidRPr="00B60FD0">
        <w:rPr>
          <w:rFonts w:ascii="Times New Roman" w:eastAsia="Calibri" w:hAnsi="Times New Roman" w:cs="Times New Roman"/>
          <w:sz w:val="24"/>
          <w:szCs w:val="24"/>
          <w:lang w:eastAsia="en-US"/>
        </w:rPr>
        <w:t xml:space="preserve"> </w:t>
      </w:r>
      <w:r w:rsidRPr="00B60FD0">
        <w:rPr>
          <w:rFonts w:ascii="Times New Roman" w:eastAsia="Calibri" w:hAnsi="Times New Roman" w:cs="Times New Roman"/>
          <w:i/>
          <w:sz w:val="24"/>
          <w:szCs w:val="24"/>
          <w:lang w:eastAsia="en-US"/>
        </w:rPr>
        <w:t>d’une autre faim qu’il sera question dans l’histoire qui va suivre »,</w:t>
      </w:r>
      <w:r w:rsidRPr="00B60FD0">
        <w:rPr>
          <w:rFonts w:ascii="Times New Roman" w:eastAsia="Calibri" w:hAnsi="Times New Roman" w:cs="Times New Roman"/>
          <w:sz w:val="24"/>
          <w:szCs w:val="24"/>
          <w:lang w:eastAsia="en-US"/>
        </w:rPr>
        <w:t xml:space="preserve"> pour mettre le lecteur sur la voie de son projet. Ainsi, nous sommes en présence d’une introspection prophétique, incitative, et motivante. Une grande phrase qui ouvre la fiction. </w:t>
      </w: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Ce souvenir insignifiant de l’auteur devient le signe d’une signification intime qui établit une union d’âme entre l’écrivain et son lecteur. Car une grande image simple est révélatrice d’un état d’âme.par ailleurs, les grandes images ont à la fois une histoire et une préhistoire.   </w:t>
      </w: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Cela dit, son projet se tend à un vieux souvenir de son enfance puisé dans sa mémoire, et c’est dans cet esprit d’attente, que l’intention du futur « l’histoire qui va suivre » transit par le présent et devient un fait du passé. </w:t>
      </w:r>
    </w:p>
    <w:p w:rsidR="00B60FD0" w:rsidRPr="00B60FD0" w:rsidRDefault="00B60FD0" w:rsidP="00B60FD0">
      <w:pPr>
        <w:numPr>
          <w:ilvl w:val="0"/>
          <w:numId w:val="8"/>
        </w:numPr>
        <w:spacing w:line="480" w:lineRule="auto"/>
        <w:jc w:val="both"/>
        <w:rPr>
          <w:rFonts w:ascii="Times New Roman" w:eastAsia="Calibri" w:hAnsi="Times New Roman" w:cs="Times New Roman"/>
          <w:b/>
          <w:sz w:val="24"/>
          <w:szCs w:val="24"/>
          <w:lang w:eastAsia="en-US"/>
        </w:rPr>
      </w:pPr>
      <w:r w:rsidRPr="00B60FD0">
        <w:rPr>
          <w:rFonts w:ascii="Times New Roman" w:eastAsia="Calibri" w:hAnsi="Times New Roman" w:cs="Times New Roman"/>
          <w:b/>
          <w:sz w:val="24"/>
          <w:szCs w:val="24"/>
          <w:lang w:eastAsia="en-US"/>
        </w:rPr>
        <w:t xml:space="preserve">La dédicace </w:t>
      </w: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J’ai écrit cette histoire en mémoire d’une jeune fille qui fut malgré elle une héroïne à vingt ans. » ceci est un message à l’intention du lecteur qui ne lui communique qu’une orientation du secret, sans jamais dévoiler objectivement tout le secret. Il définit un extrait tout à fait explicite de la dimension autobiographique, situé à la frontière du paratexte. C’est ainsi que le lecteur est convié à une lecture référentielle. Il prépare la lecture d’évènements à venir. </w:t>
      </w: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b/>
          <w:bCs/>
          <w:sz w:val="24"/>
          <w:szCs w:val="24"/>
          <w:lang w:eastAsia="en-US"/>
        </w:rPr>
        <w:t xml:space="preserve">I.2.3 Epilogue </w:t>
      </w:r>
    </w:p>
    <w:p w:rsid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La musique contribue au tissage de l’histoire et constitue une collaboration au texte authentique. Chez les anthropologues et les sociologues, la musique est perçue comme une médiation symbolique permettant la familiarité du lecteur avec le texte. Ceci nous permet de</w:t>
      </w:r>
    </w:p>
    <w:p w:rsidR="00B60FD0" w:rsidRDefault="00B60FD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B60FD0" w:rsidRPr="00B60FD0" w:rsidRDefault="00B60FD0" w:rsidP="00B60FD0">
      <w:pPr>
        <w:tabs>
          <w:tab w:val="center" w:pos="4536"/>
          <w:tab w:val="right" w:pos="9072"/>
        </w:tabs>
        <w:spacing w:line="480" w:lineRule="auto"/>
        <w:jc w:val="center"/>
        <w:rPr>
          <w:rFonts w:ascii="Times New Roman" w:eastAsia="Calibri" w:hAnsi="Times New Roman" w:cs="Times New Roman"/>
          <w:sz w:val="24"/>
          <w:szCs w:val="24"/>
          <w:lang w:eastAsia="en-US"/>
        </w:rPr>
      </w:pP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dire que </w:t>
      </w:r>
      <w:r w:rsidRPr="00B60FD0">
        <w:rPr>
          <w:rFonts w:ascii="Times New Roman" w:eastAsia="Calibri" w:hAnsi="Times New Roman" w:cs="Times New Roman"/>
          <w:i/>
          <w:sz w:val="24"/>
          <w:szCs w:val="24"/>
          <w:lang w:eastAsia="en-US"/>
        </w:rPr>
        <w:t>le Boléro</w:t>
      </w:r>
      <w:r w:rsidRPr="00B60FD0">
        <w:rPr>
          <w:rFonts w:ascii="Times New Roman" w:eastAsia="Calibri" w:hAnsi="Times New Roman" w:cs="Times New Roman"/>
          <w:sz w:val="24"/>
          <w:szCs w:val="24"/>
          <w:lang w:eastAsia="en-US"/>
        </w:rPr>
        <w:t xml:space="preserve"> fournit un texte au contexte avec un système de conventions particulières pour permettre sa compréhension. </w:t>
      </w: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i/>
          <w:sz w:val="24"/>
          <w:szCs w:val="24"/>
          <w:lang w:eastAsia="en-US"/>
        </w:rPr>
        <w:t xml:space="preserve">   Le</w:t>
      </w:r>
      <w:r w:rsidRPr="00B60FD0">
        <w:rPr>
          <w:rFonts w:ascii="Times New Roman" w:eastAsia="Calibri" w:hAnsi="Times New Roman" w:cs="Times New Roman"/>
          <w:sz w:val="24"/>
          <w:szCs w:val="24"/>
          <w:lang w:eastAsia="en-US"/>
        </w:rPr>
        <w:t xml:space="preserve"> </w:t>
      </w:r>
      <w:r w:rsidRPr="00B60FD0">
        <w:rPr>
          <w:rFonts w:ascii="Times New Roman" w:eastAsia="Calibri" w:hAnsi="Times New Roman" w:cs="Times New Roman"/>
          <w:i/>
          <w:sz w:val="24"/>
          <w:szCs w:val="24"/>
          <w:lang w:eastAsia="en-US"/>
        </w:rPr>
        <w:t>boléro</w:t>
      </w:r>
      <w:r w:rsidRPr="00B60FD0">
        <w:rPr>
          <w:rFonts w:ascii="Times New Roman" w:eastAsia="Calibri" w:hAnsi="Times New Roman" w:cs="Times New Roman"/>
          <w:sz w:val="24"/>
          <w:szCs w:val="24"/>
          <w:lang w:eastAsia="en-US"/>
        </w:rPr>
        <w:t xml:space="preserve"> est l’une des dernières œuvres de Maurice Ravel, composée en 1928, avant que la maladie ne le condamne au silence. Un ballet à caractère espagnol qui incarne les conséquences de la guerre et le malheur des temps. Sa mélodie uniforme et répétitive</w:t>
      </w:r>
      <w:r w:rsidRPr="00B60FD0">
        <w:rPr>
          <w:rFonts w:ascii="Times New Roman" w:eastAsia="Calibri" w:hAnsi="Times New Roman" w:cs="Times New Roman"/>
          <w:sz w:val="24"/>
          <w:szCs w:val="24"/>
          <w:vertAlign w:val="superscript"/>
          <w:lang w:eastAsia="en-US"/>
        </w:rPr>
        <w:footnoteReference w:id="21"/>
      </w:r>
      <w:r w:rsidRPr="00B60FD0">
        <w:rPr>
          <w:rFonts w:ascii="Times New Roman" w:eastAsia="Calibri" w:hAnsi="Times New Roman" w:cs="Times New Roman"/>
          <w:sz w:val="24"/>
          <w:szCs w:val="24"/>
          <w:lang w:eastAsia="en-US"/>
        </w:rPr>
        <w:t xml:space="preserve"> inspirée du type arabo-espagnol, n’utilise qu’un thème et un contre thème, inlassablement répétés. Son mouvement de danse (danse traditionnelle populaire andalouse</w:t>
      </w:r>
      <w:r w:rsidRPr="00B60FD0">
        <w:rPr>
          <w:rFonts w:ascii="Times New Roman" w:eastAsia="Calibri" w:hAnsi="Times New Roman" w:cs="Times New Roman"/>
          <w:sz w:val="24"/>
          <w:szCs w:val="24"/>
          <w:vertAlign w:val="superscript"/>
          <w:lang w:eastAsia="en-US"/>
        </w:rPr>
        <w:footnoteReference w:id="22"/>
      </w:r>
      <w:r w:rsidRPr="00B60FD0">
        <w:rPr>
          <w:rFonts w:ascii="Times New Roman" w:eastAsia="Calibri" w:hAnsi="Times New Roman" w:cs="Times New Roman"/>
          <w:sz w:val="24"/>
          <w:szCs w:val="24"/>
          <w:lang w:eastAsia="en-US"/>
        </w:rPr>
        <w:t xml:space="preserve">) au rythme et au tempo invariables, à la fois envoutant et obsédant, ont toujours magnétisé le publique et déconcerté les critiques. Si la musique, tout comme la danse, illustre de nombreuses facettes d’une époque ou d’une société, alors quel rapport y a-t-il entre l’œuvre de Le Clézio et le </w:t>
      </w:r>
      <w:r w:rsidRPr="00B60FD0">
        <w:rPr>
          <w:rFonts w:ascii="Times New Roman" w:eastAsia="Calibri" w:hAnsi="Times New Roman" w:cs="Times New Roman"/>
          <w:i/>
          <w:sz w:val="24"/>
          <w:szCs w:val="24"/>
          <w:lang w:eastAsia="en-US"/>
        </w:rPr>
        <w:t>Boléro </w:t>
      </w:r>
      <w:r w:rsidRPr="00B60FD0">
        <w:rPr>
          <w:rFonts w:ascii="Times New Roman" w:eastAsia="Calibri" w:hAnsi="Times New Roman" w:cs="Times New Roman"/>
          <w:sz w:val="24"/>
          <w:szCs w:val="24"/>
          <w:lang w:eastAsia="en-US"/>
        </w:rPr>
        <w:t>?</w:t>
      </w:r>
    </w:p>
    <w:p w:rsid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Le GHETTO</w:t>
      </w:r>
      <w:r w:rsidRPr="00B60FD0">
        <w:rPr>
          <w:rFonts w:ascii="Times New Roman" w:eastAsia="Calibri" w:hAnsi="Times New Roman" w:cs="Times New Roman"/>
          <w:sz w:val="24"/>
          <w:szCs w:val="24"/>
          <w:vertAlign w:val="superscript"/>
          <w:lang w:eastAsia="en-US"/>
        </w:rPr>
        <w:footnoteReference w:id="23"/>
      </w:r>
      <w:r w:rsidRPr="00B60FD0">
        <w:rPr>
          <w:rFonts w:ascii="Times New Roman" w:eastAsia="Calibri" w:hAnsi="Times New Roman" w:cs="Times New Roman"/>
          <w:sz w:val="24"/>
          <w:szCs w:val="24"/>
          <w:lang w:eastAsia="en-US"/>
        </w:rPr>
        <w:t xml:space="preserve"> créé et instauré par le pape Pie VI au XVI siècle, à l’encontre des juifs, avec un couvre feu (sous peine de mort) se propagea pendant des siècles à travers toute l’Europe : la Russie, la Pologne, la Hongrie etc. Aussi, il se multiplia et se développa très vite sous des formes et des styles inhumains et inqualifiables, allant de l’humiliation et la persécution jusqu’à l’errance. Avec les nazis, il atteignit une forme extrême (l’extermination de la race sous le regard passif des dirigeants européens).</w:t>
      </w:r>
    </w:p>
    <w:p w:rsidR="00B60FD0" w:rsidRDefault="00B60FD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B60FD0" w:rsidRPr="00B60FD0" w:rsidRDefault="00B60FD0" w:rsidP="00B60FD0">
      <w:pPr>
        <w:tabs>
          <w:tab w:val="center" w:pos="4536"/>
          <w:tab w:val="right" w:pos="9072"/>
        </w:tabs>
        <w:spacing w:line="480" w:lineRule="auto"/>
        <w:jc w:val="center"/>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i/>
          <w:sz w:val="24"/>
          <w:szCs w:val="24"/>
          <w:lang w:eastAsia="en-US"/>
        </w:rPr>
        <w:t>Le Boléro</w:t>
      </w:r>
      <w:r w:rsidRPr="00B60FD0">
        <w:rPr>
          <w:rFonts w:ascii="Times New Roman" w:eastAsia="Calibri" w:hAnsi="Times New Roman" w:cs="Times New Roman"/>
          <w:sz w:val="24"/>
          <w:szCs w:val="24"/>
          <w:lang w:eastAsia="en-US"/>
        </w:rPr>
        <w:t xml:space="preserve"> est à la fois ce que « </w:t>
      </w:r>
      <w:r w:rsidRPr="00B60FD0">
        <w:rPr>
          <w:rFonts w:ascii="Times New Roman" w:eastAsia="Calibri" w:hAnsi="Times New Roman" w:cs="Times New Roman"/>
          <w:i/>
          <w:sz w:val="24"/>
          <w:szCs w:val="24"/>
          <w:lang w:eastAsia="en-US"/>
        </w:rPr>
        <w:t>le Blues »</w:t>
      </w:r>
      <w:r w:rsidRPr="00B60FD0">
        <w:rPr>
          <w:rFonts w:ascii="Times New Roman" w:eastAsia="Calibri" w:hAnsi="Times New Roman" w:cs="Times New Roman"/>
          <w:sz w:val="24"/>
          <w:szCs w:val="24"/>
          <w:lang w:eastAsia="en-US"/>
        </w:rPr>
        <w:t xml:space="preserve"> est aux Noirs Américain, ce que « </w:t>
      </w:r>
      <w:r w:rsidRPr="00B60FD0">
        <w:rPr>
          <w:rFonts w:ascii="Times New Roman" w:eastAsia="Calibri" w:hAnsi="Times New Roman" w:cs="Times New Roman"/>
          <w:i/>
          <w:sz w:val="24"/>
          <w:szCs w:val="24"/>
          <w:lang w:eastAsia="en-US"/>
        </w:rPr>
        <w:t xml:space="preserve">le Fado » </w:t>
      </w:r>
      <w:r w:rsidRPr="00B60FD0">
        <w:rPr>
          <w:rFonts w:ascii="Times New Roman" w:eastAsia="Calibri" w:hAnsi="Times New Roman" w:cs="Times New Roman"/>
          <w:sz w:val="24"/>
          <w:szCs w:val="24"/>
          <w:lang w:eastAsia="en-US"/>
        </w:rPr>
        <w:t>est</w:t>
      </w:r>
      <w:r w:rsidRPr="00B60FD0">
        <w:rPr>
          <w:rFonts w:ascii="Times New Roman" w:eastAsia="Calibri" w:hAnsi="Times New Roman" w:cs="Times New Roman"/>
          <w:i/>
          <w:sz w:val="24"/>
          <w:szCs w:val="24"/>
          <w:lang w:eastAsia="en-US"/>
        </w:rPr>
        <w:t xml:space="preserve"> </w:t>
      </w:r>
      <w:r w:rsidRPr="00B60FD0">
        <w:rPr>
          <w:rFonts w:ascii="Times New Roman" w:eastAsia="Calibri" w:hAnsi="Times New Roman" w:cs="Times New Roman"/>
          <w:sz w:val="24"/>
          <w:szCs w:val="24"/>
          <w:lang w:eastAsia="en-US"/>
        </w:rPr>
        <w:t>aux Portugais. Il est le chant du malheur. Il raconte l’histoire d’un peuple, celle de la misère. Sa musique ressasse les maux d’un passé douloureux, d’une tragédie collective. Aussi, il permet de préserver tous les éléments de l’identité. C’est un chef-d’œuvre simple, original, sans artifice dont la force et la séduction réside en son crescendo qui est à la fois un retour sur soi-même et la marque d’une œuvre inquiétante.</w:t>
      </w:r>
      <w:r w:rsidRPr="00B60FD0">
        <w:rPr>
          <w:rFonts w:ascii="Times New Roman" w:eastAsia="Calibri" w:hAnsi="Times New Roman" w:cs="Times New Roman"/>
          <w:sz w:val="28"/>
          <w:szCs w:val="28"/>
          <w:lang w:eastAsia="en-US"/>
        </w:rPr>
        <w:t xml:space="preserve"> </w:t>
      </w: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b/>
          <w:bCs/>
          <w:sz w:val="24"/>
          <w:szCs w:val="24"/>
          <w:lang w:eastAsia="en-US"/>
        </w:rPr>
        <w:t>I.2.4 Personnages</w:t>
      </w: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Le roman oppose deux types de personnages. Ceux –ci se distinguent par une certaine disparité sociale et psychologique. En effet, contrairement au clan des Brun, les Soliman rejettent les valeurs de la société moderne d’ailleurs, ils sont tout le temps en rupture avec leur milieu. Ceci leur attribue une forme d’individualisation physique, psychologique et sociale. Cependant, le principal protagoniste, Ethel assure la fonction- pivot de l’histoire. Un bref appel à l’onomastique nous permet de tenter d’expliquer le choix des prénoms des principaux personnages par rapport à leur fonction dans le roman. Ainsi, phonétiquement le prénom d’Ethel revoie à une phrase interrogative avec inversion du sujet « est-elle ? » qui soutient les interrogations de l’auteur à son propos « Ethel réalisait qu’elle avait vingt ans, et qu’elle n’avait jamais été jeune » (R.D.L.F.P.148) </w:t>
      </w:r>
    </w:p>
    <w:p w:rsid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Samuel, de part son âge (octogénaire) et sa fonction dans le récit (protecteur) renvoie directement à l’ange Samuel. D’ailleurs il repose près de la statue de l’ange Gabrielle « vous ne pouvez pas la manquer, c’est à côté de l’archange Gabrielle. »(R.D.L.F.P.186).   Alexandre, lui rappel le personnage d’Alexandre Premier. En effet, il est le bourgeois bannit des travaux manuels, et son mode de vie «mon cher, un avocat n’existerait pas sans ces</w:t>
      </w:r>
    </w:p>
    <w:p w:rsidR="00B60FD0" w:rsidRDefault="00B60FD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B60FD0" w:rsidRPr="00B60FD0" w:rsidRDefault="00B60FD0" w:rsidP="00B60FD0">
      <w:pPr>
        <w:tabs>
          <w:tab w:val="center" w:pos="4536"/>
          <w:tab w:val="right" w:pos="9072"/>
        </w:tabs>
        <w:spacing w:line="480" w:lineRule="auto"/>
        <w:jc w:val="center"/>
        <w:rPr>
          <w:rFonts w:ascii="Times New Roman" w:eastAsia="Calibri" w:hAnsi="Times New Roman" w:cs="Times New Roman"/>
          <w:sz w:val="24"/>
          <w:szCs w:val="24"/>
          <w:lang w:eastAsia="en-US"/>
        </w:rPr>
      </w:pPr>
    </w:p>
    <w:p w:rsidR="00B60FD0" w:rsidRPr="00B60FD0" w:rsidRDefault="00B60FD0" w:rsidP="00B60FD0">
      <w:pPr>
        <w:spacing w:after="0"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mondanités »(R.D.L.F.P.47) fait de lui un dieu de la société. Justine revoie à la justice terrestre. Car son engagement auprès de sa fille, leur facilite la tâche et permet à Ethel de s’affranchir de son statut social.</w:t>
      </w:r>
    </w:p>
    <w:p w:rsid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Ceci étant, le choix de son âge (dix ans) fait d’elle une réserve naturelle de l’authenticité. Autrement dit, les descriptions qu’elle fait des conversations du salon dans le premier chapitre, sont incontestables. D’autre part, l’affection et l’amour que lui témoignait l’oncle Samuel lui attribuait le statut de bénéficiaire de protection. Par ailleurs, l’action protectrice, en elle-même, présuppose une menace de dégradation d’un état satisfaisant. Or, il se trouve que l’agent frustrateur n’est personne d’autre que le père. Son immoralité permettait à sa fille d’assister aux réunions du dimanche, de participer aux débats et même de l’aider à préparer ces cigares. Ces agissements mettaient Soliman hors de lui. Mais, tout processus de protection bénéficie de l’aide d’un auxiliaire prestateur (Laurent). Celui-ci joue le rôle d’un coaméliorateur. Aussi, nous schématisons ces relations par la figure ci-dessous : </w:t>
      </w:r>
    </w:p>
    <w:p w:rsidR="00B60FD0" w:rsidRDefault="007C38E9">
      <w:pPr>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154" style="position:absolute;margin-left:83.9pt;margin-top:19.8pt;width:313.5pt;height:195.75pt;z-index:251667456" coordorigin="3450,2193" coordsize="6270,3915">
            <v:shape id="_x0000_s1155" type="#_x0000_t202" style="position:absolute;left:7935;top:3645;width:1785;height:1275" filled="f" stroked="f">
              <v:textbox style="mso-next-textbox:#_x0000_s1155">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 xml:space="preserve">Bénéficiaire d’amélioration </w:t>
                    </w:r>
                  </w:p>
                </w:txbxContent>
              </v:textbox>
            </v:shape>
            <v:shape id="_x0000_s1156" type="#_x0000_t32" style="position:absolute;left:3450;top:4079;width:4605;height:1" o:connectortype="straight">
              <v:stroke endarrow="block"/>
            </v:shape>
            <v:shape id="_x0000_s1157" type="#_x0000_t32" style="position:absolute;left:3930;top:3795;width:0;height:0" o:connectortype="straight">
              <v:stroke endarrow="block"/>
            </v:shape>
            <v:shape id="_x0000_s1158" type="#_x0000_t32" style="position:absolute;left:7335;top:4305;width:0;height:0" o:connectortype="straight">
              <v:stroke endarrow="block"/>
            </v:shape>
            <v:shape id="_x0000_s1159" type="#_x0000_t202" style="position:absolute;left:3540;top:2765;width:1470;height:448" filled="f" fillcolor="#eeece1" stroked="f">
              <v:textbox style="mso-next-textbox:#_x0000_s1159">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Obstructeur</w:t>
                    </w:r>
                  </w:p>
                </w:txbxContent>
              </v:textbox>
            </v:shape>
            <v:shape id="_x0000_s1160" type="#_x0000_t202" style="position:absolute;left:6600;top:2765;width:1455;height:448" filled="f" stroked="f">
              <v:textbox style="mso-next-textbox:#_x0000_s1160">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Frustrateur</w:t>
                    </w:r>
                  </w:p>
                </w:txbxContent>
              </v:textbox>
            </v:shape>
            <v:shape id="_x0000_s1161" type="#_x0000_t202" style="position:absolute;left:3540;top:4920;width:1275;height:498" filled="f" stroked="f">
              <v:textbox style="mso-next-textbox:#_x0000_s1161">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Prestateur</w:t>
                    </w:r>
                  </w:p>
                </w:txbxContent>
              </v:textbox>
            </v:shape>
            <v:shape id="_x0000_s1162" type="#_x0000_t202" style="position:absolute;left:6240;top:4920;width:1815;height:498" filled="f" stroked="f">
              <v:textbox style="mso-next-textbox:#_x0000_s1162">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Coaméliorateur</w:t>
                    </w:r>
                  </w:p>
                </w:txbxContent>
              </v:textbox>
            </v:shape>
            <v:shape id="_x0000_s1163" type="#_x0000_t202" style="position:absolute;left:4500;top:3690;width:1650;height:495" filled="f" stroked="f">
              <v:textbox style="mso-next-textbox:#_x0000_s1163">
                <w:txbxContent>
                  <w:p w:rsidR="00F25A97" w:rsidRPr="00B60FD0" w:rsidRDefault="00F25A97" w:rsidP="00B60FD0">
                    <w:pPr>
                      <w:rPr>
                        <w:rFonts w:ascii="Times New Roman" w:hAnsi="Times New Roman" w:cs="Times New Roman"/>
                      </w:rPr>
                    </w:pPr>
                    <w:r w:rsidRPr="00B60FD0">
                      <w:rPr>
                        <w:rFonts w:ascii="Times New Roman" w:hAnsi="Times New Roman" w:cs="Times New Roman"/>
                      </w:rPr>
                      <w:t>Améliorateur</w:t>
                    </w:r>
                  </w:p>
                </w:txbxContent>
              </v:textbox>
            </v:shape>
            <v:shape id="_x0000_s1164" type="#_x0000_t32" style="position:absolute;left:3735;top:3213;width:540;height:477;flip:x" o:connectortype="straight">
              <v:stroke endarrow="block"/>
            </v:shape>
            <v:shape id="_x0000_s1165" type="#_x0000_t32" style="position:absolute;left:7335;top:3213;width:457;height:432" o:connectortype="straight">
              <v:stroke endarrow="block"/>
            </v:shape>
            <v:shape id="_x0000_s1166" type="#_x0000_t32" style="position:absolute;left:3735;top:4305;width:420;height:483;flip:x y" o:connectortype="straight">
              <v:stroke endarrow="block"/>
            </v:shape>
            <v:shape id="_x0000_s1167" type="#_x0000_t32" style="position:absolute;left:7185;top:4305;width:510;height:483;flip:y" o:connectortype="straight">
              <v:stroke endarrow="block"/>
            </v:shape>
            <v:shape id="_x0000_s1168" type="#_x0000_t32" style="position:absolute;left:4890;top:5583;width:660;height:525" o:connectortype="straight"/>
            <v:shape id="_x0000_s1169" type="#_x0000_t32" style="position:absolute;left:5670;top:5583;width:705;height:525;flip:x" o:connectortype="straight"/>
            <v:shape id="_x0000_s1170" type="#_x0000_t32" style="position:absolute;left:4890;top:2193;width:480;height:405;flip:x" o:connectortype="straight"/>
            <v:shape id="_x0000_s1171" type="#_x0000_t32" style="position:absolute;left:5925;top:2193;width:675;height:405" o:connectortype="straight"/>
          </v:group>
        </w:pict>
      </w:r>
      <w:r w:rsidR="00B60FD0">
        <w:rPr>
          <w:rFonts w:ascii="Times New Roman" w:eastAsia="Calibri" w:hAnsi="Times New Roman" w:cs="Times New Roman"/>
          <w:sz w:val="24"/>
          <w:szCs w:val="24"/>
          <w:lang w:eastAsia="en-US"/>
        </w:rPr>
        <w:br w:type="page"/>
      </w:r>
    </w:p>
    <w:p w:rsidR="00B60FD0" w:rsidRPr="00B60FD0" w:rsidRDefault="00B60FD0" w:rsidP="00B60FD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B60FD0">
        <w:rPr>
          <w:rFonts w:ascii="Times New Roman" w:eastAsia="Times New Roman" w:hAnsi="Times New Roman" w:cs="Times New Roman"/>
          <w:sz w:val="28"/>
          <w:szCs w:val="28"/>
          <w:lang w:eastAsia="en-US"/>
        </w:rPr>
        <w:lastRenderedPageBreak/>
        <w:t>Chapitre I : analyse formelle</w:t>
      </w:r>
    </w:p>
    <w:p w:rsidR="00617330" w:rsidRDefault="0061733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Cela dit, les agissements du père nuisent au statut de la jeune fille « Elle n’avait pas quinze ans, elle venait de tout perdre. » (R.D.L.F.P.68) Aussi, à partir du moment où, elle a signé chez le notaire jusqu’à la fin de l’histoire, elle se métamorphose et passa   d’un état initial -celui d’un patient affecté par le cours des évènements- à un état final –agent modificateur de la situation initiale et de son état- aussi, nous coderons son rôle dans la chronologie de l’histoire selon l’ordre et les options suivantes : </w:t>
      </w:r>
    </w:p>
    <w:p w:rsidR="00B60FD0" w:rsidRPr="00B60FD0" w:rsidRDefault="007C38E9" w:rsidP="00B60FD0">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214" style="position:absolute;left:0;text-align:left;margin-left:-18.4pt;margin-top:3.15pt;width:486.75pt;height:264.25pt;z-index:251669504" coordorigin="570,7409" coordsize="10200,5626">
            <v:shape id="_x0000_s1215" type="#_x0000_t202" style="position:absolute;left:2595;top:7409;width:4845;height:788" filled="f" stroked="f">
              <v:textbox style="mso-next-textbox:#_x0000_s1215">
                <w:txbxContent>
                  <w:p w:rsidR="00F25A97" w:rsidRPr="00B60FD0" w:rsidRDefault="00F25A97" w:rsidP="00B60FD0">
                    <w:pPr>
                      <w:spacing w:after="0" w:line="240" w:lineRule="auto"/>
                      <w:jc w:val="center"/>
                      <w:rPr>
                        <w:rFonts w:ascii="Times New Roman" w:hAnsi="Times New Roman" w:cs="Times New Roman"/>
                      </w:rPr>
                    </w:pPr>
                    <w:r w:rsidRPr="00B60FD0">
                      <w:rPr>
                        <w:rFonts w:ascii="Times New Roman" w:hAnsi="Times New Roman" w:cs="Times New Roman"/>
                      </w:rPr>
                      <w:t>Patient affecté d’un état A ; éventuel patient</w:t>
                    </w:r>
                  </w:p>
                  <w:p w:rsidR="00F25A97" w:rsidRPr="00B60FD0" w:rsidRDefault="00F25A97" w:rsidP="00B60FD0">
                    <w:pPr>
                      <w:jc w:val="center"/>
                      <w:rPr>
                        <w:rFonts w:ascii="Times New Roman" w:hAnsi="Times New Roman" w:cs="Times New Roman"/>
                      </w:rPr>
                    </w:pPr>
                    <w:r w:rsidRPr="00B60FD0">
                      <w:rPr>
                        <w:rFonts w:ascii="Times New Roman" w:hAnsi="Times New Roman" w:cs="Times New Roman"/>
                      </w:rPr>
                      <w:t>d’une éventuelle modification de cet état</w:t>
                    </w:r>
                  </w:p>
                </w:txbxContent>
              </v:textbox>
            </v:shape>
            <v:shape id="_x0000_s1216" type="#_x0000_t32" style="position:absolute;left:4875;top:8062;width:1;height:705" o:connectortype="straight"/>
            <v:shape id="_x0000_s1217" type="#_x0000_t32" style="position:absolute;left:2610;top:8767;width:4485;height:1" o:connectortype="straight"/>
            <v:shape id="_x0000_s1218" type="#_x0000_t32" style="position:absolute;left:2595;top:8767;width:1;height:675" o:connectortype="straight">
              <v:stroke endarrow="block"/>
            </v:shape>
            <v:shape id="_x0000_s1219" type="#_x0000_t32" style="position:absolute;left:7095;top:8782;width:1;height:675" o:connectortype="straight">
              <v:stroke endarrow="block"/>
            </v:shape>
            <v:shape id="_x0000_s1220" type="#_x0000_t202" style="position:absolute;left:570;top:9457;width:4320;height:1257" filled="f" stroked="f">
              <v:textbox style="mso-next-textbox:#_x0000_s1220">
                <w:txbxContent>
                  <w:p w:rsidR="00F25A97" w:rsidRPr="00B60FD0" w:rsidRDefault="00F25A97" w:rsidP="00B60FD0">
                    <w:pPr>
                      <w:spacing w:after="0"/>
                      <w:rPr>
                        <w:rFonts w:ascii="Times New Roman" w:hAnsi="Times New Roman" w:cs="Times New Roman"/>
                      </w:rPr>
                    </w:pPr>
                    <w:r w:rsidRPr="00B60FD0">
                      <w:rPr>
                        <w:rFonts w:ascii="Times New Roman" w:hAnsi="Times New Roman" w:cs="Times New Roman"/>
                      </w:rPr>
                      <w:t>Patient maintenu dans son état initial A </w:t>
                    </w:r>
                  </w:p>
                  <w:p w:rsidR="00F25A97" w:rsidRPr="00B60FD0" w:rsidRDefault="00F25A97" w:rsidP="00B60FD0">
                    <w:pPr>
                      <w:spacing w:after="0"/>
                      <w:jc w:val="center"/>
                      <w:rPr>
                        <w:rFonts w:ascii="Times New Roman" w:hAnsi="Times New Roman" w:cs="Times New Roman"/>
                      </w:rPr>
                    </w:pPr>
                    <w:r w:rsidRPr="00B60FD0">
                      <w:rPr>
                        <w:rFonts w:ascii="Times New Roman" w:hAnsi="Times New Roman" w:cs="Times New Roman"/>
                      </w:rPr>
                      <w:t xml:space="preserve">par l’absence de passage à l’acte d’un processus modificateur de cet état. </w:t>
                    </w:r>
                  </w:p>
                  <w:p w:rsidR="00F25A97" w:rsidRDefault="00F25A97" w:rsidP="00B60FD0">
                    <w:pPr>
                      <w:spacing w:after="0"/>
                      <w:jc w:val="center"/>
                    </w:pPr>
                  </w:p>
                </w:txbxContent>
              </v:textbox>
            </v:shape>
            <v:shape id="_x0000_s1221" type="#_x0000_t202" style="position:absolute;left:5341;top:9442;width:3959;height:1363" filled="f" stroked="f">
              <v:textbox style="mso-next-textbox:#_x0000_s1221">
                <w:txbxContent>
                  <w:p w:rsidR="00F25A97" w:rsidRPr="00B60FD0" w:rsidRDefault="00F25A97" w:rsidP="00B60FD0">
                    <w:pPr>
                      <w:spacing w:after="0" w:line="240" w:lineRule="auto"/>
                      <w:jc w:val="center"/>
                      <w:rPr>
                        <w:rFonts w:ascii="Times New Roman" w:hAnsi="Times New Roman" w:cs="Times New Roman"/>
                      </w:rPr>
                    </w:pPr>
                    <w:r w:rsidRPr="00B60FD0">
                      <w:rPr>
                        <w:rFonts w:ascii="Times New Roman" w:hAnsi="Times New Roman" w:cs="Times New Roman"/>
                      </w:rPr>
                      <w:t xml:space="preserve"> Patient affecté d’un état A ;</w:t>
                    </w:r>
                  </w:p>
                  <w:p w:rsidR="00F25A97" w:rsidRPr="00B60FD0" w:rsidRDefault="00F25A97" w:rsidP="00B60FD0">
                    <w:pPr>
                      <w:spacing w:after="0" w:line="240" w:lineRule="auto"/>
                      <w:jc w:val="center"/>
                      <w:rPr>
                        <w:rFonts w:ascii="Times New Roman" w:hAnsi="Times New Roman" w:cs="Times New Roman"/>
                      </w:rPr>
                    </w:pPr>
                    <w:r w:rsidRPr="00B60FD0">
                      <w:rPr>
                        <w:rFonts w:ascii="Times New Roman" w:hAnsi="Times New Roman" w:cs="Times New Roman"/>
                      </w:rPr>
                      <w:t>Éventuel patient d’un processus</w:t>
                    </w:r>
                  </w:p>
                  <w:p w:rsidR="00F25A97" w:rsidRPr="00B60FD0" w:rsidRDefault="00F25A97" w:rsidP="00B60FD0">
                    <w:pPr>
                      <w:spacing w:after="0" w:line="240" w:lineRule="auto"/>
                      <w:jc w:val="center"/>
                      <w:rPr>
                        <w:rFonts w:ascii="Times New Roman" w:hAnsi="Times New Roman" w:cs="Times New Roman"/>
                      </w:rPr>
                    </w:pPr>
                    <w:r w:rsidRPr="00B60FD0">
                      <w:rPr>
                        <w:rFonts w:ascii="Times New Roman" w:hAnsi="Times New Roman" w:cs="Times New Roman"/>
                      </w:rPr>
                      <w:t>en acte tendant à modifier cet état.</w:t>
                    </w:r>
                  </w:p>
                  <w:p w:rsidR="00F25A97" w:rsidRDefault="00F25A97" w:rsidP="00B60FD0">
                    <w:pPr>
                      <w:jc w:val="center"/>
                    </w:pPr>
                  </w:p>
                </w:txbxContent>
              </v:textbox>
            </v:shape>
            <v:shape id="_x0000_s1222" type="#_x0000_t32" style="position:absolute;left:6404;top:10608;width:1;height:752" o:connectortype="straight"/>
            <v:shape id="_x0000_s1223" type="#_x0000_t32" style="position:absolute;left:4318;top:11360;width:3992;height:1" o:connectortype="straight"/>
            <v:shape id="_x0000_s1224" type="#_x0000_t32" style="position:absolute;left:4333;top:11389;width:1;height:453" o:connectortype="straight">
              <v:stroke endarrow="block"/>
            </v:shape>
            <v:shape id="_x0000_s1225" type="#_x0000_t32" style="position:absolute;left:8294;top:11360;width:1;height:453" o:connectortype="straight">
              <v:stroke endarrow="block"/>
            </v:shape>
            <v:shape id="_x0000_s1226" type="#_x0000_t202" style="position:absolute;left:2280;top:11970;width:4200;height:1065" filled="f" stroked="f">
              <v:textbox style="mso-next-textbox:#_x0000_s1226">
                <w:txbxContent>
                  <w:p w:rsidR="00F25A97" w:rsidRPr="00B60FD0" w:rsidRDefault="00F25A97" w:rsidP="00B60FD0">
                    <w:pPr>
                      <w:jc w:val="center"/>
                      <w:rPr>
                        <w:rFonts w:ascii="Times New Roman" w:hAnsi="Times New Roman" w:cs="Times New Roman"/>
                      </w:rPr>
                    </w:pPr>
                    <w:r w:rsidRPr="00B60FD0">
                      <w:rPr>
                        <w:rFonts w:ascii="Times New Roman" w:hAnsi="Times New Roman" w:cs="Times New Roman"/>
                      </w:rPr>
                      <w:t>Patient maintenu dans son état initial par l’inachèvement du processus tendant à modifier cet état.</w:t>
                    </w:r>
                  </w:p>
                </w:txbxContent>
              </v:textbox>
            </v:shape>
            <v:shape id="_x0000_s1227" type="#_x0000_t202" style="position:absolute;left:6885;top:11970;width:3885;height:1065" filled="f" stroked="f">
              <v:textbox style="mso-next-textbox:#_x0000_s1227">
                <w:txbxContent>
                  <w:p w:rsidR="00F25A97" w:rsidRPr="00B60FD0" w:rsidRDefault="00F25A97" w:rsidP="00B60FD0">
                    <w:pPr>
                      <w:jc w:val="center"/>
                      <w:rPr>
                        <w:rFonts w:ascii="Times New Roman" w:hAnsi="Times New Roman" w:cs="Times New Roman"/>
                      </w:rPr>
                    </w:pPr>
                    <w:r w:rsidRPr="00B60FD0">
                      <w:rPr>
                        <w:rFonts w:ascii="Times New Roman" w:hAnsi="Times New Roman" w:cs="Times New Roman"/>
                      </w:rPr>
                      <w:t xml:space="preserve">Patient affecté d’un état non A résultant d’une modification achevée de l’état initial. </w:t>
                    </w:r>
                  </w:p>
                </w:txbxContent>
              </v:textbox>
            </v:shape>
          </v:group>
        </w:pict>
      </w: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B60FD0" w:rsidRPr="00B60FD0" w:rsidRDefault="00B60FD0" w:rsidP="00B60FD0">
      <w:pPr>
        <w:spacing w:line="480" w:lineRule="auto"/>
        <w:jc w:val="both"/>
        <w:rPr>
          <w:rFonts w:ascii="Times New Roman" w:eastAsia="Calibri" w:hAnsi="Times New Roman" w:cs="Times New Roman"/>
          <w:sz w:val="24"/>
          <w:szCs w:val="24"/>
          <w:lang w:eastAsia="en-US"/>
        </w:rPr>
      </w:pPr>
    </w:p>
    <w:p w:rsidR="007A615E" w:rsidRDefault="00B60FD0" w:rsidP="00B60FD0">
      <w:pPr>
        <w:tabs>
          <w:tab w:val="center" w:pos="4536"/>
          <w:tab w:val="right" w:pos="9072"/>
        </w:tabs>
        <w:spacing w:line="480" w:lineRule="auto"/>
        <w:jc w:val="both"/>
        <w:rPr>
          <w:rFonts w:ascii="Times New Roman" w:eastAsia="Calibri" w:hAnsi="Times New Roman" w:cs="Times New Roman"/>
          <w:sz w:val="24"/>
          <w:szCs w:val="24"/>
          <w:lang w:eastAsia="en-US"/>
        </w:rPr>
      </w:pPr>
      <w:r w:rsidRPr="00B60FD0">
        <w:rPr>
          <w:rFonts w:ascii="Times New Roman" w:eastAsia="Calibri" w:hAnsi="Times New Roman" w:cs="Times New Roman"/>
          <w:sz w:val="24"/>
          <w:szCs w:val="24"/>
          <w:lang w:eastAsia="en-US"/>
        </w:rPr>
        <w:t xml:space="preserve">   Ainsi, nous pouvons considérer qu’Ethel, jeune bourgeoise parisienne (à l’état A) soumise à des influences -qui motivent son passage à l’acte- passe à l’acte et modifie sa première situation en un état non A. De ce fait, elle assume alternativement un rôle de patient et un rôle d’agent, car l’achèvement de l’acte implique forcément une modification de la personne. Ce</w:t>
      </w: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Pr="007A615E" w:rsidRDefault="007A615E" w:rsidP="007A615E">
      <w:p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qui explique la diminution de son potentiel énergétique après chaque tâche et le sentiment de tristesse et de lassitude qui en résulte.  </w:t>
      </w:r>
    </w:p>
    <w:p w:rsidR="007A615E" w:rsidRP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Cependant, à l’éventualité de sauver la fortune familiale, l’acte se résout par un échec. Quand à l’éventualité de se mettre à l’abri de l’occupant, celui-ci, se solde par un succès momentané et un sentiment insatisfaisant. Car, elle devait faire face à d’autres obstacles qui à long terme, se sont dénoués par un succès et un sentiment de satisfaction. Aussi, nous définirons alternativement ses rôles en : volontaire, involontaire puis volontaire. Ils s’articulent en trois moments principaux : </w:t>
      </w:r>
    </w:p>
    <w:p w:rsidR="007A615E" w:rsidRPr="007A615E" w:rsidRDefault="007C38E9" w:rsidP="007A615E">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pict>
          <v:group id="_x0000_s1242" style="position:absolute;left:0;text-align:left;margin-left:14.6pt;margin-top:11.45pt;width:420.75pt;height:219.75pt;z-index:251671552" coordorigin="1725,6990" coordsize="8415,4395">
            <v:shape id="_x0000_s1243" type="#_x0000_t202" style="position:absolute;left:3255;top:6990;width:3646;height:510" filled="f" stroked="f">
              <v:textbox style="mso-next-textbox:#_x0000_s1243">
                <w:txbxContent>
                  <w:p w:rsidR="00F25A97" w:rsidRPr="007A615E" w:rsidRDefault="00F25A97" w:rsidP="007A615E">
                    <w:pPr>
                      <w:jc w:val="center"/>
                      <w:rPr>
                        <w:rFonts w:ascii="Times New Roman" w:hAnsi="Times New Roman" w:cs="Times New Roman"/>
                      </w:rPr>
                    </w:pPr>
                    <w:r w:rsidRPr="007A615E">
                      <w:rPr>
                        <w:rFonts w:ascii="Times New Roman" w:hAnsi="Times New Roman" w:cs="Times New Roman"/>
                      </w:rPr>
                      <w:t>Tâche susceptible d’être assumée</w:t>
                    </w:r>
                  </w:p>
                </w:txbxContent>
              </v:textbox>
            </v:shape>
            <v:shape id="_x0000_s1244" type="#_x0000_t32" style="position:absolute;left:4890;top:7425;width:1;height:705" o:connectortype="straight"/>
            <v:shape id="_x0000_s1245" type="#_x0000_t32" style="position:absolute;left:2625;top:8130;width:4485;height:1" o:connectortype="straight"/>
            <v:shape id="_x0000_s1246" type="#_x0000_t32" style="position:absolute;left:2610;top:8130;width:1;height:675" o:connectortype="straight">
              <v:stroke endarrow="block"/>
            </v:shape>
            <v:shape id="_x0000_s1247" type="#_x0000_t32" style="position:absolute;left:7110;top:8145;width:1;height:675" o:connectortype="straight">
              <v:stroke endarrow="block"/>
            </v:shape>
            <v:shape id="_x0000_s1248" type="#_x0000_t202" style="position:absolute;left:1725;top:8730;width:1815;height:390" filled="f" stroked="f">
              <v:textbox style="mso-next-textbox:#_x0000_s1248">
                <w:txbxContent>
                  <w:p w:rsidR="00F25A97" w:rsidRPr="007A615E" w:rsidRDefault="00F25A97" w:rsidP="007A615E">
                    <w:pPr>
                      <w:jc w:val="center"/>
                      <w:rPr>
                        <w:rFonts w:ascii="Times New Roman" w:hAnsi="Times New Roman" w:cs="Times New Roman"/>
                      </w:rPr>
                    </w:pPr>
                    <w:r w:rsidRPr="007A615E">
                      <w:rPr>
                        <w:rFonts w:ascii="Times New Roman" w:hAnsi="Times New Roman" w:cs="Times New Roman"/>
                      </w:rPr>
                      <w:t>Abstention</w:t>
                    </w:r>
                  </w:p>
                </w:txbxContent>
              </v:textbox>
            </v:shape>
            <v:shape id="_x0000_s1249" type="#_x0000_t202" style="position:absolute;left:5610;top:8715;width:3105;height:750" filled="f" stroked="f">
              <v:textbox style="mso-next-textbox:#_x0000_s1249">
                <w:txbxContent>
                  <w:p w:rsidR="00F25A97" w:rsidRPr="007A615E" w:rsidRDefault="00F25A97" w:rsidP="007A615E">
                    <w:pPr>
                      <w:jc w:val="center"/>
                      <w:rPr>
                        <w:rFonts w:ascii="Times New Roman" w:hAnsi="Times New Roman" w:cs="Times New Roman"/>
                      </w:rPr>
                    </w:pPr>
                    <w:r w:rsidRPr="007A615E">
                      <w:rPr>
                        <w:rFonts w:ascii="Times New Roman" w:hAnsi="Times New Roman" w:cs="Times New Roman"/>
                      </w:rPr>
                      <w:t>Accomplissement de tâche (passage à l’acte)</w:t>
                    </w:r>
                  </w:p>
                </w:txbxContent>
              </v:textbox>
            </v:shape>
            <v:shape id="_x0000_s1250" type="#_x0000_t32" style="position:absolute;left:7109;top:9510;width:1;height:567" o:connectortype="straight"/>
            <v:shape id="_x0000_s1251" type="#_x0000_t32" style="position:absolute;left:5475;top:10077;width:3210;height:1" o:connectortype="straight"/>
            <v:shape id="_x0000_s1252" type="#_x0000_t32" style="position:absolute;left:5475;top:10077;width:1;height:453" o:connectortype="straight">
              <v:stroke endarrow="block"/>
            </v:shape>
            <v:shape id="_x0000_s1253" type="#_x0000_t32" style="position:absolute;left:8700;top:10077;width:1;height:453" o:connectortype="straight">
              <v:stroke endarrow="block"/>
            </v:shape>
            <v:shape id="_x0000_s1254" type="#_x0000_t202" style="position:absolute;left:4200;top:10440;width:2520;height:945" filled="f" stroked="f">
              <v:textbox style="mso-next-textbox:#_x0000_s1254">
                <w:txbxContent>
                  <w:p w:rsidR="00F25A97" w:rsidRPr="007A615E" w:rsidRDefault="00F25A97" w:rsidP="007A615E">
                    <w:pPr>
                      <w:jc w:val="center"/>
                      <w:rPr>
                        <w:rFonts w:ascii="Times New Roman" w:hAnsi="Times New Roman" w:cs="Times New Roman"/>
                      </w:rPr>
                    </w:pPr>
                    <w:r w:rsidRPr="007A615E">
                      <w:rPr>
                        <w:rFonts w:ascii="Times New Roman" w:hAnsi="Times New Roman" w:cs="Times New Roman"/>
                      </w:rPr>
                      <w:t>Tâche non accomplie (échec de l’agent)</w:t>
                    </w:r>
                  </w:p>
                </w:txbxContent>
              </v:textbox>
            </v:shape>
            <v:shape id="_x0000_s1255" type="#_x0000_t202" style="position:absolute;left:7246;top:10455;width:2894;height:855" filled="f" stroked="f">
              <v:textbox style="mso-next-textbox:#_x0000_s1255">
                <w:txbxContent>
                  <w:p w:rsidR="00F25A97" w:rsidRPr="007A615E" w:rsidRDefault="00F25A97" w:rsidP="007A615E">
                    <w:pPr>
                      <w:spacing w:after="0"/>
                      <w:jc w:val="center"/>
                      <w:rPr>
                        <w:rFonts w:ascii="Times New Roman" w:hAnsi="Times New Roman" w:cs="Times New Roman"/>
                      </w:rPr>
                    </w:pPr>
                    <w:r w:rsidRPr="007A615E">
                      <w:rPr>
                        <w:rFonts w:ascii="Times New Roman" w:hAnsi="Times New Roman" w:cs="Times New Roman"/>
                      </w:rPr>
                      <w:t xml:space="preserve">Tâche accomplie </w:t>
                    </w:r>
                  </w:p>
                  <w:p w:rsidR="00F25A97" w:rsidRPr="007A615E" w:rsidRDefault="00F25A97" w:rsidP="007A615E">
                    <w:pPr>
                      <w:jc w:val="center"/>
                      <w:rPr>
                        <w:rFonts w:ascii="Times New Roman" w:hAnsi="Times New Roman" w:cs="Times New Roman"/>
                      </w:rPr>
                    </w:pPr>
                    <w:r w:rsidRPr="007A615E">
                      <w:rPr>
                        <w:rFonts w:ascii="Times New Roman" w:hAnsi="Times New Roman" w:cs="Times New Roman"/>
                      </w:rPr>
                      <w:t>(Succès de l’agent)</w:t>
                    </w:r>
                  </w:p>
                </w:txbxContent>
              </v:textbox>
            </v:shape>
          </v:group>
        </w:pict>
      </w: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Pr="007A615E" w:rsidRDefault="007A615E" w:rsidP="007A615E">
      <w:pPr>
        <w:spacing w:line="480" w:lineRule="auto"/>
        <w:jc w:val="both"/>
        <w:rPr>
          <w:rFonts w:ascii="Times New Roman" w:eastAsia="Calibri" w:hAnsi="Times New Roman" w:cs="Times New Roman"/>
          <w:sz w:val="24"/>
          <w:szCs w:val="24"/>
          <w:lang w:eastAsia="en-US"/>
        </w:rPr>
      </w:pPr>
    </w:p>
    <w:p w:rsid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Les trois rôles entrepris par l’héroïne peuvent s’énoncer de la manière suivante : </w:t>
      </w: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Pr="007A615E" w:rsidRDefault="007A615E" w:rsidP="007A615E">
      <w:pPr>
        <w:numPr>
          <w:ilvl w:val="0"/>
          <w:numId w:val="9"/>
        </w:num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Patient éventuel d’une tâche ; entreprenant de l’accomplir ; échouant dans son entreprise. (son incapacité à sauver la fortune familiale) </w:t>
      </w:r>
    </w:p>
    <w:p w:rsidR="007A615E" w:rsidRPr="007A615E" w:rsidRDefault="007A615E" w:rsidP="007A615E">
      <w:pPr>
        <w:numPr>
          <w:ilvl w:val="0"/>
          <w:numId w:val="9"/>
        </w:num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Patient éventuel d’une tâche ; entreprenant de l’accomplir ; réussissant momentanément ou éventuellement dans son entreprise. (arrivée au sud, elle devait faire face aux conditions climatiques, et aux conséquences de l’occupation)</w:t>
      </w:r>
    </w:p>
    <w:p w:rsidR="007A615E" w:rsidRPr="007A615E" w:rsidRDefault="007A615E" w:rsidP="007A615E">
      <w:pPr>
        <w:numPr>
          <w:ilvl w:val="0"/>
          <w:numId w:val="9"/>
        </w:num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Patient éventuel d’un tâche ; entreprenant de l’accomplir ; réussissant dans son entreprise. (son refuge dans la montagne lui a préservé la vie) </w:t>
      </w:r>
    </w:p>
    <w:p w:rsid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L’héroïne a été informée de l’état en cours qui la menaçait, grâce à un auxiliaire -initiateur informateur- (Xénia). Elle lui communique la réalité du méfait « c’est un immeuble qu’ils sont entrain de construire, »(R.D.L.F.P.94). Ethel se fait un mobile hédonique</w:t>
      </w:r>
      <w:r w:rsidRPr="007A615E">
        <w:rPr>
          <w:rFonts w:ascii="Times New Roman" w:eastAsia="Calibri" w:hAnsi="Times New Roman" w:cs="Times New Roman"/>
          <w:sz w:val="24"/>
          <w:szCs w:val="24"/>
          <w:vertAlign w:val="superscript"/>
          <w:lang w:eastAsia="en-US"/>
        </w:rPr>
        <w:footnoteReference w:id="24"/>
      </w:r>
      <w:r w:rsidRPr="007A615E">
        <w:rPr>
          <w:rFonts w:ascii="Times New Roman" w:eastAsia="Calibri" w:hAnsi="Times New Roman" w:cs="Times New Roman"/>
          <w:sz w:val="24"/>
          <w:szCs w:val="24"/>
          <w:lang w:eastAsia="en-US"/>
        </w:rPr>
        <w:t xml:space="preserve"> pour justifier le chagrin et la tristesse de son état, jugé en lui-même, désagréable. Au même moment, elle est soumise à un agent informateur-dissimulateur (sa mère) qui s’oppose à son éventuelle évolution envisagée (mettre son père sous-curatelle). Sa mère tente de lui faire concevoir son état comme satisfaisant. Ainsi, sa décision demeure virtuelle, et la crainte redoutée se réalise. La déception et la frustration deviennent un mobile et facteur explicatif de la nouvelle attitude prise par le patient. Autrement dit, le narrateur s’est volontairement attardé sur les influences</w:t>
      </w: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incitatrices qui ont construit le deuxième mobile dit, « pragmatique </w:t>
      </w:r>
      <w:r w:rsidRPr="007A615E">
        <w:rPr>
          <w:rFonts w:ascii="Times New Roman" w:eastAsia="Calibri" w:hAnsi="Times New Roman" w:cs="Times New Roman"/>
          <w:sz w:val="24"/>
          <w:szCs w:val="24"/>
          <w:vertAlign w:val="superscript"/>
          <w:lang w:eastAsia="en-US"/>
        </w:rPr>
        <w:footnoteReference w:id="25"/>
      </w:r>
      <w:r w:rsidRPr="007A615E">
        <w:rPr>
          <w:rFonts w:ascii="Times New Roman" w:eastAsia="Calibri" w:hAnsi="Times New Roman" w:cs="Times New Roman"/>
          <w:sz w:val="24"/>
          <w:szCs w:val="24"/>
          <w:lang w:eastAsia="en-US"/>
        </w:rPr>
        <w:t>» afin d’expliquer l’action. Parallèlement, il engage la responsabilité d’un autre auxiliaire- séducteur, conseilleur- (Laurent) pour orienter l’héroïne dans l’évolution de son état. Durant le laps de temps, qui sépare le début et l’achèvement de l’action, nous coderons le principal antagoniste autant que victime d’un état insatisfaisant, éventuel bénéficiaire d’un processus d’amélioration en cours. Cette fois ci, l’actualisation du processus ira jusqu’à son terme, et cela, malgré l’intervention de mouvements contre-évolutifs (la guerre, l’errance, le danger des routes,). Car Ethel a enfin, réussi à neutraliser l’opposition du père « il s’agit d’un vieillard grabataire,..»(R.D.L.F.P.146). Une stratégie de protection</w:t>
      </w:r>
      <w:r w:rsidRPr="007A615E">
        <w:rPr>
          <w:rFonts w:ascii="Times New Roman" w:eastAsia="Calibri" w:hAnsi="Times New Roman" w:cs="Times New Roman"/>
          <w:sz w:val="24"/>
          <w:szCs w:val="24"/>
          <w:vertAlign w:val="superscript"/>
          <w:lang w:eastAsia="en-US"/>
        </w:rPr>
        <w:footnoteReference w:id="26"/>
      </w:r>
      <w:r w:rsidRPr="007A615E">
        <w:rPr>
          <w:rFonts w:ascii="Times New Roman" w:eastAsia="Calibri" w:hAnsi="Times New Roman" w:cs="Times New Roman"/>
          <w:sz w:val="24"/>
          <w:szCs w:val="24"/>
          <w:lang w:eastAsia="en-US"/>
        </w:rPr>
        <w:t xml:space="preserve"> mise en place afin d’atteindre le but fixé. Aussi, la cascade de dégradations à laquelle elle sera confrontée (expulsion, l’occupation, exode, errance, la faim, le froid, les bombardements, le refuge, la peur, les bruits) sera conforme à la réalité. En effet, le narrateur se borne à expliciter toutes les péripéties qui affectent l’accomplissement de sa tâche. «Panne sur panne, après Béziers. L’essence était frelatée, Ethel devait démonter le carburateur, souffler dans le gicleur, puis tourner la manivelle … »(R.D.L.F.P.149) ce sont des circonstances qui forgent sa personnalité et la responsabilisent. Une vraisemblance attendue par le lecteur comme un horizon référentiel, un repoussoir au récit véritable. Aussi, il s’attache à clarifier sa perception de sa</w:t>
      </w: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Pr="007A615E" w:rsidRDefault="007A615E" w:rsidP="007A615E">
      <w:p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propre histoire. Autrement dit, elle a lucidement évalué que le succès de ce processus devra lui permettre d’achever sa tâche finale. Ainsi, quand elle reçoit l’ordre de se mettre à l’abri de son informateur-conseilleur (Laurent), elle se conçoit un mobile (éthique)*</w:t>
      </w:r>
      <w:r w:rsidRPr="007A615E">
        <w:rPr>
          <w:rFonts w:ascii="Times New Roman" w:eastAsia="Calibri" w:hAnsi="Times New Roman" w:cs="Times New Roman"/>
          <w:sz w:val="24"/>
          <w:szCs w:val="24"/>
          <w:vertAlign w:val="superscript"/>
          <w:lang w:eastAsia="en-US"/>
        </w:rPr>
        <w:footnoteReference w:id="27"/>
      </w:r>
      <w:r w:rsidRPr="007A615E">
        <w:rPr>
          <w:rFonts w:ascii="Times New Roman" w:eastAsia="Calibri" w:hAnsi="Times New Roman" w:cs="Times New Roman"/>
          <w:sz w:val="24"/>
          <w:szCs w:val="24"/>
          <w:lang w:eastAsia="en-US"/>
        </w:rPr>
        <w:t xml:space="preserve"> pour poursuivre l’exécution de la fin visée. Toutefois, l’engagement des villageois à les protéger a déterminé le succès de la tâche (la révélation tant attendu la liberté).</w:t>
      </w:r>
    </w:p>
    <w:p w:rsidR="007A615E" w:rsidRPr="007A615E" w:rsidRDefault="007A615E" w:rsidP="007A615E">
      <w:p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 Ethel riait. C’était la première fois depuis si longtemps que ça devait lui mettre les larmes dans les yeux, mais c’était bon. Ainsi les cœurs se réveillaient, sortaient de l’hivernage. » (R.D.L.F.P.182)</w:t>
      </w:r>
    </w:p>
    <w:p w:rsidR="007A615E" w:rsidRP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 Laurent et Ethel se sont mariés très vite, presque sans réfléchir. » (R.D.L.F.P.18)</w:t>
      </w:r>
    </w:p>
    <w:p w:rsidR="007A615E" w:rsidRPr="007A615E" w:rsidRDefault="007A615E" w:rsidP="007A615E">
      <w:p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La simultanéité de la vie des personnages avec celle du bruit du salon, des rumeurs, de la peur, et de la psychose orchestre l’univers de la fiction. En effet, l’auteur donne la vie à son roman, et pour ce fait, il l’immerge dans la violence, le déshonneur, l’humiliation et la misère.  </w:t>
      </w:r>
    </w:p>
    <w:p w:rsid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En étudiant les personnages, nous avons découvert un personnage historique, abstrait, mais très épais. Il s’agit du masque « </w:t>
      </w:r>
      <w:r w:rsidRPr="007A615E">
        <w:rPr>
          <w:rFonts w:ascii="Times New Roman" w:eastAsia="Calibri" w:hAnsi="Times New Roman" w:cs="Times New Roman"/>
          <w:i/>
          <w:sz w:val="24"/>
          <w:szCs w:val="24"/>
          <w:lang w:eastAsia="en-US"/>
        </w:rPr>
        <w:t>Une tête de Shylock* </w:t>
      </w:r>
      <w:r w:rsidRPr="007A615E">
        <w:rPr>
          <w:rFonts w:ascii="Times New Roman" w:eastAsia="Calibri" w:hAnsi="Times New Roman" w:cs="Times New Roman"/>
          <w:i/>
          <w:sz w:val="24"/>
          <w:szCs w:val="24"/>
          <w:vertAlign w:val="superscript"/>
          <w:lang w:eastAsia="en-US"/>
        </w:rPr>
        <w:footnoteReference w:id="28"/>
      </w:r>
      <w:r w:rsidRPr="007A615E">
        <w:rPr>
          <w:rFonts w:ascii="Times New Roman" w:eastAsia="Calibri" w:hAnsi="Times New Roman" w:cs="Times New Roman"/>
          <w:i/>
          <w:sz w:val="24"/>
          <w:szCs w:val="24"/>
          <w:lang w:eastAsia="en-US"/>
        </w:rPr>
        <w:t>»</w:t>
      </w:r>
      <w:r w:rsidRPr="007A615E">
        <w:rPr>
          <w:rFonts w:ascii="Times New Roman" w:eastAsia="Calibri" w:hAnsi="Times New Roman" w:cs="Times New Roman"/>
          <w:sz w:val="24"/>
          <w:szCs w:val="24"/>
          <w:lang w:eastAsia="en-US"/>
        </w:rPr>
        <w:t xml:space="preserve"> l’auteur lui réserve quatre pages de la page 86 à la page 89. Le Clézio introduit une part de l’histoire, celle de la persécution des juifs. Il rappel le statut du «juif de France » des années trente. En effet, le masque rappelle la façon dont il était caricaturé (voir annexe II)</w:t>
      </w: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Pr="007A615E" w:rsidRDefault="007A615E" w:rsidP="007A615E">
      <w:p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w:t>
      </w:r>
      <w:r w:rsidRPr="007A615E">
        <w:rPr>
          <w:rFonts w:ascii="Times New Roman" w:eastAsia="Calibri" w:hAnsi="Times New Roman" w:cs="Times New Roman"/>
          <w:i/>
          <w:sz w:val="24"/>
          <w:szCs w:val="24"/>
          <w:lang w:eastAsia="en-US"/>
        </w:rPr>
        <w:t xml:space="preserve"> </w:t>
      </w:r>
      <w:r w:rsidRPr="007A615E">
        <w:rPr>
          <w:rFonts w:ascii="Times New Roman" w:eastAsia="Calibri" w:hAnsi="Times New Roman" w:cs="Times New Roman"/>
          <w:sz w:val="24"/>
          <w:szCs w:val="24"/>
          <w:lang w:eastAsia="en-US"/>
        </w:rPr>
        <w:t xml:space="preserve">Un visage terreux, gris, marqué de rides profondes, une bouche large, aux lèvres violettes, et un nez monstrueux, long bossu, aux narines dilatées. Des yeux vides aux paupières cernées de rouge.une vilaine tête coupée aux yeux réduits à deux trous noirs. » (R.D.L.F.P.87) </w:t>
      </w:r>
      <w:r w:rsidRPr="007A615E">
        <w:rPr>
          <w:rFonts w:ascii="Times New Roman" w:eastAsia="Calibri" w:hAnsi="Times New Roman" w:cs="Times New Roman"/>
          <w:i/>
          <w:sz w:val="24"/>
          <w:szCs w:val="24"/>
          <w:lang w:eastAsia="en-US"/>
        </w:rPr>
        <w:t>« </w:t>
      </w:r>
      <w:r w:rsidRPr="007A615E">
        <w:rPr>
          <w:rFonts w:ascii="Times New Roman" w:eastAsia="Calibri" w:hAnsi="Times New Roman" w:cs="Times New Roman"/>
          <w:sz w:val="24"/>
          <w:szCs w:val="24"/>
          <w:lang w:eastAsia="en-US"/>
        </w:rPr>
        <w:t>Des</w:t>
      </w:r>
      <w:r w:rsidRPr="007A615E">
        <w:rPr>
          <w:rFonts w:ascii="Times New Roman" w:eastAsia="Calibri" w:hAnsi="Times New Roman" w:cs="Times New Roman"/>
          <w:i/>
          <w:sz w:val="24"/>
          <w:szCs w:val="24"/>
          <w:lang w:eastAsia="en-US"/>
        </w:rPr>
        <w:t xml:space="preserve"> </w:t>
      </w:r>
      <w:r w:rsidRPr="007A615E">
        <w:rPr>
          <w:rFonts w:ascii="Times New Roman" w:eastAsia="Calibri" w:hAnsi="Times New Roman" w:cs="Times New Roman"/>
          <w:sz w:val="24"/>
          <w:szCs w:val="24"/>
          <w:lang w:eastAsia="en-US"/>
        </w:rPr>
        <w:t>lèvres épaisses, les sourcils en broussaille, des petits yeux rapprochés, le front ridé, les</w:t>
      </w:r>
      <w:r w:rsidRPr="007A615E">
        <w:rPr>
          <w:rFonts w:ascii="Times New Roman" w:eastAsia="Calibri" w:hAnsi="Times New Roman" w:cs="Times New Roman"/>
          <w:i/>
          <w:sz w:val="24"/>
          <w:szCs w:val="24"/>
          <w:lang w:eastAsia="en-US"/>
        </w:rPr>
        <w:t xml:space="preserve"> </w:t>
      </w:r>
      <w:r w:rsidRPr="007A615E">
        <w:rPr>
          <w:rFonts w:ascii="Times New Roman" w:eastAsia="Calibri" w:hAnsi="Times New Roman" w:cs="Times New Roman"/>
          <w:sz w:val="24"/>
          <w:szCs w:val="24"/>
          <w:lang w:eastAsia="en-US"/>
        </w:rPr>
        <w:t xml:space="preserve">cheveux crépus, et le nez, ce nez !, un bec d’oiseau de proie, un énorme bec de vautour. ».  « Un unique cauchemar, une bouffée de haine et de maléfice, » « Il avait été fabriqué en série et ceux qu’il faisait rire n’avaient pas changé.» (R.D.L.F.P. 88) </w:t>
      </w:r>
    </w:p>
    <w:p w:rsidR="007A615E" w:rsidRPr="007A615E" w:rsidRDefault="007A615E" w:rsidP="007A615E">
      <w:pPr>
        <w:spacing w:line="480" w:lineRule="auto"/>
        <w:jc w:val="both"/>
        <w:rPr>
          <w:rFonts w:ascii="Times New Roman" w:eastAsia="Calibri" w:hAnsi="Times New Roman" w:cs="Times New Roman"/>
          <w:i/>
          <w:sz w:val="24"/>
          <w:szCs w:val="24"/>
          <w:lang w:eastAsia="en-US"/>
        </w:rPr>
      </w:pPr>
      <w:r w:rsidRPr="007A615E">
        <w:rPr>
          <w:rFonts w:ascii="Times New Roman" w:eastAsia="Calibri" w:hAnsi="Times New Roman" w:cs="Times New Roman"/>
          <w:sz w:val="24"/>
          <w:szCs w:val="24"/>
          <w:lang w:eastAsia="en-US"/>
        </w:rPr>
        <w:t xml:space="preserve"> Le Clézio glisse une sentence « Rien n’était oublié</w:t>
      </w:r>
      <w:r w:rsidRPr="007A615E">
        <w:rPr>
          <w:rFonts w:ascii="Times New Roman" w:eastAsia="Calibri" w:hAnsi="Times New Roman" w:cs="Times New Roman"/>
          <w:i/>
          <w:sz w:val="24"/>
          <w:szCs w:val="24"/>
          <w:lang w:eastAsia="en-US"/>
        </w:rPr>
        <w:t> </w:t>
      </w:r>
      <w:r w:rsidRPr="007A615E">
        <w:rPr>
          <w:rFonts w:ascii="Times New Roman" w:eastAsia="Calibri" w:hAnsi="Times New Roman" w:cs="Times New Roman"/>
          <w:sz w:val="24"/>
          <w:szCs w:val="24"/>
          <w:lang w:eastAsia="en-US"/>
        </w:rPr>
        <w:t xml:space="preserve">» (R.D.L.F.P. 89) aux responsables de l’holocauste.  </w:t>
      </w:r>
    </w:p>
    <w:p w:rsidR="007A615E" w:rsidRPr="007A615E" w:rsidRDefault="007A615E" w:rsidP="007A615E">
      <w:pPr>
        <w:spacing w:line="480" w:lineRule="auto"/>
        <w:jc w:val="both"/>
        <w:rPr>
          <w:rFonts w:ascii="Times New Roman" w:eastAsia="Calibri" w:hAnsi="Times New Roman" w:cs="Times New Roman"/>
          <w:b/>
          <w:bCs/>
          <w:sz w:val="24"/>
          <w:szCs w:val="24"/>
          <w:lang w:eastAsia="en-US"/>
        </w:rPr>
      </w:pPr>
      <w:r w:rsidRPr="007A615E">
        <w:rPr>
          <w:rFonts w:ascii="Times New Roman" w:eastAsia="Calibri" w:hAnsi="Times New Roman" w:cs="Times New Roman"/>
          <w:b/>
          <w:bCs/>
          <w:sz w:val="24"/>
          <w:szCs w:val="24"/>
          <w:lang w:eastAsia="en-US"/>
        </w:rPr>
        <w:t xml:space="preserve">I.2.5 Agencement thématique </w:t>
      </w:r>
    </w:p>
    <w:p w:rsidR="007A615E" w:rsidRPr="007A615E" w:rsidRDefault="007A615E" w:rsidP="007A615E">
      <w:p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   L’opposition entre le style indirect libre, régi et l’autonomie du discours rapporté du journal intime équivaut à une opposition entre un mode narratif et un mode dramatique. En fait, l’effacement de l’instance narrative au profit des paroles des personnages permet d’envisager une représentation de la vie psychique</w:t>
      </w:r>
      <w:r w:rsidRPr="007A615E">
        <w:rPr>
          <w:rFonts w:ascii="Times New Roman" w:eastAsia="Calibri" w:hAnsi="Times New Roman" w:cs="Times New Roman"/>
          <w:sz w:val="24"/>
          <w:szCs w:val="24"/>
          <w:vertAlign w:val="superscript"/>
          <w:lang w:eastAsia="en-US"/>
        </w:rPr>
        <w:footnoteReference w:id="29"/>
      </w:r>
      <w:r w:rsidRPr="007A615E">
        <w:rPr>
          <w:rFonts w:ascii="Times New Roman" w:eastAsia="Calibri" w:hAnsi="Times New Roman" w:cs="Times New Roman"/>
          <w:sz w:val="24"/>
          <w:szCs w:val="24"/>
          <w:lang w:eastAsia="en-US"/>
        </w:rPr>
        <w:t>. Celle-ci est fondamentalement basée sur trois techniques</w:t>
      </w:r>
      <w:r w:rsidRPr="007A615E">
        <w:rPr>
          <w:rFonts w:ascii="Times New Roman" w:eastAsia="Calibri" w:hAnsi="Times New Roman" w:cs="Times New Roman"/>
          <w:sz w:val="24"/>
          <w:szCs w:val="24"/>
          <w:vertAlign w:val="superscript"/>
          <w:lang w:eastAsia="en-US"/>
        </w:rPr>
        <w:footnoteReference w:id="30"/>
      </w:r>
      <w:r w:rsidRPr="007A615E">
        <w:rPr>
          <w:rFonts w:ascii="Times New Roman" w:eastAsia="Calibri" w:hAnsi="Times New Roman" w:cs="Times New Roman"/>
          <w:sz w:val="24"/>
          <w:szCs w:val="24"/>
          <w:lang w:eastAsia="en-US"/>
        </w:rPr>
        <w:t> :</w:t>
      </w:r>
    </w:p>
    <w:p w:rsidR="007A615E" w:rsidRPr="007A615E" w:rsidRDefault="007A615E" w:rsidP="007A615E">
      <w:pPr>
        <w:numPr>
          <w:ilvl w:val="0"/>
          <w:numId w:val="10"/>
        </w:num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Le psycho-récit (psycho narration) analyse des pensées des personnages assumé directement par le narrateur.</w:t>
      </w:r>
    </w:p>
    <w:p w:rsidR="007A615E" w:rsidRDefault="007A615E" w:rsidP="007A615E">
      <w:pPr>
        <w:spacing w:line="480" w:lineRule="auto"/>
        <w:jc w:val="both"/>
        <w:rPr>
          <w:rFonts w:ascii="Times New Roman" w:eastAsia="Calibri" w:hAnsi="Times New Roman" w:cs="Times New Roman"/>
          <w:sz w:val="24"/>
          <w:szCs w:val="24"/>
          <w:lang w:eastAsia="en-US"/>
        </w:rPr>
      </w:pPr>
    </w:p>
    <w:p w:rsidR="007A615E" w:rsidRDefault="007A615E">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7A615E" w:rsidRPr="007A615E" w:rsidRDefault="007A615E" w:rsidP="007A615E">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7A615E">
        <w:rPr>
          <w:rFonts w:ascii="Times New Roman" w:eastAsia="Times New Roman" w:hAnsi="Times New Roman" w:cs="Times New Roman"/>
          <w:sz w:val="28"/>
          <w:szCs w:val="28"/>
          <w:lang w:eastAsia="en-US"/>
        </w:rPr>
        <w:lastRenderedPageBreak/>
        <w:t>Chapitre I : analyse formelle</w:t>
      </w:r>
    </w:p>
    <w:p w:rsidR="007A615E" w:rsidRPr="007A615E" w:rsidRDefault="007A615E" w:rsidP="007A615E">
      <w:pPr>
        <w:tabs>
          <w:tab w:val="center" w:pos="4536"/>
          <w:tab w:val="right" w:pos="9072"/>
        </w:tabs>
        <w:spacing w:line="480" w:lineRule="auto"/>
        <w:jc w:val="center"/>
        <w:rPr>
          <w:rFonts w:ascii="Times New Roman" w:eastAsia="Calibri" w:hAnsi="Times New Roman" w:cs="Times New Roman"/>
          <w:sz w:val="24"/>
          <w:szCs w:val="24"/>
          <w:lang w:eastAsia="en-US"/>
        </w:rPr>
      </w:pPr>
    </w:p>
    <w:p w:rsidR="007A615E" w:rsidRPr="007A615E" w:rsidRDefault="007A615E" w:rsidP="007A615E">
      <w:pPr>
        <w:numPr>
          <w:ilvl w:val="0"/>
          <w:numId w:val="10"/>
        </w:numPr>
        <w:spacing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Le monologue rapporté (quoted monologue) citation littérale de ces pensées, telle que verbalisées dans le discours intérieur dont ‘le monologue intérieur’ n’est qu’une variante plus autonome.</w:t>
      </w:r>
    </w:p>
    <w:p w:rsidR="007A615E" w:rsidRPr="007A615E" w:rsidRDefault="007A615E" w:rsidP="007A615E">
      <w:pPr>
        <w:numPr>
          <w:ilvl w:val="0"/>
          <w:numId w:val="10"/>
        </w:numPr>
        <w:spacing w:after="0" w:line="480" w:lineRule="auto"/>
        <w:jc w:val="both"/>
        <w:rPr>
          <w:rFonts w:ascii="Times New Roman" w:eastAsia="Calibri" w:hAnsi="Times New Roman" w:cs="Times New Roman"/>
          <w:sz w:val="24"/>
          <w:szCs w:val="24"/>
          <w:lang w:eastAsia="en-US"/>
        </w:rPr>
      </w:pPr>
      <w:r w:rsidRPr="007A615E">
        <w:rPr>
          <w:rFonts w:ascii="Times New Roman" w:eastAsia="Calibri" w:hAnsi="Times New Roman" w:cs="Times New Roman"/>
          <w:sz w:val="24"/>
          <w:szCs w:val="24"/>
          <w:lang w:eastAsia="en-US"/>
        </w:rPr>
        <w:t xml:space="preserve">Le monologue narrativisé (narrated monologue) c'est-à-dire relayé par le narrateur sous forme de discours indirect, régi ou libre. </w:t>
      </w:r>
    </w:p>
    <w:p w:rsidR="000014D2" w:rsidRDefault="007A615E" w:rsidP="007A615E">
      <w:pPr>
        <w:spacing w:line="480" w:lineRule="auto"/>
        <w:jc w:val="both"/>
        <w:rPr>
          <w:rFonts w:ascii="Times New Roman" w:eastAsia="Calibri" w:hAnsi="Times New Roman" w:cs="Times New Roman"/>
          <w:bCs/>
          <w:sz w:val="24"/>
          <w:szCs w:val="24"/>
          <w:lang w:eastAsia="en-US"/>
        </w:rPr>
      </w:pPr>
      <w:r w:rsidRPr="007A615E">
        <w:rPr>
          <w:rFonts w:ascii="Times New Roman" w:eastAsia="Calibri" w:hAnsi="Times New Roman" w:cs="Times New Roman"/>
          <w:sz w:val="24"/>
          <w:szCs w:val="24"/>
          <w:lang w:eastAsia="en-US"/>
        </w:rPr>
        <w:t xml:space="preserve">   Ceci étant, le caractère détaillé du récit de pensées se ramène soit par un récit de paroles, soit par un récit d’évènements, soit par un récit qui se rabat l’un sur l’autre. Autrement dit, le roman par son caractère biographique « l’histoire d’une jeune fille qui fut héroïne malgré elle » est un analepse consacré à la restitution des causes du grand désastre, a savoir, la deuxième guerre mondiale. Ceci dit, le décryptage ‘des moments pertinents’ (higher moments of the narrative’)</w:t>
      </w:r>
      <w:r w:rsidRPr="007A615E">
        <w:rPr>
          <w:rFonts w:ascii="Times New Roman" w:eastAsia="Calibri" w:hAnsi="Times New Roman" w:cs="Times New Roman"/>
          <w:sz w:val="24"/>
          <w:szCs w:val="24"/>
          <w:vertAlign w:val="superscript"/>
          <w:lang w:eastAsia="en-US"/>
        </w:rPr>
        <w:footnoteReference w:id="31"/>
      </w:r>
      <w:r w:rsidRPr="007A615E">
        <w:rPr>
          <w:rFonts w:ascii="Times New Roman" w:eastAsia="Calibri" w:hAnsi="Times New Roman" w:cs="Times New Roman"/>
          <w:sz w:val="24"/>
          <w:szCs w:val="24"/>
          <w:lang w:eastAsia="en-US"/>
        </w:rPr>
        <w:t xml:space="preserve">  ont le statut d’un chronométreur théorique avec intérêt. Ce dernier est générateur de thèmes de nature historique et sociale. Tout compte fait, le récit primaire de l’œuvre donne l’impression au lecteur de vivre le temps coupable et complice d’un désastre. Celui-ci se traduit par l’insouciance de l’entre deux guerres et surtout par l’indifférence à l’égard d’une éventuelle menace d’agression germanique « les Allemands ne se risqueront à une deuxième défaite. » « Mussolini l’a dit et répété, il ne s’attaquera jamais à la France, il a assez à faire en Ethiopie et Hitler avec les Sudètes,… »(R.D.L.F.P.61) Par ailleurs, le souci </w:t>
      </w:r>
      <w:r w:rsidR="000014D2" w:rsidRPr="007A615E">
        <w:rPr>
          <w:rFonts w:ascii="Times New Roman" w:eastAsia="Calibri" w:hAnsi="Times New Roman" w:cs="Times New Roman"/>
          <w:sz w:val="24"/>
          <w:szCs w:val="24"/>
          <w:lang w:eastAsia="en-US"/>
        </w:rPr>
        <w:t>des détails</w:t>
      </w:r>
      <w:r w:rsidRPr="007A615E">
        <w:rPr>
          <w:rFonts w:ascii="Times New Roman" w:eastAsia="Calibri" w:hAnsi="Times New Roman" w:cs="Times New Roman"/>
          <w:sz w:val="24"/>
          <w:szCs w:val="24"/>
          <w:lang w:eastAsia="en-US"/>
        </w:rPr>
        <w:t>, de l’entreprise</w:t>
      </w:r>
      <w:r w:rsidR="000014D2">
        <w:rPr>
          <w:rFonts w:ascii="Times New Roman" w:eastAsia="Calibri" w:hAnsi="Times New Roman" w:cs="Times New Roman"/>
          <w:sz w:val="24"/>
          <w:szCs w:val="24"/>
          <w:lang w:eastAsia="en-US"/>
        </w:rPr>
        <w:t>.</w:t>
      </w:r>
      <w:r w:rsidRPr="007A615E">
        <w:rPr>
          <w:rFonts w:ascii="Times New Roman" w:eastAsia="Calibri" w:hAnsi="Times New Roman" w:cs="Times New Roman"/>
          <w:sz w:val="24"/>
          <w:szCs w:val="24"/>
          <w:lang w:eastAsia="en-US"/>
        </w:rPr>
        <w:t xml:space="preserve"> Le Clézienne va jusqu’à  la m</w:t>
      </w:r>
      <w:r w:rsidR="000014D2">
        <w:rPr>
          <w:rFonts w:ascii="Times New Roman" w:eastAsia="Calibri" w:hAnsi="Times New Roman" w:cs="Times New Roman"/>
          <w:sz w:val="24"/>
          <w:szCs w:val="24"/>
          <w:lang w:eastAsia="en-US"/>
        </w:rPr>
        <w:t>ise en évidence de la politique</w:t>
      </w:r>
      <w:r w:rsidRPr="007A615E">
        <w:rPr>
          <w:rFonts w:ascii="Times New Roman" w:eastAsia="Calibri" w:hAnsi="Times New Roman" w:cs="Times New Roman"/>
          <w:sz w:val="24"/>
          <w:szCs w:val="24"/>
          <w:lang w:eastAsia="en-US"/>
        </w:rPr>
        <w:t xml:space="preserve"> à l’égard des évènements mondiaux, entre autre </w:t>
      </w:r>
      <w:r w:rsidRPr="007A615E">
        <w:rPr>
          <w:rFonts w:ascii="Times New Roman" w:eastAsia="Calibri" w:hAnsi="Times New Roman" w:cs="Times New Roman"/>
          <w:bCs/>
          <w:sz w:val="24"/>
          <w:szCs w:val="24"/>
          <w:lang w:eastAsia="en-US"/>
        </w:rPr>
        <w:t>la situation politique de l’Espagne de 1936</w:t>
      </w:r>
    </w:p>
    <w:p w:rsidR="000014D2" w:rsidRDefault="000014D2">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0014D2" w:rsidRPr="000014D2" w:rsidRDefault="000014D2" w:rsidP="000014D2">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0014D2">
        <w:rPr>
          <w:rFonts w:ascii="Times New Roman" w:eastAsia="Times New Roman" w:hAnsi="Times New Roman" w:cs="Times New Roman"/>
          <w:sz w:val="28"/>
          <w:szCs w:val="28"/>
          <w:lang w:eastAsia="en-US"/>
        </w:rPr>
        <w:lastRenderedPageBreak/>
        <w:t>Chapitre I : analyse formelle</w:t>
      </w:r>
    </w:p>
    <w:p w:rsidR="000014D2" w:rsidRPr="000014D2" w:rsidRDefault="000014D2" w:rsidP="000014D2">
      <w:pPr>
        <w:tabs>
          <w:tab w:val="center" w:pos="4536"/>
          <w:tab w:val="right" w:pos="9072"/>
        </w:tabs>
        <w:spacing w:line="480" w:lineRule="auto"/>
        <w:jc w:val="center"/>
        <w:rPr>
          <w:rFonts w:ascii="Times New Roman" w:eastAsia="Calibri" w:hAnsi="Times New Roman" w:cs="Times New Roman"/>
          <w:sz w:val="24"/>
          <w:szCs w:val="24"/>
          <w:lang w:eastAsia="en-US"/>
        </w:rPr>
      </w:pPr>
    </w:p>
    <w:p w:rsidR="000014D2" w:rsidRDefault="000014D2" w:rsidP="007A615E">
      <w:pPr>
        <w:spacing w:line="480" w:lineRule="auto"/>
        <w:jc w:val="both"/>
        <w:rPr>
          <w:rFonts w:ascii="Times New Roman" w:eastAsia="Calibri" w:hAnsi="Times New Roman" w:cs="Times New Roman"/>
          <w:sz w:val="24"/>
          <w:szCs w:val="24"/>
          <w:lang w:eastAsia="en-US"/>
        </w:rPr>
      </w:pPr>
      <w:r w:rsidRPr="000014D2">
        <w:rPr>
          <w:rFonts w:ascii="Times New Roman" w:eastAsia="Calibri" w:hAnsi="Times New Roman" w:cs="Times New Roman"/>
          <w:bCs/>
          <w:i/>
          <w:sz w:val="24"/>
          <w:szCs w:val="24"/>
          <w:lang w:eastAsia="en-US"/>
        </w:rPr>
        <w:t>« </w:t>
      </w:r>
      <w:r w:rsidRPr="000014D2">
        <w:rPr>
          <w:rFonts w:ascii="Times New Roman" w:eastAsia="Calibri" w:hAnsi="Times New Roman" w:cs="Times New Roman"/>
          <w:bCs/>
          <w:sz w:val="24"/>
          <w:szCs w:val="24"/>
          <w:lang w:eastAsia="en-US"/>
        </w:rPr>
        <w:t>Talon grand lecteur de l’action française, s’en prenait aux métèques, réclamait leur expulsion du territoire national, ou l’arrestation des réfugiés espagnols par la gendarmerie et leur livraison immédiate aux forces franquistes. » (R.D.L.F P.62) tout comme la haine raciale« Paris s’est</w:t>
      </w:r>
      <w:r w:rsidRPr="000014D2">
        <w:rPr>
          <w:rFonts w:ascii="Times New Roman" w:eastAsia="Calibri" w:hAnsi="Times New Roman" w:cs="Times New Roman"/>
          <w:bCs/>
          <w:i/>
          <w:sz w:val="24"/>
          <w:szCs w:val="24"/>
          <w:lang w:eastAsia="en-US"/>
        </w:rPr>
        <w:t xml:space="preserve"> </w:t>
      </w:r>
      <w:r w:rsidRPr="000014D2">
        <w:rPr>
          <w:rFonts w:ascii="Times New Roman" w:eastAsia="Calibri" w:hAnsi="Times New Roman" w:cs="Times New Roman"/>
          <w:bCs/>
          <w:sz w:val="24"/>
          <w:szCs w:val="24"/>
          <w:lang w:eastAsia="en-US"/>
        </w:rPr>
        <w:t xml:space="preserve">transformé en mosquée et en synagogue » (R.D.L.F.P.64) </w:t>
      </w:r>
      <w:r w:rsidRPr="000014D2">
        <w:rPr>
          <w:rFonts w:ascii="Times New Roman" w:eastAsia="Calibri" w:hAnsi="Times New Roman" w:cs="Times New Roman"/>
          <w:sz w:val="24"/>
          <w:szCs w:val="24"/>
          <w:lang w:eastAsia="en-US"/>
        </w:rPr>
        <w:t>Cependant, le traitement des pensées de l’héroïne dans la deuxième partie ressasse des thèmes pertinents -quelquefois tabous- de ce temps là, tel que : l’antisémitisme, l’extorsion, l’insouciance, l’indifférence, le malaise. Toutefois, la notion moderne de mimésis, ‘showing’</w:t>
      </w:r>
      <w:r w:rsidRPr="000014D2">
        <w:rPr>
          <w:rFonts w:ascii="Times New Roman" w:eastAsia="Calibri" w:hAnsi="Times New Roman" w:cs="Times New Roman"/>
          <w:sz w:val="24"/>
          <w:szCs w:val="24"/>
          <w:vertAlign w:val="superscript"/>
          <w:lang w:eastAsia="en-US"/>
        </w:rPr>
        <w:footnoteReference w:id="32"/>
      </w:r>
      <w:r w:rsidRPr="000014D2">
        <w:rPr>
          <w:rFonts w:ascii="Times New Roman" w:eastAsia="Calibri" w:hAnsi="Times New Roman" w:cs="Times New Roman"/>
          <w:sz w:val="24"/>
          <w:szCs w:val="24"/>
          <w:lang w:eastAsia="en-US"/>
        </w:rPr>
        <w:t>dans le récit de paroles du personnage et ou dans celui des évènements du narrateur est compatible avec la réalité évoquée dans la troisième partie. Celle-ci, a le mérite d’une chronique historique avec des faits synchronisés qui narrent le quotidien français durant l’occupation. Un récit évènementiel dont le référent historique est à la fois, ponctuel et anecdotique. Ainsi, les lois de propagandes à l’encontre des juifs « le juif n’est pas comme nous : il a le nez crochu, les ongles carrés, les pieds plats, un bras plus court que l’autre » (R.D.L.F.P.78) remonte aux années trente. Ensuite, le fait s’accroît et prend de l’ampleur avec la chasse aux juifs. D’ailleurs, les décrets publiés par le journal officiel disaient : « Article premier, est regardé comme Juif toute personne issue de trois grands-parents de race juive ou… » « Article deux : l’accès et</w:t>
      </w:r>
      <w:r w:rsidRPr="000014D2">
        <w:rPr>
          <w:rFonts w:ascii="Times New Roman" w:eastAsia="Calibri" w:hAnsi="Times New Roman" w:cs="Times New Roman"/>
          <w:i/>
          <w:sz w:val="24"/>
          <w:szCs w:val="24"/>
          <w:lang w:eastAsia="en-US"/>
        </w:rPr>
        <w:t xml:space="preserve"> </w:t>
      </w:r>
      <w:r w:rsidRPr="000014D2">
        <w:rPr>
          <w:rFonts w:ascii="Times New Roman" w:eastAsia="Calibri" w:hAnsi="Times New Roman" w:cs="Times New Roman"/>
          <w:sz w:val="24"/>
          <w:szCs w:val="24"/>
          <w:lang w:eastAsia="en-US"/>
        </w:rPr>
        <w:t>l’exercice des fonctions publiques et mandats sont interdits aux juifs, comme</w:t>
      </w:r>
      <w:r w:rsidRPr="000014D2">
        <w:rPr>
          <w:rFonts w:ascii="Times New Roman" w:eastAsia="Calibri" w:hAnsi="Times New Roman" w:cs="Times New Roman"/>
          <w:i/>
          <w:sz w:val="24"/>
          <w:szCs w:val="24"/>
          <w:lang w:eastAsia="en-US"/>
        </w:rPr>
        <w:t xml:space="preserve"> </w:t>
      </w:r>
      <w:r w:rsidRPr="000014D2">
        <w:rPr>
          <w:rFonts w:ascii="Times New Roman" w:eastAsia="Calibri" w:hAnsi="Times New Roman" w:cs="Times New Roman"/>
          <w:sz w:val="24"/>
          <w:szCs w:val="24"/>
          <w:lang w:eastAsia="en-US"/>
        </w:rPr>
        <w:t>suit :… »(R.D.L.F.P.139) Pire encore, la loi du 2 juin « la loi du 2 juin prescrivant le</w:t>
      </w:r>
      <w:r w:rsidRPr="000014D2">
        <w:rPr>
          <w:rFonts w:ascii="Times New Roman" w:eastAsia="Calibri" w:hAnsi="Times New Roman" w:cs="Times New Roman"/>
          <w:i/>
          <w:sz w:val="24"/>
          <w:szCs w:val="24"/>
          <w:lang w:eastAsia="en-US"/>
        </w:rPr>
        <w:t xml:space="preserve"> </w:t>
      </w:r>
      <w:r w:rsidRPr="000014D2">
        <w:rPr>
          <w:rFonts w:ascii="Times New Roman" w:eastAsia="Calibri" w:hAnsi="Times New Roman" w:cs="Times New Roman"/>
          <w:sz w:val="24"/>
          <w:szCs w:val="24"/>
          <w:lang w:eastAsia="en-US"/>
        </w:rPr>
        <w:t>recensement des juifs. »(R.D.L.F.P.139) ou celle 17 juin 1941(voir annexe III)</w:t>
      </w:r>
    </w:p>
    <w:p w:rsidR="000014D2" w:rsidRDefault="000014D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0014D2" w:rsidRPr="000014D2" w:rsidRDefault="000014D2" w:rsidP="000014D2">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0014D2">
        <w:rPr>
          <w:rFonts w:ascii="Times New Roman" w:eastAsia="Times New Roman" w:hAnsi="Times New Roman" w:cs="Times New Roman"/>
          <w:sz w:val="28"/>
          <w:szCs w:val="28"/>
          <w:lang w:eastAsia="en-US"/>
        </w:rPr>
        <w:lastRenderedPageBreak/>
        <w:t>Chapitre I : analyse formelle</w:t>
      </w:r>
    </w:p>
    <w:p w:rsidR="000014D2" w:rsidRPr="000014D2" w:rsidRDefault="000014D2" w:rsidP="000014D2">
      <w:pPr>
        <w:tabs>
          <w:tab w:val="center" w:pos="4536"/>
          <w:tab w:val="right" w:pos="9072"/>
        </w:tabs>
        <w:spacing w:line="480" w:lineRule="auto"/>
        <w:jc w:val="center"/>
        <w:rPr>
          <w:rFonts w:ascii="Times New Roman" w:eastAsia="Calibri" w:hAnsi="Times New Roman" w:cs="Times New Roman"/>
          <w:sz w:val="24"/>
          <w:szCs w:val="24"/>
          <w:lang w:eastAsia="en-US"/>
        </w:rPr>
      </w:pPr>
    </w:p>
    <w:p w:rsidR="000014D2" w:rsidRPr="000014D2" w:rsidRDefault="000014D2" w:rsidP="000014D2">
      <w:pPr>
        <w:spacing w:line="480" w:lineRule="auto"/>
        <w:jc w:val="both"/>
        <w:rPr>
          <w:rFonts w:ascii="Times New Roman" w:eastAsia="Calibri" w:hAnsi="Times New Roman" w:cs="Times New Roman"/>
          <w:sz w:val="24"/>
          <w:szCs w:val="24"/>
          <w:lang w:eastAsia="en-US"/>
        </w:rPr>
      </w:pPr>
      <w:r w:rsidRPr="000014D2">
        <w:rPr>
          <w:rFonts w:ascii="Times New Roman" w:eastAsia="Calibri" w:hAnsi="Times New Roman" w:cs="Times New Roman"/>
          <w:sz w:val="24"/>
          <w:szCs w:val="24"/>
          <w:lang w:eastAsia="en-US"/>
        </w:rPr>
        <w:t>« Il est interdit à toute personne de race juive d’exercer les fonctions suivantes :                        banquier, agent d’assurance, publiciste, prêteur de capitaux, courtier en Bourse, commerçant en grains, vendeur de tableaux, antiquaire, exploitant forestier, propriétaire de maison de jeux,   journaliste d’information de</w:t>
      </w:r>
      <w:r w:rsidRPr="000014D2">
        <w:rPr>
          <w:rFonts w:ascii="Times New Roman" w:eastAsia="Calibri" w:hAnsi="Times New Roman" w:cs="Times New Roman"/>
          <w:i/>
          <w:sz w:val="24"/>
          <w:szCs w:val="24"/>
          <w:lang w:eastAsia="en-US"/>
        </w:rPr>
        <w:t xml:space="preserve"> </w:t>
      </w:r>
      <w:r w:rsidRPr="000014D2">
        <w:rPr>
          <w:rFonts w:ascii="Times New Roman" w:eastAsia="Calibri" w:hAnsi="Times New Roman" w:cs="Times New Roman"/>
          <w:sz w:val="24"/>
          <w:szCs w:val="24"/>
          <w:lang w:eastAsia="en-US"/>
        </w:rPr>
        <w:t xml:space="preserve">la presse écrite ou de la radio… » (R.D.L.F.P.140) </w:t>
      </w:r>
    </w:p>
    <w:p w:rsidR="00617330" w:rsidRDefault="000014D2" w:rsidP="00617330">
      <w:pPr>
        <w:spacing w:line="480" w:lineRule="auto"/>
        <w:jc w:val="both"/>
        <w:rPr>
          <w:rFonts w:ascii="Times New Roman" w:eastAsia="Calibri" w:hAnsi="Times New Roman" w:cs="Times New Roman"/>
          <w:sz w:val="24"/>
          <w:szCs w:val="24"/>
          <w:lang w:eastAsia="en-US"/>
        </w:rPr>
      </w:pPr>
      <w:r w:rsidRPr="000014D2">
        <w:rPr>
          <w:rFonts w:ascii="Times New Roman" w:eastAsia="Calibri" w:hAnsi="Times New Roman" w:cs="Times New Roman"/>
          <w:sz w:val="24"/>
          <w:szCs w:val="24"/>
          <w:lang w:eastAsia="en-US"/>
        </w:rPr>
        <w:t xml:space="preserve">   Ceux-ci sont nettement explicites sur la situation des juifs de France. Cependant, la peur de l’occupant et l’humiliation subie entraine la population à un exode massif vers le sud. Un périple chaotique à travers les fausses nouvelles et les rumeurs. Mais, toute fois, l’objectivité supposée de la narration est de transcrire avec fidélité (récit biographique) le quotidien d’un occupé. Ainsi, la faim, le froid, la cavalcade dans les caves, l’occupation italienne, la peur, la psychose, l’enfermement. Tous ceci, cautionne le mythe apocalyptique. Car ils sont perçus comme des facteurs de chaos nécessaires à la création de l’univers. C'est-à-dire, retourner au désordre est une étape fondamentale dans le processus de la cosmologie. Ceci prend deux formes dans l’œuvre Le Clézienne, le chaos psychologique, et le chaos de la situation financière de la famille. En fait, ils contribuent à la métamorphosent du personnage et sa genèse.  Pour conclure, nous dirons, que toute l’œuvre recèle progressivement des thèmes et des motifs politiques et historiques dont la fonction est de constituer une référence au lecteur.</w:t>
      </w:r>
    </w:p>
    <w:p w:rsidR="00617330" w:rsidRDefault="0061733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617330" w:rsidRPr="00617330" w:rsidRDefault="00617330" w:rsidP="0061733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17330">
        <w:rPr>
          <w:rFonts w:ascii="Times New Roman" w:eastAsia="Times New Roman" w:hAnsi="Times New Roman" w:cs="Times New Roman"/>
          <w:sz w:val="28"/>
          <w:szCs w:val="28"/>
          <w:lang w:eastAsia="en-US"/>
        </w:rPr>
        <w:lastRenderedPageBreak/>
        <w:t>Chapitre I : analyse formelle</w:t>
      </w:r>
    </w:p>
    <w:p w:rsidR="00617330" w:rsidRPr="00617330" w:rsidRDefault="00617330" w:rsidP="00617330">
      <w:pPr>
        <w:tabs>
          <w:tab w:val="center" w:pos="4536"/>
          <w:tab w:val="right" w:pos="9072"/>
        </w:tabs>
        <w:spacing w:line="480" w:lineRule="auto"/>
        <w:jc w:val="center"/>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bCs/>
          <w:sz w:val="24"/>
          <w:szCs w:val="24"/>
          <w:lang w:eastAsia="en-US"/>
        </w:rPr>
      </w:pPr>
      <w:r w:rsidRPr="00617330">
        <w:rPr>
          <w:rFonts w:ascii="Times New Roman" w:eastAsia="Calibri" w:hAnsi="Times New Roman" w:cs="Times New Roman"/>
          <w:b/>
          <w:bCs/>
          <w:sz w:val="24"/>
          <w:szCs w:val="24"/>
          <w:lang w:eastAsia="en-US"/>
        </w:rPr>
        <w:t>I.2.6 Les Séquences</w:t>
      </w:r>
    </w:p>
    <w:p w:rsidR="00B60FD0" w:rsidRPr="00B60FD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bCs/>
          <w:sz w:val="24"/>
          <w:szCs w:val="24"/>
          <w:lang w:eastAsia="en-US"/>
        </w:rPr>
        <w:t xml:space="preserve">   La diversité séquentielle</w:t>
      </w:r>
      <w:r w:rsidRPr="00617330">
        <w:rPr>
          <w:rFonts w:ascii="Times New Roman" w:eastAsia="Calibri" w:hAnsi="Times New Roman" w:cs="Times New Roman"/>
          <w:b/>
          <w:bCs/>
          <w:sz w:val="24"/>
          <w:szCs w:val="24"/>
          <w:lang w:eastAsia="en-US"/>
        </w:rPr>
        <w:t xml:space="preserve"> </w:t>
      </w:r>
      <w:r w:rsidRPr="00617330">
        <w:rPr>
          <w:rFonts w:ascii="Times New Roman" w:eastAsia="Calibri" w:hAnsi="Times New Roman" w:cs="Times New Roman"/>
          <w:bCs/>
          <w:sz w:val="24"/>
          <w:szCs w:val="24"/>
          <w:lang w:eastAsia="en-US"/>
        </w:rPr>
        <w:t xml:space="preserve">impose des formes codées, ce ci, explique en outre, l’insertion de divers types de textes : </w:t>
      </w:r>
      <w:r w:rsidRPr="00617330">
        <w:rPr>
          <w:rFonts w:ascii="Times New Roman" w:eastAsia="Calibri" w:hAnsi="Times New Roman" w:cs="Times New Roman"/>
          <w:sz w:val="24"/>
          <w:szCs w:val="24"/>
          <w:lang w:eastAsia="en-US"/>
        </w:rPr>
        <w:t xml:space="preserve">Epigraphe, Prologue, trois chapitres, un épilogue, et une dédicace. Autrement dit, </w:t>
      </w:r>
      <w:r w:rsidRPr="00617330">
        <w:rPr>
          <w:rFonts w:ascii="Times New Roman" w:eastAsia="Calibri" w:hAnsi="Times New Roman" w:cs="Times New Roman"/>
          <w:i/>
          <w:sz w:val="24"/>
          <w:szCs w:val="24"/>
          <w:lang w:eastAsia="en-US"/>
        </w:rPr>
        <w:t>La Ritournelle</w:t>
      </w:r>
      <w:r w:rsidRPr="00617330">
        <w:rPr>
          <w:rFonts w:ascii="Times New Roman" w:eastAsia="Calibri" w:hAnsi="Times New Roman" w:cs="Times New Roman"/>
          <w:sz w:val="24"/>
          <w:szCs w:val="24"/>
          <w:lang w:eastAsia="en-US"/>
        </w:rPr>
        <w:t xml:space="preserve"> raconte une histoire, à travers laquelle, elle cherche à émouvoir, à informer, à expliquer, et à convaincre. Pour ce fait, sa pluralité formelle constitue un moyen de conserver l’attention. Ceci étant, le recours à une description explicite -au premier chapitre- des lieux, des personnages, et des habitudes est un moyen de construction de référent. En fait, elle rapproche le lecteur du milieu de la fiction, dans la réalité. Une construction qui se prolonge et s’étend selon la succession des évènements dans le temps. Cela dit, la mise en situation d’une riche famille émigrée, dans un quartier bourgeois, et dans les années trente, suppose tout un processus qui cheminera tôt ou tard, vers la perte et le malheur. Car la relation entre la situation en question, et le mode de vie en ce temps là, implique la mise en place d’un certain nombre de séquences pour fournir un maximum d’éléments explicatifs de la suite des évènements. En d’autres termes, Le Clézio s’attarde sur la construction de l’univers de la fiction. Il insiste sur les mondanités de la famille puis ressasse sans cesse ces faits dans la tête de l’héroïne. Il le fait avec une grande conformité aux sentiments du personnage. Il assume ce qu’il avance par sa vision, sa parole, ses pensées et les actions du protagoniste.  La réalité postulée de la thématique du roman est soutenue par l’insertion de séquences dialoguées. Celles-ci argumentent le sujet du projet. La succession des évènements, dans le temps, de </w:t>
      </w:r>
      <w:r w:rsidRPr="00617330">
        <w:rPr>
          <w:rFonts w:ascii="Times New Roman" w:eastAsia="Calibri" w:hAnsi="Times New Roman" w:cs="Times New Roman"/>
          <w:i/>
          <w:sz w:val="24"/>
          <w:szCs w:val="24"/>
          <w:lang w:eastAsia="en-US"/>
        </w:rPr>
        <w:t>La Ritournelle</w:t>
      </w:r>
      <w:r w:rsidRPr="00617330">
        <w:rPr>
          <w:rFonts w:ascii="Times New Roman" w:eastAsia="Calibri" w:hAnsi="Times New Roman" w:cs="Times New Roman"/>
          <w:sz w:val="24"/>
          <w:szCs w:val="24"/>
          <w:lang w:eastAsia="en-US"/>
        </w:rPr>
        <w:t xml:space="preserve"> exhument une mémoire collective de l’oubli et du silence séculaire. Elles impliquent des circonstances qui renvoient à des mobiles politiques et sociales. Aussi, le choix de l’histoire confère à la description des faits une vision</w:t>
      </w:r>
    </w:p>
    <w:p w:rsidR="005977BE" w:rsidRPr="005977BE" w:rsidRDefault="005977BE" w:rsidP="00B60FD0">
      <w:pPr>
        <w:spacing w:line="480" w:lineRule="auto"/>
        <w:jc w:val="both"/>
        <w:rPr>
          <w:rFonts w:ascii="Times New Roman" w:eastAsia="Calibri" w:hAnsi="Times New Roman" w:cs="Times New Roman"/>
          <w:sz w:val="24"/>
          <w:szCs w:val="24"/>
          <w:lang w:eastAsia="en-US"/>
        </w:rPr>
      </w:pPr>
    </w:p>
    <w:p w:rsidR="00617330" w:rsidRPr="00617330" w:rsidRDefault="00617330" w:rsidP="0061733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17330">
        <w:rPr>
          <w:rFonts w:ascii="Times New Roman" w:eastAsia="Times New Roman" w:hAnsi="Times New Roman" w:cs="Times New Roman"/>
          <w:sz w:val="28"/>
          <w:szCs w:val="28"/>
          <w:lang w:eastAsia="en-US"/>
        </w:rPr>
        <w:lastRenderedPageBreak/>
        <w:t>Chapitre I : analyse formelle</w:t>
      </w:r>
    </w:p>
    <w:p w:rsidR="00617330" w:rsidRPr="00617330" w:rsidRDefault="00617330" w:rsidP="00617330">
      <w:pPr>
        <w:tabs>
          <w:tab w:val="center" w:pos="4536"/>
          <w:tab w:val="right" w:pos="9072"/>
        </w:tabs>
        <w:spacing w:line="480" w:lineRule="auto"/>
        <w:jc w:val="center"/>
        <w:rPr>
          <w:rFonts w:ascii="Times New Roman" w:eastAsia="Calibri" w:hAnsi="Times New Roman" w:cs="Times New Roman"/>
          <w:sz w:val="24"/>
          <w:szCs w:val="24"/>
          <w:lang w:eastAsia="en-US"/>
        </w:rPr>
      </w:pPr>
    </w:p>
    <w:p w:rsidR="00617330" w:rsidRPr="00617330" w:rsidRDefault="00617330" w:rsidP="00617330">
      <w:pPr>
        <w:spacing w:line="480" w:lineRule="auto"/>
        <w:jc w:val="both"/>
        <w:rPr>
          <w:rFonts w:ascii="Times New Roman" w:eastAsia="Calibri" w:hAnsi="Times New Roman" w:cs="Times New Roman"/>
          <w:b/>
          <w:bCs/>
          <w:sz w:val="28"/>
          <w:szCs w:val="28"/>
          <w:lang w:eastAsia="en-US"/>
        </w:rPr>
      </w:pPr>
      <w:r w:rsidRPr="00617330">
        <w:rPr>
          <w:rFonts w:ascii="Times New Roman" w:eastAsia="Calibri" w:hAnsi="Times New Roman" w:cs="Times New Roman"/>
          <w:sz w:val="24"/>
          <w:szCs w:val="24"/>
          <w:lang w:eastAsia="en-US"/>
        </w:rPr>
        <w:t xml:space="preserve">plus décantée de sa propre réalité. En effet, le réseau conceptuel de la fiction est structuré en une intra-temporalité, organisée selon une série linéaire de segments temporels allant de 1931 à 1945. Soit une chronique segmentée en trois parties :  </w:t>
      </w:r>
    </w:p>
    <w:p w:rsidR="00617330" w:rsidRPr="0061733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1931 / 1939   </w:t>
      </w:r>
    </w:p>
    <w:p w:rsidR="00617330" w:rsidRPr="0061733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1939 / 1940  </w:t>
      </w:r>
    </w:p>
    <w:p w:rsidR="00617330" w:rsidRPr="0061733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1941 / 1945  </w:t>
      </w:r>
    </w:p>
    <w:p w:rsidR="00617330" w:rsidRPr="0061733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et dont l’unité temporelle de base se situe entre 1934 et 1945 soit les énoncés suivants : « Cela a commencé à la fin</w:t>
      </w:r>
      <w:r w:rsidRPr="00617330">
        <w:rPr>
          <w:rFonts w:ascii="Times New Roman" w:eastAsia="Calibri" w:hAnsi="Times New Roman" w:cs="Times New Roman"/>
          <w:i/>
          <w:sz w:val="24"/>
          <w:szCs w:val="24"/>
          <w:lang w:eastAsia="en-US"/>
        </w:rPr>
        <w:t xml:space="preserve"> </w:t>
      </w:r>
      <w:r w:rsidRPr="00617330">
        <w:rPr>
          <w:rFonts w:ascii="Times New Roman" w:eastAsia="Calibri" w:hAnsi="Times New Roman" w:cs="Times New Roman"/>
          <w:sz w:val="24"/>
          <w:szCs w:val="24"/>
          <w:lang w:eastAsia="en-US"/>
        </w:rPr>
        <w:t xml:space="preserve">1934» </w:t>
      </w:r>
      <w:r w:rsidRPr="00617330">
        <w:rPr>
          <w:rFonts w:ascii="Times New Roman" w:eastAsia="Calibri" w:hAnsi="Times New Roman" w:cs="Times New Roman"/>
          <w:iCs/>
          <w:sz w:val="24"/>
          <w:szCs w:val="24"/>
          <w:lang w:eastAsia="en-US"/>
        </w:rPr>
        <w:t>(</w:t>
      </w:r>
      <w:r w:rsidRPr="00617330">
        <w:rPr>
          <w:rFonts w:ascii="Times New Roman" w:eastAsia="Calibri" w:hAnsi="Times New Roman" w:cs="Times New Roman"/>
          <w:sz w:val="24"/>
          <w:szCs w:val="24"/>
          <w:lang w:eastAsia="en-US"/>
        </w:rPr>
        <w:t xml:space="preserve">R.D.L.F.P.64) et </w:t>
      </w:r>
      <w:r w:rsidRPr="00617330">
        <w:rPr>
          <w:rFonts w:ascii="Times New Roman" w:eastAsia="Calibri" w:hAnsi="Times New Roman" w:cs="Times New Roman"/>
          <w:b/>
          <w:sz w:val="24"/>
          <w:szCs w:val="24"/>
          <w:lang w:eastAsia="en-US"/>
        </w:rPr>
        <w:t>«</w:t>
      </w:r>
      <w:r w:rsidRPr="00617330">
        <w:rPr>
          <w:rFonts w:ascii="Times New Roman" w:eastAsia="Calibri" w:hAnsi="Times New Roman" w:cs="Times New Roman"/>
          <w:b/>
          <w:i/>
          <w:sz w:val="24"/>
          <w:szCs w:val="24"/>
          <w:lang w:eastAsia="en-US"/>
        </w:rPr>
        <w:t> </w:t>
      </w:r>
      <w:r w:rsidRPr="00617330">
        <w:rPr>
          <w:rFonts w:ascii="Times New Roman" w:eastAsia="Calibri" w:hAnsi="Times New Roman" w:cs="Times New Roman"/>
          <w:sz w:val="24"/>
          <w:szCs w:val="24"/>
          <w:lang w:eastAsia="en-US"/>
        </w:rPr>
        <w:t>Un jour d’été, le brouhaha d’une autre armée, triomphale celle-là, et toute la population était descendue dans la rue pour voir l’arrivée… » (R.D.L.F.P.178)</w:t>
      </w: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La rétrospection introduite par l’énoncé « en y réfléchissant plus tard » (R.D.L.F.P 64) « cela a commencé à la fin de 1934 » (R.D.L.F.P.65) mobilise un présent des choses passées, caractérisé par des adverbes comme : plus tard, après, maintenant ou l’expression tout à commencé. Des termes qui orientent vers le caractère datable du temps et détermine son sens. </w:t>
      </w: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L’auteur remonte le temps pour nous faire découvrir une chaine évènementielle d’une situation historique qui évoque la période d’avant, durant, et après</w:t>
      </w:r>
      <w:r w:rsidRPr="00617330">
        <w:rPr>
          <w:rFonts w:ascii="Times New Roman" w:eastAsia="Calibri" w:hAnsi="Times New Roman" w:cs="Times New Roman"/>
          <w:b/>
          <w:sz w:val="24"/>
          <w:szCs w:val="24"/>
          <w:lang w:eastAsia="en-US"/>
        </w:rPr>
        <w:t xml:space="preserve"> </w:t>
      </w:r>
      <w:r w:rsidRPr="00617330">
        <w:rPr>
          <w:rFonts w:ascii="Times New Roman" w:eastAsia="Calibri" w:hAnsi="Times New Roman" w:cs="Times New Roman"/>
          <w:sz w:val="24"/>
          <w:szCs w:val="24"/>
          <w:lang w:eastAsia="en-US"/>
        </w:rPr>
        <w:t>la deuxième guerre mondiale. Il œuvre à ponctuer la fiction de repères temporels et géographiques comme étant des indications authentiques.</w:t>
      </w:r>
    </w:p>
    <w:p w:rsidR="00617330"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La logique entre les deux premières parties atteste la véracité des évènements dans le troisième chapitre. D’ailleurs, son examen fait ressortir un volet « honteux » de la face cachée</w:t>
      </w:r>
    </w:p>
    <w:p w:rsidR="00617330" w:rsidRDefault="00617330">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617330" w:rsidRPr="00617330" w:rsidRDefault="00617330" w:rsidP="0061733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17330">
        <w:rPr>
          <w:rFonts w:ascii="Times New Roman" w:eastAsia="Times New Roman" w:hAnsi="Times New Roman" w:cs="Times New Roman"/>
          <w:sz w:val="28"/>
          <w:szCs w:val="28"/>
          <w:lang w:eastAsia="en-US"/>
        </w:rPr>
        <w:lastRenderedPageBreak/>
        <w:t>Chapitre I : analyse formelle</w:t>
      </w:r>
    </w:p>
    <w:p w:rsidR="00617330" w:rsidRPr="00617330" w:rsidRDefault="00617330" w:rsidP="00617330">
      <w:pPr>
        <w:tabs>
          <w:tab w:val="center" w:pos="4536"/>
          <w:tab w:val="right" w:pos="9072"/>
        </w:tabs>
        <w:spacing w:line="480" w:lineRule="auto"/>
        <w:jc w:val="center"/>
        <w:rPr>
          <w:rFonts w:ascii="Times New Roman" w:eastAsia="Calibri" w:hAnsi="Times New Roman" w:cs="Times New Roman"/>
          <w:sz w:val="24"/>
          <w:szCs w:val="24"/>
          <w:lang w:eastAsia="en-US"/>
        </w:rPr>
      </w:pPr>
    </w:p>
    <w:p w:rsidR="00617330" w:rsidRDefault="00617330" w:rsidP="00617330">
      <w:pPr>
        <w:spacing w:line="480" w:lineRule="auto"/>
        <w:jc w:val="both"/>
        <w:rPr>
          <w:rFonts w:ascii="Times New Roman" w:hAnsi="Times New Roman" w:cs="Times New Roman"/>
          <w:sz w:val="24"/>
          <w:szCs w:val="24"/>
          <w:lang w:bidi="ar-DZ"/>
        </w:rPr>
      </w:pPr>
      <w:r w:rsidRPr="00617330">
        <w:rPr>
          <w:rFonts w:ascii="Times New Roman" w:hAnsi="Times New Roman" w:cs="Times New Roman"/>
          <w:sz w:val="24"/>
          <w:szCs w:val="24"/>
          <w:lang w:bidi="ar-DZ"/>
        </w:rPr>
        <w:t>de l’Histoire de France. Il nous des révèle le quotidien français durant la deuxième guerre mondiale. Depuis l’exode de septembre 1939 jusqu’à mai 1945. Une coupure qui ouvre l’espace à l’Histoire, et à l’exploration des voies par lesquelles l’action jette les hommes de valeur, contre toute attente, dans le malheur. Ce sont des émotions tragiques basées sur le pitoyable et l’effroyable qui exigent que le héros soit empêché d’atteindre à l’excellence dans l’ordre de la vertu et de la justice par quelque « faute », sans que ce soit le vice ou la méchanceté qui le fasse tomber dans le malheur.</w:t>
      </w:r>
      <w:r w:rsidRPr="00617330">
        <w:rPr>
          <w:rFonts w:ascii="Times New Roman" w:hAnsi="Times New Roman" w:cs="Times New Roman"/>
          <w:sz w:val="24"/>
          <w:szCs w:val="24"/>
          <w:vertAlign w:val="superscript"/>
          <w:lang w:bidi="ar-DZ"/>
        </w:rPr>
        <w:t xml:space="preserve"> </w:t>
      </w:r>
      <w:r w:rsidRPr="00617330">
        <w:rPr>
          <w:rFonts w:ascii="Times New Roman" w:hAnsi="Times New Roman" w:cs="Times New Roman"/>
          <w:sz w:val="24"/>
          <w:szCs w:val="24"/>
          <w:lang w:bidi="ar-DZ"/>
        </w:rPr>
        <w:t>L’exode et la résurrection jalonnent l’espérance de vie, face à des incidents discordants que l’intrigue tend à rendre nécessaire et vraisemblable. Parallèlement, la pitié et la frayeur règlent la hiérarchie des actions et des combinaisons possibles. La fin, clos l’espace de la fiction dans la bassesse plutôt que la noblesse. Le mariage du couple est un moyen de se débarrasser du statut social, et une forme de résurrection ou, voir même, une échappatoire au présent, pour ne pas avoir à rendre compte d’une vérité occurrente particulière, qui prend en considération le rapport de conditionnalité entre les états antérieurs et les états ultérieurs d’un fait historique. L’œuvre ouvre le chemin au lecteur afin qu’il puisse se construire un sens sur les faits occultés, au moyen d’un discours qui condamne l’oblitération du passé et des repères identitaires. La Ritournelle est une immersion dans le monde du passé pour une réhabilitation d’un patrimoine condamné à la perdition.</w:t>
      </w:r>
    </w:p>
    <w:p w:rsidR="00617330" w:rsidRDefault="00617330">
      <w:pPr>
        <w:rPr>
          <w:rFonts w:ascii="Times New Roman" w:hAnsi="Times New Roman" w:cs="Times New Roman"/>
          <w:sz w:val="24"/>
          <w:szCs w:val="24"/>
          <w:lang w:bidi="ar-DZ"/>
        </w:rPr>
      </w:pPr>
      <w:r>
        <w:rPr>
          <w:rFonts w:ascii="Times New Roman" w:hAnsi="Times New Roman" w:cs="Times New Roman"/>
          <w:sz w:val="24"/>
          <w:szCs w:val="24"/>
          <w:lang w:bidi="ar-DZ"/>
        </w:rPr>
        <w:br w:type="page"/>
      </w:r>
    </w:p>
    <w:p w:rsidR="00617330" w:rsidRPr="00617330" w:rsidRDefault="00617330" w:rsidP="00617330">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17330">
        <w:rPr>
          <w:rFonts w:ascii="Times New Roman" w:eastAsia="Times New Roman" w:hAnsi="Times New Roman" w:cs="Times New Roman"/>
          <w:sz w:val="28"/>
          <w:szCs w:val="28"/>
          <w:lang w:eastAsia="en-US"/>
        </w:rPr>
        <w:lastRenderedPageBreak/>
        <w:t>Chapitre I : analyse formelle</w:t>
      </w:r>
    </w:p>
    <w:p w:rsidR="00617330" w:rsidRPr="00617330" w:rsidRDefault="00617330" w:rsidP="00617330">
      <w:pPr>
        <w:tabs>
          <w:tab w:val="center" w:pos="4536"/>
          <w:tab w:val="right" w:pos="9072"/>
        </w:tabs>
        <w:spacing w:line="480" w:lineRule="auto"/>
        <w:jc w:val="center"/>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b/>
          <w:bCs/>
          <w:sz w:val="24"/>
          <w:szCs w:val="24"/>
          <w:lang w:eastAsia="en-US"/>
        </w:rPr>
      </w:pPr>
      <w:r w:rsidRPr="00617330">
        <w:rPr>
          <w:rFonts w:ascii="Times New Roman" w:eastAsia="Calibri" w:hAnsi="Times New Roman" w:cs="Times New Roman"/>
          <w:b/>
          <w:bCs/>
          <w:sz w:val="24"/>
          <w:szCs w:val="24"/>
          <w:lang w:eastAsia="en-US"/>
        </w:rPr>
        <w:t xml:space="preserve">I.2.7 Schéma narratif </w:t>
      </w: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   De prime à abord, le roman nous relate la perte et l’expulsion d’une famille bourgeoise de l’Eden. Un incident effroyable qui caractérise l’action et facilite le renversement de la situation initiale. En effet, le changement de la fortune à l’infortune oriente le récit vers le malheur dont le rallongement fait toute l’étendue et l’ampleur de l’œuvre. Nous proposons le schéma suivant pour concrétiser ce que nous allons développer : </w:t>
      </w: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7C38E9" w:rsidP="00617330">
      <w:pPr>
        <w:spacing w:after="0"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noProof/>
          <w:sz w:val="24"/>
          <w:szCs w:val="24"/>
        </w:rPr>
        <w:pict>
          <v:group id="_x0000_s1275" style="position:absolute;left:0;text-align:left;margin-left:34.95pt;margin-top:8.2pt;width:375pt;height:155.25pt;z-index:251673600" coordorigin="2439,3359" coordsize="7500,2416">
            <v:roundrect id="_x0000_s1276" style="position:absolute;left:2439;top:3479;width:1440;height:587" arcsize="10923f"/>
            <v:roundrect id="_x0000_s1277" style="position:absolute;left:5543;top:3419;width:1543;height:707" arcsize="10923f"/>
            <v:roundrect id="_x0000_s1278" style="position:absolute;left:8707;top:3419;width:1140;height:587" arcsize="10923f"/>
            <v:shape id="_x0000_s1279" type="#_x0000_t202" style="position:absolute;left:2439;top:3479;width:1365;height:527" filled="f" stroked="f">
              <v:textbox style="mso-next-textbox:#_x0000_s1279">
                <w:txbxContent>
                  <w:p w:rsidR="00F25A97" w:rsidRPr="003C2A57" w:rsidRDefault="00F25A97" w:rsidP="00617330">
                    <w:pPr>
                      <w:rPr>
                        <w:rFonts w:ascii="Times New Roman" w:hAnsi="Times New Roman" w:cs="Times New Roman"/>
                      </w:rPr>
                    </w:pPr>
                    <w:r w:rsidRPr="003C2A57">
                      <w:rPr>
                        <w:rFonts w:ascii="Times New Roman" w:hAnsi="Times New Roman" w:cs="Times New Roman"/>
                      </w:rPr>
                      <w:t xml:space="preserve"> Etat initial</w:t>
                    </w:r>
                  </w:p>
                  <w:p w:rsidR="00F25A97" w:rsidRDefault="00F25A97" w:rsidP="00617330"/>
                </w:txbxContent>
              </v:textbox>
            </v:shape>
            <v:shape id="_x0000_s1280" type="#_x0000_t202" style="position:absolute;left:5543;top:3359;width:1633;height:707" filled="f" stroked="f">
              <v:textbox style="mso-next-textbox:#_x0000_s1280">
                <w:txbxContent>
                  <w:p w:rsidR="00F25A97" w:rsidRPr="003C2A57" w:rsidRDefault="00F25A97" w:rsidP="00617330">
                    <w:pPr>
                      <w:spacing w:after="0"/>
                      <w:rPr>
                        <w:rFonts w:ascii="Times New Roman" w:hAnsi="Times New Roman" w:cs="Times New Roman"/>
                      </w:rPr>
                    </w:pPr>
                    <w:r w:rsidRPr="003C2A57">
                      <w:rPr>
                        <w:rFonts w:ascii="Times New Roman" w:hAnsi="Times New Roman" w:cs="Times New Roman"/>
                      </w:rPr>
                      <w:t xml:space="preserve">      Etat événementiel</w:t>
                    </w:r>
                  </w:p>
                </w:txbxContent>
              </v:textbox>
            </v:shape>
            <v:shape id="_x0000_s1281" type="#_x0000_t202" style="position:absolute;left:8707;top:3479;width:1232;height:497" filled="f" stroked="f">
              <v:textbox style="mso-next-textbox:#_x0000_s1281">
                <w:txbxContent>
                  <w:p w:rsidR="00F25A97" w:rsidRPr="003C2A57" w:rsidRDefault="00F25A97" w:rsidP="00617330">
                    <w:pPr>
                      <w:rPr>
                        <w:rFonts w:ascii="Times New Roman" w:hAnsi="Times New Roman" w:cs="Times New Roman"/>
                      </w:rPr>
                    </w:pPr>
                    <w:r w:rsidRPr="003C2A57">
                      <w:rPr>
                        <w:rFonts w:ascii="Times New Roman" w:hAnsi="Times New Roman" w:cs="Times New Roman"/>
                      </w:rPr>
                      <w:t xml:space="preserve">Etat final  </w:t>
                    </w:r>
                  </w:p>
                  <w:p w:rsidR="00F25A97" w:rsidRDefault="00F25A97" w:rsidP="00617330">
                    <w:r>
                      <w:t xml:space="preserve"> </w:t>
                    </w:r>
                  </w:p>
                </w:txbxContent>
              </v:textbox>
            </v:shape>
            <v:shape id="_x0000_s1282" type="#_x0000_t32" style="position:absolute;left:4687;top:3750;width:615;height:15;flip:y" o:connectortype="straight">
              <v:stroke endarrow="block"/>
            </v:shape>
            <v:shape id="_x0000_s1283" type="#_x0000_t32" style="position:absolute;left:7222;top:3735;width:495;height:1" o:connectortype="straight">
              <v:stroke endarrow="block"/>
            </v:shape>
            <v:shape id="_x0000_s1284" type="#_x0000_t32" style="position:absolute;left:4928;top:4380;width:615;height:660;flip:x" o:connectortype="straight">
              <v:stroke endarrow="block"/>
            </v:shape>
            <v:shape id="_x0000_s1285" type="#_x0000_t32" style="position:absolute;left:6292;top:4320;width:1;height:915" o:connectortype="straight">
              <v:stroke endarrow="block"/>
            </v:shape>
            <v:shape id="_x0000_s1286" type="#_x0000_t32" style="position:absolute;left:6877;top:4380;width:720;height:525" o:connectortype="straight">
              <v:stroke endarrow="block"/>
            </v:shape>
            <v:shape id="_x0000_s1287" type="#_x0000_t202" style="position:absolute;left:3352;top:5220;width:1711;height:525" filled="f">
              <v:textbox style="mso-next-textbox:#_x0000_s1287">
                <w:txbxContent>
                  <w:p w:rsidR="00F25A97" w:rsidRPr="003C2A57" w:rsidRDefault="00F25A97" w:rsidP="00617330">
                    <w:pPr>
                      <w:rPr>
                        <w:rFonts w:ascii="Times New Roman" w:hAnsi="Times New Roman" w:cs="Times New Roman"/>
                      </w:rPr>
                    </w:pPr>
                    <w:r>
                      <w:t xml:space="preserve"> </w:t>
                    </w:r>
                    <w:r w:rsidRPr="003C2A57">
                      <w:rPr>
                        <w:rFonts w:ascii="Times New Roman" w:hAnsi="Times New Roman" w:cs="Times New Roman"/>
                      </w:rPr>
                      <w:t xml:space="preserve">Complication </w:t>
                    </w:r>
                  </w:p>
                </w:txbxContent>
              </v:textbox>
            </v:shape>
            <v:shape id="_x0000_s1288" type="#_x0000_t202" style="position:absolute;left:5662;top:5235;width:1514;height:465" filled="f">
              <v:textbox style="mso-next-textbox:#_x0000_s1288">
                <w:txbxContent>
                  <w:p w:rsidR="00F25A97" w:rsidRPr="003C2A57" w:rsidRDefault="00F25A97" w:rsidP="00617330">
                    <w:pPr>
                      <w:rPr>
                        <w:rFonts w:ascii="Times New Roman" w:hAnsi="Times New Roman" w:cs="Times New Roman"/>
                      </w:rPr>
                    </w:pPr>
                    <w:r w:rsidRPr="003C2A57">
                      <w:rPr>
                        <w:rFonts w:ascii="Times New Roman" w:hAnsi="Times New Roman" w:cs="Times New Roman"/>
                      </w:rPr>
                      <w:t xml:space="preserve">Dynamique </w:t>
                    </w:r>
                  </w:p>
                </w:txbxContent>
              </v:textbox>
            </v:shape>
            <v:shape id="_x0000_s1289" type="#_x0000_t202" style="position:absolute;left:7972;top:5235;width:1365;height:540" filled="f">
              <v:textbox style="mso-next-textbox:#_x0000_s1289">
                <w:txbxContent>
                  <w:p w:rsidR="00F25A97" w:rsidRPr="003C2A57" w:rsidRDefault="00F25A97" w:rsidP="00617330">
                    <w:pPr>
                      <w:rPr>
                        <w:rFonts w:ascii="Times New Roman" w:hAnsi="Times New Roman" w:cs="Times New Roman"/>
                      </w:rPr>
                    </w:pPr>
                    <w:r w:rsidRPr="003C2A57">
                      <w:rPr>
                        <w:rFonts w:ascii="Times New Roman" w:hAnsi="Times New Roman" w:cs="Times New Roman"/>
                      </w:rPr>
                      <w:t xml:space="preserve">Résolution </w:t>
                    </w:r>
                  </w:p>
                </w:txbxContent>
              </v:textbox>
            </v:shape>
          </v:group>
        </w:pict>
      </w:r>
      <w:r w:rsidR="00617330" w:rsidRPr="00617330">
        <w:rPr>
          <w:rFonts w:ascii="Times New Roman" w:eastAsia="Calibri" w:hAnsi="Times New Roman" w:cs="Times New Roman"/>
          <w:sz w:val="24"/>
          <w:szCs w:val="24"/>
          <w:lang w:eastAsia="en-US"/>
        </w:rPr>
        <w:t xml:space="preserve">   </w:t>
      </w: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617330" w:rsidRPr="00617330" w:rsidRDefault="00617330" w:rsidP="00617330">
      <w:pPr>
        <w:spacing w:after="0" w:line="480" w:lineRule="auto"/>
        <w:jc w:val="both"/>
        <w:rPr>
          <w:rFonts w:ascii="Times New Roman" w:eastAsia="Calibri" w:hAnsi="Times New Roman" w:cs="Times New Roman"/>
          <w:sz w:val="24"/>
          <w:szCs w:val="24"/>
          <w:lang w:eastAsia="en-US"/>
        </w:rPr>
      </w:pPr>
    </w:p>
    <w:p w:rsidR="003C2A57" w:rsidRDefault="00617330" w:rsidP="00617330">
      <w:pPr>
        <w:spacing w:line="480" w:lineRule="auto"/>
        <w:jc w:val="both"/>
        <w:rPr>
          <w:rFonts w:ascii="Times New Roman" w:eastAsia="Calibri" w:hAnsi="Times New Roman" w:cs="Times New Roman"/>
          <w:sz w:val="24"/>
          <w:szCs w:val="24"/>
          <w:lang w:eastAsia="en-US"/>
        </w:rPr>
      </w:pPr>
      <w:r w:rsidRPr="00617330">
        <w:rPr>
          <w:rFonts w:ascii="Times New Roman" w:eastAsia="Calibri" w:hAnsi="Times New Roman" w:cs="Times New Roman"/>
          <w:sz w:val="24"/>
          <w:szCs w:val="24"/>
          <w:lang w:eastAsia="en-US"/>
        </w:rPr>
        <w:t xml:space="preserve">Ceci étant, le drame social est l’argument de base dans la construction narrative de </w:t>
      </w:r>
      <w:r w:rsidRPr="00617330">
        <w:rPr>
          <w:rFonts w:ascii="Times New Roman" w:eastAsia="Calibri" w:hAnsi="Times New Roman" w:cs="Times New Roman"/>
          <w:i/>
          <w:iCs/>
          <w:sz w:val="24"/>
          <w:szCs w:val="24"/>
          <w:lang w:eastAsia="en-US"/>
        </w:rPr>
        <w:t>la Ritournelle.</w:t>
      </w:r>
      <w:r w:rsidRPr="00617330">
        <w:rPr>
          <w:rFonts w:ascii="Times New Roman" w:eastAsia="Calibri" w:hAnsi="Times New Roman" w:cs="Times New Roman"/>
          <w:sz w:val="24"/>
          <w:szCs w:val="24"/>
          <w:lang w:eastAsia="en-US"/>
        </w:rPr>
        <w:t xml:space="preserve"> Il est mis en valeur et entretenu par des évènements, qui conditionnent l’intrigue et la segmente en épisodes. Ceux-là s’articulent autour d’une série d’initiations : la mort de Soliman, l’effondrement du rêve de la maison Mauve, la séparation de son amie Xénia, la déloyauté du père ; la banqueroute de la famille et leur expulsion, la guerre, le déracinement, l’exode, l’errance, la faim, le froid et surtout les rumeurs. Leurs enchaînements supposent le précepte d’un univers tragique et infernal.  Par ailleurs, l’accent mis sur les modalités qui caractérisent le phénomène central de l’action (le renversement) affecta tous les personnages,</w:t>
      </w:r>
    </w:p>
    <w:p w:rsidR="003C2A57" w:rsidRDefault="003C2A57">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3C2A57" w:rsidRPr="003C2A57" w:rsidRDefault="003C2A57" w:rsidP="003C2A57">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3C2A57">
        <w:rPr>
          <w:rFonts w:ascii="Times New Roman" w:eastAsia="Times New Roman" w:hAnsi="Times New Roman" w:cs="Times New Roman"/>
          <w:sz w:val="28"/>
          <w:szCs w:val="28"/>
          <w:lang w:eastAsia="en-US"/>
        </w:rPr>
        <w:lastRenderedPageBreak/>
        <w:t>Chapitre I : analyse formelle</w:t>
      </w:r>
    </w:p>
    <w:p w:rsidR="003C2A57" w:rsidRPr="003C2A57" w:rsidRDefault="003C2A57" w:rsidP="003C2A57">
      <w:pPr>
        <w:tabs>
          <w:tab w:val="center" w:pos="4536"/>
          <w:tab w:val="right" w:pos="9072"/>
        </w:tabs>
        <w:spacing w:line="480" w:lineRule="auto"/>
        <w:jc w:val="center"/>
        <w:rPr>
          <w:rFonts w:ascii="Times New Roman" w:eastAsia="Calibri" w:hAnsi="Times New Roman" w:cs="Times New Roman"/>
          <w:sz w:val="24"/>
          <w:szCs w:val="24"/>
          <w:lang w:eastAsia="en-US"/>
        </w:rPr>
      </w:pP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et leur relation les uns aux autres. Ainsi, la finalité de l’action n’a pas eu recours à ses acteurs. Cependant, la fusion extrême de l’action dans un esprit paradoxal « c’était trop tard, qu’elle ne pourrait pas quitter sa famille, comme elle aurait voulu le faire, »(R.D.L.F.P.142) et le milieu de surprise « nos troupes victorieuses contiennent l’ennemi sur le front de la Meuse… quand les Allemands campaient devant Paris »(R.D.L.F.P.137) ont permis à l’initiée (’Ethel) d’épurer ses sentiments et de surmonter avec succès toutes les épreuves auxquelles, elle a été confrontées.</w:t>
      </w: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 xml:space="preserve">   La narration certifie l’Histoire d’un passé assimilé, celle d’une mémoire. Elle expose avec densité des évènements multiples et extraordinaires d’une vie antérieure. En effet, les idées de commencement, de milieu, et de fin sont logiques avant d’être chronologiques. Elles passent de la destiné d’une famille à celle d’une vie universelle. Une extension qui va jusqu’à la description de l’atmosphère chaotique et infernale dont se nourrit et se conditionne le monde extérieur du récit </w:t>
      </w: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 xml:space="preserve">    « Dans le chaos des fausses nouvelles, des communiqués mensongers, des articles de propagande, de la haine des étrangers, de la méfiance des espions, des ragots d’épicier, de la faim et du vide, du manque d’amour et d’orgueil »(R.D.L.F.P.142)  </w:t>
      </w:r>
    </w:p>
    <w:p w:rsidR="003C2A57" w:rsidRDefault="007C38E9" w:rsidP="003C2A57">
      <w:pPr>
        <w:spacing w:line="480" w:lineRule="auto"/>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pict>
          <v:shape id="_x0000_s1291" type="#_x0000_t32" style="position:absolute;left:0;text-align:left;margin-left:148.15pt;margin-top:252.55pt;width:.05pt;height:.05pt;z-index:251675648" o:connectortype="straight">
            <v:stroke endarrow="block"/>
          </v:shape>
        </w:pict>
      </w:r>
      <w:r w:rsidR="003C2A57" w:rsidRPr="003C2A57">
        <w:rPr>
          <w:rFonts w:ascii="Times New Roman" w:eastAsia="Calibri" w:hAnsi="Times New Roman" w:cs="Times New Roman"/>
          <w:sz w:val="24"/>
          <w:szCs w:val="24"/>
          <w:lang w:eastAsia="en-US"/>
        </w:rPr>
        <w:t xml:space="preserve">   La structure de l’énigme est dotée de certaines images du pouvoir faire référence</w:t>
      </w:r>
      <w:r w:rsidR="003C2A57" w:rsidRPr="003C2A57">
        <w:rPr>
          <w:rFonts w:ascii="Times New Roman" w:eastAsia="Calibri" w:hAnsi="Times New Roman" w:cs="Times New Roman"/>
          <w:sz w:val="24"/>
          <w:szCs w:val="24"/>
          <w:vertAlign w:val="superscript"/>
          <w:lang w:eastAsia="en-US"/>
        </w:rPr>
        <w:footnoteReference w:id="33"/>
      </w:r>
      <w:r w:rsidR="003C2A57" w:rsidRPr="003C2A57">
        <w:rPr>
          <w:rFonts w:ascii="Times New Roman" w:eastAsia="Calibri" w:hAnsi="Times New Roman" w:cs="Times New Roman"/>
          <w:sz w:val="24"/>
          <w:szCs w:val="24"/>
          <w:lang w:eastAsia="en-US"/>
        </w:rPr>
        <w:t xml:space="preserve"> à des choses passées, à savoir le quotidien français, durant la deuxième guerre. Aussi, elles passent</w:t>
      </w:r>
    </w:p>
    <w:p w:rsidR="003C2A57" w:rsidRDefault="003C2A57">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3C2A57" w:rsidRPr="003C2A57" w:rsidRDefault="003C2A57" w:rsidP="003C2A57">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3C2A57">
        <w:rPr>
          <w:rFonts w:ascii="Times New Roman" w:eastAsia="Times New Roman" w:hAnsi="Times New Roman" w:cs="Times New Roman"/>
          <w:sz w:val="28"/>
          <w:szCs w:val="28"/>
          <w:lang w:eastAsia="en-US"/>
        </w:rPr>
        <w:lastRenderedPageBreak/>
        <w:t>Chapitre I : analyse formelle</w:t>
      </w:r>
    </w:p>
    <w:p w:rsidR="003C2A57" w:rsidRPr="003C2A57" w:rsidRDefault="003C2A57" w:rsidP="003C2A57">
      <w:pPr>
        <w:tabs>
          <w:tab w:val="center" w:pos="4536"/>
          <w:tab w:val="right" w:pos="9072"/>
        </w:tabs>
        <w:spacing w:line="480" w:lineRule="auto"/>
        <w:jc w:val="center"/>
        <w:rPr>
          <w:rFonts w:ascii="Times New Roman" w:eastAsia="Calibri" w:hAnsi="Times New Roman" w:cs="Times New Roman"/>
          <w:sz w:val="24"/>
          <w:szCs w:val="24"/>
          <w:lang w:eastAsia="en-US"/>
        </w:rPr>
      </w:pP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par des images-empreintes</w:t>
      </w:r>
      <w:r w:rsidRPr="003C2A57">
        <w:rPr>
          <w:rFonts w:ascii="Times New Roman" w:eastAsia="Calibri" w:hAnsi="Times New Roman" w:cs="Times New Roman"/>
          <w:sz w:val="24"/>
          <w:szCs w:val="24"/>
          <w:vertAlign w:val="superscript"/>
          <w:lang w:eastAsia="en-US"/>
        </w:rPr>
        <w:footnoteReference w:id="34"/>
      </w:r>
      <w:r w:rsidRPr="003C2A57">
        <w:rPr>
          <w:rFonts w:ascii="Times New Roman" w:eastAsia="Calibri" w:hAnsi="Times New Roman" w:cs="Times New Roman"/>
          <w:sz w:val="24"/>
          <w:szCs w:val="24"/>
          <w:lang w:eastAsia="en-US"/>
        </w:rPr>
        <w:t xml:space="preserve">. Celles-ci sont gravées dans la mémoire. Par ailleurs, la multiplicité et le déchirement de l’héroïne à travers des situations diverses dans le temps relève du modèle tragique qui a sa propre logique, celle du « renversement ». </w:t>
      </w: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p>
    <w:p w:rsidR="003C2A57" w:rsidRPr="003C2A57" w:rsidRDefault="003C2A57" w:rsidP="003C2A57">
      <w:pPr>
        <w:spacing w:after="0"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b/>
          <w:bCs/>
          <w:sz w:val="24"/>
          <w:szCs w:val="24"/>
          <w:lang w:eastAsia="en-US"/>
        </w:rPr>
        <w:t xml:space="preserve">I.2.8 Cadre spatio-temporel </w:t>
      </w:r>
    </w:p>
    <w:p w:rsidR="003C2A57" w:rsidRPr="003C2A57" w:rsidRDefault="003C2A57" w:rsidP="003C2A57">
      <w:pPr>
        <w:spacing w:line="480" w:lineRule="auto"/>
        <w:jc w:val="both"/>
        <w:rPr>
          <w:rFonts w:ascii="Times New Roman" w:eastAsia="Calibri" w:hAnsi="Times New Roman" w:cs="Times New Roman"/>
          <w:i/>
          <w:sz w:val="24"/>
          <w:szCs w:val="24"/>
          <w:lang w:eastAsia="en-US"/>
        </w:rPr>
      </w:pPr>
      <w:r w:rsidRPr="003C2A57">
        <w:rPr>
          <w:rFonts w:ascii="Times New Roman" w:eastAsia="Calibri" w:hAnsi="Times New Roman" w:cs="Times New Roman"/>
          <w:sz w:val="24"/>
          <w:szCs w:val="24"/>
          <w:lang w:eastAsia="en-US"/>
        </w:rPr>
        <w:t xml:space="preserve">   L’auteur donne des valeurs particulières au cadre spatio - temporel. Notre travail est de les prendre dans une seule valeur fondamentale afin de délimiter le germe du bonheur central et ou du malheur. Pour ce fait, nous étudierons d’abord l’apport de l’espace convoqué par la fiction puis celui du temps chacun à part. </w:t>
      </w:r>
    </w:p>
    <w:p w:rsidR="003C2A57" w:rsidRPr="003C2A57" w:rsidRDefault="003C2A57" w:rsidP="003C2A57">
      <w:pPr>
        <w:spacing w:after="0" w:line="480" w:lineRule="auto"/>
        <w:jc w:val="both"/>
        <w:rPr>
          <w:rFonts w:ascii="Times New Roman" w:eastAsia="Calibri" w:hAnsi="Times New Roman" w:cs="Times New Roman"/>
          <w:i/>
          <w:sz w:val="24"/>
          <w:szCs w:val="24"/>
          <w:lang w:eastAsia="en-US"/>
        </w:rPr>
      </w:pPr>
      <w:r w:rsidRPr="003C2A57">
        <w:rPr>
          <w:rFonts w:ascii="Times New Roman" w:eastAsia="Calibri" w:hAnsi="Times New Roman" w:cs="Times New Roman"/>
          <w:b/>
          <w:bCs/>
          <w:sz w:val="24"/>
          <w:szCs w:val="24"/>
          <w:lang w:eastAsia="en-US"/>
        </w:rPr>
        <w:t xml:space="preserve">I.2.8.1 L’espace  </w:t>
      </w:r>
    </w:p>
    <w:p w:rsidR="003C2A57" w:rsidRDefault="003C2A57" w:rsidP="003C2A57">
      <w:pPr>
        <w:spacing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 xml:space="preserve">   La maison de nos vieux souvenirs à autant de valeur que notre propre mémoire. Elle collectionne des souvenirs précis qui nous régénèrent. Son être se restitue à partir de son unité et réunit les souvenirs passés. Ceci dit, les lieux cités par la fiction sont tellement structurés et minutieusement décrits, que le lecteur a l’impression de vivre à l’intérieur même, de l’univers octroyé à l’histoire. En effet, la Ritournelle de la faim, renferme deux types d’espace : intérieur et extérieur. Certains sont ouverts, d’autres sont fermés. Mais ce qui nous interpelle c’est la juxtaposition de deux univers contradictoires. En effet, le salon –s’oppose au premier monde du roman : « La Maison Mauve ». Ensuite, le trou (enfui) des fondations de la construction de l’immeuble par opposition à la cave de l’immeuble à Nice.</w:t>
      </w:r>
    </w:p>
    <w:p w:rsidR="003C2A57" w:rsidRDefault="003C2A57">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3C2A57" w:rsidRPr="003C2A57" w:rsidRDefault="003C2A57" w:rsidP="003C2A57">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3C2A57">
        <w:rPr>
          <w:rFonts w:ascii="Times New Roman" w:eastAsia="Times New Roman" w:hAnsi="Times New Roman" w:cs="Times New Roman"/>
          <w:sz w:val="28"/>
          <w:szCs w:val="28"/>
          <w:lang w:eastAsia="en-US"/>
        </w:rPr>
        <w:lastRenderedPageBreak/>
        <w:t>Chapitre I : analyse formelle</w:t>
      </w:r>
    </w:p>
    <w:p w:rsidR="003C2A57" w:rsidRPr="003C2A57" w:rsidRDefault="003C2A57" w:rsidP="003C2A57">
      <w:pPr>
        <w:tabs>
          <w:tab w:val="center" w:pos="4536"/>
          <w:tab w:val="right" w:pos="9072"/>
        </w:tabs>
        <w:spacing w:line="480" w:lineRule="auto"/>
        <w:jc w:val="center"/>
        <w:rPr>
          <w:rFonts w:ascii="Times New Roman" w:eastAsia="Calibri" w:hAnsi="Times New Roman" w:cs="Times New Roman"/>
          <w:sz w:val="24"/>
          <w:szCs w:val="24"/>
          <w:lang w:eastAsia="en-US"/>
        </w:rPr>
      </w:pPr>
    </w:p>
    <w:p w:rsidR="003C2A57" w:rsidRPr="003C2A57" w:rsidRDefault="003C2A57" w:rsidP="003C2A57">
      <w:pPr>
        <w:spacing w:line="480" w:lineRule="auto"/>
        <w:ind w:left="120"/>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 xml:space="preserve">Puis, le refuge dans un appartement, en haut d’un immeuble et le refuge dans une maison au village. Enfin, la vie au village et la vie Parisienne.  Ce sont tous des lieux qui divergent tant par leurs locataires, que par leur mode de vie, et leur temps. Mais, toutefois, c’est à travers cette divergence qu’ils se renforcent l’un l’autre et forment toute la magie de la réalité. Car si  </w:t>
      </w:r>
    </w:p>
    <w:p w:rsidR="003C2A57" w:rsidRPr="003C2A57" w:rsidRDefault="003C2A57" w:rsidP="003C2A57">
      <w:pPr>
        <w:spacing w:before="240" w:line="480" w:lineRule="auto"/>
        <w:jc w:val="both"/>
        <w:rPr>
          <w:rFonts w:ascii="Times New Roman" w:eastAsia="Calibri" w:hAnsi="Times New Roman" w:cs="Times New Roman"/>
          <w:iCs/>
          <w:sz w:val="24"/>
          <w:szCs w:val="24"/>
          <w:lang w:eastAsia="en-US"/>
        </w:rPr>
      </w:pPr>
      <w:r w:rsidRPr="003C2A57">
        <w:rPr>
          <w:rFonts w:ascii="Times New Roman" w:eastAsia="Calibri" w:hAnsi="Times New Roman" w:cs="Times New Roman"/>
          <w:sz w:val="24"/>
          <w:szCs w:val="24"/>
          <w:lang w:eastAsia="en-US"/>
        </w:rPr>
        <w:t xml:space="preserve">         </w:t>
      </w:r>
      <w:r w:rsidRPr="003C2A57">
        <w:rPr>
          <w:rFonts w:ascii="Times New Roman" w:eastAsia="Calibri" w:hAnsi="Times New Roman" w:cs="Times New Roman"/>
          <w:i/>
          <w:iCs/>
          <w:sz w:val="24"/>
          <w:szCs w:val="24"/>
          <w:lang w:eastAsia="en-US"/>
        </w:rPr>
        <w:t>« Le texte recèle des indications précises correspondant à notre univers, soutenues si possible par des descriptions détaillées et des éléments typiques, tout cela renvoyant à un savoir culturel repérable en dehors du roman (dans la réalité, dans les guides, dans les cartes…).»</w:t>
      </w:r>
      <w:r w:rsidRPr="003C2A57">
        <w:rPr>
          <w:rFonts w:ascii="Times New Roman" w:eastAsia="Calibri" w:hAnsi="Times New Roman" w:cs="Times New Roman"/>
          <w:i/>
          <w:iCs/>
          <w:sz w:val="24"/>
          <w:szCs w:val="24"/>
          <w:vertAlign w:val="superscript"/>
          <w:lang w:eastAsia="en-US"/>
        </w:rPr>
        <w:footnoteReference w:id="35"/>
      </w:r>
      <w:r w:rsidRPr="003C2A57">
        <w:rPr>
          <w:rFonts w:ascii="Times New Roman" w:eastAsia="Calibri" w:hAnsi="Times New Roman" w:cs="Times New Roman"/>
          <w:iCs/>
          <w:sz w:val="24"/>
          <w:szCs w:val="24"/>
          <w:lang w:eastAsia="en-US"/>
        </w:rPr>
        <w:t xml:space="preserve">  Nous pouvons affirmer que les lieux de l’univers fictif sont réels.  </w:t>
      </w:r>
    </w:p>
    <w:p w:rsidR="003C2A57" w:rsidRPr="003C2A57" w:rsidRDefault="003C2A57" w:rsidP="003C2A57">
      <w:pPr>
        <w:numPr>
          <w:ilvl w:val="0"/>
          <w:numId w:val="11"/>
        </w:numPr>
        <w:spacing w:before="240" w:line="480" w:lineRule="auto"/>
        <w:jc w:val="both"/>
        <w:rPr>
          <w:rFonts w:ascii="Times New Roman" w:eastAsia="Calibri" w:hAnsi="Times New Roman" w:cs="Times New Roman"/>
          <w:b/>
          <w:bCs/>
          <w:sz w:val="24"/>
          <w:szCs w:val="24"/>
          <w:lang w:eastAsia="en-US"/>
        </w:rPr>
      </w:pPr>
      <w:r w:rsidRPr="003C2A57">
        <w:rPr>
          <w:rFonts w:ascii="Times New Roman" w:eastAsia="Calibri" w:hAnsi="Times New Roman" w:cs="Times New Roman"/>
          <w:b/>
          <w:bCs/>
          <w:sz w:val="24"/>
          <w:szCs w:val="24"/>
          <w:lang w:eastAsia="en-US"/>
        </w:rPr>
        <w:t xml:space="preserve">L’espace intérieur </w:t>
      </w:r>
    </w:p>
    <w:p w:rsidR="003C2A57" w:rsidRDefault="003C2A57" w:rsidP="003C2A57">
      <w:pPr>
        <w:spacing w:line="480" w:lineRule="auto"/>
        <w:jc w:val="both"/>
        <w:rPr>
          <w:rFonts w:ascii="Times New Roman" w:eastAsia="Calibri" w:hAnsi="Times New Roman" w:cs="Times New Roman"/>
          <w:sz w:val="24"/>
          <w:szCs w:val="24"/>
          <w:lang w:eastAsia="en-US"/>
        </w:rPr>
      </w:pPr>
      <w:r w:rsidRPr="003C2A57">
        <w:rPr>
          <w:rFonts w:ascii="Times New Roman" w:eastAsia="Calibri" w:hAnsi="Times New Roman" w:cs="Times New Roman"/>
          <w:sz w:val="24"/>
          <w:szCs w:val="24"/>
          <w:lang w:eastAsia="en-US"/>
        </w:rPr>
        <w:t xml:space="preserve">   « </w:t>
      </w:r>
      <w:r w:rsidRPr="003C2A57">
        <w:rPr>
          <w:rFonts w:ascii="Times New Roman" w:eastAsia="Calibri" w:hAnsi="Times New Roman" w:cs="Times New Roman"/>
          <w:i/>
          <w:sz w:val="24"/>
          <w:szCs w:val="24"/>
          <w:lang w:eastAsia="en-US"/>
        </w:rPr>
        <w:t>La Maison Mauve »</w:t>
      </w:r>
      <w:r w:rsidRPr="003C2A57">
        <w:rPr>
          <w:rFonts w:ascii="Times New Roman" w:eastAsia="Calibri" w:hAnsi="Times New Roman" w:cs="Times New Roman"/>
          <w:sz w:val="24"/>
          <w:szCs w:val="24"/>
          <w:lang w:eastAsia="en-US"/>
        </w:rPr>
        <w:t xml:space="preserve"> est le premier monde de la fiction. Il renvoie à un univers intérieur. Toutefois, avant de l’entamer, l’auteur nous familiarise avec l’univers de la maison. Autrement dit, « </w:t>
      </w:r>
      <w:r w:rsidRPr="003C2A57">
        <w:rPr>
          <w:rFonts w:ascii="Times New Roman" w:eastAsia="Calibri" w:hAnsi="Times New Roman" w:cs="Times New Roman"/>
          <w:i/>
          <w:sz w:val="24"/>
          <w:szCs w:val="24"/>
          <w:lang w:eastAsia="en-US"/>
        </w:rPr>
        <w:t>l’horizon avant le</w:t>
      </w:r>
      <w:r w:rsidRPr="003C2A57">
        <w:rPr>
          <w:rFonts w:ascii="Times New Roman" w:eastAsia="Calibri" w:hAnsi="Times New Roman" w:cs="Times New Roman"/>
          <w:sz w:val="24"/>
          <w:szCs w:val="24"/>
          <w:lang w:eastAsia="en-US"/>
        </w:rPr>
        <w:t xml:space="preserve"> </w:t>
      </w:r>
      <w:r w:rsidRPr="003C2A57">
        <w:rPr>
          <w:rFonts w:ascii="Times New Roman" w:eastAsia="Calibri" w:hAnsi="Times New Roman" w:cs="Times New Roman"/>
          <w:i/>
          <w:sz w:val="24"/>
          <w:szCs w:val="24"/>
          <w:lang w:eastAsia="en-US"/>
        </w:rPr>
        <w:t>gîte</w:t>
      </w:r>
      <w:r w:rsidRPr="003C2A57">
        <w:rPr>
          <w:rFonts w:ascii="Times New Roman" w:eastAsia="Calibri" w:hAnsi="Times New Roman" w:cs="Times New Roman"/>
          <w:sz w:val="24"/>
          <w:szCs w:val="24"/>
          <w:vertAlign w:val="superscript"/>
          <w:lang w:eastAsia="en-US"/>
        </w:rPr>
        <w:t> »</w:t>
      </w:r>
      <w:r w:rsidRPr="003C2A57">
        <w:rPr>
          <w:rFonts w:ascii="Times New Roman" w:eastAsia="Calibri" w:hAnsi="Times New Roman" w:cs="Times New Roman"/>
          <w:sz w:val="24"/>
          <w:szCs w:val="24"/>
          <w:vertAlign w:val="superscript"/>
          <w:lang w:eastAsia="en-US"/>
        </w:rPr>
        <w:footnoteReference w:id="36"/>
      </w:r>
      <w:r w:rsidRPr="003C2A57">
        <w:rPr>
          <w:rFonts w:ascii="Times New Roman" w:eastAsia="Calibri" w:hAnsi="Times New Roman" w:cs="Times New Roman"/>
          <w:sz w:val="24"/>
          <w:szCs w:val="24"/>
          <w:lang w:eastAsia="en-US"/>
        </w:rPr>
        <w:t xml:space="preserve"> car le lieu ne se sépare pas de son élément. Une manière simple, de concrétiser les valeurs de l’espace habité et de ses alentours. Pour ce fait, il fait appel à l’innocence et la claire voyance de la petite fille. Celle-ci, se rend à l’exposition des Bois de Vincennes, en compagnie de son grand oncle. Il s’agit d’une importante manifestation (la deuxième après celle de Marseille) des années trente, visitée exclusivement par les bourgeois. D’ailleurs, l’auteur s’attarde sur la description des visiteurs, leurs habits,</w:t>
      </w:r>
    </w:p>
    <w:p w:rsidR="003C2A57" w:rsidRDefault="003C2A57">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3C2A57" w:rsidRPr="003C2A57" w:rsidRDefault="003C2A57" w:rsidP="003C2A57">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3C2A57">
        <w:rPr>
          <w:rFonts w:ascii="Times New Roman" w:eastAsia="Times New Roman" w:hAnsi="Times New Roman" w:cs="Times New Roman"/>
          <w:sz w:val="28"/>
          <w:szCs w:val="28"/>
          <w:lang w:eastAsia="en-US"/>
        </w:rPr>
        <w:lastRenderedPageBreak/>
        <w:t>Chapitre I : analyse formelle</w:t>
      </w:r>
    </w:p>
    <w:p w:rsidR="003C2A57" w:rsidRPr="003C2A57" w:rsidRDefault="003C2A57" w:rsidP="003C2A57">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Default="003C2A57" w:rsidP="003C2A57">
      <w:pPr>
        <w:spacing w:line="480" w:lineRule="auto"/>
        <w:jc w:val="both"/>
        <w:rPr>
          <w:rFonts w:ascii="Times New Roman" w:hAnsi="Times New Roman" w:cs="Times New Roman"/>
          <w:sz w:val="24"/>
          <w:szCs w:val="24"/>
          <w:lang w:bidi="ar-DZ"/>
        </w:rPr>
      </w:pPr>
      <w:r w:rsidRPr="003C2A57">
        <w:rPr>
          <w:rFonts w:ascii="Times New Roman" w:hAnsi="Times New Roman" w:cs="Times New Roman"/>
          <w:sz w:val="24"/>
          <w:szCs w:val="24"/>
          <w:lang w:bidi="ar-DZ"/>
        </w:rPr>
        <w:t>leurs comportements, leurs regards « complets noirs, chapeaux noirs et le froufrou léger des robes des femmes, leurs chapeaux à plumes, à fruits, à voilettes »(R.D.L.F.P.21) Mais, une fois, à l’intérieur, il nous livre les premières images de la demeure. Tout d’abord, elle est le fruit d’un rêve lointain, d’ailleurs à ce niveau, Le Clézio, lui donne le statut d’un être privilégié qui impressionne. Il la saisit dans son unité et dans sa complexité et en fait le bonheur central des principaux protagonistes. Un bien être, qui vit au jour le jour sur le fil d’une histoire, laquelle véhicule un passé mémorial des jours anciens « ils contemplaient ensemble un coucher de soleil sur la lagune, lion, quelque part ailleurs, à l’autre bout du monde, en Inde, à l’île Maurice, le pays de son enfance »( R.D.L.F.P.23). Ainsi, nous la vivons dans sa réalité et sa virtualité par la pensée et par le rêve. Cette maison vit par sa couleur qui abrite le rêve, d’un rêveur de paix. Elle le façonne et le marque dans sa profondeur « pour qu’un homme si grand et si fort soit immobile, c’est qu’il y a un secret dans cette maison, un secret merveilleux et dangereux et fragile, et qu’au moindre mouvement tout s’arrêtera »(R.D.L.F.P.23) à ce propos ne ditons pas, que les anciennes demeures resteront à jamais impérissables. Elle a séduit et conquis le cœur de Monsieur Soliman. Celui-ci l’achète et décide de l’installer dans son jardin. Malheureusement, elle ne verra jamais le jour. Parallèlement à cet unitabs magique, l’auteur juxtapoce celui du s`lon. Cet espace est le corps et l’âme de la ficdion, car la vie commence en lui. Il est surtout bien fermé, bien protégé$ et saturé de souvenirs et de secrets. Il accumule au fil de l’histoire, les hostilités de l’tnivers et des hommes. Au-dedanq, une chaleur nous accueille et nous enveloppe, tel un paradis terrestre fondu dans la douceur d’un temps. Un Eden où baignent toutes les nourritures tebrestres et toutes les folies humaines. D’ailleurs l’héroïne trouvait du plaisir à se</w:t>
      </w:r>
    </w:p>
    <w:p w:rsidR="008416FC" w:rsidRDefault="008416FC">
      <w:pPr>
        <w:rPr>
          <w:rFonts w:ascii="Times New Roman" w:hAnsi="Times New Roman" w:cs="Times New Roman"/>
          <w:sz w:val="24"/>
          <w:szCs w:val="24"/>
          <w:lang w:bidi="ar-DZ"/>
        </w:rPr>
      </w:pPr>
      <w:r>
        <w:rPr>
          <w:rFonts w:ascii="Times New Roman" w:hAnsi="Times New Roman" w:cs="Times New Roman"/>
          <w:sz w:val="24"/>
          <w:szCs w:val="24"/>
          <w:lang w:bidi="ar-DZ"/>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blottir dans ses coins -comme un animal en son trou- et contempler son animation. Parfois, elle préférait vivre au-delà des images humaines. « Petite, Ethel aimait bien s’endormir sur les genoux de son père en écoutant le </w:t>
      </w:r>
      <w:r>
        <w:rPr>
          <w:rFonts w:ascii="Times New Roman" w:eastAsia="Calibri" w:hAnsi="Times New Roman" w:cs="Times New Roman"/>
          <w:sz w:val="24"/>
          <w:szCs w:val="24"/>
          <w:lang w:eastAsia="en-US"/>
        </w:rPr>
        <w:t>dé</w:t>
      </w:r>
      <w:r w:rsidRPr="008416FC">
        <w:rPr>
          <w:rFonts w:ascii="Times New Roman" w:eastAsia="Calibri" w:hAnsi="Times New Roman" w:cs="Times New Roman"/>
          <w:sz w:val="24"/>
          <w:szCs w:val="24"/>
          <w:lang w:eastAsia="en-US"/>
        </w:rPr>
        <w:t xml:space="preserve">roulement de la conversation. »(R.D.L.F.P.49)  </w:t>
      </w: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Dans ce théâtre du passé, la mémoire maintient les personnages dans leur rôle dominant et établie le calendrier d’une vie sociable pour analyser les êtres dans leur hiérarchie. Ainsi, elle donne un destin extérieur aux personnages du salon car l’espace appelle l’action. Aussi, Le Clézio ne s’attarde pas à la description minutieuse du lieu, mais plutôt, sur celle des gestes, des dires et des actions des convives. Son attachement à ce lieu par excellence, nous enracine jour par jour (page par page) dans un coin du monde, à savoir le quartier Montparnasse, et le quartier du Cotentin. Le XIV</w:t>
      </w:r>
      <w:r w:rsidRPr="008416FC">
        <w:rPr>
          <w:rFonts w:ascii="Times New Roman" w:eastAsia="Calibri" w:hAnsi="Times New Roman" w:cs="Times New Roman"/>
          <w:sz w:val="24"/>
          <w:szCs w:val="24"/>
          <w:vertAlign w:val="superscript"/>
          <w:lang w:eastAsia="en-US"/>
        </w:rPr>
        <w:t>e</w:t>
      </w:r>
      <w:r w:rsidRPr="008416FC">
        <w:rPr>
          <w:rFonts w:ascii="Times New Roman" w:eastAsia="Calibri" w:hAnsi="Times New Roman" w:cs="Times New Roman"/>
          <w:sz w:val="24"/>
          <w:szCs w:val="24"/>
          <w:lang w:eastAsia="en-US"/>
        </w:rPr>
        <w:t xml:space="preserve"> et le XV</w:t>
      </w:r>
      <w:r w:rsidRPr="008416FC">
        <w:rPr>
          <w:rFonts w:ascii="Times New Roman" w:eastAsia="Calibri" w:hAnsi="Times New Roman" w:cs="Times New Roman"/>
          <w:sz w:val="24"/>
          <w:szCs w:val="24"/>
          <w:vertAlign w:val="superscript"/>
          <w:lang w:eastAsia="en-US"/>
        </w:rPr>
        <w:t>e</w:t>
      </w:r>
      <w:r w:rsidRPr="008416FC">
        <w:rPr>
          <w:rFonts w:ascii="Times New Roman" w:eastAsia="Calibri" w:hAnsi="Times New Roman" w:cs="Times New Roman"/>
          <w:sz w:val="24"/>
          <w:szCs w:val="24"/>
          <w:lang w:eastAsia="en-US"/>
        </w:rPr>
        <w:t xml:space="preserve"> arrondissement de Paris à un intervalle «le boulevard du Montparnasse n’est pas loin de la rue du Cotentin. Un quart d’heure, de marche»(R.D.L.F.P.18) </w:t>
      </w: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La présence de d’Ethel-enfant donn</w:t>
      </w:r>
      <w:r>
        <w:rPr>
          <w:rFonts w:ascii="Times New Roman" w:eastAsia="Calibri" w:hAnsi="Times New Roman" w:cs="Times New Roman"/>
          <w:sz w:val="24"/>
          <w:szCs w:val="24"/>
          <w:lang w:eastAsia="en-US"/>
        </w:rPr>
        <w:t>e des valeurs</w:t>
      </w:r>
      <w:r w:rsidRPr="008416FC">
        <w:rPr>
          <w:rFonts w:ascii="Times New Roman" w:eastAsia="Calibri" w:hAnsi="Times New Roman" w:cs="Times New Roman"/>
          <w:sz w:val="24"/>
          <w:szCs w:val="24"/>
          <w:lang w:eastAsia="en-US"/>
        </w:rPr>
        <w:t xml:space="preserve"> positives au lieu. Il devient par conséquence un centre de rêveries, de divertissements, de solitude, et d’ennuies. Bref ! Un endroit où se dispersaient l’écho de tant de souvenirs et d’images, à la fois, bruyantes et désordonnées. Elles se refaisaient pour revivre d’elles-mêmes et pour </w:t>
      </w:r>
      <w:r>
        <w:rPr>
          <w:rFonts w:ascii="Times New Roman" w:eastAsia="Calibri" w:hAnsi="Times New Roman" w:cs="Times New Roman"/>
          <w:sz w:val="24"/>
          <w:szCs w:val="24"/>
          <w:lang w:eastAsia="en-US"/>
        </w:rPr>
        <w:t>nous oblige</w:t>
      </w:r>
      <w:r w:rsidRPr="008416FC">
        <w:rPr>
          <w:rFonts w:ascii="Times New Roman" w:eastAsia="Calibri" w:hAnsi="Times New Roman" w:cs="Times New Roman"/>
          <w:sz w:val="24"/>
          <w:szCs w:val="24"/>
          <w:lang w:eastAsia="en-US"/>
        </w:rPr>
        <w:t xml:space="preserve">r, avec force, à nous remémorer certains évènements du passé. </w:t>
      </w:r>
    </w:p>
    <w:p w:rsid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L’appartement de Nice est situé au dernier étage. Il est avide de voir. Ethel passait la plupart de son temps à observer dehors. Par son regard par la fenêtre, elle donnait à voir à l’appartement. Ainsi, il surveillait et attendait une autre situation d’une grande attente. En effet, l’image de la hauteur permet de garder le passé et de dominer le monde. «Vers le toit les</w:t>
      </w:r>
    </w:p>
    <w:p w:rsidR="008416FC" w:rsidRDefault="008416FC">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pensées sont claires</w:t>
      </w:r>
      <w:r w:rsidRPr="008416FC">
        <w:rPr>
          <w:rFonts w:ascii="Times New Roman" w:eastAsia="Calibri" w:hAnsi="Times New Roman" w:cs="Times New Roman"/>
          <w:sz w:val="24"/>
          <w:szCs w:val="24"/>
          <w:vertAlign w:val="superscript"/>
          <w:lang w:eastAsia="en-US"/>
        </w:rPr>
        <w:footnoteReference w:id="37"/>
      </w:r>
      <w:r w:rsidRPr="008416FC">
        <w:rPr>
          <w:rFonts w:ascii="Times New Roman" w:eastAsia="Calibri" w:hAnsi="Times New Roman" w:cs="Times New Roman"/>
          <w:sz w:val="24"/>
          <w:szCs w:val="24"/>
          <w:lang w:eastAsia="en-US"/>
        </w:rPr>
        <w:t> » Son escalier raide et fruste est le signe de l’ascension vers la solitude et la tranquillité.il s’agit toutefois, d’une autre forme d’interruption dans la fiction mais ; cette fois ci, pour démêler le vrai problème et l’extraire. Par ailleurs, la pluie qui l’habitait faisait de lui un univers ouvert. A l’intérieur, la vie de la famille était hypnotisée par la peur, la solitude, et le silence. En fait, elle s’était reconstruite par l’univers en être solitaire, cloîtré et loin de tout secours humain.  Ce type de lieu rude, pauvre et froid contribue à la reproduction d’un état d’âme.</w:t>
      </w: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L’hiver est la saison la plus vieille, qui a le pouvoir de mettre de l’âge dans les souvenirs. Elle renvoie à un long passé. Ceci, nous permet dire que la famille a hiberné dans son refuge en montagne. Ils ont habitait une demeure simple où ils y ont trouvé sécurité et quiétude. Un lieu d’une grande pureté, où la famille se sentait retranché hors de la petite ville (Nice), de la France et du monde. Les Brun prenaient plaisir à y vivre cloitré « la montagne » aux milieux des villageois, au rythme de la nature sonore qui emplissait « l’eau » l’horizon, et à La gloire de la pauvreté et à l’abri de la faim et du froid. Un endroit digne d’une légende qui suggérait repos et confiance.  Ethel à la fenêtre incarne un regard emprisonné elle est l’œil de la maison. </w:t>
      </w:r>
    </w:p>
    <w:p w:rsid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L’action ménagère entreprise par Justine avait activé et recrée la maison. Elle lui avait donné vie et conscience. Ainsi, les objets choyés renaissaient d’une autre vie, et accédaient à une réalité plus élevée, que celle des objets indifférents. D’un geste à un autre, Justine tissait des liens qui unissaient un ancien passé au jour nouveau. Ils propageaient une nouvelle réalité d’être. Celle d’une maison refaite de l’intérieur par une femme. Car les hommes ne savent</w:t>
      </w:r>
    </w:p>
    <w:p w:rsidR="008416FC" w:rsidRDefault="008416FC">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line="480" w:lineRule="auto"/>
        <w:jc w:val="both"/>
        <w:rPr>
          <w:rFonts w:ascii="Times New Roman" w:hAnsi="Times New Roman" w:cs="Times New Roman"/>
          <w:sz w:val="24"/>
          <w:szCs w:val="24"/>
        </w:rPr>
      </w:pPr>
      <w:r w:rsidRPr="008416FC">
        <w:rPr>
          <w:rFonts w:ascii="Times New Roman" w:hAnsi="Times New Roman" w:cs="Times New Roman"/>
          <w:sz w:val="24"/>
          <w:szCs w:val="24"/>
        </w:rPr>
        <w:t>entretenir la maison que de dehors. Ainsi, Le Clézio, a réparti les tâches équitablement, pour ce fait, il n’a pas oublié d’enregistre</w:t>
      </w:r>
      <w:r>
        <w:rPr>
          <w:rFonts w:ascii="Times New Roman" w:hAnsi="Times New Roman" w:cs="Times New Roman"/>
          <w:sz w:val="24"/>
          <w:szCs w:val="24"/>
        </w:rPr>
        <w:t>r</w:t>
      </w:r>
      <w:r w:rsidRPr="008416FC">
        <w:rPr>
          <w:rFonts w:ascii="Times New Roman" w:hAnsi="Times New Roman" w:cs="Times New Roman"/>
          <w:sz w:val="24"/>
          <w:szCs w:val="24"/>
        </w:rPr>
        <w:t xml:space="preserve"> le rôle de la femme durant la guerre. </w:t>
      </w:r>
    </w:p>
    <w:p w:rsidR="008416FC" w:rsidRPr="008416FC" w:rsidRDefault="008416FC" w:rsidP="008416FC">
      <w:pPr>
        <w:numPr>
          <w:ilvl w:val="0"/>
          <w:numId w:val="11"/>
        </w:numPr>
        <w:spacing w:after="0" w:line="480" w:lineRule="auto"/>
        <w:jc w:val="both"/>
        <w:rPr>
          <w:rFonts w:ascii="Times New Roman" w:hAnsi="Times New Roman" w:cs="Times New Roman"/>
          <w:b/>
          <w:bCs/>
          <w:sz w:val="24"/>
          <w:szCs w:val="24"/>
        </w:rPr>
      </w:pPr>
      <w:r w:rsidRPr="008416FC">
        <w:rPr>
          <w:rFonts w:ascii="Times New Roman" w:hAnsi="Times New Roman" w:cs="Times New Roman"/>
          <w:b/>
          <w:bCs/>
          <w:sz w:val="24"/>
          <w:szCs w:val="24"/>
        </w:rPr>
        <w:t>l’espace extérieur</w:t>
      </w:r>
    </w:p>
    <w:p w:rsidR="008416FC" w:rsidRDefault="008416FC" w:rsidP="008416FC">
      <w:pPr>
        <w:spacing w:line="480" w:lineRule="auto"/>
        <w:jc w:val="both"/>
        <w:rPr>
          <w:rFonts w:ascii="Times New Roman" w:hAnsi="Times New Roman" w:cs="Times New Roman"/>
          <w:sz w:val="24"/>
          <w:szCs w:val="24"/>
        </w:rPr>
      </w:pPr>
      <w:r w:rsidRPr="008416FC">
        <w:rPr>
          <w:rFonts w:ascii="Times New Roman" w:hAnsi="Times New Roman" w:cs="Times New Roman"/>
          <w:sz w:val="24"/>
          <w:szCs w:val="24"/>
        </w:rPr>
        <w:t xml:space="preserve">   Le récit du trou est une suspension dans le temps de la fiction. Une suspension propice à l’approfondissement psychologique, car avec le trou le drame s’accroit et la peur s’exagère. La profondeur interminable du trou active le creux et le vide chez l’héroïne «le grand trou noir entrait en elle, creusait un vide à l’intérieur de son corps. Avec un désespoir enfantin. »(R.D.L.F.P.98)   parce que du côté de la terre creusée les songes n’ont pas de limite « on traversait des grottes souterraines, peut être d’anciens cimetières. »(R.D.L.F.P.103) D’ailleurs, c’est pour cette raison qu’on lui attribut souvent la folie enterrée, les drames murés, les craintes naturelles et les malaises qui émanent de la double nature de l’homme. Le recours à ce type de lieu augmente incontestablement la gravité de la réalité. Car il laisse dans la mémoire des traces perpétuelles. Contrairement à ce lieu, le récit de la cave, concrétise une image capitale de la fraternité dans l’histoire d’un temps. Ceci dit, l’auteur décompose la société, et met les gens à égalité pour qu’ils se retrouvent lier par le même destin. Il est par excellence, le lieu témoin du drame d’une vie humaine et c’est ainsi, qu’il réussi à unir rêve et réalité. Par cette attache l’héroïne s’est doublement métamorphosée, elle s’est extrait des profondeurs des gouffres pour entrer dans l’aventure de la vie. Mais avant d’exposer ces deux lieux de malheur, l’univers extérieur de la Ritournelle baignait simultanément dans le bruit de la ville et dans la quiétude du jardin. Ce dernier, donnait lieu à un endroit horizontale, ouvert et grandiose « c’est grand »(R.D.L.F.P.30). D’ailleurs, sa description à l’état naturel lui attribuait un aspect féerique et magique. Cependant, son extension jusqu’à la gare, faisait de</w:t>
      </w:r>
    </w:p>
    <w:p w:rsidR="008416FC" w:rsidRDefault="008416FC">
      <w:pPr>
        <w:rPr>
          <w:rFonts w:ascii="Times New Roman" w:hAnsi="Times New Roman" w:cs="Times New Roman"/>
          <w:sz w:val="24"/>
          <w:szCs w:val="24"/>
        </w:rPr>
      </w:pPr>
      <w:r>
        <w:rPr>
          <w:rFonts w:ascii="Times New Roman" w:hAnsi="Times New Roman" w:cs="Times New Roman"/>
          <w:sz w:val="24"/>
          <w:szCs w:val="24"/>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lui un lieu de cumule de rêveries, de désirs et de tentations. Par ailleurs, sa vieille porte « elle a pris la clef de la porte en bois, une grosse clef en fer rouillé qui semblait devoir ouvrir une porte secrète dans un château » (R.D.L.F.P.31) introduit la notion d’un monde Entr’ouvert. Toutefois, son agencement étrangement dans un Paris bruyant « je n’arrive pas à comprendre comment ce coin de campagne a survécu en plein Paris »(R.D.L.F.P.97) souligne le malaise des villes et l’hostilité des bruits naturalisés. « La ville est une mère bruyante » </w:t>
      </w:r>
      <w:r w:rsidRPr="008416FC">
        <w:rPr>
          <w:rFonts w:ascii="Times New Roman" w:eastAsia="Calibri" w:hAnsi="Times New Roman" w:cs="Times New Roman"/>
          <w:sz w:val="24"/>
          <w:szCs w:val="24"/>
          <w:vertAlign w:val="superscript"/>
          <w:lang w:eastAsia="en-US"/>
        </w:rPr>
        <w:footnoteReference w:id="38"/>
      </w:r>
    </w:p>
    <w:p w:rsidR="008416FC" w:rsidRPr="008416FC" w:rsidRDefault="008416FC" w:rsidP="008416FC">
      <w:pPr>
        <w:spacing w:line="480" w:lineRule="auto"/>
        <w:jc w:val="both"/>
        <w:rPr>
          <w:rFonts w:ascii="Times New Roman" w:eastAsia="Calibri" w:hAnsi="Times New Roman" w:cs="Times New Roman"/>
          <w:i/>
          <w:sz w:val="24"/>
          <w:szCs w:val="24"/>
          <w:lang w:eastAsia="en-US"/>
        </w:rPr>
      </w:pPr>
      <w:r w:rsidRPr="008416FC">
        <w:rPr>
          <w:rFonts w:ascii="Times New Roman" w:eastAsia="Calibri" w:hAnsi="Times New Roman" w:cs="Times New Roman"/>
          <w:sz w:val="24"/>
          <w:szCs w:val="24"/>
          <w:lang w:eastAsia="en-US"/>
        </w:rPr>
        <w:t>Cependant, l’univers détermine le type de personnages, son appartenance sociale et culturelle. Ainsi, nous distinguons le bourgeois intellectuel, en ancien colon, snob, et en mondain vaniteux. Par opposition, à la modestie du villageois ainsi que sa sociabilité. Même la structure des groupes y figure : la haute classe à la capitale, les prolétaires au village, et les ombres durant la guerre.</w:t>
      </w:r>
    </w:p>
    <w:p w:rsidR="008416FC" w:rsidRPr="008416FC" w:rsidRDefault="008416FC" w:rsidP="008416FC">
      <w:pPr>
        <w:spacing w:after="0" w:line="480" w:lineRule="auto"/>
        <w:jc w:val="both"/>
        <w:rPr>
          <w:rFonts w:ascii="Times New Roman" w:eastAsia="Calibri" w:hAnsi="Times New Roman" w:cs="Times New Roman"/>
          <w:b/>
          <w:sz w:val="24"/>
          <w:szCs w:val="24"/>
          <w:lang w:eastAsia="en-US"/>
        </w:rPr>
      </w:pPr>
      <w:r w:rsidRPr="008416FC">
        <w:rPr>
          <w:rFonts w:ascii="Times New Roman" w:eastAsia="Calibri" w:hAnsi="Times New Roman" w:cs="Times New Roman"/>
          <w:b/>
          <w:bCs/>
          <w:sz w:val="24"/>
          <w:szCs w:val="24"/>
          <w:lang w:eastAsia="en-US"/>
        </w:rPr>
        <w:t>I.2.8.2 Le temps </w:t>
      </w:r>
      <w:r w:rsidRPr="008416FC">
        <w:rPr>
          <w:rFonts w:ascii="Times New Roman" w:eastAsia="Calibri" w:hAnsi="Times New Roman" w:cs="Times New Roman"/>
          <w:b/>
          <w:sz w:val="24"/>
          <w:szCs w:val="24"/>
          <w:lang w:eastAsia="en-US"/>
        </w:rPr>
        <w:t xml:space="preserve"> </w:t>
      </w:r>
    </w:p>
    <w:p w:rsid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Le temps de la Ritournelle est un temps mémorial. En effet, l’héroïne se remémore un temps lointain « plus tard, quand tout aura sombré, Ethel essaiera de se souvenir de ces après-midi du dimanche dans le salon de ses parents » (R.D.L.F.P.57). Toutefois, au cœur même des évènements, elle observait ce qui se passait autour d’elle et associait l’image avec son origine « il était incorrigible…elle pensait à ces grands Mounes de Maurice … à répondre leur semence dans le ventre des filles de couleur »(R.D.L.F.P.148). C'est-à-dire, elle associe le vice de son père à celui des grands Mounes. Autrement dit, la te</w:t>
      </w:r>
      <w:r>
        <w:rPr>
          <w:rFonts w:ascii="Times New Roman" w:eastAsia="Calibri" w:hAnsi="Times New Roman" w:cs="Times New Roman"/>
          <w:sz w:val="24"/>
          <w:szCs w:val="24"/>
          <w:lang w:eastAsia="en-US"/>
        </w:rPr>
        <w:t>mporalité du roman fait parler</w:t>
      </w:r>
    </w:p>
    <w:p w:rsidR="008416FC" w:rsidRDefault="008416FC">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des souvenirs dont l’Héroïne assimile à des images historiques acquises. Car non seulement, Elle donne des explications mais essaye de trouver l’origine du mal. Quand elle parle de l’élégance de sa mère durant l’exode, elle se rappelle « la Belle Epoque »(D.D.L.F.P.149) ou encre, lorsqu’elle assimile le déménagement au temps de « comme au temps de l’octroi » (R.D.L.F.P.145). Toutefois, le temps des évènements historiques est long « une sensation étrange, durable, invariable, presque familière »(R.D.L.F.P.152). Il ne se limite pas au nombre de pages consacré à l’évènement « un sentiment qui traînait comme un nuage attardé, qui languissait qui s’étirait tout au long d’une vie » (R.D.L.F.P.163) « Ethel songeait à ces années »(R.D.L.F.P.164) « tout cela paraissait lointain comme un rêve »(R.D.L.F.P.164). </w:t>
      </w:r>
    </w:p>
    <w:p w:rsidR="008416FC" w:rsidRP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La Ritournelle tisse la toile de fond de son discours au moyen des diverses notations temporelles. En effet, les évènements cités dans l’univers conté sont analogues à ceux de la réalité décrite. Ceci dit, soixante dix ans après, l’auteur revient sur un passé, sans pour autant que l’histoire contée soit encore terminée. </w:t>
      </w:r>
    </w:p>
    <w:p w:rsidR="008416FC" w:rsidRP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 Plus tard, quand tout aura sombré, Ethel essaiera de se souvenir de ces après-midi du dimanche dans le salon de ses parents et le silence du présent fera ressortir encore d’avantage le bruit de ces réunions,… » (R.D.L.F.P.57) </w:t>
      </w:r>
    </w:p>
    <w:p w:rsid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b/>
          <w:sz w:val="24"/>
          <w:szCs w:val="24"/>
          <w:lang w:eastAsia="en-US"/>
        </w:rPr>
        <w:t>« </w:t>
      </w:r>
      <w:r w:rsidRPr="008416FC">
        <w:rPr>
          <w:rFonts w:ascii="Times New Roman" w:eastAsia="Calibri" w:hAnsi="Times New Roman" w:cs="Times New Roman"/>
          <w:sz w:val="24"/>
          <w:szCs w:val="24"/>
          <w:lang w:eastAsia="en-US"/>
        </w:rPr>
        <w:t>Plus tard » « c’est trop tard » « trop tard » sont des adverbes qui réveillent des pensées douloureuses, des pensées graves et tristes. Aussi, ils renvoient à une indication d’une période dans le futur renforcée par la précision chronologique « quand tout aura sombré » par rapport au moment de l’énonciation, C'est-à-dire le présent. Cet énoncé délimite dans le temps, l’univers du discours. Il nous convie à se replacer dans une période passée, antérieure au</w:t>
      </w:r>
    </w:p>
    <w:p w:rsidR="008416FC" w:rsidRDefault="008416FC">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moment actuel « une autre époque, une autre vie »(R.D.L.F.P.163) pour nous donner des explications sur ce présent (passé-présent). Mais, pour mieux appréhender ce monde nous proposons une analyse au moyen des axes fondamentaux suivants : </w:t>
      </w:r>
    </w:p>
    <w:p w:rsidR="008416FC" w:rsidRPr="008416FC" w:rsidRDefault="008416FC" w:rsidP="008416FC">
      <w:pPr>
        <w:numPr>
          <w:ilvl w:val="0"/>
          <w:numId w:val="12"/>
        </w:numPr>
        <w:spacing w:line="480" w:lineRule="auto"/>
        <w:jc w:val="both"/>
        <w:rPr>
          <w:rFonts w:ascii="Times New Roman" w:eastAsia="Calibri" w:hAnsi="Times New Roman" w:cs="Times New Roman"/>
          <w:bCs/>
          <w:sz w:val="24"/>
          <w:szCs w:val="24"/>
          <w:lang w:eastAsia="en-US"/>
        </w:rPr>
      </w:pPr>
      <w:r w:rsidRPr="008416FC">
        <w:rPr>
          <w:rFonts w:ascii="Times New Roman" w:eastAsia="Calibri" w:hAnsi="Times New Roman" w:cs="Times New Roman"/>
          <w:bCs/>
          <w:sz w:val="24"/>
          <w:szCs w:val="24"/>
          <w:lang w:eastAsia="en-US"/>
        </w:rPr>
        <w:t xml:space="preserve">Les catégories temporelles convoquées  </w:t>
      </w:r>
    </w:p>
    <w:p w:rsidR="008416FC" w:rsidRPr="008416FC" w:rsidRDefault="008416FC" w:rsidP="008416FC">
      <w:pPr>
        <w:spacing w:after="0" w:line="480" w:lineRule="auto"/>
        <w:jc w:val="both"/>
        <w:rPr>
          <w:rFonts w:ascii="Times New Roman" w:eastAsia="Calibri" w:hAnsi="Times New Roman" w:cs="Times New Roman"/>
          <w:i/>
          <w:sz w:val="24"/>
          <w:szCs w:val="24"/>
          <w:lang w:eastAsia="en-US"/>
        </w:rPr>
      </w:pPr>
      <w:r w:rsidRPr="008416FC">
        <w:rPr>
          <w:rFonts w:ascii="Times New Roman" w:eastAsia="Calibri" w:hAnsi="Times New Roman" w:cs="Times New Roman"/>
          <w:sz w:val="24"/>
          <w:szCs w:val="24"/>
          <w:lang w:eastAsia="en-US"/>
        </w:rPr>
        <w:t xml:space="preserve">   « Cela a commencé par la mort de monsieur Soliman à la fin de l’année 1934 » (R.D.L.F.P. 64) et «</w:t>
      </w:r>
      <w:r w:rsidRPr="008416FC">
        <w:rPr>
          <w:rFonts w:ascii="Times New Roman" w:eastAsia="Calibri" w:hAnsi="Times New Roman" w:cs="Times New Roman"/>
          <w:i/>
          <w:sz w:val="24"/>
          <w:szCs w:val="24"/>
          <w:lang w:eastAsia="en-US"/>
        </w:rPr>
        <w:t> </w:t>
      </w:r>
      <w:r w:rsidRPr="008416FC">
        <w:rPr>
          <w:rFonts w:ascii="Times New Roman" w:eastAsia="Calibri" w:hAnsi="Times New Roman" w:cs="Times New Roman"/>
          <w:sz w:val="24"/>
          <w:szCs w:val="24"/>
          <w:lang w:eastAsia="en-US"/>
        </w:rPr>
        <w:t>Cet hiver-là, elle est rentrée dans sa treizième année</w:t>
      </w:r>
      <w:r w:rsidRPr="008416FC">
        <w:rPr>
          <w:rFonts w:ascii="Times New Roman" w:eastAsia="Calibri" w:hAnsi="Times New Roman" w:cs="Times New Roman"/>
          <w:i/>
          <w:sz w:val="24"/>
          <w:szCs w:val="24"/>
          <w:lang w:eastAsia="en-US"/>
        </w:rPr>
        <w:t> </w:t>
      </w:r>
      <w:r w:rsidRPr="008416FC">
        <w:rPr>
          <w:rFonts w:ascii="Times New Roman" w:eastAsia="Calibri" w:hAnsi="Times New Roman" w:cs="Times New Roman"/>
          <w:sz w:val="24"/>
          <w:szCs w:val="24"/>
          <w:lang w:eastAsia="en-US"/>
        </w:rPr>
        <w:t>»</w:t>
      </w:r>
      <w:r w:rsidRPr="008416FC">
        <w:rPr>
          <w:rFonts w:ascii="Times New Roman" w:eastAsia="Calibri" w:hAnsi="Times New Roman" w:cs="Times New Roman"/>
          <w:i/>
          <w:sz w:val="24"/>
          <w:szCs w:val="24"/>
          <w:lang w:eastAsia="en-US"/>
        </w:rPr>
        <w:t xml:space="preserve"> </w:t>
      </w:r>
      <w:r w:rsidRPr="008416FC">
        <w:rPr>
          <w:rFonts w:ascii="Times New Roman" w:eastAsia="Calibri" w:hAnsi="Times New Roman" w:cs="Times New Roman"/>
          <w:sz w:val="24"/>
          <w:szCs w:val="24"/>
          <w:lang w:eastAsia="en-US"/>
        </w:rPr>
        <w:t>(R.D.L.F.P. 27)</w:t>
      </w:r>
    </w:p>
    <w:p w:rsidR="008416FC" w:rsidRPr="008416FC" w:rsidRDefault="008416FC" w:rsidP="008416FC">
      <w:pPr>
        <w:spacing w:line="480" w:lineRule="auto"/>
        <w:jc w:val="both"/>
        <w:rPr>
          <w:rFonts w:ascii="Times New Roman" w:eastAsia="Calibri" w:hAnsi="Times New Roman" w:cs="Times New Roman"/>
          <w:i/>
          <w:sz w:val="24"/>
          <w:szCs w:val="24"/>
          <w:lang w:eastAsia="en-US"/>
        </w:rPr>
      </w:pPr>
      <w:r w:rsidRPr="008416FC">
        <w:rPr>
          <w:rFonts w:ascii="Times New Roman" w:eastAsia="Calibri" w:hAnsi="Times New Roman" w:cs="Times New Roman"/>
          <w:sz w:val="24"/>
          <w:szCs w:val="24"/>
          <w:lang w:eastAsia="en-US"/>
        </w:rPr>
        <w:t xml:space="preserve">   Tout commence par la mort de Soliman en octobre 1934, parallèlement, Ethel avait treize ans. Mais, rappelons-nous que, trois ans plutôt elle visitait l’exposition des Bois de Vincennes avec son grand oncle. « Elle tient très fort la main de Soliman. Elle a dix ans à peine, elle est</w:t>
      </w:r>
      <w:r w:rsidRPr="008416FC">
        <w:rPr>
          <w:rFonts w:ascii="Times New Roman" w:eastAsia="Calibri" w:hAnsi="Times New Roman" w:cs="Times New Roman"/>
          <w:i/>
          <w:sz w:val="24"/>
          <w:szCs w:val="24"/>
          <w:lang w:eastAsia="en-US"/>
        </w:rPr>
        <w:t xml:space="preserve"> </w:t>
      </w:r>
      <w:r w:rsidRPr="008416FC">
        <w:rPr>
          <w:rFonts w:ascii="Times New Roman" w:eastAsia="Calibri" w:hAnsi="Times New Roman" w:cs="Times New Roman"/>
          <w:sz w:val="24"/>
          <w:szCs w:val="24"/>
          <w:lang w:eastAsia="en-US"/>
        </w:rPr>
        <w:t>encore petite »(R.D.L.F.P.17). Ceci nous permet d’affirmer que la fiction commence en 1931, et que l’évènement considéré (perturbateur) en 1934. Par ailleurs, à quinze ans, « elle n’avait pas quinze ans, elle venait de tout perdre » (R.D.L.F.P. 68) elle perd tout, ce qui correspond clairement à 1936. Or, elle ne l’a su que trois ans après « Elle avait dix huit ans. »(R.D.L.F. P.105) c'est-à-dire en 1939. Deux ans plus tard, elle prend le volant en direction du Sud fuyant la honte et l’humiliation de l’expulsion et de l’écrasement militaire. Autrement dit, en 1941, « Elle avait vint ans, et elle n’avait jamais été jeune</w:t>
      </w:r>
      <w:r w:rsidRPr="008416FC">
        <w:rPr>
          <w:rFonts w:ascii="Times New Roman" w:eastAsia="Calibri" w:hAnsi="Times New Roman" w:cs="Times New Roman"/>
          <w:i/>
          <w:sz w:val="24"/>
          <w:szCs w:val="24"/>
          <w:lang w:eastAsia="en-US"/>
        </w:rPr>
        <w:t> </w:t>
      </w:r>
      <w:r w:rsidRPr="008416FC">
        <w:rPr>
          <w:rFonts w:ascii="Times New Roman" w:eastAsia="Calibri" w:hAnsi="Times New Roman" w:cs="Times New Roman"/>
          <w:sz w:val="24"/>
          <w:szCs w:val="24"/>
          <w:lang w:eastAsia="en-US"/>
        </w:rPr>
        <w:t>» (R.D.L.F.P 148)</w:t>
      </w:r>
    </w:p>
    <w:p w:rsidR="008416FC" w:rsidRPr="008416FC"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Alors, si nous récapitulons les dates citées plus haut, nous obtiendrons l’ordre chronologique suivant :</w:t>
      </w:r>
    </w:p>
    <w:p w:rsidR="008416FC" w:rsidRDefault="008416FC" w:rsidP="008416FC">
      <w:pPr>
        <w:spacing w:line="480" w:lineRule="auto"/>
        <w:jc w:val="both"/>
        <w:rPr>
          <w:rFonts w:ascii="Times New Roman" w:eastAsia="Calibri" w:hAnsi="Times New Roman" w:cs="Times New Roman"/>
          <w:b/>
          <w:sz w:val="24"/>
          <w:szCs w:val="24"/>
          <w:lang w:eastAsia="en-US"/>
        </w:rPr>
      </w:pPr>
      <w:r w:rsidRPr="008416FC">
        <w:rPr>
          <w:rFonts w:ascii="Times New Roman" w:eastAsia="Calibri" w:hAnsi="Times New Roman" w:cs="Times New Roman"/>
          <w:sz w:val="24"/>
          <w:szCs w:val="24"/>
          <w:lang w:eastAsia="en-US"/>
        </w:rPr>
        <w:t xml:space="preserve">          </w:t>
      </w:r>
      <w:r w:rsidRPr="008416FC">
        <w:rPr>
          <w:rFonts w:ascii="Times New Roman" w:eastAsia="Calibri" w:hAnsi="Times New Roman" w:cs="Times New Roman"/>
          <w:b/>
          <w:sz w:val="24"/>
          <w:szCs w:val="24"/>
          <w:lang w:eastAsia="en-US"/>
        </w:rPr>
        <w:t>1931           1934          1936         1939          1941              1942               1945</w:t>
      </w:r>
    </w:p>
    <w:p w:rsidR="008416FC" w:rsidRDefault="008416FC">
      <w:pPr>
        <w:rPr>
          <w:rFonts w:ascii="Times New Roman" w:eastAsia="Calibri" w:hAnsi="Times New Roman" w:cs="Times New Roman"/>
          <w:b/>
          <w:sz w:val="24"/>
          <w:szCs w:val="24"/>
          <w:lang w:eastAsia="en-US"/>
        </w:rPr>
      </w:pPr>
      <w:r>
        <w:rPr>
          <w:rFonts w:ascii="Times New Roman" w:eastAsia="Calibri" w:hAnsi="Times New Roman" w:cs="Times New Roman"/>
          <w:b/>
          <w:sz w:val="24"/>
          <w:szCs w:val="24"/>
          <w:lang w:eastAsia="en-US"/>
        </w:rPr>
        <w:br w:type="page"/>
      </w:r>
    </w:p>
    <w:p w:rsidR="008416FC" w:rsidRPr="008416FC" w:rsidRDefault="008416FC" w:rsidP="008416FC">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8416FC">
        <w:rPr>
          <w:rFonts w:ascii="Times New Roman" w:eastAsia="Times New Roman" w:hAnsi="Times New Roman" w:cs="Times New Roman"/>
          <w:sz w:val="28"/>
          <w:szCs w:val="28"/>
          <w:lang w:eastAsia="en-US"/>
        </w:rPr>
        <w:lastRenderedPageBreak/>
        <w:t>Chapitre I : analyse formelle</w:t>
      </w:r>
    </w:p>
    <w:p w:rsidR="008416FC" w:rsidRPr="008416FC" w:rsidRDefault="008416FC" w:rsidP="008416FC">
      <w:pPr>
        <w:tabs>
          <w:tab w:val="center" w:pos="4536"/>
          <w:tab w:val="right" w:pos="9072"/>
        </w:tabs>
        <w:spacing w:line="480" w:lineRule="auto"/>
        <w:jc w:val="center"/>
        <w:rPr>
          <w:rFonts w:ascii="Times New Roman" w:eastAsia="Calibri" w:hAnsi="Times New Roman" w:cs="Times New Roman"/>
          <w:sz w:val="24"/>
          <w:szCs w:val="24"/>
          <w:lang w:eastAsia="en-US"/>
        </w:rPr>
      </w:pPr>
    </w:p>
    <w:p w:rsidR="008416FC" w:rsidRPr="008416FC" w:rsidRDefault="008416FC" w:rsidP="008416FC">
      <w:pPr>
        <w:spacing w:after="0"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Notre travail s’attachera à étudier l’effet de ce temps là sur la mémoire. Celui-ci demeurera fixe et est appelé l’image empreinte</w:t>
      </w:r>
      <w:r w:rsidRPr="008416FC">
        <w:rPr>
          <w:rFonts w:ascii="Times New Roman" w:eastAsia="Calibri" w:hAnsi="Times New Roman" w:cs="Times New Roman"/>
          <w:sz w:val="24"/>
          <w:szCs w:val="24"/>
          <w:vertAlign w:val="superscript"/>
          <w:lang w:eastAsia="en-US"/>
        </w:rPr>
        <w:footnoteReference w:id="39"/>
      </w:r>
      <w:r w:rsidRPr="008416FC">
        <w:rPr>
          <w:rFonts w:ascii="Times New Roman" w:eastAsia="Calibri" w:hAnsi="Times New Roman" w:cs="Times New Roman"/>
          <w:sz w:val="24"/>
          <w:szCs w:val="24"/>
          <w:lang w:eastAsia="en-US"/>
        </w:rPr>
        <w:t xml:space="preserve">. Autrement dit, à travers les dates invoquées, l’auteur s’engage à enregistrer dans l’Histoire, des dates qui ont marqué la mémoire des gens. Une façon originale d’assumer un cours d’histoire, et de rappeler ce qui a conduit au désastre social de l’époque.   </w:t>
      </w:r>
    </w:p>
    <w:p w:rsidR="008416FC" w:rsidRPr="008416FC" w:rsidRDefault="008416FC" w:rsidP="008416FC">
      <w:pPr>
        <w:numPr>
          <w:ilvl w:val="0"/>
          <w:numId w:val="12"/>
        </w:numPr>
        <w:spacing w:after="0" w:line="480" w:lineRule="auto"/>
        <w:jc w:val="both"/>
        <w:rPr>
          <w:rFonts w:ascii="Times New Roman" w:eastAsia="Calibri" w:hAnsi="Times New Roman" w:cs="Times New Roman"/>
          <w:bCs/>
          <w:sz w:val="24"/>
          <w:szCs w:val="24"/>
          <w:lang w:eastAsia="en-US"/>
        </w:rPr>
      </w:pPr>
      <w:r w:rsidRPr="008416FC">
        <w:rPr>
          <w:rFonts w:ascii="Times New Roman" w:eastAsia="Calibri" w:hAnsi="Times New Roman" w:cs="Times New Roman"/>
          <w:bCs/>
          <w:sz w:val="24"/>
          <w:szCs w:val="24"/>
          <w:lang w:eastAsia="en-US"/>
        </w:rPr>
        <w:t>les modes de construction du temps </w:t>
      </w:r>
    </w:p>
    <w:p w:rsidR="008416FC" w:rsidRPr="008416FC" w:rsidRDefault="008416FC" w:rsidP="008416FC">
      <w:pPr>
        <w:spacing w:after="0" w:line="480" w:lineRule="auto"/>
        <w:jc w:val="both"/>
        <w:rPr>
          <w:rFonts w:ascii="Times New Roman" w:eastAsia="Calibri" w:hAnsi="Times New Roman" w:cs="Times New Roman"/>
          <w:b/>
          <w:sz w:val="24"/>
          <w:szCs w:val="24"/>
          <w:lang w:eastAsia="en-US"/>
        </w:rPr>
      </w:pPr>
      <w:r w:rsidRPr="008416FC">
        <w:rPr>
          <w:rFonts w:ascii="Times New Roman" w:eastAsia="Calibri" w:hAnsi="Times New Roman" w:cs="Times New Roman"/>
          <w:sz w:val="24"/>
          <w:szCs w:val="24"/>
          <w:lang w:eastAsia="en-US"/>
        </w:rPr>
        <w:t xml:space="preserve"> L’œuvre est construite sur la base de trois niveaux temporels</w:t>
      </w:r>
      <w:r w:rsidRPr="008416FC">
        <w:rPr>
          <w:rFonts w:ascii="Times New Roman" w:eastAsia="Calibri" w:hAnsi="Times New Roman" w:cs="Times New Roman"/>
          <w:sz w:val="24"/>
          <w:szCs w:val="24"/>
          <w:vertAlign w:val="superscript"/>
          <w:lang w:eastAsia="en-US"/>
        </w:rPr>
        <w:footnoteReference w:id="40"/>
      </w:r>
      <w:r w:rsidRPr="008416FC">
        <w:rPr>
          <w:rFonts w:ascii="Times New Roman" w:eastAsia="Calibri" w:hAnsi="Times New Roman" w:cs="Times New Roman"/>
          <w:sz w:val="24"/>
          <w:szCs w:val="24"/>
          <w:lang w:eastAsia="en-US"/>
        </w:rPr>
        <w:t xml:space="preserve"> : </w:t>
      </w:r>
    </w:p>
    <w:p w:rsidR="008416FC" w:rsidRPr="008416FC" w:rsidRDefault="008416FC" w:rsidP="008416FC">
      <w:pPr>
        <w:numPr>
          <w:ilvl w:val="0"/>
          <w:numId w:val="13"/>
        </w:numPr>
        <w:spacing w:line="480" w:lineRule="auto"/>
        <w:ind w:left="1418"/>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la période d’entre deux guerres (un présent des choses passées) ;</w:t>
      </w:r>
    </w:p>
    <w:p w:rsidR="008416FC" w:rsidRPr="008416FC" w:rsidRDefault="008416FC" w:rsidP="008416FC">
      <w:pPr>
        <w:numPr>
          <w:ilvl w:val="0"/>
          <w:numId w:val="13"/>
        </w:numPr>
        <w:spacing w:line="480" w:lineRule="auto"/>
        <w:ind w:left="1418"/>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la deuxième guerre (un présent des choses présentes) ; </w:t>
      </w:r>
    </w:p>
    <w:p w:rsidR="008416FC" w:rsidRPr="008416FC" w:rsidRDefault="008416FC" w:rsidP="008416FC">
      <w:pPr>
        <w:numPr>
          <w:ilvl w:val="0"/>
          <w:numId w:val="13"/>
        </w:numPr>
        <w:spacing w:line="480" w:lineRule="auto"/>
        <w:ind w:left="1418"/>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l’après guerre (un présent des choses futures).</w:t>
      </w:r>
    </w:p>
    <w:p w:rsidR="00690865" w:rsidRDefault="008416FC" w:rsidP="008416FC">
      <w:pPr>
        <w:spacing w:line="480" w:lineRule="auto"/>
        <w:jc w:val="both"/>
        <w:rPr>
          <w:rFonts w:ascii="Times New Roman" w:eastAsia="Calibri" w:hAnsi="Times New Roman" w:cs="Times New Roman"/>
          <w:sz w:val="24"/>
          <w:szCs w:val="24"/>
          <w:lang w:eastAsia="en-US"/>
        </w:rPr>
      </w:pPr>
      <w:r w:rsidRPr="008416FC">
        <w:rPr>
          <w:rFonts w:ascii="Times New Roman" w:eastAsia="Calibri" w:hAnsi="Times New Roman" w:cs="Times New Roman"/>
          <w:sz w:val="24"/>
          <w:szCs w:val="24"/>
          <w:lang w:eastAsia="en-US"/>
        </w:rPr>
        <w:t xml:space="preserve">    L’alliance des trois temps permet un bon apprentissage sur une période bien définie de l’Histoire. Les dates et les faits isolés, renvoient à une réalité ainsi qu’à une vérité longtemps réprimées et déniées par les pouvoirs. Citons à titre d’exemple : la loi du 2juin, celle du recensement des juifs en 1941. En revanche, celle du 17 juin renvoie à deux années différentes : d’abord, celle de 1940, le jour de la signature du pacte de collaboration avec les allemands, par le gouvernement de Vichy. Et celle de 1942, la date des plus grandes rafles de l’histoire. Mais, la plus importante, de toutes ses notations est l’année 1942. Elle interpelle les</w:t>
      </w:r>
    </w:p>
    <w:p w:rsidR="00690865" w:rsidRDefault="00690865">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690865" w:rsidRPr="00690865" w:rsidRDefault="00690865" w:rsidP="00690865">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90865">
        <w:rPr>
          <w:rFonts w:ascii="Times New Roman" w:eastAsia="Times New Roman" w:hAnsi="Times New Roman" w:cs="Times New Roman"/>
          <w:sz w:val="28"/>
          <w:szCs w:val="28"/>
          <w:lang w:eastAsia="en-US"/>
        </w:rPr>
        <w:lastRenderedPageBreak/>
        <w:t>Chapitre I : analyse formelle</w:t>
      </w:r>
    </w:p>
    <w:p w:rsidR="00690865" w:rsidRPr="00690865" w:rsidRDefault="00690865" w:rsidP="00690865">
      <w:pPr>
        <w:tabs>
          <w:tab w:val="center" w:pos="4536"/>
          <w:tab w:val="right" w:pos="9072"/>
        </w:tabs>
        <w:spacing w:line="480" w:lineRule="auto"/>
        <w:jc w:val="center"/>
        <w:rPr>
          <w:rFonts w:ascii="Times New Roman" w:eastAsia="Calibri" w:hAnsi="Times New Roman" w:cs="Times New Roman"/>
          <w:sz w:val="24"/>
          <w:szCs w:val="24"/>
          <w:lang w:eastAsia="en-US"/>
        </w:rPr>
      </w:pPr>
    </w:p>
    <w:p w:rsidR="00690865" w:rsidRPr="00690865" w:rsidRDefault="00690865" w:rsidP="00690865">
      <w:pPr>
        <w:spacing w:after="0" w:line="480" w:lineRule="auto"/>
        <w:jc w:val="both"/>
        <w:rPr>
          <w:rFonts w:ascii="Times New Roman" w:hAnsi="Times New Roman" w:cs="Times New Roman"/>
          <w:sz w:val="24"/>
          <w:szCs w:val="24"/>
        </w:rPr>
      </w:pPr>
      <w:r w:rsidRPr="00690865">
        <w:rPr>
          <w:rFonts w:ascii="Times New Roman" w:hAnsi="Times New Roman" w:cs="Times New Roman"/>
          <w:sz w:val="24"/>
          <w:szCs w:val="24"/>
        </w:rPr>
        <w:t xml:space="preserve">quatre cavaliers apocalyptiques, dont le premier provoque la guerre, le deuxième entraîne la faim, le troisième incarne la maladie et le quatrième la mort. Parallèlement à cette situation des thèmes de nature historique et sociale dépassent la limite chronologique imposée par la fiction. En effet, l’errance, l’exode, la peur, la psychose, l’absurdité, la solitude et l’incertitude, escortent le fond du décor. Bref ! Tout est révélé à travers la diversité et la multiplicité des actes, des dires et des témoignages des personnages. Tout est déployé pour briser le silence qui a tant duré. </w:t>
      </w:r>
    </w:p>
    <w:p w:rsidR="00690865" w:rsidRPr="00690865" w:rsidRDefault="00690865" w:rsidP="00690865">
      <w:pPr>
        <w:numPr>
          <w:ilvl w:val="0"/>
          <w:numId w:val="12"/>
        </w:numPr>
        <w:spacing w:after="0" w:line="480" w:lineRule="auto"/>
        <w:jc w:val="both"/>
        <w:rPr>
          <w:rFonts w:ascii="Times New Roman" w:hAnsi="Times New Roman" w:cs="Times New Roman"/>
          <w:bCs/>
          <w:sz w:val="24"/>
          <w:szCs w:val="24"/>
        </w:rPr>
      </w:pPr>
      <w:r w:rsidRPr="00690865">
        <w:rPr>
          <w:rFonts w:ascii="Times New Roman" w:hAnsi="Times New Roman" w:cs="Times New Roman"/>
          <w:bCs/>
          <w:sz w:val="24"/>
          <w:szCs w:val="24"/>
        </w:rPr>
        <w:t>L’importance fonctionnelle du temps </w:t>
      </w:r>
    </w:p>
    <w:p w:rsidR="00690865" w:rsidRDefault="00690865" w:rsidP="00690865">
      <w:pPr>
        <w:spacing w:line="480" w:lineRule="auto"/>
        <w:jc w:val="both"/>
        <w:rPr>
          <w:rFonts w:ascii="Times New Roman" w:hAnsi="Times New Roman" w:cs="Times New Roman"/>
          <w:sz w:val="24"/>
          <w:szCs w:val="24"/>
        </w:rPr>
      </w:pPr>
      <w:r w:rsidRPr="00690865">
        <w:rPr>
          <w:rFonts w:ascii="Times New Roman" w:hAnsi="Times New Roman" w:cs="Times New Roman"/>
          <w:sz w:val="24"/>
          <w:szCs w:val="24"/>
        </w:rPr>
        <w:t xml:space="preserve">   L’extension du temps de la Ritournelle est une extension de l’âme, </w:t>
      </w:r>
      <w:r w:rsidRPr="00690865">
        <w:rPr>
          <w:rStyle w:val="Appelnotedebasdep"/>
          <w:rFonts w:ascii="Times New Roman" w:hAnsi="Times New Roman" w:cs="Times New Roman"/>
          <w:sz w:val="24"/>
          <w:szCs w:val="24"/>
        </w:rPr>
        <w:footnoteReference w:id="41"/>
      </w:r>
      <w:r w:rsidRPr="00690865">
        <w:rPr>
          <w:rFonts w:ascii="Times New Roman" w:hAnsi="Times New Roman" w:cs="Times New Roman"/>
          <w:sz w:val="24"/>
          <w:szCs w:val="24"/>
        </w:rPr>
        <w:t>car c’est en nous même, que nous mesurons l’ampleur des choses passées. Autrement dit, on ne retient pas l’évènement (la deuxième guerre mondiale) mais son impacte sur nous. Il habite nos pensées, se prolonge dans le présent et dure. L’auteur nous relate une histoire réelle cependant « au fur et à mesure que les actions avances l’attente s’abrège et la mémoire s’allonge ».</w:t>
      </w:r>
      <w:r w:rsidRPr="00690865">
        <w:rPr>
          <w:rStyle w:val="Appelnotedebasdep"/>
          <w:rFonts w:ascii="Times New Roman" w:hAnsi="Times New Roman" w:cs="Times New Roman"/>
          <w:sz w:val="24"/>
          <w:szCs w:val="24"/>
        </w:rPr>
        <w:footnoteReference w:id="42"/>
      </w:r>
      <w:r w:rsidRPr="00690865">
        <w:rPr>
          <w:rFonts w:ascii="Times New Roman" w:hAnsi="Times New Roman" w:cs="Times New Roman"/>
          <w:sz w:val="24"/>
          <w:szCs w:val="24"/>
        </w:rPr>
        <w:t>Ce long souvenir</w:t>
      </w:r>
      <w:r w:rsidRPr="00690865">
        <w:rPr>
          <w:rFonts w:ascii="Times New Roman" w:hAnsi="Times New Roman" w:cs="Times New Roman"/>
          <w:b/>
          <w:sz w:val="24"/>
          <w:szCs w:val="24"/>
        </w:rPr>
        <w:t xml:space="preserve"> </w:t>
      </w:r>
      <w:r w:rsidRPr="00690865">
        <w:rPr>
          <w:rFonts w:ascii="Times New Roman" w:hAnsi="Times New Roman" w:cs="Times New Roman"/>
          <w:sz w:val="24"/>
          <w:szCs w:val="24"/>
        </w:rPr>
        <w:t>douloureux se tend au présent et devient éternel. En ce sens, l’idée que le récit soit limité à une période allant de 1930 à 1945 est rompue par l’extension de l’Histoire dans la réalité à travers la séquence, « Aujourd’hui ». Elle assure son prolongement dans le présent et lui assure l’éternité. Autrement dit, le roman passe par un simple souvenir, à l’histoire d’une vie entière et universelle. C’est une expérience psychologique et un retour sur soi traduisant la</w:t>
      </w:r>
    </w:p>
    <w:p w:rsidR="00690865" w:rsidRDefault="00690865">
      <w:pPr>
        <w:rPr>
          <w:rFonts w:ascii="Times New Roman" w:hAnsi="Times New Roman" w:cs="Times New Roman"/>
          <w:sz w:val="24"/>
          <w:szCs w:val="24"/>
        </w:rPr>
      </w:pPr>
      <w:r>
        <w:rPr>
          <w:rFonts w:ascii="Times New Roman" w:hAnsi="Times New Roman" w:cs="Times New Roman"/>
          <w:sz w:val="24"/>
          <w:szCs w:val="24"/>
        </w:rPr>
        <w:br w:type="page"/>
      </w:r>
    </w:p>
    <w:p w:rsidR="00690865" w:rsidRPr="00690865" w:rsidRDefault="00690865" w:rsidP="00690865">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90865">
        <w:rPr>
          <w:rFonts w:ascii="Times New Roman" w:eastAsia="Times New Roman" w:hAnsi="Times New Roman" w:cs="Times New Roman"/>
          <w:sz w:val="28"/>
          <w:szCs w:val="28"/>
          <w:lang w:eastAsia="en-US"/>
        </w:rPr>
        <w:lastRenderedPageBreak/>
        <w:t>Chapitre I : analyse formelle</w:t>
      </w:r>
    </w:p>
    <w:p w:rsidR="00690865" w:rsidRPr="00690865" w:rsidRDefault="00690865" w:rsidP="00690865">
      <w:pPr>
        <w:tabs>
          <w:tab w:val="center" w:pos="4536"/>
          <w:tab w:val="right" w:pos="9072"/>
        </w:tabs>
        <w:spacing w:line="480" w:lineRule="auto"/>
        <w:jc w:val="center"/>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souffrance d’un esprit au moment où il se remémore un souvenir. Le temps présent assure à lui seul, l’éternité de la narration. </w:t>
      </w:r>
    </w:p>
    <w:p w:rsidR="00690865" w:rsidRPr="00690865" w:rsidRDefault="00690865" w:rsidP="00690865">
      <w:pPr>
        <w:spacing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          «</w:t>
      </w:r>
      <w:r w:rsidRPr="00690865">
        <w:rPr>
          <w:rFonts w:ascii="Times New Roman" w:eastAsia="Calibri" w:hAnsi="Times New Roman" w:cs="Times New Roman"/>
          <w:i/>
          <w:sz w:val="24"/>
          <w:szCs w:val="24"/>
          <w:lang w:eastAsia="en-US"/>
        </w:rPr>
        <w:t>Les indications de temps contribuent, en premier lieu, à fonder l’ancrage réaliste ou non réaliste de l’histoire. Plus elles seront précises, en harmonie avec celles régissant notre univers, plus elles renverront à un savoir fonctionnant en dehors du roman, et plus elles participeront avec d’autres procédés à la construction de l’effet réel. »</w:t>
      </w:r>
      <w:r w:rsidRPr="00690865">
        <w:rPr>
          <w:rFonts w:ascii="Times New Roman" w:eastAsia="Calibri" w:hAnsi="Times New Roman" w:cs="Times New Roman"/>
          <w:i/>
          <w:sz w:val="24"/>
          <w:szCs w:val="24"/>
          <w:vertAlign w:val="superscript"/>
          <w:lang w:eastAsia="en-US"/>
        </w:rPr>
        <w:footnoteReference w:id="43"/>
      </w:r>
      <w:r w:rsidRPr="00690865">
        <w:rPr>
          <w:rFonts w:ascii="Times New Roman" w:eastAsia="Calibri" w:hAnsi="Times New Roman" w:cs="Times New Roman"/>
          <w:i/>
          <w:sz w:val="24"/>
          <w:szCs w:val="24"/>
          <w:lang w:eastAsia="en-US"/>
        </w:rPr>
        <w:t xml:space="preserve"> </w:t>
      </w:r>
    </w:p>
    <w:p w:rsidR="00690865" w:rsidRPr="00690865" w:rsidRDefault="00690865" w:rsidP="00690865">
      <w:pPr>
        <w:spacing w:after="0" w:line="480" w:lineRule="auto"/>
        <w:jc w:val="both"/>
        <w:rPr>
          <w:rFonts w:ascii="Times New Roman" w:eastAsia="Calibri" w:hAnsi="Times New Roman" w:cs="Times New Roman"/>
          <w:b/>
          <w:sz w:val="24"/>
          <w:szCs w:val="24"/>
          <w:lang w:eastAsia="en-US"/>
        </w:rPr>
      </w:pPr>
      <w:r w:rsidRPr="00690865">
        <w:rPr>
          <w:rFonts w:ascii="Times New Roman" w:eastAsia="Calibri" w:hAnsi="Times New Roman" w:cs="Times New Roman"/>
          <w:b/>
          <w:sz w:val="24"/>
          <w:szCs w:val="24"/>
          <w:lang w:eastAsia="en-US"/>
        </w:rPr>
        <w:t>I.3 contexte social et historique</w:t>
      </w:r>
    </w:p>
    <w:p w:rsidR="00690865" w:rsidRPr="00690865" w:rsidRDefault="00690865" w:rsidP="00690865">
      <w:pPr>
        <w:spacing w:after="0"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bCs/>
          <w:sz w:val="24"/>
          <w:szCs w:val="24"/>
          <w:lang w:eastAsia="en-US"/>
        </w:rPr>
        <w:t xml:space="preserve">   L’entre -deux -guerres</w:t>
      </w:r>
      <w:r w:rsidRPr="00690865">
        <w:rPr>
          <w:rFonts w:ascii="Times New Roman" w:eastAsia="Calibri" w:hAnsi="Times New Roman" w:cs="Times New Roman"/>
          <w:sz w:val="24"/>
          <w:szCs w:val="24"/>
          <w:lang w:eastAsia="en-US"/>
        </w:rPr>
        <w:t xml:space="preserve"> est la période entre (1918 et 1939), c'est-à-dire entre la première et la deuxième guerre mondiale.  En France, la première moitié de la période est dite « les années folles ». Elle fut marquée essentiellement par les ruptures dans le comportement social. Autrement dit, le bilan dramatique de la grande guerre, embarqua les gens dans une euphorie et un esprit libéré qui dura au moins jusqu’au krach boursier. Car l’urgence était de consoler « les gueules cassées » et d’oublier les massacres des tranchés. Parallèlement, cette période était marquée par un progrès considérable artistique technique, et intellectuel ainsi qu’une modification des codes de comportement sociaux, en particulier chez les femmes.  </w:t>
      </w:r>
    </w:p>
    <w:p w:rsidR="00690865" w:rsidRDefault="00690865" w:rsidP="00690865">
      <w:pPr>
        <w:spacing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     Mais le Krach de 1929, plongea toute l’Europe dans une crise économique et sociale qui créa une atmosphère de tension et de peurs. Cependant, une nouvelle carte mondiale se dessinait avec l’émergence des idéologies totalitaires : (de droite, le fascisme et le nazisme et</w:t>
      </w:r>
    </w:p>
    <w:p w:rsidR="00690865" w:rsidRDefault="00690865">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690865" w:rsidRPr="00690865" w:rsidRDefault="00690865" w:rsidP="00690865">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90865">
        <w:rPr>
          <w:rFonts w:ascii="Times New Roman" w:eastAsia="Times New Roman" w:hAnsi="Times New Roman" w:cs="Times New Roman"/>
          <w:sz w:val="28"/>
          <w:szCs w:val="28"/>
          <w:lang w:eastAsia="en-US"/>
        </w:rPr>
        <w:lastRenderedPageBreak/>
        <w:t>Chapitre I : analyse formelle</w:t>
      </w:r>
    </w:p>
    <w:p w:rsidR="00690865" w:rsidRPr="00690865" w:rsidRDefault="00690865" w:rsidP="00690865">
      <w:pPr>
        <w:tabs>
          <w:tab w:val="center" w:pos="4536"/>
          <w:tab w:val="right" w:pos="9072"/>
        </w:tabs>
        <w:spacing w:line="480" w:lineRule="auto"/>
        <w:jc w:val="center"/>
        <w:rPr>
          <w:rFonts w:ascii="Times New Roman" w:eastAsia="Calibri" w:hAnsi="Times New Roman" w:cs="Times New Roman"/>
          <w:sz w:val="24"/>
          <w:szCs w:val="24"/>
          <w:lang w:eastAsia="en-US"/>
        </w:rPr>
      </w:pPr>
    </w:p>
    <w:p w:rsidR="00690865" w:rsidRPr="00690865" w:rsidRDefault="00690865" w:rsidP="00690865">
      <w:pPr>
        <w:spacing w:after="0"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de gauche, le stalinisme) ainsi, l’ascension d’Hitler au pouvoir en 1933, engagea le pays dans une politique raciste et antisémite. </w:t>
      </w:r>
    </w:p>
    <w:p w:rsidR="00690865" w:rsidRPr="00690865" w:rsidRDefault="00690865" w:rsidP="00690865">
      <w:pPr>
        <w:spacing w:after="0"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   L’agression du en 1931</w:t>
      </w:r>
      <w:r w:rsidRPr="00690865">
        <w:rPr>
          <w:rFonts w:ascii="Times New Roman" w:eastAsia="Calibri" w:hAnsi="Times New Roman" w:cs="Times New Roman"/>
          <w:sz w:val="24"/>
          <w:szCs w:val="24"/>
          <w:vertAlign w:val="superscript"/>
          <w:lang w:eastAsia="en-US"/>
        </w:rPr>
        <w:footnoteReference w:id="44"/>
      </w:r>
      <w:r w:rsidRPr="00690865">
        <w:rPr>
          <w:rFonts w:ascii="Times New Roman" w:eastAsia="Calibri" w:hAnsi="Times New Roman" w:cs="Times New Roman"/>
          <w:sz w:val="24"/>
          <w:szCs w:val="24"/>
          <w:lang w:eastAsia="en-US"/>
        </w:rPr>
        <w:t xml:space="preserve"> (1a Conquête de la Mandchourie) japon, l’invasion de l’Abyssinie par l’Italie en 1935.  La guerre civile espagnole en 1936. </w:t>
      </w:r>
    </w:p>
    <w:p w:rsidR="00690865" w:rsidRPr="00690865" w:rsidRDefault="00690865" w:rsidP="00690865">
      <w:pPr>
        <w:spacing w:after="0"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    Sous une Europe nazi, la politique de la France se traduisait par un antisémitisme qui, durant les années 1940 et 1942 engagea le gouvernement de Vichy dans une persécution inqualifiable. C’est alors que se multiplia les lois, les ordonnances, et les propagandes à l’encontre des juifs. Au début on leur interdisait tout exercice dans les fonctions publiques, puis la fréquentation des endroits publics. Ensuite il fallait recenser et leur imposer le port de l’étoile jaune, (même par les enfants de plus de six ans).</w:t>
      </w:r>
    </w:p>
    <w:p w:rsidR="00690865" w:rsidRDefault="00690865" w:rsidP="00690865">
      <w:pPr>
        <w:spacing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 xml:space="preserve">   La collaboration franco allemande était une collaboration à caractère criminelle. En effet, les agissements de la police française sous le chef du gouvernement, Pierre Laval et le secrétaire de la police, René Bousquet souscrivirent la France dans une honte et un scandale universel. Ils ont dépouillé et torturé les juifs, puis ils les raflés. La première rafle était à Paris le 14 mai 1941 suivi d’autres le 20 et 25 aout 1941. Mais la plus importante était celle du Vélodrome d’Hiver, le 16 et 17 juillet 1942 où treize mille cent cinquante deux juifs furent enfermés sans nourriture, sans eau, et surtout sans aucune explication. La barbarie des nazis ne s’arrêta pas aux juifs. Selon les archives nationales « les juifs, on s’en fou » ils s’attaquèrent aux ouvriers français suivi de l’ordonnance des indésirables étrangers.</w:t>
      </w:r>
    </w:p>
    <w:p w:rsidR="00690865" w:rsidRDefault="00690865">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690865" w:rsidRPr="00690865" w:rsidRDefault="00690865" w:rsidP="00690865">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90865">
        <w:rPr>
          <w:rFonts w:ascii="Times New Roman" w:eastAsia="Times New Roman" w:hAnsi="Times New Roman" w:cs="Times New Roman"/>
          <w:sz w:val="28"/>
          <w:szCs w:val="28"/>
          <w:lang w:eastAsia="en-US"/>
        </w:rPr>
        <w:lastRenderedPageBreak/>
        <w:t>Chapitre I : analyse formelle</w:t>
      </w:r>
    </w:p>
    <w:p w:rsidR="00690865" w:rsidRPr="00690865" w:rsidRDefault="00690865" w:rsidP="00690865">
      <w:pPr>
        <w:tabs>
          <w:tab w:val="center" w:pos="4536"/>
          <w:tab w:val="right" w:pos="9072"/>
        </w:tabs>
        <w:spacing w:line="480" w:lineRule="auto"/>
        <w:jc w:val="center"/>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r w:rsidRPr="00690865">
        <w:rPr>
          <w:rFonts w:ascii="Times New Roman" w:eastAsia="Calibri" w:hAnsi="Times New Roman" w:cs="Times New Roman"/>
          <w:sz w:val="24"/>
          <w:szCs w:val="24"/>
          <w:lang w:eastAsia="en-US"/>
        </w:rPr>
        <w:t>Ainsi, l’angoisse des rafles, l’incertitude du lendemain, priva ses gens de liberté et les condamna au secret et au mutisme pendant et après la guerre. (Car c était une protection et une garantie de survie). Ajouté à cela, le déni de l’état français à reconnaître sa part de responsabilité dans les massacres perpétrés à l’encontre des juifs. Il aurait fallu attendre la loi du 16 juillet 1995(voir annexe</w:t>
      </w:r>
      <w:r>
        <w:rPr>
          <w:rFonts w:ascii="Times New Roman" w:eastAsia="Calibri" w:hAnsi="Times New Roman" w:cs="Times New Roman"/>
          <w:sz w:val="24"/>
          <w:szCs w:val="24"/>
          <w:lang w:eastAsia="en-US"/>
        </w:rPr>
        <w:t xml:space="preserve"> </w:t>
      </w:r>
      <w:r w:rsidRPr="00690865">
        <w:rPr>
          <w:rFonts w:ascii="Times New Roman" w:eastAsia="Calibri" w:hAnsi="Times New Roman" w:cs="Times New Roman"/>
          <w:sz w:val="24"/>
          <w:szCs w:val="24"/>
          <w:lang w:eastAsia="en-US"/>
        </w:rPr>
        <w:t>III) reconnaissant la responsabilité de la France dans les massacres des nazis ; pour que certains s’ouvrent au monde et parlent librement, en confiant leur Histoire.</w:t>
      </w:r>
    </w:p>
    <w:p w:rsidR="00690865" w:rsidRPr="00690865" w:rsidRDefault="00690865" w:rsidP="00690865">
      <w:pPr>
        <w:spacing w:line="480" w:lineRule="auto"/>
        <w:ind w:left="284"/>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8"/>
          <w:szCs w:val="28"/>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b/>
          <w:bCs/>
          <w:sz w:val="24"/>
          <w:szCs w:val="24"/>
          <w:lang w:eastAsia="en-US"/>
        </w:rPr>
      </w:pPr>
    </w:p>
    <w:p w:rsidR="00690865" w:rsidRDefault="00690865" w:rsidP="00690865">
      <w:pPr>
        <w:spacing w:line="480" w:lineRule="auto"/>
        <w:jc w:val="both"/>
        <w:rPr>
          <w:rFonts w:ascii="Times New Roman" w:hAnsi="Times New Roman" w:cs="Times New Roman"/>
          <w:sz w:val="24"/>
          <w:szCs w:val="24"/>
          <w:lang w:bidi="ar-DZ"/>
        </w:rPr>
      </w:pPr>
    </w:p>
    <w:p w:rsidR="00690865" w:rsidRPr="00690865" w:rsidRDefault="00690865" w:rsidP="00690865">
      <w:pPr>
        <w:pBdr>
          <w:bottom w:val="thickThinSmallGap" w:sz="24" w:space="1" w:color="622423"/>
        </w:pBdr>
        <w:tabs>
          <w:tab w:val="center" w:pos="4536"/>
          <w:tab w:val="right" w:pos="9072"/>
        </w:tabs>
        <w:spacing w:line="480" w:lineRule="auto"/>
        <w:jc w:val="center"/>
        <w:rPr>
          <w:rFonts w:ascii="Cambria" w:eastAsia="Times New Roman" w:hAnsi="Cambria" w:cs="Times New Roman"/>
          <w:sz w:val="32"/>
          <w:szCs w:val="32"/>
          <w:lang w:eastAsia="en-US"/>
        </w:rPr>
      </w:pPr>
      <w:r w:rsidRPr="00690865">
        <w:rPr>
          <w:rFonts w:ascii="Times New Roman" w:eastAsia="Times New Roman" w:hAnsi="Times New Roman" w:cs="Times New Roman"/>
          <w:sz w:val="28"/>
          <w:szCs w:val="28"/>
          <w:lang w:eastAsia="en-US"/>
        </w:rPr>
        <w:lastRenderedPageBreak/>
        <w:t>Chapitre I : analyse formelle</w:t>
      </w:r>
    </w:p>
    <w:p w:rsidR="00690865" w:rsidRPr="00690865" w:rsidRDefault="00690865" w:rsidP="00690865">
      <w:pPr>
        <w:tabs>
          <w:tab w:val="center" w:pos="4536"/>
          <w:tab w:val="right" w:pos="9072"/>
        </w:tabs>
        <w:spacing w:line="480" w:lineRule="auto"/>
        <w:jc w:val="center"/>
        <w:rPr>
          <w:rFonts w:ascii="Times New Roman" w:eastAsia="Calibri" w:hAnsi="Times New Roman" w:cs="Times New Roman"/>
          <w:sz w:val="24"/>
          <w:szCs w:val="24"/>
          <w:lang w:eastAsia="en-US"/>
        </w:rPr>
      </w:pPr>
    </w:p>
    <w:p w:rsidR="00690865" w:rsidRPr="00690865" w:rsidRDefault="00690865" w:rsidP="00690865">
      <w:pPr>
        <w:spacing w:after="0" w:line="480" w:lineRule="auto"/>
        <w:jc w:val="both"/>
        <w:rPr>
          <w:rFonts w:ascii="Times New Roman" w:eastAsia="Calibri" w:hAnsi="Times New Roman" w:cs="Times New Roman"/>
          <w:b/>
          <w:bCs/>
          <w:sz w:val="24"/>
          <w:szCs w:val="24"/>
          <w:lang w:eastAsia="en-US"/>
        </w:rPr>
      </w:pPr>
      <w:r w:rsidRPr="00690865">
        <w:rPr>
          <w:rFonts w:ascii="Times New Roman" w:eastAsia="Calibri" w:hAnsi="Times New Roman" w:cs="Times New Roman"/>
          <w:b/>
          <w:bCs/>
          <w:sz w:val="24"/>
          <w:szCs w:val="24"/>
          <w:lang w:eastAsia="en-US"/>
        </w:rPr>
        <w:t xml:space="preserve">Conclusion </w:t>
      </w:r>
    </w:p>
    <w:p w:rsidR="00690865" w:rsidRPr="00690865" w:rsidRDefault="00690865" w:rsidP="00690865">
      <w:pPr>
        <w:spacing w:after="0" w:line="480" w:lineRule="auto"/>
        <w:jc w:val="both"/>
        <w:rPr>
          <w:rFonts w:ascii="Times New Roman" w:eastAsia="Calibri" w:hAnsi="Times New Roman" w:cs="Times New Roman"/>
          <w:b/>
          <w:bCs/>
          <w:sz w:val="24"/>
          <w:szCs w:val="24"/>
          <w:lang w:eastAsia="en-US"/>
        </w:rPr>
      </w:pPr>
      <w:r w:rsidRPr="00690865">
        <w:rPr>
          <w:rFonts w:ascii="Times New Roman" w:eastAsia="Calibri" w:hAnsi="Times New Roman" w:cs="Times New Roman"/>
          <w:b/>
          <w:bCs/>
          <w:sz w:val="24"/>
          <w:szCs w:val="24"/>
          <w:lang w:eastAsia="en-US"/>
        </w:rPr>
        <w:t xml:space="preserve">   </w:t>
      </w:r>
      <w:r w:rsidRPr="00690865">
        <w:rPr>
          <w:rFonts w:ascii="Times New Roman" w:eastAsia="Calibri" w:hAnsi="Times New Roman" w:cs="Times New Roman"/>
          <w:sz w:val="24"/>
          <w:szCs w:val="24"/>
          <w:lang w:eastAsia="en-US"/>
        </w:rPr>
        <w:t xml:space="preserve"> Le Clézio est soucieux de conserver une part de l’histoire. Pour ce fait, il construit et restitue tous ses souvenirs (acquis et hérités). Ainsi, il donne à chaque objet, chaque coin, chaque personne un geste supplémentaire ; une facette de plus. Autant de bienfaits, à travers une imagination pour lui et pour la génération de sa mère. </w:t>
      </w:r>
    </w:p>
    <w:p w:rsidR="00690865" w:rsidRPr="00690865" w:rsidRDefault="00690865" w:rsidP="00690865">
      <w:pPr>
        <w:spacing w:line="480" w:lineRule="auto"/>
        <w:jc w:val="both"/>
        <w:rPr>
          <w:rFonts w:ascii="Times New Roman" w:eastAsia="Calibri" w:hAnsi="Times New Roman" w:cs="Times New Roman"/>
          <w:bCs/>
          <w:sz w:val="24"/>
          <w:szCs w:val="24"/>
          <w:lang w:eastAsia="en-US"/>
        </w:rPr>
      </w:pPr>
      <w:r w:rsidRPr="00690865">
        <w:rPr>
          <w:rFonts w:ascii="Times New Roman" w:eastAsia="Calibri" w:hAnsi="Times New Roman" w:cs="Times New Roman"/>
          <w:bCs/>
          <w:sz w:val="24"/>
          <w:szCs w:val="24"/>
          <w:lang w:eastAsia="en-US"/>
        </w:rPr>
        <w:t xml:space="preserve">   Par ailleurs, le roman oriente le lecteur dans l’interprétation du sens des évènements historiques, à la fois, par les jugements insérés dans le discours du narrateur, et par la morale incluse dans la séquence aujourd’hui. Sa façon de jouer sur l’être et le paraître retient le lecteur en haleine, et lui livre un maximum d’informations. Ceci dit, le recours aux dimensions informatifs (du journal intime de l’héroïne) et argumentatives (les lois du journal officiel) dénonce la politique social et officielle de l’époque. </w:t>
      </w: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sz w:val="24"/>
          <w:szCs w:val="24"/>
          <w:lang w:eastAsia="en-US"/>
        </w:rPr>
      </w:pPr>
    </w:p>
    <w:p w:rsidR="00690865" w:rsidRPr="00690865" w:rsidRDefault="00690865" w:rsidP="00690865">
      <w:pPr>
        <w:spacing w:line="480" w:lineRule="auto"/>
        <w:jc w:val="both"/>
        <w:rPr>
          <w:rFonts w:ascii="Times New Roman" w:eastAsia="Calibri" w:hAnsi="Times New Roman" w:cs="Times New Roman"/>
          <w:b/>
          <w:sz w:val="28"/>
          <w:szCs w:val="28"/>
          <w:lang w:eastAsia="en-US"/>
        </w:rPr>
      </w:pPr>
    </w:p>
    <w:p w:rsidR="00690865" w:rsidRDefault="00690865" w:rsidP="00690865">
      <w:pPr>
        <w:spacing w:line="480" w:lineRule="auto"/>
        <w:jc w:val="both"/>
        <w:rPr>
          <w:rFonts w:ascii="Times New Roman" w:hAnsi="Times New Roman" w:cs="Times New Roman"/>
          <w:sz w:val="24"/>
          <w:szCs w:val="24"/>
          <w:lang w:bidi="ar-DZ"/>
        </w:rPr>
      </w:pPr>
    </w:p>
    <w:p w:rsidR="00690865" w:rsidRDefault="00690865">
      <w:pPr>
        <w:rPr>
          <w:rFonts w:ascii="Times New Roman" w:hAnsi="Times New Roman" w:cs="Times New Roman"/>
          <w:sz w:val="24"/>
          <w:szCs w:val="24"/>
          <w:lang w:bidi="ar-DZ"/>
        </w:rPr>
      </w:pPr>
      <w:r>
        <w:rPr>
          <w:rFonts w:ascii="Times New Roman" w:hAnsi="Times New Roman" w:cs="Times New Roman"/>
          <w:sz w:val="24"/>
          <w:szCs w:val="24"/>
          <w:lang w:bidi="ar-DZ"/>
        </w:rPr>
        <w:br w:type="page"/>
      </w:r>
    </w:p>
    <w:p w:rsidR="002A21EF" w:rsidRPr="00DE149B" w:rsidRDefault="002A21EF" w:rsidP="002A21EF">
      <w:pPr>
        <w:pStyle w:val="En-tte"/>
        <w:pBdr>
          <w:bottom w:val="thickThinSmallGap" w:sz="24" w:space="1" w:color="622423"/>
        </w:pBdr>
        <w:jc w:val="center"/>
        <w:rPr>
          <w:rFonts w:ascii="Times New Roman" w:eastAsia="Times New Roman" w:hAnsi="Times New Roman"/>
          <w:sz w:val="28"/>
          <w:szCs w:val="28"/>
        </w:rPr>
      </w:pPr>
      <w:r>
        <w:rPr>
          <w:rFonts w:ascii="Times New Roman" w:eastAsia="Times New Roman" w:hAnsi="Times New Roman"/>
          <w:sz w:val="28"/>
          <w:szCs w:val="28"/>
        </w:rPr>
        <w:lastRenderedPageBreak/>
        <w:t>Chapitre II : Aperçu historique</w:t>
      </w:r>
    </w:p>
    <w:p w:rsidR="002A21EF" w:rsidRDefault="002A21EF" w:rsidP="002A21EF">
      <w:pPr>
        <w:pStyle w:val="En-tte"/>
      </w:pPr>
    </w:p>
    <w:p w:rsidR="002A21EF" w:rsidRDefault="002A21EF" w:rsidP="002A21EF">
      <w:pPr>
        <w:spacing w:line="480" w:lineRule="auto"/>
        <w:jc w:val="both"/>
        <w:rPr>
          <w:rFonts w:ascii="Times New Roman" w:eastAsia="Calibri" w:hAnsi="Times New Roman" w:cs="Times New Roman"/>
          <w:sz w:val="24"/>
          <w:szCs w:val="24"/>
          <w:lang w:eastAsia="en-US"/>
        </w:rPr>
      </w:pPr>
    </w:p>
    <w:p w:rsidR="002A21EF" w:rsidRPr="002A21EF" w:rsidRDefault="002A21EF" w:rsidP="002A21EF">
      <w:pPr>
        <w:spacing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La variété formelle au sein du roman (récit poétique, récit autobiographique, récit narratif, récit dialogué, récit artistique, caricature) nous a laissé perplexe. Ainsi, nous avons cherché à approfondir nos connaissances en cherchant dans l’historique du genre pour comprendre la nature de la conception de l’œuvre. </w:t>
      </w:r>
    </w:p>
    <w:p w:rsidR="002A21EF" w:rsidRPr="002A21EF" w:rsidRDefault="002A21EF" w:rsidP="002A21EF">
      <w:pPr>
        <w:spacing w:after="0" w:line="480" w:lineRule="auto"/>
        <w:jc w:val="both"/>
        <w:rPr>
          <w:rFonts w:ascii="Times New Roman" w:eastAsia="Calibri" w:hAnsi="Times New Roman" w:cs="Times New Roman"/>
          <w:b/>
          <w:sz w:val="24"/>
          <w:szCs w:val="24"/>
          <w:lang w:eastAsia="en-US"/>
        </w:rPr>
      </w:pPr>
      <w:r w:rsidRPr="002A21EF">
        <w:rPr>
          <w:rFonts w:ascii="Times New Roman" w:eastAsia="Calibri" w:hAnsi="Times New Roman" w:cs="Times New Roman"/>
          <w:b/>
          <w:sz w:val="24"/>
          <w:szCs w:val="24"/>
          <w:lang w:eastAsia="en-US"/>
        </w:rPr>
        <w:t xml:space="preserve">II.1 l’émergence du roman historique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La présente esquisse dans la genèse et l’évolution du roman historique, nous convie à lire les profonds  bouleversements et les changements de la société occidentale engendrés par la Révolution de 1789. En effet, toutes les crises, révolutions et coups d’Etat qui se sont succédés durant tout le siècle (1789, 1848, 1851, 1871</w:t>
      </w:r>
      <w:r w:rsidRPr="002A21EF">
        <w:rPr>
          <w:rFonts w:ascii="Times New Roman" w:eastAsia="Calibri" w:hAnsi="Times New Roman" w:cs="Times New Roman"/>
          <w:sz w:val="24"/>
          <w:vertAlign w:val="superscript"/>
          <w:lang w:eastAsia="en-US"/>
        </w:rPr>
        <w:footnoteReference w:id="45"/>
      </w:r>
      <w:r w:rsidRPr="002A21EF">
        <w:rPr>
          <w:rFonts w:ascii="Times New Roman" w:eastAsia="Calibri" w:hAnsi="Times New Roman" w:cs="Times New Roman"/>
          <w:sz w:val="24"/>
          <w:szCs w:val="24"/>
          <w:lang w:eastAsia="en-US"/>
        </w:rPr>
        <w:t xml:space="preserve">) ont contribué à remodelée et à développer la penser individuelle et collective. Ainsi, le genre témoigne d’une narration issue de la confrontation des hommes et de leurs volontés. Une narration épisodique, de la vie de ceux dont le privilège accordé constitue la matière essentielle, de l’Histoire et de l’écriture historique. Et c’est ainsi que, nous pénétrons dans  le siècle de la mise en texte de l’Histoire des hommes. </w:t>
      </w:r>
    </w:p>
    <w:p w:rsid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Michelet</w:t>
      </w:r>
      <w:r w:rsidRPr="002A21EF">
        <w:rPr>
          <w:rFonts w:ascii="Times New Roman" w:eastAsia="Calibri" w:hAnsi="Times New Roman" w:cs="Times New Roman"/>
          <w:sz w:val="24"/>
          <w:szCs w:val="24"/>
          <w:vertAlign w:val="superscript"/>
          <w:lang w:eastAsia="en-US"/>
        </w:rPr>
        <w:footnoteReference w:id="46"/>
      </w:r>
      <w:r w:rsidRPr="002A21EF">
        <w:rPr>
          <w:rFonts w:ascii="Times New Roman" w:eastAsia="Calibri" w:hAnsi="Times New Roman" w:cs="Times New Roman"/>
          <w:sz w:val="24"/>
          <w:szCs w:val="24"/>
          <w:lang w:eastAsia="en-US"/>
        </w:rPr>
        <w:t xml:space="preserve"> définit l’histoire comme une science nouvelle où s’intègrent tous les savoirs, et une philosophie de la connaissance de l’homme social. Il affirme que : « </w:t>
      </w:r>
      <w:r w:rsidRPr="002A21EF">
        <w:rPr>
          <w:rFonts w:ascii="Times New Roman" w:eastAsia="Calibri" w:hAnsi="Times New Roman" w:cs="Times New Roman"/>
          <w:i/>
          <w:iCs/>
          <w:sz w:val="24"/>
          <w:szCs w:val="24"/>
          <w:lang w:eastAsia="en-US"/>
        </w:rPr>
        <w:t>avec le monde a commencé une guerre qui doit finir avec le monde, et pas avant ; celle de  l’homme contre la nature, de l’esprit contre la matière, de la liberté contre la fatalité. L’histoire n’est pas autre chose que le récit de cette interminable lutte.</w:t>
      </w:r>
      <w:r w:rsidRPr="002A21EF">
        <w:rPr>
          <w:rFonts w:ascii="Times New Roman" w:eastAsia="Calibri" w:hAnsi="Times New Roman" w:cs="Times New Roman"/>
          <w:sz w:val="24"/>
          <w:szCs w:val="24"/>
          <w:lang w:eastAsia="en-US"/>
        </w:rPr>
        <w:t> »</w:t>
      </w:r>
      <w:r w:rsidRPr="002A21EF">
        <w:rPr>
          <w:rFonts w:ascii="Times New Roman" w:eastAsia="Calibri" w:hAnsi="Times New Roman" w:cs="Times New Roman"/>
          <w:sz w:val="24"/>
          <w:szCs w:val="24"/>
          <w:vertAlign w:val="superscript"/>
          <w:lang w:eastAsia="en-US"/>
        </w:rPr>
        <w:footnoteReference w:id="47"/>
      </w:r>
      <w:r w:rsidRPr="002A21EF">
        <w:rPr>
          <w:rFonts w:ascii="Times New Roman" w:eastAsia="Calibri" w:hAnsi="Times New Roman" w:cs="Times New Roman"/>
          <w:sz w:val="24"/>
          <w:szCs w:val="24"/>
          <w:lang w:eastAsia="en-US"/>
        </w:rPr>
        <w:t>. Autrement dit, ce type de narration, dit historique,  remodèle le passé sous forme de fusion de sens, et d’interprétation, dont l’intérêt</w:t>
      </w:r>
    </w:p>
    <w:p w:rsidR="002A21EF" w:rsidRDefault="002A21EF">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2A21EF" w:rsidRPr="002A21EF" w:rsidRDefault="002A21EF" w:rsidP="002A21E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A21EF">
        <w:rPr>
          <w:rFonts w:ascii="Times New Roman" w:eastAsia="Times New Roman" w:hAnsi="Times New Roman" w:cs="Times New Roman"/>
          <w:sz w:val="28"/>
          <w:szCs w:val="28"/>
          <w:lang w:eastAsia="en-US"/>
        </w:rPr>
        <w:lastRenderedPageBreak/>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after="0" w:line="480" w:lineRule="auto"/>
        <w:jc w:val="both"/>
        <w:rPr>
          <w:rFonts w:ascii="Times New Roman" w:eastAsia="Calibri" w:hAnsi="Times New Roman" w:cs="Times New Roman"/>
          <w:sz w:val="24"/>
          <w:szCs w:val="24"/>
          <w:lang w:eastAsia="en-US"/>
        </w:rPr>
      </w:pP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général est la reproduction du temps, de la mémoire et de l’histoire pour les générations à venir.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Ceci dit, entre une fidèle  reproduction artistique d’une ère historique concrète avec  des personnages dont la particularité spécifique dérive de leur temps</w:t>
      </w:r>
      <w:r w:rsidRPr="002A21EF">
        <w:rPr>
          <w:rFonts w:ascii="Times New Roman" w:eastAsia="Calibri" w:hAnsi="Times New Roman" w:cs="Times New Roman"/>
          <w:sz w:val="24"/>
          <w:vertAlign w:val="superscript"/>
          <w:lang w:eastAsia="en-US"/>
        </w:rPr>
        <w:footnoteReference w:id="48"/>
      </w:r>
      <w:r w:rsidRPr="002A21EF">
        <w:rPr>
          <w:rFonts w:ascii="Times New Roman" w:eastAsia="Calibri" w:hAnsi="Times New Roman" w:cs="Times New Roman"/>
          <w:sz w:val="24"/>
          <w:szCs w:val="24"/>
          <w:lang w:eastAsia="en-US"/>
        </w:rPr>
        <w:t xml:space="preserve"> et le fait de rendre compte d’un monde moderne, bouleversé par la Révolution, le genre  s’est vu  attribuer la tache de mettre en scène la destinée historique des individus et des groupes</w:t>
      </w:r>
      <w:r w:rsidRPr="002A21EF">
        <w:rPr>
          <w:rFonts w:ascii="Times New Roman" w:eastAsia="Calibri" w:hAnsi="Times New Roman" w:cs="Times New Roman"/>
          <w:sz w:val="24"/>
          <w:vertAlign w:val="superscript"/>
          <w:lang w:eastAsia="en-US"/>
        </w:rPr>
        <w:footnoteReference w:id="49"/>
      </w:r>
      <w:r w:rsidRPr="002A21EF">
        <w:rPr>
          <w:rFonts w:ascii="Times New Roman" w:eastAsia="Calibri" w:hAnsi="Times New Roman" w:cs="Times New Roman"/>
          <w:sz w:val="24"/>
          <w:szCs w:val="24"/>
          <w:lang w:eastAsia="en-US"/>
        </w:rPr>
        <w:t xml:space="preserv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Ainsi, certains,  s’accordent à situer sa naissance en France au XIX</w:t>
      </w:r>
      <w:r w:rsidRPr="002A21EF">
        <w:rPr>
          <w:rFonts w:ascii="Times New Roman" w:eastAsia="Calibri" w:hAnsi="Times New Roman" w:cs="Times New Roman"/>
          <w:sz w:val="24"/>
          <w:szCs w:val="24"/>
          <w:vertAlign w:val="superscript"/>
          <w:lang w:eastAsia="en-US"/>
        </w:rPr>
        <w:t xml:space="preserve">e </w:t>
      </w:r>
      <w:r w:rsidRPr="002A21EF">
        <w:rPr>
          <w:rFonts w:ascii="Times New Roman" w:eastAsia="Calibri" w:hAnsi="Times New Roman" w:cs="Times New Roman"/>
          <w:sz w:val="24"/>
          <w:szCs w:val="24"/>
          <w:lang w:eastAsia="en-US"/>
        </w:rPr>
        <w:t>siècle, après le premier Empire.  D’autres, trouvent que les rapports entre Histoire et roman se sont manifestés bien plutôt. Autrement dit, les prétendus romans historiques, du  XVII</w:t>
      </w:r>
      <w:r w:rsidRPr="002A21EF">
        <w:rPr>
          <w:rFonts w:ascii="Times New Roman" w:eastAsia="Calibri" w:hAnsi="Times New Roman" w:cs="Times New Roman"/>
          <w:sz w:val="24"/>
          <w:szCs w:val="24"/>
          <w:vertAlign w:val="superscript"/>
          <w:lang w:eastAsia="en-US"/>
        </w:rPr>
        <w:t xml:space="preserve">e </w:t>
      </w:r>
      <w:r w:rsidRPr="002A21EF">
        <w:rPr>
          <w:rFonts w:ascii="Times New Roman" w:eastAsia="Calibri" w:hAnsi="Times New Roman" w:cs="Times New Roman"/>
          <w:sz w:val="24"/>
          <w:szCs w:val="24"/>
          <w:lang w:eastAsia="en-US"/>
        </w:rPr>
        <w:t xml:space="preserve">siècle ne le sont que par leur choix extérieur de thèmes et de costumes. Et que le roman, au sens restreint, ne s’était pas encore constitué puisque ce sont les romans d’aventures, de philosophie, et de  psychologie qui s’étaient appropriés le passé.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Cependant, une brillante analyse sur la Princesse de Clèves, montre, qu’il existe une « </w:t>
      </w:r>
      <w:r w:rsidRPr="002A21EF">
        <w:rPr>
          <w:rFonts w:ascii="Times New Roman" w:eastAsia="Calibri" w:hAnsi="Times New Roman" w:cs="Times New Roman"/>
          <w:i/>
          <w:iCs/>
          <w:sz w:val="24"/>
          <w:szCs w:val="24"/>
          <w:lang w:eastAsia="en-US"/>
        </w:rPr>
        <w:t>correspondance symbolique entre la vie de Madame de Clèves et les évènements de l’histoire »</w:t>
      </w:r>
      <w:r w:rsidRPr="002A21EF">
        <w:rPr>
          <w:rFonts w:ascii="Times New Roman" w:eastAsia="Calibri" w:hAnsi="Times New Roman" w:cs="Times New Roman"/>
          <w:sz w:val="24"/>
          <w:vertAlign w:val="superscript"/>
          <w:lang w:eastAsia="en-US"/>
        </w:rPr>
        <w:footnoteReference w:id="50"/>
      </w:r>
      <w:r w:rsidRPr="002A21EF">
        <w:rPr>
          <w:rFonts w:ascii="Times New Roman" w:eastAsia="Calibri" w:hAnsi="Times New Roman" w:cs="Times New Roman"/>
          <w:sz w:val="24"/>
          <w:szCs w:val="24"/>
          <w:lang w:eastAsia="en-US"/>
        </w:rPr>
        <w:t xml:space="preserve">. Car l’œuvre commence par l’évocation éclatante de la cour d’Henri II (1678), et que  l’héroïne disparait avec une civilisation brillante à laquelle succèdent les guerres de Religion. C'est-à-dire, l’époque était tributaire de particularités culturelles et politiques de l’âge classique. </w:t>
      </w:r>
    </w:p>
    <w:p w:rsidR="002A21EF" w:rsidRDefault="002A21EF" w:rsidP="002A21EF">
      <w:pPr>
        <w:spacing w:after="0" w:line="480" w:lineRule="auto"/>
        <w:jc w:val="both"/>
        <w:rPr>
          <w:rFonts w:ascii="Times New Roman" w:eastAsia="Calibri" w:hAnsi="Times New Roman" w:cs="Times New Roman"/>
          <w:bCs/>
          <w:sz w:val="24"/>
          <w:szCs w:val="24"/>
          <w:lang w:eastAsia="en-US"/>
        </w:rPr>
      </w:pPr>
      <w:r w:rsidRPr="002A21EF">
        <w:rPr>
          <w:rFonts w:ascii="Times New Roman" w:eastAsia="Calibri" w:hAnsi="Times New Roman" w:cs="Times New Roman"/>
          <w:sz w:val="24"/>
          <w:szCs w:val="24"/>
          <w:lang w:eastAsia="en-US"/>
        </w:rPr>
        <w:t xml:space="preserve">   Le</w:t>
      </w:r>
      <w:r w:rsidRPr="002A21EF">
        <w:rPr>
          <w:rFonts w:ascii="Times New Roman" w:eastAsia="Calibri" w:hAnsi="Times New Roman" w:cs="Times New Roman"/>
          <w:sz w:val="24"/>
          <w:szCs w:val="24"/>
          <w:vertAlign w:val="superscript"/>
          <w:lang w:eastAsia="en-US"/>
        </w:rPr>
        <w:t xml:space="preserve"> </w:t>
      </w:r>
      <w:r w:rsidRPr="002A21EF">
        <w:rPr>
          <w:rFonts w:ascii="Times New Roman" w:eastAsia="Calibri" w:hAnsi="Times New Roman" w:cs="Times New Roman"/>
          <w:sz w:val="24"/>
          <w:szCs w:val="24"/>
          <w:lang w:eastAsia="en-US"/>
        </w:rPr>
        <w:t xml:space="preserve">siècle des Lumières a vu naître un mouvement humaniste qui remettait en cause le rôle des institutions religieuses dans la société. D’autre part, la </w:t>
      </w:r>
      <w:r w:rsidRPr="002A21EF">
        <w:rPr>
          <w:rFonts w:ascii="Times New Roman" w:eastAsia="Calibri" w:hAnsi="Times New Roman" w:cs="Times New Roman"/>
          <w:bCs/>
          <w:sz w:val="24"/>
          <w:szCs w:val="24"/>
          <w:lang w:eastAsia="en-US"/>
        </w:rPr>
        <w:t>position des  philosophes du XVIII</w:t>
      </w:r>
      <w:r w:rsidRPr="002A21EF">
        <w:rPr>
          <w:rFonts w:ascii="Times New Roman" w:eastAsia="Calibri" w:hAnsi="Times New Roman" w:cs="Times New Roman"/>
          <w:bCs/>
          <w:sz w:val="24"/>
          <w:szCs w:val="24"/>
          <w:vertAlign w:val="superscript"/>
          <w:lang w:eastAsia="en-US"/>
        </w:rPr>
        <w:t>e</w:t>
      </w:r>
      <w:r w:rsidRPr="002A21EF">
        <w:rPr>
          <w:rFonts w:ascii="Times New Roman" w:eastAsia="Calibri" w:hAnsi="Times New Roman" w:cs="Times New Roman"/>
          <w:bCs/>
          <w:sz w:val="24"/>
          <w:szCs w:val="24"/>
          <w:lang w:eastAsia="en-US"/>
        </w:rPr>
        <w:t xml:space="preserve"> siècle</w:t>
      </w:r>
      <w:r w:rsidRPr="002A21EF">
        <w:rPr>
          <w:rFonts w:ascii="Times New Roman" w:eastAsia="Calibri" w:hAnsi="Times New Roman" w:cs="Times New Roman"/>
          <w:sz w:val="24"/>
          <w:szCs w:val="24"/>
          <w:lang w:eastAsia="en-US"/>
        </w:rPr>
        <w:t xml:space="preserve"> à l’encontre de la guerre et de l’absolutisme royal a fait de leurs œuvres une </w:t>
      </w:r>
      <w:r w:rsidRPr="002A21EF">
        <w:rPr>
          <w:rFonts w:ascii="Times New Roman" w:eastAsia="Calibri" w:hAnsi="Times New Roman" w:cs="Times New Roman"/>
          <w:bCs/>
          <w:sz w:val="24"/>
          <w:szCs w:val="24"/>
          <w:lang w:eastAsia="en-US"/>
        </w:rPr>
        <w:t>littérature de combat. Autrement dit, ils dénonçaient l’oppression des souverains dans des contes philosophiques qui réunissaient  récit et leçon de morale</w:t>
      </w:r>
      <w:r w:rsidRPr="002A21EF">
        <w:rPr>
          <w:rFonts w:ascii="Times New Roman" w:eastAsia="Calibri" w:hAnsi="Times New Roman" w:cs="Times New Roman"/>
          <w:sz w:val="24"/>
          <w:szCs w:val="24"/>
          <w:lang w:eastAsia="en-US"/>
        </w:rPr>
        <w:t xml:space="preserve"> </w:t>
      </w:r>
      <w:r w:rsidRPr="002A21EF">
        <w:rPr>
          <w:rFonts w:ascii="Times New Roman" w:eastAsia="Calibri" w:hAnsi="Times New Roman" w:cs="Times New Roman"/>
          <w:bCs/>
          <w:sz w:val="24"/>
          <w:szCs w:val="24"/>
          <w:lang w:eastAsia="en-US"/>
        </w:rPr>
        <w:t>dégagés de tous les dogmes</w:t>
      </w:r>
      <w:r>
        <w:rPr>
          <w:rFonts w:ascii="Times New Roman" w:eastAsia="Calibri" w:hAnsi="Times New Roman" w:cs="Times New Roman"/>
          <w:bCs/>
          <w:sz w:val="24"/>
          <w:szCs w:val="24"/>
          <w:lang w:eastAsia="en-US"/>
        </w:rPr>
        <w:br w:type="page"/>
      </w:r>
    </w:p>
    <w:p w:rsidR="002A21EF" w:rsidRPr="002A21EF" w:rsidRDefault="002A21EF" w:rsidP="002A21EF">
      <w:pPr>
        <w:pStyle w:val="En-tte"/>
        <w:pBdr>
          <w:bottom w:val="thickThinSmallGap" w:sz="24" w:space="1" w:color="622423"/>
        </w:pBdr>
        <w:jc w:val="center"/>
        <w:rPr>
          <w:rFonts w:ascii="Times New Roman" w:eastAsia="Times New Roman" w:hAnsi="Times New Roman"/>
          <w:sz w:val="28"/>
          <w:szCs w:val="28"/>
        </w:rPr>
      </w:pPr>
      <w:r w:rsidRPr="002A21EF">
        <w:rPr>
          <w:rFonts w:ascii="Times New Roman" w:hAnsi="Times New Roman"/>
          <w:sz w:val="24"/>
          <w:szCs w:val="24"/>
        </w:rPr>
        <w:lastRenderedPageBreak/>
        <w:t xml:space="preserve"> </w:t>
      </w:r>
      <w:r w:rsidRPr="002A21EF">
        <w:rPr>
          <w:rFonts w:ascii="Times New Roman" w:eastAsia="Times New Roman" w:hAnsi="Times New Roman"/>
          <w:sz w:val="28"/>
          <w:szCs w:val="28"/>
        </w:rPr>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after="0" w:line="480" w:lineRule="auto"/>
        <w:jc w:val="both"/>
        <w:rPr>
          <w:rFonts w:ascii="Times New Roman" w:eastAsia="Calibri" w:hAnsi="Times New Roman" w:cs="Times New Roman"/>
          <w:sz w:val="24"/>
          <w:szCs w:val="24"/>
          <w:lang w:eastAsia="en-US"/>
        </w:rPr>
      </w:pPr>
    </w:p>
    <w:p w:rsidR="002A21EF" w:rsidRPr="002A21EF" w:rsidRDefault="002A21EF" w:rsidP="002A21EF">
      <w:pPr>
        <w:spacing w:after="0" w:line="480" w:lineRule="auto"/>
        <w:jc w:val="both"/>
        <w:rPr>
          <w:rFonts w:ascii="Times New Roman" w:eastAsia="Calibri" w:hAnsi="Times New Roman" w:cs="Times New Roman"/>
          <w:bCs/>
          <w:sz w:val="24"/>
          <w:szCs w:val="24"/>
          <w:lang w:eastAsia="en-US"/>
        </w:rPr>
      </w:pPr>
      <w:r w:rsidRPr="002A21EF">
        <w:rPr>
          <w:rFonts w:ascii="Times New Roman" w:eastAsia="Calibri" w:hAnsi="Times New Roman" w:cs="Times New Roman"/>
          <w:bCs/>
          <w:sz w:val="24"/>
          <w:szCs w:val="24"/>
          <w:lang w:eastAsia="en-US"/>
        </w:rPr>
        <w:t xml:space="preserve">religieux. Ainsi,  dans </w:t>
      </w:r>
      <w:r w:rsidRPr="002A21EF">
        <w:rPr>
          <w:rFonts w:ascii="Times New Roman" w:eastAsia="Calibri" w:hAnsi="Times New Roman" w:cs="Times New Roman"/>
          <w:bCs/>
          <w:i/>
          <w:sz w:val="24"/>
          <w:szCs w:val="24"/>
          <w:lang w:eastAsia="en-US"/>
        </w:rPr>
        <w:t xml:space="preserve">« Candide » ou encore </w:t>
      </w:r>
      <w:r w:rsidRPr="002A21EF">
        <w:rPr>
          <w:rFonts w:ascii="Times New Roman" w:eastAsia="Calibri" w:hAnsi="Times New Roman" w:cs="Times New Roman"/>
          <w:bCs/>
          <w:sz w:val="24"/>
          <w:szCs w:val="24"/>
          <w:lang w:eastAsia="en-US"/>
        </w:rPr>
        <w:t xml:space="preserve"> «  </w:t>
      </w:r>
      <w:r w:rsidRPr="002A21EF">
        <w:rPr>
          <w:rFonts w:ascii="Times New Roman" w:eastAsia="Calibri" w:hAnsi="Times New Roman" w:cs="Times New Roman"/>
          <w:bCs/>
          <w:i/>
          <w:sz w:val="24"/>
          <w:szCs w:val="24"/>
          <w:lang w:eastAsia="en-US"/>
        </w:rPr>
        <w:t>Le Siècle de Louis XIV</w:t>
      </w:r>
      <w:r w:rsidRPr="002A21EF">
        <w:rPr>
          <w:rFonts w:ascii="Times New Roman" w:eastAsia="Calibri" w:hAnsi="Times New Roman" w:cs="Times New Roman"/>
          <w:bCs/>
          <w:sz w:val="24"/>
          <w:szCs w:val="24"/>
          <w:lang w:eastAsia="en-US"/>
        </w:rPr>
        <w:t> » Voltaire, se bat contre l’intolérance et la guerre. En fait, toute  l'œuvre de Voltaire est un combat contre le fanatisme et l'intolérance. Or, le fait de se tourner vers le passé comme dans « </w:t>
      </w:r>
      <w:r w:rsidRPr="002A21EF">
        <w:rPr>
          <w:rFonts w:ascii="Times New Roman" w:eastAsia="Calibri" w:hAnsi="Times New Roman" w:cs="Times New Roman"/>
          <w:bCs/>
          <w:i/>
          <w:iCs/>
          <w:sz w:val="24"/>
          <w:szCs w:val="24"/>
          <w:lang w:eastAsia="en-US"/>
        </w:rPr>
        <w:t>la Henriade »</w:t>
      </w:r>
      <w:r w:rsidRPr="002A21EF">
        <w:rPr>
          <w:rFonts w:ascii="Times New Roman" w:eastAsia="Calibri" w:hAnsi="Times New Roman" w:cs="Times New Roman"/>
          <w:bCs/>
          <w:sz w:val="24"/>
          <w:szCs w:val="24"/>
          <w:lang w:eastAsia="en-US"/>
        </w:rPr>
        <w:t xml:space="preserve"> (faite en l’honneur du roi de France Henri IV) est en quelque sorte, représenter la conception (non- raisonnable) fortement critiquée par Les Lumières. De cette situation résulte un retour à l’histoire actuelle, qui place l’Histoire, comme genre, au dessus du roman, dans la hiérarchie des belles- lettres. Et c’est ainsi, qu’elle se voit combiner de nombreux paramètres comme les hommes, les institutions, le progrès des arts et de la science, etc. </w:t>
      </w:r>
    </w:p>
    <w:p w:rsidR="002A21EF" w:rsidRPr="002A21EF" w:rsidRDefault="002A21EF" w:rsidP="002A21EF">
      <w:pPr>
        <w:spacing w:after="0" w:line="480" w:lineRule="auto"/>
        <w:jc w:val="both"/>
        <w:rPr>
          <w:rFonts w:ascii="Times New Roman" w:eastAsia="Calibri" w:hAnsi="Times New Roman" w:cs="Times New Roman"/>
          <w:bCs/>
          <w:sz w:val="24"/>
          <w:szCs w:val="24"/>
          <w:lang w:eastAsia="en-US"/>
        </w:rPr>
      </w:pPr>
      <w:r w:rsidRPr="002A21EF">
        <w:rPr>
          <w:rFonts w:ascii="Times New Roman" w:eastAsia="Calibri" w:hAnsi="Times New Roman" w:cs="Times New Roman"/>
          <w:bCs/>
          <w:sz w:val="24"/>
          <w:szCs w:val="24"/>
          <w:lang w:eastAsia="en-US"/>
        </w:rPr>
        <w:t xml:space="preserve">   Toutefois, l’expression théorique du genre a été conçue, pour la première fois, grâce à l’idéologie allemande, dans sa lutte pour l’espoir d’une grandeur nationale. Elle  impose l’étude des causes historiques du déclin et de la désintégration du pays pour pouvoir les représenter artistiquement. Ainsi, l’art était devenu historique, et plus radicalement, que dans les pays, les plus avancés. </w:t>
      </w:r>
    </w:p>
    <w:p w:rsidR="002A21EF" w:rsidRPr="002A21EF" w:rsidRDefault="002A21EF" w:rsidP="002A21EF">
      <w:pPr>
        <w:spacing w:after="0" w:line="480" w:lineRule="auto"/>
        <w:jc w:val="both"/>
        <w:rPr>
          <w:rFonts w:ascii="Times New Roman" w:eastAsia="Calibri" w:hAnsi="Times New Roman" w:cs="Times New Roman"/>
          <w:iCs/>
          <w:sz w:val="24"/>
          <w:szCs w:val="24"/>
          <w:lang w:eastAsia="en-US"/>
        </w:rPr>
      </w:pPr>
      <w:r w:rsidRPr="002A21EF">
        <w:rPr>
          <w:rFonts w:ascii="Times New Roman" w:eastAsia="Calibri" w:hAnsi="Times New Roman" w:cs="Times New Roman"/>
          <w:bCs/>
          <w:sz w:val="24"/>
          <w:szCs w:val="24"/>
          <w:lang w:eastAsia="en-US"/>
        </w:rPr>
        <w:t xml:space="preserve">    Vers la fin du siècle, l’influence de la nouvelle démocratie de l’Amérique et de la monarchie constitutionnelle anglaise amena les auteurs à étendre le champ de leurs critiques aux problèmes politiques et économiques. Dans la même période, le drame était le nouveau genre voué au réalisme psychologique et social qui entreprenait de figurer les mœurs et la psychologie de l’époque. Une représentation abstraite du temps et du lieu, d’où la caractéristique d’un « jamais nulle part »</w:t>
      </w:r>
      <w:r w:rsidRPr="002A21EF">
        <w:rPr>
          <w:rFonts w:ascii="Times New Roman" w:eastAsia="Calibri" w:hAnsi="Times New Roman" w:cs="Times New Roman"/>
          <w:bCs/>
          <w:sz w:val="24"/>
          <w:szCs w:val="24"/>
          <w:vertAlign w:val="superscript"/>
          <w:lang w:eastAsia="en-US"/>
        </w:rPr>
        <w:footnoteReference w:id="51"/>
      </w:r>
      <w:r w:rsidRPr="002A21EF">
        <w:rPr>
          <w:rFonts w:ascii="Times New Roman" w:eastAsia="Calibri" w:hAnsi="Times New Roman" w:cs="Times New Roman"/>
          <w:bCs/>
          <w:sz w:val="24"/>
          <w:szCs w:val="24"/>
          <w:lang w:eastAsia="en-US"/>
        </w:rPr>
        <w:t xml:space="preserve"> des œuvres de Voltaire et de Diderot, car pour eux, les traits essentiels, de leurs œuvres jaillissent d’un ailleurs. </w:t>
      </w:r>
      <w:r w:rsidRPr="002A21EF">
        <w:rPr>
          <w:rFonts w:ascii="Times New Roman" w:eastAsia="Calibri" w:hAnsi="Times New Roman" w:cs="Times New Roman"/>
          <w:iCs/>
          <w:sz w:val="24"/>
          <w:szCs w:val="24"/>
          <w:lang w:eastAsia="en-US"/>
        </w:rPr>
        <w:t xml:space="preserve">Mais l’humanisme et  la philosophie de l'histoire  de Voltaire risquait d'estomper le caractère national et de soumettre l'histoire à la  philosophie. En revanche, </w:t>
      </w:r>
      <w:r w:rsidRPr="002A21EF">
        <w:rPr>
          <w:rFonts w:ascii="Times New Roman" w:eastAsia="Calibri" w:hAnsi="Times New Roman" w:cs="Times New Roman"/>
          <w:i/>
          <w:iCs/>
          <w:sz w:val="24"/>
          <w:szCs w:val="24"/>
          <w:lang w:eastAsia="en-US"/>
        </w:rPr>
        <w:t> le discours sur l’origine et les fondements de l’inégalité parmi les hommes, </w:t>
      </w:r>
      <w:r w:rsidRPr="002A21EF">
        <w:rPr>
          <w:rFonts w:ascii="Times New Roman" w:eastAsia="Calibri" w:hAnsi="Times New Roman" w:cs="Times New Roman"/>
          <w:i/>
          <w:iCs/>
          <w:sz w:val="24"/>
          <w:vertAlign w:val="superscript"/>
          <w:lang w:eastAsia="en-US"/>
        </w:rPr>
        <w:footnoteReference w:id="52"/>
      </w:r>
      <w:r w:rsidRPr="002A21EF">
        <w:rPr>
          <w:rFonts w:ascii="Times New Roman" w:eastAsia="Calibri" w:hAnsi="Times New Roman" w:cs="Times New Roman"/>
          <w:i/>
          <w:iCs/>
          <w:sz w:val="24"/>
          <w:szCs w:val="24"/>
          <w:lang w:eastAsia="en-US"/>
        </w:rPr>
        <w:t>de Rousseau,</w:t>
      </w:r>
      <w:r w:rsidRPr="002A21EF">
        <w:rPr>
          <w:rFonts w:ascii="Times New Roman" w:eastAsia="Calibri" w:hAnsi="Times New Roman" w:cs="Times New Roman"/>
          <w:iCs/>
          <w:sz w:val="24"/>
          <w:szCs w:val="24"/>
          <w:lang w:eastAsia="en-US"/>
        </w:rPr>
        <w:t xml:space="preserve"> introduit des valeu</w:t>
      </w:r>
      <w:r>
        <w:rPr>
          <w:rFonts w:ascii="Times New Roman" w:eastAsia="Calibri" w:hAnsi="Times New Roman" w:cs="Times New Roman"/>
          <w:iCs/>
          <w:sz w:val="24"/>
          <w:szCs w:val="24"/>
          <w:lang w:eastAsia="en-US"/>
        </w:rPr>
        <w:t>rs de liberté et d’égalité dans</w:t>
      </w:r>
    </w:p>
    <w:p w:rsidR="002A21EF" w:rsidRPr="002A21EF" w:rsidRDefault="002A21EF" w:rsidP="002A21E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A21EF">
        <w:rPr>
          <w:rFonts w:ascii="Times New Roman" w:eastAsia="Times New Roman" w:hAnsi="Times New Roman" w:cs="Times New Roman"/>
          <w:sz w:val="28"/>
          <w:szCs w:val="28"/>
          <w:lang w:eastAsia="en-US"/>
        </w:rPr>
        <w:lastRenderedPageBreak/>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690865" w:rsidRDefault="00690865" w:rsidP="002A21EF">
      <w:pPr>
        <w:spacing w:line="480" w:lineRule="auto"/>
        <w:jc w:val="both"/>
        <w:rPr>
          <w:rFonts w:ascii="Times New Roman" w:hAnsi="Times New Roman" w:cs="Times New Roman"/>
          <w:b/>
          <w:bCs/>
          <w:sz w:val="28"/>
          <w:szCs w:val="28"/>
          <w:lang w:bidi="ar-DZ"/>
        </w:rPr>
      </w:pPr>
    </w:p>
    <w:p w:rsidR="002A21EF" w:rsidRPr="002A21EF" w:rsidRDefault="002A21EF" w:rsidP="002A21EF">
      <w:pPr>
        <w:spacing w:after="0" w:line="480" w:lineRule="auto"/>
        <w:jc w:val="both"/>
        <w:rPr>
          <w:rFonts w:ascii="Times New Roman" w:eastAsia="Calibri" w:hAnsi="Times New Roman" w:cs="Times New Roman"/>
          <w:bCs/>
          <w:sz w:val="24"/>
          <w:szCs w:val="24"/>
          <w:lang w:eastAsia="en-US"/>
        </w:rPr>
      </w:pPr>
      <w:r w:rsidRPr="002A21EF">
        <w:rPr>
          <w:rFonts w:ascii="Times New Roman" w:eastAsia="Calibri" w:hAnsi="Times New Roman" w:cs="Times New Roman"/>
          <w:iCs/>
          <w:sz w:val="24"/>
          <w:szCs w:val="24"/>
          <w:lang w:eastAsia="en-US"/>
        </w:rPr>
        <w:t xml:space="preserve">la société. Des idées modernes et révolutionnaires dont </w:t>
      </w:r>
      <w:r w:rsidRPr="002A21EF">
        <w:rPr>
          <w:rFonts w:ascii="Times New Roman" w:eastAsia="Calibri" w:hAnsi="Times New Roman" w:cs="Times New Roman"/>
          <w:i/>
          <w:iCs/>
          <w:sz w:val="24"/>
          <w:szCs w:val="24"/>
          <w:lang w:eastAsia="en-US"/>
        </w:rPr>
        <w:t> Le Contrat Social, </w:t>
      </w:r>
      <w:r w:rsidRPr="002A21EF">
        <w:rPr>
          <w:rFonts w:ascii="Times New Roman" w:eastAsia="Calibri" w:hAnsi="Times New Roman" w:cs="Times New Roman"/>
          <w:i/>
          <w:iCs/>
          <w:sz w:val="24"/>
          <w:szCs w:val="24"/>
          <w:vertAlign w:val="superscript"/>
          <w:lang w:eastAsia="en-US"/>
        </w:rPr>
        <w:footnoteReference w:id="53"/>
      </w:r>
      <w:r w:rsidRPr="002A21EF">
        <w:rPr>
          <w:rFonts w:ascii="Times New Roman" w:eastAsia="Calibri" w:hAnsi="Times New Roman" w:cs="Times New Roman"/>
          <w:i/>
          <w:iCs/>
          <w:sz w:val="24"/>
          <w:szCs w:val="24"/>
          <w:lang w:eastAsia="en-US"/>
        </w:rPr>
        <w:t xml:space="preserve"> </w:t>
      </w:r>
      <w:r w:rsidRPr="002A21EF">
        <w:rPr>
          <w:rFonts w:ascii="Times New Roman" w:eastAsia="Calibri" w:hAnsi="Times New Roman" w:cs="Times New Roman"/>
          <w:iCs/>
          <w:sz w:val="24"/>
          <w:szCs w:val="24"/>
          <w:lang w:eastAsia="en-US"/>
        </w:rPr>
        <w:t xml:space="preserve">mènera à la grande Révolution. </w:t>
      </w:r>
    </w:p>
    <w:p w:rsidR="002A21EF" w:rsidRPr="002A21EF" w:rsidRDefault="002A21EF" w:rsidP="002A21EF">
      <w:pPr>
        <w:spacing w:after="240" w:line="480" w:lineRule="auto"/>
        <w:jc w:val="both"/>
        <w:rPr>
          <w:rFonts w:ascii="Times New Roman" w:eastAsia="Times New Roman" w:hAnsi="Times New Roman" w:cs="Times New Roman"/>
          <w:sz w:val="24"/>
          <w:szCs w:val="24"/>
        </w:rPr>
      </w:pPr>
      <w:r w:rsidRPr="002A21EF">
        <w:rPr>
          <w:rFonts w:ascii="Times New Roman" w:eastAsia="Times New Roman" w:hAnsi="Times New Roman" w:cs="Times New Roman"/>
          <w:sz w:val="24"/>
          <w:szCs w:val="24"/>
        </w:rPr>
        <w:t xml:space="preserve">   Ceci étant, l’ère était marquait par des œuvres de combat qui dégageait la personnalité et la sensibilité des auteurs dans une langue qui devenait la langue de la culture de toute l’Europe.</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b/>
          <w:sz w:val="24"/>
          <w:szCs w:val="24"/>
          <w:lang w:eastAsia="en-US"/>
        </w:rPr>
        <w:t>II.2 le roman historique au XIX</w:t>
      </w:r>
      <w:r w:rsidRPr="002A21EF">
        <w:rPr>
          <w:rFonts w:ascii="Times New Roman" w:eastAsia="Calibri" w:hAnsi="Times New Roman" w:cs="Times New Roman"/>
          <w:b/>
          <w:sz w:val="24"/>
          <w:szCs w:val="24"/>
          <w:vertAlign w:val="superscript"/>
          <w:lang w:eastAsia="en-US"/>
        </w:rPr>
        <w:t xml:space="preserve">e </w:t>
      </w:r>
      <w:r w:rsidRPr="002A21EF">
        <w:rPr>
          <w:rFonts w:ascii="Times New Roman" w:eastAsia="Calibri" w:hAnsi="Times New Roman" w:cs="Times New Roman"/>
          <w:b/>
          <w:sz w:val="24"/>
          <w:szCs w:val="24"/>
          <w:lang w:eastAsia="en-US"/>
        </w:rPr>
        <w:t xml:space="preserve">siècle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Au cours des premières années du siècle, on se contentait de quelques œuvres tenues pour modèles, tel que la recherche historique de </w:t>
      </w:r>
      <w:r w:rsidRPr="002A21EF">
        <w:rPr>
          <w:rFonts w:ascii="Times New Roman" w:eastAsia="Calibri" w:hAnsi="Times New Roman" w:cs="Times New Roman"/>
          <w:i/>
          <w:sz w:val="24"/>
          <w:szCs w:val="24"/>
          <w:lang w:eastAsia="en-US"/>
        </w:rPr>
        <w:t>Mezeray</w:t>
      </w:r>
      <w:r w:rsidRPr="002A21EF">
        <w:rPr>
          <w:rFonts w:ascii="Times New Roman" w:eastAsia="Calibri" w:hAnsi="Times New Roman" w:cs="Times New Roman"/>
          <w:sz w:val="24"/>
          <w:szCs w:val="24"/>
          <w:lang w:eastAsia="en-US"/>
        </w:rPr>
        <w:t>,  </w:t>
      </w:r>
      <w:r w:rsidRPr="002A21EF">
        <w:rPr>
          <w:rFonts w:ascii="Times New Roman" w:eastAsia="Calibri" w:hAnsi="Times New Roman" w:cs="Times New Roman"/>
          <w:i/>
          <w:sz w:val="24"/>
          <w:szCs w:val="24"/>
          <w:lang w:eastAsia="en-US"/>
        </w:rPr>
        <w:t>l’Histoire de France </w:t>
      </w:r>
      <w:r w:rsidRPr="002A21EF">
        <w:rPr>
          <w:rFonts w:ascii="Times New Roman" w:eastAsia="Calibri" w:hAnsi="Times New Roman" w:cs="Times New Roman"/>
          <w:i/>
          <w:sz w:val="24"/>
          <w:vertAlign w:val="superscript"/>
          <w:lang w:eastAsia="en-US"/>
        </w:rPr>
        <w:footnoteReference w:id="54"/>
      </w:r>
      <w:r w:rsidRPr="002A21EF">
        <w:rPr>
          <w:rFonts w:ascii="Times New Roman" w:eastAsia="Calibri" w:hAnsi="Times New Roman" w:cs="Times New Roman"/>
          <w:i/>
          <w:sz w:val="24"/>
          <w:szCs w:val="24"/>
          <w:lang w:eastAsia="en-US"/>
        </w:rPr>
        <w:t xml:space="preserve"> </w:t>
      </w:r>
      <w:r w:rsidRPr="002A21EF">
        <w:rPr>
          <w:rFonts w:ascii="Times New Roman" w:eastAsia="Calibri" w:hAnsi="Times New Roman" w:cs="Times New Roman"/>
          <w:sz w:val="24"/>
          <w:szCs w:val="24"/>
          <w:lang w:eastAsia="en-US"/>
        </w:rPr>
        <w:t>(1643-1651), ou  encore l’ouvrage de l</w:t>
      </w:r>
      <w:r w:rsidRPr="002A21EF">
        <w:rPr>
          <w:rFonts w:ascii="Times New Roman" w:eastAsia="Calibri" w:hAnsi="Times New Roman" w:cs="Times New Roman"/>
          <w:i/>
          <w:sz w:val="24"/>
          <w:szCs w:val="24"/>
          <w:lang w:eastAsia="en-US"/>
        </w:rPr>
        <w:t>’abbé Velly</w:t>
      </w:r>
      <w:r w:rsidRPr="002A21EF">
        <w:rPr>
          <w:rFonts w:ascii="Times New Roman" w:eastAsia="Calibri" w:hAnsi="Times New Roman" w:cs="Times New Roman"/>
          <w:sz w:val="24"/>
          <w:szCs w:val="24"/>
          <w:lang w:eastAsia="en-US"/>
        </w:rPr>
        <w:t xml:space="preserve"> décédé en 1723.</w:t>
      </w:r>
      <w:r w:rsidRPr="002A21EF">
        <w:rPr>
          <w:rFonts w:ascii="Times New Roman" w:eastAsia="Calibri" w:hAnsi="Times New Roman" w:cs="Times New Roman"/>
          <w:sz w:val="24"/>
          <w:vertAlign w:val="superscript"/>
          <w:lang w:eastAsia="en-US"/>
        </w:rPr>
        <w:footnoteReference w:id="55"/>
      </w:r>
      <w:r w:rsidRPr="002A21EF">
        <w:rPr>
          <w:rFonts w:ascii="Times New Roman" w:eastAsia="Calibri" w:hAnsi="Times New Roman" w:cs="Times New Roman"/>
          <w:sz w:val="24"/>
          <w:szCs w:val="24"/>
          <w:lang w:eastAsia="en-US"/>
        </w:rPr>
        <w:t xml:space="preserve"> Il s’agissait d’une suite de relations et d’évènements, interprétés selon la psychologie des rois et des grands hommes qui tentaient, tant bien que mal, d’assouvir la curiosité dans la matière historique.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A partir de la Révolution, le siècle a été marqué par l’alphabétisation généralisée des Français, aussi, le genre se déterminait de plus en plus, par l’expansion générale de la notion de sciences, et la concrétisation des évènements des doctrines socialistes </w:t>
      </w:r>
      <w:r w:rsidRPr="002A21EF">
        <w:rPr>
          <w:rFonts w:ascii="Times New Roman" w:eastAsia="Calibri" w:hAnsi="Times New Roman" w:cs="Times New Roman"/>
          <w:sz w:val="24"/>
          <w:vertAlign w:val="superscript"/>
          <w:lang w:eastAsia="en-US"/>
        </w:rPr>
        <w:footnoteReference w:id="56"/>
      </w:r>
      <w:r w:rsidRPr="002A21EF">
        <w:rPr>
          <w:rFonts w:ascii="Times New Roman" w:eastAsia="Calibri" w:hAnsi="Times New Roman" w:cs="Times New Roman"/>
          <w:sz w:val="24"/>
          <w:szCs w:val="24"/>
          <w:lang w:eastAsia="en-US"/>
        </w:rPr>
        <w:t>et communistes.</w:t>
      </w:r>
      <w:r w:rsidRPr="002A21EF">
        <w:rPr>
          <w:rFonts w:ascii="Times New Roman" w:eastAsia="Calibri" w:hAnsi="Times New Roman" w:cs="Times New Roman"/>
          <w:sz w:val="24"/>
          <w:vertAlign w:val="superscript"/>
          <w:lang w:eastAsia="en-US"/>
        </w:rPr>
        <w:footnoteReference w:id="57"/>
      </w:r>
      <w:r w:rsidRPr="002A21EF">
        <w:rPr>
          <w:rFonts w:ascii="Times New Roman" w:eastAsia="Calibri" w:hAnsi="Times New Roman" w:cs="Times New Roman"/>
          <w:sz w:val="24"/>
          <w:szCs w:val="24"/>
          <w:lang w:eastAsia="en-US"/>
        </w:rPr>
        <w:t xml:space="preserve"> Tant de révoltes traduites par  la succession de différents systèmes politiques qui cherchaient tantôt  à répondre, et tantôt  à s'opposer aux aspirations démocratiques nouvelles, ainsi qu’aux transformations économiques qui s'accéléraient avec l'industrialisation, la colonisation et avec les conflits entre les puissances européennes. </w:t>
      </w:r>
    </w:p>
    <w:p w:rsidR="002A21EF" w:rsidRDefault="002A21EF" w:rsidP="002A21EF">
      <w:pPr>
        <w:spacing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Cependant, grâce à  l’ascension et la chute de Napoléon, que  la notion de l’histoire fit pour la première fois, une expérience vécue des masses, à  l’échelle nationale et européenne.  Ceci étant, sous la dynastie de Napoléon I</w:t>
      </w:r>
      <w:r w:rsidRPr="002A21EF">
        <w:rPr>
          <w:rFonts w:ascii="Times New Roman" w:eastAsia="Calibri" w:hAnsi="Times New Roman" w:cs="Times New Roman"/>
          <w:sz w:val="24"/>
          <w:szCs w:val="24"/>
          <w:vertAlign w:val="superscript"/>
          <w:lang w:eastAsia="en-US"/>
        </w:rPr>
        <w:t>er,</w:t>
      </w:r>
      <w:r w:rsidRPr="002A21EF">
        <w:rPr>
          <w:rFonts w:ascii="Times New Roman" w:eastAsia="Calibri" w:hAnsi="Times New Roman" w:cs="Times New Roman"/>
          <w:sz w:val="24"/>
          <w:szCs w:val="24"/>
          <w:lang w:eastAsia="en-US"/>
        </w:rPr>
        <w:t xml:space="preserve"> l’enseignement de l’Histoire fut instauré comme</w:t>
      </w:r>
    </w:p>
    <w:p w:rsidR="002A21EF" w:rsidRPr="002A21EF" w:rsidRDefault="002A21EF" w:rsidP="002A21E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A21EF">
        <w:rPr>
          <w:rFonts w:ascii="Times New Roman" w:eastAsia="Times New Roman" w:hAnsi="Times New Roman" w:cs="Times New Roman"/>
          <w:sz w:val="28"/>
          <w:szCs w:val="28"/>
          <w:lang w:eastAsia="en-US"/>
        </w:rPr>
        <w:lastRenderedPageBreak/>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2A21EF" w:rsidRDefault="002A21EF">
      <w:pPr>
        <w:rPr>
          <w:rFonts w:ascii="Times New Roman" w:eastAsia="Calibri" w:hAnsi="Times New Roman" w:cs="Times New Roman"/>
          <w:sz w:val="24"/>
          <w:szCs w:val="24"/>
          <w:lang w:eastAsia="en-US"/>
        </w:rPr>
      </w:pP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Discipline à part entière, pour permettre de glorifier les qualités et les conquêtes de L’Empereur des Lumières, et concilier la succession des dynasties avec celle des Lumières et de la révolution. D’où l’importance majeure accordée à ses bibliothèques portatives dans  la recherche historique.  </w:t>
      </w:r>
    </w:p>
    <w:p w:rsidR="002A21EF" w:rsidRPr="002A21EF" w:rsidRDefault="002A21EF" w:rsidP="002A21EF">
      <w:pPr>
        <w:spacing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L’intérêt d’enregistrer le passé national et la volonté de lier les évènements à des perspectives globales, tout comme le goût pour la dramatisation assignait à l’époque,  le temps de l’Histoire. De ce fait, l’Histoire s’imposa comme « la science des sciences » et le modèle de la scientificité. Autrement dit, il y avait une sorte de modernité littéraire qui s’affirmait grâce à l’Histoire mouvementée et aux courants marquants qui touchaient tous les arts, comme le romantisme, le réalisme, le naturalisme ou encore le symbolisme.</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 </w:t>
      </w:r>
      <w:r w:rsidRPr="002A21EF">
        <w:rPr>
          <w:rFonts w:ascii="Times New Roman" w:eastAsia="Calibri" w:hAnsi="Times New Roman" w:cs="Times New Roman"/>
          <w:i/>
          <w:iCs/>
          <w:sz w:val="24"/>
          <w:szCs w:val="24"/>
          <w:lang w:eastAsia="en-US"/>
        </w:rPr>
        <w:t>l’ensemble des travaux qui ont pour but de trouver dans l’étude des faits historiques, la loi de génération des phénomènes sociaux, afin de prévoir l’avenir politique du genre humain, et d’éclairer le présent au flambeau de ses futures destinées.</w:t>
      </w:r>
      <w:r w:rsidRPr="002A21EF">
        <w:rPr>
          <w:rFonts w:ascii="Times New Roman" w:eastAsia="Calibri" w:hAnsi="Times New Roman" w:cs="Times New Roman"/>
          <w:sz w:val="24"/>
          <w:szCs w:val="24"/>
          <w:lang w:eastAsia="en-US"/>
        </w:rPr>
        <w:t xml:space="preserve"> » </w:t>
      </w:r>
      <w:r w:rsidRPr="002A21EF">
        <w:rPr>
          <w:rFonts w:ascii="Times New Roman" w:eastAsia="Calibri" w:hAnsi="Times New Roman" w:cs="Times New Roman"/>
          <w:sz w:val="24"/>
          <w:vertAlign w:val="superscript"/>
          <w:lang w:eastAsia="en-US"/>
        </w:rPr>
        <w:footnoteReference w:id="58"/>
      </w:r>
      <w:r w:rsidRPr="002A21EF">
        <w:rPr>
          <w:rFonts w:ascii="Times New Roman" w:eastAsia="Calibri" w:hAnsi="Times New Roman" w:cs="Times New Roman"/>
          <w:sz w:val="24"/>
          <w:szCs w:val="24"/>
          <w:lang w:eastAsia="en-US"/>
        </w:rPr>
        <w:t xml:space="preserv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La nouvelle conception s’est trouvée force et inspiration dans les traductions de l’écrivain écossais, Walter Scott, en 1820. Le romancier entreprit de mettre en scène chaque période de l’Histoire de son pays  afin d’étudier la composition de la nation écossaise du XVIII</w:t>
      </w:r>
      <w:r w:rsidRPr="002A21EF">
        <w:rPr>
          <w:rFonts w:ascii="Times New Roman" w:eastAsia="Calibri" w:hAnsi="Times New Roman" w:cs="Times New Roman"/>
          <w:sz w:val="24"/>
          <w:szCs w:val="24"/>
          <w:vertAlign w:val="superscript"/>
          <w:lang w:eastAsia="en-US"/>
        </w:rPr>
        <w:t xml:space="preserve">e </w:t>
      </w:r>
      <w:r w:rsidRPr="002A21EF">
        <w:rPr>
          <w:rFonts w:ascii="Times New Roman" w:eastAsia="Calibri" w:hAnsi="Times New Roman" w:cs="Times New Roman"/>
          <w:sz w:val="24"/>
          <w:szCs w:val="24"/>
          <w:lang w:eastAsia="en-US"/>
        </w:rPr>
        <w:t xml:space="preserve">siècle, et cela sous leur plus haut degré de réalité. Autrement dit, la nouveauté résidait dans la présentation sociétale, de la couleur locale comme toile de fond, et de la délimitation du temps et du lieu. Bref, une incarnation humaine des types historico-sociaux.  </w:t>
      </w:r>
    </w:p>
    <w:p w:rsidR="002A21EF" w:rsidRDefault="002A21EF" w:rsidP="002A21EF">
      <w:pPr>
        <w:spacing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En France, de nombreux romanciers ont adoptés la nouvelle conception. Balzac fut le premier disciple dont l’intrigue des  </w:t>
      </w:r>
      <w:r w:rsidRPr="002A21EF">
        <w:rPr>
          <w:rFonts w:ascii="Times New Roman" w:eastAsia="Calibri" w:hAnsi="Times New Roman" w:cs="Times New Roman"/>
          <w:i/>
          <w:sz w:val="24"/>
          <w:szCs w:val="24"/>
          <w:lang w:eastAsia="en-US"/>
        </w:rPr>
        <w:t xml:space="preserve">Les </w:t>
      </w:r>
      <w:r w:rsidRPr="002A21EF">
        <w:rPr>
          <w:rFonts w:ascii="Times New Roman" w:eastAsia="Calibri" w:hAnsi="Times New Roman" w:cs="Times New Roman"/>
          <w:sz w:val="24"/>
          <w:szCs w:val="24"/>
          <w:lang w:eastAsia="en-US"/>
        </w:rPr>
        <w:t xml:space="preserve">Illusions </w:t>
      </w:r>
      <w:r w:rsidRPr="002A21EF">
        <w:rPr>
          <w:rFonts w:ascii="Times New Roman" w:eastAsia="Calibri" w:hAnsi="Times New Roman" w:cs="Times New Roman"/>
          <w:i/>
          <w:sz w:val="24"/>
          <w:szCs w:val="24"/>
          <w:lang w:eastAsia="en-US"/>
        </w:rPr>
        <w:t xml:space="preserve">perdues, </w:t>
      </w:r>
      <w:r w:rsidRPr="002A21EF">
        <w:rPr>
          <w:rFonts w:ascii="Times New Roman" w:eastAsia="Calibri" w:hAnsi="Times New Roman" w:cs="Times New Roman"/>
          <w:sz w:val="24"/>
          <w:szCs w:val="24"/>
          <w:lang w:eastAsia="en-US"/>
        </w:rPr>
        <w:t>située en 1821</w:t>
      </w:r>
      <w:r w:rsidRPr="002A21EF">
        <w:rPr>
          <w:rFonts w:ascii="Times New Roman" w:eastAsia="Calibri" w:hAnsi="Times New Roman" w:cs="Times New Roman"/>
          <w:i/>
          <w:sz w:val="24"/>
          <w:szCs w:val="24"/>
          <w:lang w:eastAsia="en-US"/>
        </w:rPr>
        <w:t xml:space="preserve"> </w:t>
      </w:r>
      <w:r w:rsidRPr="002A21EF">
        <w:rPr>
          <w:rFonts w:ascii="Times New Roman" w:eastAsia="Calibri" w:hAnsi="Times New Roman" w:cs="Times New Roman"/>
          <w:sz w:val="24"/>
          <w:szCs w:val="24"/>
          <w:lang w:eastAsia="en-US"/>
        </w:rPr>
        <w:t xml:space="preserve">témoigne de sa fidélité à son maître. Toutefois, toute </w:t>
      </w:r>
      <w:r w:rsidRPr="002A21EF">
        <w:rPr>
          <w:rFonts w:ascii="Times New Roman" w:eastAsia="Calibri" w:hAnsi="Times New Roman" w:cs="Times New Roman"/>
          <w:i/>
          <w:sz w:val="24"/>
          <w:szCs w:val="24"/>
          <w:lang w:eastAsia="en-US"/>
        </w:rPr>
        <w:t xml:space="preserve">La Comédie Humaine </w:t>
      </w:r>
      <w:r w:rsidRPr="002A21EF">
        <w:rPr>
          <w:rFonts w:ascii="Times New Roman" w:eastAsia="Calibri" w:hAnsi="Times New Roman" w:cs="Times New Roman"/>
          <w:sz w:val="24"/>
          <w:szCs w:val="24"/>
          <w:lang w:eastAsia="en-US"/>
        </w:rPr>
        <w:t>était inséparable de l’Histoire</w:t>
      </w:r>
    </w:p>
    <w:p w:rsidR="002A21EF" w:rsidRDefault="002A21EF">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2A21EF" w:rsidRPr="002A21EF" w:rsidRDefault="002A21EF" w:rsidP="002A21E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A21EF">
        <w:rPr>
          <w:rFonts w:ascii="Times New Roman" w:eastAsia="Times New Roman" w:hAnsi="Times New Roman" w:cs="Times New Roman"/>
          <w:sz w:val="28"/>
          <w:szCs w:val="28"/>
          <w:lang w:eastAsia="en-US"/>
        </w:rPr>
        <w:lastRenderedPageBreak/>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line="480" w:lineRule="auto"/>
        <w:jc w:val="both"/>
        <w:rPr>
          <w:rFonts w:ascii="Times New Roman" w:eastAsia="Calibri" w:hAnsi="Times New Roman" w:cs="Times New Roman"/>
          <w:sz w:val="24"/>
          <w:szCs w:val="24"/>
          <w:lang w:eastAsia="en-US"/>
        </w:rPr>
      </w:pP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contemporaine. C'est-à-dire que, toute son œuvre est l’histoire complète de la coordination de la nouvelle France révolutionnée. Par conséquence, chaque chapitre serait un roman, et chaque roman une époque, d’ailleurs, il nous le confie si bien dans une préface de Barbéris, « </w:t>
      </w:r>
      <w:r w:rsidRPr="002A21EF">
        <w:rPr>
          <w:rFonts w:ascii="Times New Roman" w:eastAsia="Calibri" w:hAnsi="Times New Roman" w:cs="Times New Roman"/>
          <w:i/>
          <w:iCs/>
          <w:sz w:val="24"/>
          <w:szCs w:val="24"/>
          <w:lang w:eastAsia="en-US"/>
        </w:rPr>
        <w:t>la société française allait être l’historien, je ne devais être que le secrétaire</w:t>
      </w:r>
      <w:r w:rsidRPr="002A21EF">
        <w:rPr>
          <w:rFonts w:ascii="Times New Roman" w:eastAsia="Calibri" w:hAnsi="Times New Roman" w:cs="Times New Roman"/>
          <w:sz w:val="24"/>
          <w:szCs w:val="24"/>
          <w:lang w:eastAsia="en-US"/>
        </w:rPr>
        <w:t> »</w:t>
      </w:r>
      <w:r w:rsidRPr="002A21EF">
        <w:rPr>
          <w:rFonts w:ascii="Times New Roman" w:eastAsia="Calibri" w:hAnsi="Times New Roman" w:cs="Times New Roman"/>
          <w:sz w:val="24"/>
          <w:vertAlign w:val="superscript"/>
          <w:lang w:eastAsia="en-US"/>
        </w:rPr>
        <w:footnoteReference w:id="59"/>
      </w:r>
      <w:r w:rsidRPr="002A21EF">
        <w:rPr>
          <w:rFonts w:ascii="Times New Roman" w:eastAsia="Calibri" w:hAnsi="Times New Roman" w:cs="Times New Roman"/>
          <w:sz w:val="24"/>
          <w:szCs w:val="24"/>
          <w:lang w:eastAsia="en-US"/>
        </w:rPr>
        <w:t xml:space="preserve">. C’est ainsi que, le brillant analyste réussissait à mettre à jour, l’atomisation de la société en individus. Il admit d’étudier en simultanée et dans le détail, une France nouvelle et révolutionnée.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Contrairement à lui, Dumas, se définit  en opposant le drame contre la comédie. </w:t>
      </w:r>
      <w:r w:rsidRPr="002A21EF">
        <w:rPr>
          <w:rFonts w:ascii="Times New Roman" w:eastAsia="Calibri" w:hAnsi="Times New Roman" w:cs="Times New Roman"/>
          <w:i/>
          <w:iCs/>
          <w:sz w:val="24"/>
          <w:szCs w:val="24"/>
          <w:lang w:eastAsia="en-US"/>
        </w:rPr>
        <w:t>« Chaque race a son point de départ, son point culminant et sa décadence </w:t>
      </w:r>
      <w:r w:rsidRPr="002A21EF">
        <w:rPr>
          <w:rFonts w:ascii="Times New Roman" w:eastAsia="Calibri" w:hAnsi="Times New Roman" w:cs="Times New Roman"/>
          <w:sz w:val="24"/>
          <w:szCs w:val="24"/>
          <w:lang w:eastAsia="en-US"/>
        </w:rPr>
        <w:t>»</w:t>
      </w:r>
      <w:r w:rsidRPr="002A21EF">
        <w:rPr>
          <w:rFonts w:ascii="Times New Roman" w:eastAsia="Calibri" w:hAnsi="Times New Roman" w:cs="Times New Roman"/>
          <w:sz w:val="24"/>
          <w:vertAlign w:val="superscript"/>
          <w:lang w:eastAsia="en-US"/>
        </w:rPr>
        <w:footnoteReference w:id="60"/>
      </w:r>
      <w:r w:rsidRPr="002A21EF">
        <w:rPr>
          <w:rFonts w:ascii="Times New Roman" w:eastAsia="Calibri" w:hAnsi="Times New Roman" w:cs="Times New Roman"/>
          <w:sz w:val="24"/>
          <w:szCs w:val="24"/>
          <w:lang w:eastAsia="en-US"/>
        </w:rPr>
        <w:t xml:space="preserve"> Il entreprend de mettre les cycles successifs de L’Histoire de France pour leur donner un sens et les rendre plus compréhensible. Ainsi,  </w:t>
      </w:r>
      <w:r w:rsidRPr="002A21EF">
        <w:rPr>
          <w:rFonts w:ascii="Times New Roman" w:eastAsia="Calibri" w:hAnsi="Times New Roman" w:cs="Times New Roman"/>
          <w:i/>
          <w:sz w:val="24"/>
          <w:szCs w:val="24"/>
          <w:lang w:eastAsia="en-US"/>
        </w:rPr>
        <w:t>les trois Mousquetaires,</w:t>
      </w:r>
      <w:r w:rsidRPr="002A21EF">
        <w:rPr>
          <w:rFonts w:ascii="Times New Roman" w:eastAsia="Calibri" w:hAnsi="Times New Roman" w:cs="Times New Roman"/>
          <w:sz w:val="24"/>
          <w:szCs w:val="24"/>
          <w:lang w:eastAsia="en-US"/>
        </w:rPr>
        <w:t xml:space="preserve"> (1848) est la première partie d’une trilogie qui combine les prestiges du roman historique et du roman feuilleton. Un cycle de vie, en évolution avec la succession des dynasties et des régimes qui narrent parfaitement  la montée de l’astre Bourbon, dont  </w:t>
      </w:r>
      <w:r w:rsidRPr="002A21EF">
        <w:rPr>
          <w:rFonts w:ascii="Times New Roman" w:eastAsia="Calibri" w:hAnsi="Times New Roman" w:cs="Times New Roman"/>
          <w:i/>
          <w:sz w:val="24"/>
          <w:szCs w:val="24"/>
          <w:lang w:eastAsia="en-US"/>
        </w:rPr>
        <w:t xml:space="preserve">Les Mémoires d’un médecin,  </w:t>
      </w:r>
      <w:r w:rsidRPr="002A21EF">
        <w:rPr>
          <w:rFonts w:ascii="Times New Roman" w:eastAsia="Calibri" w:hAnsi="Times New Roman" w:cs="Times New Roman"/>
          <w:sz w:val="24"/>
          <w:szCs w:val="24"/>
          <w:lang w:eastAsia="en-US"/>
        </w:rPr>
        <w:t xml:space="preserve"> mettront en scène le déclin et la fin.                                                  </w:t>
      </w:r>
    </w:p>
    <w:p w:rsidR="002A21EF" w:rsidRDefault="002A21EF" w:rsidP="002A21EF">
      <w:pPr>
        <w:spacing w:after="0" w:line="480" w:lineRule="auto"/>
        <w:jc w:val="both"/>
        <w:rPr>
          <w:rFonts w:ascii="Times New Roman" w:eastAsia="Calibri" w:hAnsi="Times New Roman" w:cs="Times New Roman"/>
          <w:i/>
          <w:iCs/>
          <w:sz w:val="24"/>
          <w:szCs w:val="24"/>
          <w:lang w:eastAsia="en-US"/>
        </w:rPr>
      </w:pPr>
      <w:r w:rsidRPr="002A21EF">
        <w:rPr>
          <w:rFonts w:ascii="Times New Roman" w:eastAsia="Calibri" w:hAnsi="Times New Roman" w:cs="Times New Roman"/>
          <w:sz w:val="24"/>
          <w:szCs w:val="24"/>
          <w:lang w:eastAsia="en-US"/>
        </w:rPr>
        <w:t xml:space="preserve">  Dans la même période, Victor Hugo conçoit que l’histoire est faite de manière contradictoire. Plutôt, comme une épopée, dans laquelle les hommes réalisent les desseins d’un Dieu immanent, dont le principe est de réaliser l’unité du visible et de l’invisible. Ou comme une tragédie, où la conscience humaine fait l’expérience de l’éloignement de l’idéal, de la distance qui sépare les hommes et le sens. Aussi, chaque personnage de son  roman  s’inspire d’acteurs réels, et devient un symbole. C’est le cas de  </w:t>
      </w:r>
      <w:r w:rsidRPr="002A21EF">
        <w:rPr>
          <w:rFonts w:ascii="Times New Roman" w:eastAsia="Calibri" w:hAnsi="Times New Roman" w:cs="Times New Roman"/>
          <w:i/>
          <w:sz w:val="24"/>
          <w:szCs w:val="24"/>
          <w:lang w:eastAsia="en-US"/>
        </w:rPr>
        <w:t>Notre-Dame de Paris, </w:t>
      </w:r>
      <w:r w:rsidRPr="002A21EF">
        <w:rPr>
          <w:rFonts w:ascii="Times New Roman" w:eastAsia="Calibri" w:hAnsi="Times New Roman" w:cs="Times New Roman"/>
          <w:sz w:val="24"/>
          <w:szCs w:val="24"/>
          <w:lang w:eastAsia="en-US"/>
        </w:rPr>
        <w:t xml:space="preserve"> et il en est de même, pour les pages historiques des </w:t>
      </w:r>
      <w:r w:rsidRPr="002A21EF">
        <w:rPr>
          <w:rFonts w:ascii="Times New Roman" w:eastAsia="Calibri" w:hAnsi="Times New Roman" w:cs="Times New Roman"/>
          <w:i/>
          <w:sz w:val="24"/>
          <w:szCs w:val="24"/>
          <w:lang w:eastAsia="en-US"/>
        </w:rPr>
        <w:t>Misérables</w:t>
      </w:r>
      <w:r w:rsidRPr="002A21EF">
        <w:rPr>
          <w:rFonts w:ascii="Times New Roman" w:eastAsia="Calibri" w:hAnsi="Times New Roman" w:cs="Times New Roman"/>
          <w:sz w:val="24"/>
          <w:szCs w:val="24"/>
          <w:lang w:eastAsia="en-US"/>
        </w:rPr>
        <w:t xml:space="preserve"> (l’insurrection de 1838).  Autrement dit, le roman se charge de la couleur locale en choisissant le lieu et l’époque et que « </w:t>
      </w:r>
      <w:r w:rsidRPr="002A21EF">
        <w:rPr>
          <w:rFonts w:ascii="Times New Roman" w:eastAsia="Calibri" w:hAnsi="Times New Roman" w:cs="Times New Roman"/>
          <w:i/>
          <w:iCs/>
          <w:sz w:val="24"/>
          <w:szCs w:val="24"/>
          <w:lang w:eastAsia="en-US"/>
        </w:rPr>
        <w:t>l’histoire</w:t>
      </w:r>
    </w:p>
    <w:p w:rsidR="002A21EF" w:rsidRDefault="002A21EF">
      <w:pPr>
        <w:rPr>
          <w:rFonts w:ascii="Times New Roman" w:eastAsia="Calibri" w:hAnsi="Times New Roman" w:cs="Times New Roman"/>
          <w:i/>
          <w:iCs/>
          <w:sz w:val="24"/>
          <w:szCs w:val="24"/>
          <w:lang w:eastAsia="en-US"/>
        </w:rPr>
      </w:pPr>
      <w:r>
        <w:rPr>
          <w:rFonts w:ascii="Times New Roman" w:eastAsia="Calibri" w:hAnsi="Times New Roman" w:cs="Times New Roman"/>
          <w:i/>
          <w:iCs/>
          <w:sz w:val="24"/>
          <w:szCs w:val="24"/>
          <w:lang w:eastAsia="en-US"/>
        </w:rPr>
        <w:br w:type="page"/>
      </w:r>
    </w:p>
    <w:p w:rsidR="002A21EF" w:rsidRPr="002A21EF" w:rsidRDefault="002A21EF" w:rsidP="002A21E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A21EF">
        <w:rPr>
          <w:rFonts w:ascii="Times New Roman" w:eastAsia="Times New Roman" w:hAnsi="Times New Roman" w:cs="Times New Roman"/>
          <w:sz w:val="28"/>
          <w:szCs w:val="28"/>
          <w:lang w:eastAsia="en-US"/>
        </w:rPr>
        <w:lastRenderedPageBreak/>
        <w:t>Chapitre II : Aperçu historique</w:t>
      </w:r>
    </w:p>
    <w:p w:rsidR="002A21EF" w:rsidRPr="002A21EF" w:rsidRDefault="002A21EF" w:rsidP="002A21EF">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after="0" w:line="480" w:lineRule="auto"/>
        <w:jc w:val="both"/>
        <w:rPr>
          <w:rFonts w:ascii="Times New Roman" w:eastAsia="Calibri" w:hAnsi="Times New Roman" w:cs="Times New Roman"/>
          <w:sz w:val="24"/>
          <w:szCs w:val="24"/>
          <w:lang w:eastAsia="en-US"/>
        </w:rPr>
      </w:pPr>
    </w:p>
    <w:p w:rsidR="002A21EF" w:rsidRPr="002A21EF" w:rsidRDefault="002A21EF" w:rsidP="002A21EF">
      <w:pPr>
        <w:spacing w:after="0" w:line="480" w:lineRule="auto"/>
        <w:jc w:val="both"/>
        <w:rPr>
          <w:rFonts w:ascii="Times New Roman" w:eastAsia="Calibri" w:hAnsi="Times New Roman" w:cs="Times New Roman"/>
          <w:i/>
          <w:iCs/>
          <w:sz w:val="24"/>
          <w:szCs w:val="24"/>
          <w:lang w:eastAsia="en-US"/>
        </w:rPr>
      </w:pPr>
      <w:r w:rsidRPr="002A21EF">
        <w:rPr>
          <w:rFonts w:ascii="Times New Roman" w:eastAsia="Calibri" w:hAnsi="Times New Roman" w:cs="Times New Roman"/>
          <w:i/>
          <w:iCs/>
          <w:sz w:val="24"/>
          <w:szCs w:val="24"/>
          <w:lang w:eastAsia="en-US"/>
        </w:rPr>
        <w:t>est une configuration d’interactions politiques et sociales, une page arrachée au livre du destin. »</w:t>
      </w:r>
      <w:r w:rsidRPr="002A21EF">
        <w:rPr>
          <w:rFonts w:ascii="Times New Roman" w:eastAsia="Calibri" w:hAnsi="Times New Roman" w:cs="Times New Roman"/>
          <w:i/>
          <w:iCs/>
          <w:sz w:val="24"/>
          <w:szCs w:val="24"/>
          <w:vertAlign w:val="superscript"/>
          <w:lang w:eastAsia="en-US"/>
        </w:rPr>
        <w:footnoteReference w:id="61"/>
      </w:r>
      <w:r w:rsidRPr="002A21EF">
        <w:rPr>
          <w:rFonts w:ascii="Times New Roman" w:eastAsia="Calibri" w:hAnsi="Times New Roman" w:cs="Times New Roman"/>
          <w:i/>
          <w:iCs/>
          <w:sz w:val="24"/>
          <w:szCs w:val="24"/>
          <w:lang w:eastAsia="en-US"/>
        </w:rPr>
        <w:t xml:space="preserve">  </w:t>
      </w:r>
    </w:p>
    <w:p w:rsidR="002A21EF" w:rsidRPr="002A21EF"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Mais le succès immense du genre sera interrompu avec la chute de l’Empire. En  effet, l’impuissance des écrivains à répondre à leurs aspirations face à la réalité « décadente » observée, les pousse vers un mal de vivre, violemment ressentie à travers les œuvres de Rousseau et de Stendhal. Ce dernier (ancien intendant militaire de l’époque Napoléonienne), nous décrit la  société de la France de la Restauration, comme un monde médiocre où dominent la friponnerie et les conspirations. Elle est d’autant plus,  réduite à une simple survivance archaïque, où les valeurs héroïques n’existent plus que dans les rêves nostalgiques. Sa « Chronique du XIX siècle » initialement prévu « Chronique de 1830 », dans </w:t>
      </w:r>
      <w:r w:rsidRPr="002A21EF">
        <w:rPr>
          <w:rFonts w:ascii="Times New Roman" w:eastAsia="Calibri" w:hAnsi="Times New Roman" w:cs="Times New Roman"/>
          <w:i/>
          <w:sz w:val="24"/>
          <w:szCs w:val="24"/>
          <w:lang w:eastAsia="en-US"/>
        </w:rPr>
        <w:t>Le Rouge et Le Noir,</w:t>
      </w:r>
      <w:r w:rsidRPr="002A21EF">
        <w:rPr>
          <w:rFonts w:ascii="Times New Roman" w:eastAsia="Calibri" w:hAnsi="Times New Roman" w:cs="Times New Roman"/>
          <w:sz w:val="24"/>
          <w:szCs w:val="24"/>
          <w:lang w:eastAsia="en-US"/>
        </w:rPr>
        <w:t xml:space="preserve">  donne à lire les aventures de Julien Sorel comme emblématiques de cette époque et représentatives d’une génération marquée par le souvenir de la Révolution et de l’Empire. </w:t>
      </w:r>
    </w:p>
    <w:p w:rsidR="00DC37B3" w:rsidRDefault="002A21EF" w:rsidP="002A21EF">
      <w:pPr>
        <w:spacing w:after="0" w:line="480" w:lineRule="auto"/>
        <w:jc w:val="both"/>
        <w:rPr>
          <w:rFonts w:ascii="Times New Roman" w:eastAsia="Calibri" w:hAnsi="Times New Roman" w:cs="Times New Roman"/>
          <w:sz w:val="24"/>
          <w:szCs w:val="24"/>
          <w:lang w:eastAsia="en-US"/>
        </w:rPr>
      </w:pPr>
      <w:r w:rsidRPr="002A21EF">
        <w:rPr>
          <w:rFonts w:ascii="Times New Roman" w:eastAsia="Calibri" w:hAnsi="Times New Roman" w:cs="Times New Roman"/>
          <w:sz w:val="24"/>
          <w:szCs w:val="24"/>
          <w:lang w:eastAsia="en-US"/>
        </w:rPr>
        <w:t xml:space="preserve">   La banalisation de  l’idéologie bourgeoise, suite à la  conjoncture de 1848, a mis les auteurs dans une situation paradoxale. En effet, le clivage entre le fait d’assumer leur statut bourgeois et de traduire leurs aspirations face à la réalité observée imprégnaient leurs œuvres d’un sentiment d’impuissance et de pessimisme. De ce fait, la pensée et la parole se sont dégradées et l’Histoire était devenue désespérante. De même pour les productions de Flaubert, elles traduisent la réalité de la morale des hommes de sa génération. D’ailleurs, </w:t>
      </w:r>
      <w:r w:rsidRPr="002A21EF">
        <w:rPr>
          <w:rFonts w:ascii="Times New Roman" w:eastAsia="Calibri" w:hAnsi="Times New Roman" w:cs="Times New Roman"/>
          <w:i/>
          <w:sz w:val="24"/>
          <w:szCs w:val="24"/>
          <w:lang w:eastAsia="en-US"/>
        </w:rPr>
        <w:t>L’Education Sentimentale,</w:t>
      </w:r>
      <w:r w:rsidRPr="002A21EF">
        <w:rPr>
          <w:rFonts w:ascii="Times New Roman" w:eastAsia="Calibri" w:hAnsi="Times New Roman" w:cs="Times New Roman"/>
          <w:sz w:val="24"/>
          <w:szCs w:val="24"/>
          <w:lang w:eastAsia="en-US"/>
        </w:rPr>
        <w:t xml:space="preserve"> est une histoire d’amour à forte teneur historique, où l’auteur veut montrer que l’évolution du Sentimentalisme, depuis 1830, suit la politique et en reproduit les phases. Autrement dit, le héros (Frédéric Moreau) suit le déroulement d’une existence presque banale, et traverse les bouleversements de son époque sans s’y mêler. L’ensemble du roman baigne naturellement, dans la médiocrité, les rêves déçus et le désespoir qui caractérisait l’époque.</w:t>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pPr>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D’ailleurs, la révolution de  1848 est perçue comme une réplique grotesque de la révolution de 1789 : </w:t>
      </w:r>
      <w:r w:rsidRPr="00DC37B3">
        <w:rPr>
          <w:rFonts w:ascii="Times New Roman" w:eastAsia="Calibri" w:hAnsi="Times New Roman" w:cs="Times New Roman"/>
          <w:i/>
          <w:iCs/>
          <w:sz w:val="24"/>
          <w:szCs w:val="24"/>
          <w:lang w:eastAsia="en-US"/>
        </w:rPr>
        <w:t>« la répétition du Même, du Bête.</w:t>
      </w:r>
      <w:r w:rsidRPr="00DC37B3">
        <w:rPr>
          <w:rFonts w:ascii="Times New Roman" w:eastAsia="Calibri" w:hAnsi="Times New Roman" w:cs="Times New Roman"/>
          <w:i/>
          <w:iCs/>
          <w:sz w:val="24"/>
          <w:vertAlign w:val="superscript"/>
          <w:lang w:eastAsia="en-US"/>
        </w:rPr>
        <w:footnoteReference w:id="62"/>
      </w:r>
      <w:r w:rsidRPr="00DC37B3">
        <w:rPr>
          <w:rFonts w:ascii="Times New Roman" w:eastAsia="Calibri" w:hAnsi="Times New Roman" w:cs="Times New Roman"/>
          <w:i/>
          <w:iCs/>
          <w:sz w:val="24"/>
          <w:szCs w:val="24"/>
          <w:lang w:eastAsia="en-US"/>
        </w:rPr>
        <w:t>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 nouvelle mutation manifeste l’opposition à l’ordre établi et le refus de se conformer à l’idéologie bourgeoise, delà naîtra une interprétation globale du monde par les voies d’un réalisme explicatif. Où l’Histoire trouve son expression la plus expressive dans une succession de catastrophes, tel que le témoigne si bien, l’histoire des classes sociales chez Zola. Il s’agit d’une mise en évidence d’une fatalité à l’œuvre qui conduit à la déchéance, à la ruine, ou à la mort. Un fait, qui a permis au  roman historique de s’inscrire dans l’Histoire,  par la description d’un âge social, et le repérage historique exact et précis, de la description de l’analyse des milieux, comme une des conditions sociales qui mettent à jour des rapports et des déterminismes. Tous cela donne à croire que Zola marche  dans la continuité du roman Balzacien.   </w:t>
      </w:r>
    </w:p>
    <w:p w:rsidR="00DC37B3" w:rsidRPr="00DC37B3" w:rsidRDefault="00DC37B3" w:rsidP="00DC37B3">
      <w:pPr>
        <w:spacing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L’excès et l’exagération du genre a fait de l’histoire un genre scientifique plutôt que littéraire, ce qui l’amena au déclin vers la fin du siècle. Suite à cela, une nouvelle poésie, celle  des poètes maudits (Rimbaud,  Mallarmé et Valéry) inspirée du pouvoir du langage et des symboles comme révélateurs de vérités cachées a pu donner à l’art  une vision du monde plus symbolique et plus spirituelle. Un renouveau fondé en 1880 complètement opposé au Naturalisme et au positivisme qui tend à prendre sa revanche sur la misère humaine du siècle, par des moyens d’expressions nouveaux et par un langage lourd de symboles.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b/>
          <w:sz w:val="24"/>
          <w:szCs w:val="24"/>
          <w:lang w:eastAsia="en-US"/>
        </w:rPr>
        <w:t>II.3 Le</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b/>
          <w:sz w:val="24"/>
          <w:szCs w:val="24"/>
          <w:lang w:eastAsia="en-US"/>
        </w:rPr>
        <w:t xml:space="preserve">roman historique au XX </w:t>
      </w:r>
      <w:r w:rsidRPr="00DC37B3">
        <w:rPr>
          <w:rFonts w:ascii="Times New Roman" w:eastAsia="Calibri" w:hAnsi="Times New Roman" w:cs="Times New Roman"/>
          <w:b/>
          <w:sz w:val="24"/>
          <w:szCs w:val="24"/>
          <w:vertAlign w:val="superscript"/>
          <w:lang w:eastAsia="en-US"/>
        </w:rPr>
        <w:t xml:space="preserve">e </w:t>
      </w:r>
      <w:r w:rsidRPr="00DC37B3">
        <w:rPr>
          <w:rFonts w:ascii="Times New Roman" w:eastAsia="Calibri" w:hAnsi="Times New Roman" w:cs="Times New Roman"/>
          <w:b/>
          <w:sz w:val="24"/>
          <w:szCs w:val="24"/>
          <w:lang w:eastAsia="en-US"/>
        </w:rPr>
        <w:t xml:space="preserve">siècle </w:t>
      </w:r>
    </w:p>
    <w:p w:rsidR="00DC37B3" w:rsidRDefault="00DC37B3" w:rsidP="00DC37B3">
      <w:pPr>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Après les romans de la bourgeoisie et les romans napoléoniens, le genre va évoluer dans le contexte historique. En effet, l’émergence du Capitalisme dans les pays développés, et du</w:t>
      </w:r>
      <w:r>
        <w:rPr>
          <w:rFonts w:ascii="Times New Roman" w:eastAsia="Calibri" w:hAnsi="Times New Roman" w:cs="Times New Roman"/>
          <w:sz w:val="24"/>
          <w:szCs w:val="24"/>
          <w:lang w:eastAsia="en-US"/>
        </w:rPr>
        <w:br w:type="page"/>
      </w:r>
    </w:p>
    <w:p w:rsidR="00DC37B3" w:rsidRPr="00DC37B3" w:rsidRDefault="002A21EF" w:rsidP="00DC37B3">
      <w:pPr>
        <w:pStyle w:val="En-tte"/>
        <w:pBdr>
          <w:bottom w:val="thickThinSmallGap" w:sz="24" w:space="1" w:color="622423"/>
        </w:pBdr>
        <w:jc w:val="center"/>
        <w:rPr>
          <w:rFonts w:ascii="Times New Roman" w:eastAsia="Times New Roman" w:hAnsi="Times New Roman"/>
          <w:sz w:val="28"/>
          <w:szCs w:val="28"/>
        </w:rPr>
      </w:pPr>
      <w:r w:rsidRPr="002A21EF">
        <w:rPr>
          <w:rFonts w:ascii="Times New Roman" w:hAnsi="Times New Roman"/>
          <w:i/>
          <w:iCs/>
          <w:sz w:val="24"/>
          <w:szCs w:val="24"/>
        </w:rPr>
        <w:lastRenderedPageBreak/>
        <w:t xml:space="preserve"> </w:t>
      </w:r>
      <w:r w:rsidR="00DC37B3" w:rsidRPr="00DC37B3">
        <w:rPr>
          <w:rFonts w:ascii="Times New Roman" w:eastAsia="Times New Roman" w:hAnsi="Times New Roman"/>
          <w:sz w:val="28"/>
          <w:szCs w:val="28"/>
        </w:rPr>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before="240"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régime Communiste dans les pays économiquement arriérés, multiplient des pratiques politiques différentes (spécifiques poer chaque pays) responsables de la diversification des idéologies et des conflits nationaux et internationaux. Parallèlement, à ces deux courants, et à l’intérieu2 même, de chaque sociétè, le Marxisme s’impose comme l’idéologie officielle du parti oevrier. Mais, toute fois,  ce sont les doctrines socialastec et communistes de la veille de la Révolution, qui ont permis à la classe prolétariat française, de l’aubd du XX </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siècle, d’être l’hiripière d’une riche tradition.</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Tout cela, nous emmène à conclure, encore une fois, que le siècle fut marqué par de nombreuses rivalités : des conflits internationaux (la première et la deuxième guerre mondiale), d’autres coloniaux, (l’Indochine, la guerre de l’Algérie, celle du Vietnam), le nettoyage ethnique  (juifs, Bosnie et au  Rwanda). Une dimension tragique, largement reflétée par la littérature, d’où les récits et témoignages de combattants des deux guerres mondiales, ou d'anciens déportés, ou encore de rescapés de génocides qui  traduisent la volonté de partager une expérience tragique et de l'inscrire dans la mémoire de l'humanité.</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Ainsi, le genre disparaît au profit de récits plus personnels et plus réels qui ont recours à la fiction dans la dénonciation des crimes et de la terreur. Une mutation caractérisée par le soupçon et  la mise en cause du modernisme consécutif, dont émergeront des thèmes dominés par l’angoisse la solitude et la difficulté à communiquer ainsi qu’une interrogation sur l’existence humaine. Parallèlement, l’usage du nucléaire, pour la première fois, à Hiroshima et Nagasaki fut l’évènement décisif, dans le désengagement des auteurs du politique, et leur replie sur l’intime et l’anecdotique. Ainsi, face à la mort et à la révolte, l'écrivain se fait témoin de la conscience de son temps, et de ce fait, toute production est historique qu’elle soit conservatrice ou vériste.</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Il s’agit à la fois d’une prise de conscience individuelle et collective de l’historicité, tout à fait, désillusionnée et dont sont témoins des œuvres comme  </w:t>
      </w:r>
      <w:r w:rsidRPr="00DC37B3">
        <w:rPr>
          <w:rFonts w:ascii="Times New Roman" w:eastAsia="Calibri" w:hAnsi="Times New Roman" w:cs="Times New Roman"/>
          <w:i/>
          <w:sz w:val="24"/>
          <w:szCs w:val="24"/>
          <w:lang w:eastAsia="en-US"/>
        </w:rPr>
        <w:t>« La Nausée »</w:t>
      </w:r>
      <w:r w:rsidRPr="00DC37B3">
        <w:rPr>
          <w:rFonts w:ascii="Times New Roman" w:eastAsia="Calibri" w:hAnsi="Times New Roman" w:cs="Times New Roman"/>
          <w:sz w:val="24"/>
          <w:szCs w:val="24"/>
          <w:lang w:eastAsia="en-US"/>
        </w:rPr>
        <w:t xml:space="preserve"> et </w:t>
      </w:r>
      <w:r w:rsidRPr="00DC37B3">
        <w:rPr>
          <w:rFonts w:ascii="Times New Roman" w:eastAsia="Calibri" w:hAnsi="Times New Roman" w:cs="Times New Roman"/>
          <w:i/>
          <w:sz w:val="24"/>
          <w:szCs w:val="24"/>
          <w:lang w:eastAsia="en-US"/>
        </w:rPr>
        <w:t xml:space="preserve">« Les Chemins de la liberté » </w:t>
      </w:r>
      <w:r w:rsidRPr="00DC37B3">
        <w:rPr>
          <w:rFonts w:ascii="Times New Roman" w:eastAsia="Calibri" w:hAnsi="Times New Roman" w:cs="Times New Roman"/>
          <w:sz w:val="24"/>
          <w:szCs w:val="24"/>
          <w:lang w:eastAsia="en-US"/>
        </w:rPr>
        <w:t>de Jean-Paul Sartre. Des ouvrages monumentaux qui traduisent clairement la  psychologie et l’état d’esprit de l’écrivain et d’une population témoin, face à un crime collectif et universel. Ou encore, celui de Céline, « </w:t>
      </w:r>
      <w:r w:rsidRPr="00DC37B3">
        <w:rPr>
          <w:rFonts w:ascii="Times New Roman" w:eastAsia="Calibri" w:hAnsi="Times New Roman" w:cs="Times New Roman"/>
          <w:i/>
          <w:sz w:val="24"/>
          <w:szCs w:val="24"/>
          <w:lang w:eastAsia="en-US"/>
        </w:rPr>
        <w:t>Voyage au bout de la nuit »</w:t>
      </w:r>
      <w:r w:rsidRPr="00DC37B3">
        <w:rPr>
          <w:rFonts w:ascii="Times New Roman" w:eastAsia="Calibri" w:hAnsi="Times New Roman" w:cs="Times New Roman"/>
          <w:sz w:val="24"/>
          <w:szCs w:val="24"/>
          <w:lang w:eastAsia="en-US"/>
        </w:rPr>
        <w:t xml:space="preserve"> l’ancien combattant et invalide qui ne s’était jamais remis de la première guerre mondiale. Il y interprète le désespoir d'une génération massacrée dans les tranchées, durant la première guerre mondiale. Toutefois, d’autres écrivains journalistes optent pour l’engagement, comme se fut le cas d’Albert Camus qui a pris parti contre l’idée d’une Algérie française et a soutenu le désir d’indépendance du peuple algérien. « </w:t>
      </w:r>
      <w:r w:rsidRPr="00DC37B3">
        <w:rPr>
          <w:rFonts w:ascii="Times New Roman" w:eastAsia="Calibri" w:hAnsi="Times New Roman" w:cs="Times New Roman"/>
          <w:i/>
          <w:sz w:val="24"/>
          <w:szCs w:val="24"/>
          <w:lang w:eastAsia="en-US"/>
        </w:rPr>
        <w:t>Le Procès »</w:t>
      </w:r>
      <w:r w:rsidRPr="00DC37B3">
        <w:rPr>
          <w:rFonts w:ascii="Times New Roman" w:eastAsia="Calibri" w:hAnsi="Times New Roman" w:cs="Times New Roman"/>
          <w:sz w:val="24"/>
          <w:szCs w:val="24"/>
          <w:lang w:eastAsia="en-US"/>
        </w:rPr>
        <w:t xml:space="preserve"> de Franz Kafka, 1984</w:t>
      </w:r>
      <w:r w:rsidRPr="00DC37B3">
        <w:rPr>
          <w:rFonts w:ascii="Calibri" w:eastAsia="Calibri" w:hAnsi="Calibri" w:cs="Times New Roman"/>
          <w:lang w:eastAsia="en-US"/>
        </w:rPr>
        <w:t xml:space="preserve"> </w:t>
      </w:r>
      <w:r w:rsidRPr="00DC37B3">
        <w:rPr>
          <w:rFonts w:ascii="Times New Roman" w:eastAsia="Calibri" w:hAnsi="Times New Roman" w:cs="Times New Roman"/>
          <w:sz w:val="24"/>
          <w:szCs w:val="24"/>
          <w:lang w:eastAsia="en-US"/>
        </w:rPr>
        <w:t xml:space="preserve">relate la question des juifs et leur façon de percevoir le monde, (un univers qui ne permet aucune échappatoire à quiconque y est confronté).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 conception du roman du XX </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siècle donne la vie à un évènement, dont la structure est semblable à la structure essentielle de la réalité sociale, dans laquelle il a été créé. Par ailleurs, il est dépendant de la forme datée, du roman historique issu de Walter Scott avec un caractère fictif qui a moins d’importance que ses prédécesseurs, et une liberté dans sa capacité d’accueillir plus d’expérimentations.</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 Le roman historique et l’histoire ne sont pas plus que les autres réalités du monde symbolique sous la dépendance de l’évènement. Car l’évènement lui-même est symbolique et ce sont les principes de l’analyse historique, bien antérieurs à l’évènement, qui servent à le décrypter. Le roman historique est ainsi, à tout moment, le témoin et le créateur de l’intelligibilité de l’histoire. »</w:t>
      </w:r>
      <w:r w:rsidRPr="00DC37B3">
        <w:rPr>
          <w:rFonts w:ascii="Times New Roman" w:eastAsia="Calibri" w:hAnsi="Times New Roman" w:cs="Times New Roman"/>
          <w:sz w:val="24"/>
          <w:vertAlign w:val="superscript"/>
          <w:lang w:eastAsia="en-US"/>
        </w:rPr>
        <w:footnoteReference w:id="63"/>
      </w:r>
      <w:r w:rsidRPr="00DC37B3">
        <w:rPr>
          <w:rFonts w:ascii="Times New Roman" w:eastAsia="Calibri" w:hAnsi="Times New Roman" w:cs="Times New Roman"/>
          <w:sz w:val="24"/>
          <w:szCs w:val="24"/>
          <w:lang w:eastAsia="en-US"/>
        </w:rPr>
        <w:t>.</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b/>
          <w:sz w:val="24"/>
          <w:szCs w:val="24"/>
          <w:lang w:eastAsia="en-US"/>
        </w:rPr>
        <w:t xml:space="preserve">II.4 Définition du roman historique et le mal du siècle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On ne saurait définir de manière absolue et rigoureuse le roman historique. Alors, nous conviendrons de citer quelques définitions (jugées intéressantes) tout en essayant de les commenter. Mais avant,  permettons nous de citer celle donnée par le </w:t>
      </w:r>
      <w:r w:rsidRPr="00DC37B3">
        <w:rPr>
          <w:rFonts w:ascii="Times New Roman" w:eastAsia="Calibri" w:hAnsi="Times New Roman" w:cs="Times New Roman"/>
          <w:i/>
          <w:sz w:val="24"/>
          <w:szCs w:val="24"/>
          <w:lang w:eastAsia="en-US"/>
        </w:rPr>
        <w:t>Grand</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sz w:val="24"/>
          <w:szCs w:val="24"/>
          <w:lang w:eastAsia="en-US"/>
        </w:rPr>
        <w:t>Dictionnaire universel</w:t>
      </w:r>
      <w:r w:rsidRPr="00DC37B3">
        <w:rPr>
          <w:rFonts w:ascii="Times New Roman" w:eastAsia="Calibri" w:hAnsi="Times New Roman" w:cs="Times New Roman"/>
          <w:sz w:val="24"/>
          <w:szCs w:val="24"/>
          <w:lang w:eastAsia="en-US"/>
        </w:rPr>
        <w:t xml:space="preserve"> du XIX</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siècle de Pierre Larousse « </w:t>
      </w:r>
      <w:r w:rsidRPr="00DC37B3">
        <w:rPr>
          <w:rFonts w:ascii="Times New Roman" w:eastAsia="Calibri" w:hAnsi="Times New Roman" w:cs="Times New Roman"/>
          <w:i/>
          <w:iCs/>
          <w:sz w:val="24"/>
          <w:szCs w:val="24"/>
          <w:lang w:eastAsia="en-US"/>
        </w:rPr>
        <w:t>Roman historique : celui dont les personnages et les principaux faits sont empruntés à l’histoire et dont les détails sont inventés.</w:t>
      </w:r>
      <w:r w:rsidRPr="00DC37B3">
        <w:rPr>
          <w:rFonts w:ascii="Times New Roman" w:eastAsia="Calibri" w:hAnsi="Times New Roman" w:cs="Times New Roman"/>
          <w:sz w:val="24"/>
          <w:szCs w:val="24"/>
          <w:lang w:eastAsia="en-US"/>
        </w:rPr>
        <w:t> »  Autrement dit, il s’agit d’une fiction qui emprunte à l’Histoire une partie de son contenu. Ceci dit, nous parlons d’un roman dont l’intrigue est fictive ; mais vraisemblable par son cadre spatial que temporel, et que le romancier est avant tout un narrateur qui entreprend de rendre compréhensible une réalité disparue, c’est à dire  de « </w:t>
      </w:r>
      <w:r w:rsidRPr="00DC37B3">
        <w:rPr>
          <w:rFonts w:ascii="Times New Roman" w:eastAsia="Calibri" w:hAnsi="Times New Roman" w:cs="Times New Roman"/>
          <w:i/>
          <w:iCs/>
          <w:sz w:val="24"/>
          <w:szCs w:val="24"/>
          <w:lang w:eastAsia="en-US"/>
        </w:rPr>
        <w:t>donner une vie poétique à des forces historiques, sociales, et humaines qui, au cours d’une longue évolution, ont fait de notre vie actuelle ce qu’elle est</w:t>
      </w:r>
      <w:r w:rsidRPr="00DC37B3">
        <w:rPr>
          <w:rFonts w:ascii="Times New Roman" w:eastAsia="Calibri" w:hAnsi="Times New Roman" w:cs="Times New Roman"/>
          <w:sz w:val="24"/>
          <w:szCs w:val="24"/>
          <w:lang w:eastAsia="en-US"/>
        </w:rPr>
        <w:t> ».</w:t>
      </w:r>
      <w:r w:rsidRPr="00DC37B3">
        <w:rPr>
          <w:rFonts w:ascii="Times New Roman" w:eastAsia="Calibri" w:hAnsi="Times New Roman" w:cs="Times New Roman"/>
          <w:sz w:val="24"/>
          <w:vertAlign w:val="superscript"/>
          <w:lang w:eastAsia="en-US"/>
        </w:rPr>
        <w:footnoteReference w:id="64"/>
      </w:r>
      <w:r w:rsidRPr="00DC37B3">
        <w:rPr>
          <w:rFonts w:ascii="Times New Roman" w:eastAsia="Calibri" w:hAnsi="Times New Roman" w:cs="Times New Roman"/>
          <w:sz w:val="24"/>
          <w:szCs w:val="24"/>
          <w:lang w:eastAsia="en-US"/>
        </w:rPr>
        <w:t xml:space="preserve">Toute fois, il est judicieux de rappeler que le roman historique peut prendre en charge une histoire récente et faire un roman historique contemporain, à ce titre, nous nous devons de rappeler </w:t>
      </w:r>
      <w:r w:rsidRPr="00DC37B3">
        <w:rPr>
          <w:rFonts w:ascii="Times New Roman" w:eastAsia="Calibri" w:hAnsi="Times New Roman" w:cs="Times New Roman"/>
          <w:i/>
          <w:sz w:val="24"/>
          <w:szCs w:val="24"/>
          <w:lang w:eastAsia="en-US"/>
        </w:rPr>
        <w:t>La</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sz w:val="24"/>
          <w:szCs w:val="24"/>
          <w:lang w:eastAsia="en-US"/>
        </w:rPr>
        <w:t xml:space="preserve">Condition Humaine, </w:t>
      </w:r>
      <w:r w:rsidRPr="00DC37B3">
        <w:rPr>
          <w:rFonts w:ascii="Times New Roman" w:eastAsia="Calibri" w:hAnsi="Times New Roman" w:cs="Times New Roman"/>
          <w:sz w:val="24"/>
          <w:szCs w:val="24"/>
          <w:lang w:eastAsia="en-US"/>
        </w:rPr>
        <w:t xml:space="preserve">d’André Malraux, ou encore celui de Zola  </w:t>
      </w:r>
      <w:r w:rsidRPr="00DC37B3">
        <w:rPr>
          <w:rFonts w:ascii="Times New Roman" w:eastAsia="Calibri" w:hAnsi="Times New Roman" w:cs="Times New Roman"/>
          <w:i/>
          <w:sz w:val="24"/>
          <w:szCs w:val="24"/>
          <w:lang w:eastAsia="en-US"/>
        </w:rPr>
        <w:t xml:space="preserve">Les Mystères de Marseille, </w:t>
      </w:r>
      <w:r w:rsidRPr="00DC37B3">
        <w:rPr>
          <w:rFonts w:ascii="Times New Roman" w:eastAsia="Calibri" w:hAnsi="Times New Roman" w:cs="Times New Roman"/>
          <w:sz w:val="24"/>
          <w:szCs w:val="24"/>
          <w:lang w:eastAsia="en-US"/>
        </w:rPr>
        <w:t xml:space="preserve">à propos desquelles, il a écrit une lettre à son éditeur disant que      </w:t>
      </w:r>
    </w:p>
    <w:p w:rsidR="00DC37B3" w:rsidRDefault="00DC37B3" w:rsidP="00DC37B3">
      <w:pPr>
        <w:spacing w:after="0" w:line="480" w:lineRule="auto"/>
        <w:jc w:val="both"/>
        <w:rPr>
          <w:rFonts w:ascii="Times New Roman" w:eastAsia="Calibri" w:hAnsi="Times New Roman" w:cs="Times New Roman"/>
          <w:i/>
          <w:iCs/>
          <w:sz w:val="24"/>
          <w:szCs w:val="24"/>
          <w:lang w:eastAsia="en-US"/>
        </w:rPr>
      </w:pPr>
      <w:r w:rsidRPr="00DC37B3">
        <w:rPr>
          <w:rFonts w:ascii="Times New Roman" w:eastAsia="Calibri" w:hAnsi="Times New Roman" w:cs="Times New Roman"/>
          <w:sz w:val="24"/>
          <w:szCs w:val="24"/>
          <w:lang w:eastAsia="en-US"/>
        </w:rPr>
        <w:t xml:space="preserve">         « </w:t>
      </w:r>
      <w:r w:rsidRPr="00DC37B3">
        <w:rPr>
          <w:rFonts w:ascii="Times New Roman" w:eastAsia="Calibri" w:hAnsi="Times New Roman" w:cs="Times New Roman"/>
          <w:i/>
          <w:iCs/>
          <w:sz w:val="24"/>
          <w:szCs w:val="24"/>
          <w:lang w:eastAsia="en-US"/>
        </w:rPr>
        <w:t>Les Mystères de Marseille</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iCs/>
          <w:sz w:val="24"/>
          <w:szCs w:val="24"/>
          <w:lang w:eastAsia="en-US"/>
        </w:rPr>
        <w:t>sont un roman historique contemporain, en ce sens, que j’ai</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iCs/>
          <w:sz w:val="24"/>
          <w:szCs w:val="24"/>
          <w:lang w:eastAsia="en-US"/>
        </w:rPr>
        <w:t>pris dans le vie réelle tous les faits qu’ils contiennent ;j’ai choisi ça et là les documents nécessaires, j’ai rassemblé en une seule histoire vingt histoires de source et de natures différentes, j’ai donné à un personnage les traits de plusieurs individus qu’il m’a été permis</w:t>
      </w:r>
    </w:p>
    <w:p w:rsidR="00DC37B3" w:rsidRDefault="00DC37B3">
      <w:pPr>
        <w:rPr>
          <w:rFonts w:ascii="Times New Roman" w:eastAsia="Calibri" w:hAnsi="Times New Roman" w:cs="Times New Roman"/>
          <w:i/>
          <w:iCs/>
          <w:sz w:val="24"/>
          <w:szCs w:val="24"/>
          <w:lang w:eastAsia="en-US"/>
        </w:rPr>
      </w:pPr>
      <w:r>
        <w:rPr>
          <w:rFonts w:ascii="Times New Roman" w:eastAsia="Calibri" w:hAnsi="Times New Roman" w:cs="Times New Roman"/>
          <w:i/>
          <w:iCs/>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i/>
          <w:iCs/>
          <w:sz w:val="24"/>
          <w:szCs w:val="24"/>
          <w:lang w:eastAsia="en-US"/>
        </w:rPr>
        <w:t>de connaître et d’étudier. C’est ainsi que j’ai pu écrire un ouvrage où tout est vrai, où tout a été observé sur nature. »</w:t>
      </w:r>
      <w:r w:rsidRPr="00DC37B3">
        <w:rPr>
          <w:rFonts w:ascii="Times New Roman" w:eastAsia="Calibri" w:hAnsi="Times New Roman" w:cs="Times New Roman"/>
          <w:i/>
          <w:iCs/>
          <w:sz w:val="24"/>
          <w:vertAlign w:val="superscript"/>
          <w:lang w:eastAsia="en-US"/>
        </w:rPr>
        <w:footnoteReference w:id="65"/>
      </w:r>
    </w:p>
    <w:p w:rsidR="00DC37B3" w:rsidRDefault="00DC37B3" w:rsidP="00DC37B3">
      <w:pPr>
        <w:spacing w:after="0" w:line="480" w:lineRule="auto"/>
        <w:jc w:val="both"/>
        <w:rPr>
          <w:rFonts w:ascii="Times New Roman" w:eastAsia="Calibri" w:hAnsi="Times New Roman" w:cs="Times New Roman"/>
          <w:i/>
          <w:iCs/>
          <w:sz w:val="24"/>
          <w:szCs w:val="24"/>
          <w:lang w:eastAsia="en-US"/>
        </w:rPr>
      </w:pPr>
      <w:r w:rsidRPr="00DC37B3">
        <w:rPr>
          <w:rFonts w:ascii="Times New Roman" w:eastAsia="Calibri" w:hAnsi="Times New Roman" w:cs="Times New Roman"/>
          <w:sz w:val="24"/>
          <w:szCs w:val="24"/>
          <w:lang w:eastAsia="en-US"/>
        </w:rPr>
        <w:t xml:space="preserve">    Ayant constamment varié ses conceptions et ses pratiques, tout au long du XIX</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siècle, le roman historique est considéré  comme l’une des modalités de l’écriture et de la thématique de la littérature du XX</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 xml:space="preserve">siècle. Un phénomène lié aux mouvements et aux grandes catastrophes historiques, d’un siècle de bouleversements et de convulsion. Ainsi, si la première guerre mondiale a permis de générer de nombreux romans qui perdureront jusqu’en 2005 avec le roman historique de 1914- 1918 de Max Gallo ou celui de Pierre Miquel ; les  conséquences de la seconde guerre mondiale ont  marqué les individus dont l’existence a été affectée à des degrés divers. Pour nombre d’entre eux, ces années furent traumatisantes, exaltantes et angoissantes.  Autrement dit, c’est toute une génération contemporaine qui porte en elle le temps d’une expérience douloureuse et d’une blessure profonde. Cependant, écrire une histoire personnelle ou collective donne à transcrire une insatisfaction personnelle qui ne peut être comblé par une Histoire décevante. Car nous sommes en présence de toute une vie qui se cherche et se déchire, une existence en proie à ses doutes, à ses angoisses. Et c’est là, que réside  l’un des concepts -clés dont se nourrit la littérature contemporaine et qui dominent le siècle ; appelé  « le mal du siècle ». Une notion variable, selon les situations et les tempéraments et qui nous vient du romantisme. Une forme mélancolique qui fait dire à son héros  le conflit entre les aspirations du moi et les obstacles de la société. Un jumelage né d’une composante existentielle et une dimension historique, Musset le définit comme un constant besoin d’assouvir </w:t>
      </w:r>
      <w:r w:rsidRPr="00DC37B3">
        <w:rPr>
          <w:rFonts w:ascii="Times New Roman" w:eastAsia="Calibri" w:hAnsi="Times New Roman" w:cs="Times New Roman"/>
          <w:i/>
          <w:iCs/>
          <w:sz w:val="24"/>
          <w:szCs w:val="24"/>
          <w:lang w:eastAsia="en-US"/>
        </w:rPr>
        <w:t>« une discordance entre le moi et le monde, fondé sur un rapport</w:t>
      </w:r>
    </w:p>
    <w:p w:rsidR="00DC37B3" w:rsidRDefault="00DC37B3">
      <w:pPr>
        <w:rPr>
          <w:rFonts w:ascii="Times New Roman" w:eastAsia="Calibri" w:hAnsi="Times New Roman" w:cs="Times New Roman"/>
          <w:i/>
          <w:iCs/>
          <w:sz w:val="24"/>
          <w:szCs w:val="24"/>
          <w:lang w:eastAsia="en-US"/>
        </w:rPr>
      </w:pPr>
      <w:r>
        <w:rPr>
          <w:rFonts w:ascii="Times New Roman" w:eastAsia="Calibri" w:hAnsi="Times New Roman" w:cs="Times New Roman"/>
          <w:i/>
          <w:iCs/>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i/>
          <w:iCs/>
          <w:sz w:val="24"/>
          <w:szCs w:val="24"/>
          <w:lang w:eastAsia="en-US"/>
        </w:rPr>
        <w:t>de frustration douloureuse à l’Histoire</w:t>
      </w:r>
      <w:r w:rsidRPr="00DC37B3">
        <w:rPr>
          <w:rFonts w:ascii="Times New Roman" w:eastAsia="Calibri" w:hAnsi="Times New Roman" w:cs="Times New Roman"/>
          <w:sz w:val="24"/>
          <w:szCs w:val="24"/>
          <w:lang w:eastAsia="en-US"/>
        </w:rPr>
        <w:t> »</w:t>
      </w:r>
      <w:r w:rsidRPr="00DC37B3">
        <w:rPr>
          <w:rFonts w:ascii="Times New Roman" w:eastAsia="Calibri" w:hAnsi="Times New Roman" w:cs="Times New Roman"/>
          <w:sz w:val="24"/>
          <w:vertAlign w:val="superscript"/>
          <w:lang w:eastAsia="en-US"/>
        </w:rPr>
        <w:footnoteReference w:id="66"/>
      </w:r>
      <w:r w:rsidRPr="00DC37B3">
        <w:rPr>
          <w:rFonts w:ascii="Times New Roman" w:eastAsia="Calibri" w:hAnsi="Times New Roman" w:cs="Times New Roman"/>
          <w:sz w:val="24"/>
          <w:szCs w:val="24"/>
          <w:lang w:eastAsia="en-US"/>
        </w:rPr>
        <w:t xml:space="preserve">. Face à cette ambition historique du drame inhérent, Le Clézio s’en saisit et  nous offre  un aperçu  de la vie d’entre deux guerres et celle au cœur même du drame de la deuxième guerre mondiale dans </w:t>
      </w:r>
      <w:r w:rsidRPr="00DC37B3">
        <w:rPr>
          <w:rFonts w:ascii="Times New Roman" w:eastAsia="Calibri" w:hAnsi="Times New Roman" w:cs="Times New Roman"/>
          <w:i/>
          <w:iCs/>
          <w:sz w:val="24"/>
          <w:szCs w:val="24"/>
          <w:lang w:eastAsia="en-US"/>
        </w:rPr>
        <w:t>Ritournelle de la faim,</w:t>
      </w:r>
      <w:r w:rsidRPr="00DC37B3">
        <w:rPr>
          <w:rFonts w:ascii="Times New Roman" w:eastAsia="Calibri" w:hAnsi="Times New Roman" w:cs="Times New Roman"/>
          <w:sz w:val="24"/>
          <w:szCs w:val="24"/>
          <w:lang w:eastAsia="en-US"/>
        </w:rPr>
        <w:t xml:space="preserve"> en 2008. Deux ans après, Marc Ducrot publie, dans la même perspective, </w:t>
      </w:r>
      <w:r w:rsidRPr="00DC37B3">
        <w:rPr>
          <w:rFonts w:ascii="Times New Roman" w:eastAsia="Calibri" w:hAnsi="Times New Roman" w:cs="Times New Roman"/>
          <w:i/>
          <w:iCs/>
          <w:sz w:val="24"/>
          <w:szCs w:val="24"/>
          <w:lang w:eastAsia="en-US"/>
        </w:rPr>
        <w:t>L’insomnies des étoiles</w:t>
      </w:r>
      <w:r w:rsidRPr="00DC37B3">
        <w:rPr>
          <w:rFonts w:ascii="Times New Roman" w:eastAsia="Calibri" w:hAnsi="Times New Roman" w:cs="Times New Roman"/>
          <w:sz w:val="24"/>
          <w:szCs w:val="24"/>
          <w:lang w:eastAsia="en-US"/>
        </w:rPr>
        <w:t xml:space="preserve">. </w:t>
      </w:r>
    </w:p>
    <w:p w:rsidR="00DC37B3" w:rsidRPr="00DC37B3" w:rsidRDefault="00DC37B3" w:rsidP="00DC37B3">
      <w:pPr>
        <w:spacing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Les détails fournis par </w:t>
      </w:r>
      <w:r w:rsidRPr="00DC37B3">
        <w:rPr>
          <w:rFonts w:ascii="Times New Roman" w:eastAsia="Calibri" w:hAnsi="Times New Roman" w:cs="Times New Roman"/>
          <w:i/>
          <w:sz w:val="24"/>
          <w:szCs w:val="24"/>
          <w:lang w:eastAsia="en-US"/>
        </w:rPr>
        <w:t>La Ritournelle</w:t>
      </w:r>
      <w:r w:rsidRPr="00DC37B3">
        <w:rPr>
          <w:rFonts w:ascii="Times New Roman" w:eastAsia="Calibri" w:hAnsi="Times New Roman" w:cs="Times New Roman"/>
          <w:sz w:val="24"/>
          <w:szCs w:val="24"/>
          <w:lang w:eastAsia="en-US"/>
        </w:rPr>
        <w:t xml:space="preserve"> à travers les mœurs sociales et les pensées individuelles dans des situations diverses donnent à mieux saisir  et à comprendre certaines vérités historiques. En effet, le fait de vouloir analyser l’individu en fonction de son ancrage historique, et de définir le destin de l’humanité selon une perspective historique fait de l’Histoire le maître mot du roman. Le Clézio conjugue parfaitement l’historicité et vie privée. Mais de quelle manière organise – t –il son roman ? </w:t>
      </w:r>
    </w:p>
    <w:p w:rsidR="00DC37B3" w:rsidRPr="00DC37B3" w:rsidRDefault="00DC37B3" w:rsidP="00DC37B3">
      <w:pPr>
        <w:spacing w:line="480" w:lineRule="auto"/>
        <w:jc w:val="both"/>
        <w:rPr>
          <w:rFonts w:ascii="Times New Roman" w:eastAsia="Calibri" w:hAnsi="Times New Roman" w:cs="Times New Roman"/>
          <w:b/>
          <w:sz w:val="24"/>
          <w:szCs w:val="24"/>
          <w:lang w:eastAsia="en-US"/>
        </w:rPr>
      </w:pPr>
      <w:r w:rsidRPr="00DC37B3">
        <w:rPr>
          <w:rFonts w:ascii="Times New Roman" w:eastAsia="Calibri" w:hAnsi="Times New Roman" w:cs="Times New Roman"/>
          <w:b/>
          <w:sz w:val="24"/>
          <w:szCs w:val="24"/>
          <w:lang w:eastAsia="en-US"/>
        </w:rPr>
        <w:t xml:space="preserve"> II.5 le rapport entre le passé et le présent dans le roman historique </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 roman historique a pour mission de restituer ce que l’Histoire laisse de côté, autrement dit, le fait de  représenter c’est aussi présenter de nouveau sous un nouveau jour, réactualiser. C’est ainsi, qu’il tend à faire passer l’Histoire ainsi que  tout ce qui a peuplé le passé dans un discours qui l’évalue, (mais sans ennuyer). Pour ce fait, il  fait usage de la fiction pour nous installer dans un passé révolu, soit pour nous donner une  dimension  classique, celle où se déploie l’homme avec ses constantes (les cycles de grandeur et de décadence) ; soit dans une perspective romantique et historiciste. Celle-ci envisage l’Histoire du passé comme celle du présent, (elle saisit ce que le présent a fait de ce passé) elle met en évidence des continuités, des liens de cause à effet, et c’est de cette manière que le genre a pu développer une problématique moderne.</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b/>
          <w:sz w:val="24"/>
          <w:szCs w:val="24"/>
          <w:lang w:eastAsia="en-US"/>
        </w:rPr>
      </w:pPr>
      <w:r w:rsidRPr="00DC37B3">
        <w:rPr>
          <w:rFonts w:ascii="Times New Roman" w:eastAsia="Calibri" w:hAnsi="Times New Roman" w:cs="Times New Roman"/>
          <w:b/>
          <w:sz w:val="24"/>
          <w:szCs w:val="24"/>
          <w:lang w:eastAsia="en-US"/>
        </w:rPr>
        <w:t xml:space="preserve">II.6 comment le roman historique s’organise t-il techniquement ?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 plus grand nombre des romans historiques au sens moderne s’inscrivent dans le passé. Une embarcation qui se fait par le biais d’une datation, d’un temps, ou d’un espace dans le but d’établir des liens et une complicité avec le lecteur. Autrement dit, lorsque notre roman évoque dés le début  la visite d’Ethel, en compagnie de son grand oncle, à l’Exposition Coloniale, des Bois de Vincennes. Il  s’agit d’ un repère que le narrateur a pris soin de nous faire part afin que nous puissions nous situer chronologiquement dans l’époque : « la fameuse Exposition Coloniale, des Bois de Vincennes, en 1930 .» cette précision  du temps et du lieu chemine par le biais d’une fiction qui va concevoir ses personnages selon deux options principales : des figures liées à la notion de grand homme ou héros, ou bien des personnages incarnant des grandes forces qui les dépassent tout en les définissant « </w:t>
      </w:r>
      <w:r w:rsidRPr="00DC37B3">
        <w:rPr>
          <w:rFonts w:ascii="Times New Roman" w:eastAsia="Calibri" w:hAnsi="Times New Roman" w:cs="Times New Roman"/>
          <w:i/>
          <w:sz w:val="24"/>
          <w:szCs w:val="24"/>
          <w:lang w:eastAsia="en-US"/>
        </w:rPr>
        <w:t>Ethel réalisait qu’elle</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sz w:val="24"/>
          <w:szCs w:val="24"/>
          <w:lang w:eastAsia="en-US"/>
        </w:rPr>
        <w:t>avait vingt ans, et qu’elle n’avait jamais été jeune</w:t>
      </w:r>
      <w:r w:rsidRPr="00DC37B3">
        <w:rPr>
          <w:rFonts w:ascii="Times New Roman" w:eastAsia="Calibri" w:hAnsi="Times New Roman" w:cs="Times New Roman"/>
          <w:sz w:val="24"/>
          <w:szCs w:val="24"/>
          <w:lang w:eastAsia="en-US"/>
        </w:rPr>
        <w:t xml:space="preserve">. »P.148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 roman historique romantique adoptera les deux formules. Ainsi, si le personnage est un individu singulier, obéissant à ses motivations propres, le roman s’organise autour de lui. Mais s’il symbolise une force, il deviendra un être moyen, à moins que l’on ne mette en scène un collectif, comme le peuple, pour faire sortir la « caractérisation symbolisante »</w:t>
      </w:r>
      <w:r w:rsidRPr="00DC37B3">
        <w:rPr>
          <w:rFonts w:ascii="Times New Roman" w:eastAsia="Calibri" w:hAnsi="Times New Roman" w:cs="Times New Roman"/>
          <w:sz w:val="24"/>
          <w:vertAlign w:val="superscript"/>
          <w:lang w:eastAsia="en-US"/>
        </w:rPr>
        <w:footnoteReference w:id="67"/>
      </w:r>
      <w:r w:rsidRPr="00DC37B3">
        <w:rPr>
          <w:rFonts w:ascii="Times New Roman" w:eastAsia="Calibri" w:hAnsi="Times New Roman" w:cs="Times New Roman"/>
          <w:sz w:val="24"/>
          <w:szCs w:val="24"/>
          <w:lang w:eastAsia="en-US"/>
        </w:rPr>
        <w:t xml:space="preserve"> représentée par l’addition d’un nombre limité de personnages typiques et cela sans oublier les marginaux de toutes nature( le bandit, le révolté, le déclassé…)  </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Ceci dit, Ethel, le principal protagoniste de </w:t>
      </w:r>
      <w:r w:rsidRPr="00DC37B3">
        <w:rPr>
          <w:rFonts w:ascii="Times New Roman" w:eastAsia="Calibri" w:hAnsi="Times New Roman" w:cs="Times New Roman"/>
          <w:i/>
          <w:sz w:val="24"/>
          <w:szCs w:val="24"/>
          <w:lang w:eastAsia="en-US"/>
        </w:rPr>
        <w:t>Ritournelle de la faim</w:t>
      </w:r>
      <w:r w:rsidRPr="00DC37B3">
        <w:rPr>
          <w:rFonts w:ascii="Times New Roman" w:eastAsia="Calibri" w:hAnsi="Times New Roman" w:cs="Times New Roman"/>
          <w:sz w:val="24"/>
          <w:szCs w:val="24"/>
          <w:lang w:eastAsia="en-US"/>
        </w:rPr>
        <w:t>, est un personnage moyen, car c’est par elle et son parcourt de combattant qu’on réussit à nous introduire dans un univers vieux de soixante dix ans. D’autre part, c’est à travers sa vie que se dégage  la caractérisation symbolique de chacun des convives. Toutefois, « la plupart du temps, le héros sera un</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composé selon des proportions chaque fois différentes. »</w:t>
      </w:r>
      <w:r w:rsidRPr="00DC37B3">
        <w:rPr>
          <w:rFonts w:ascii="Times New Roman" w:eastAsia="Calibri" w:hAnsi="Times New Roman" w:cs="Times New Roman"/>
          <w:sz w:val="24"/>
          <w:vertAlign w:val="superscript"/>
          <w:lang w:eastAsia="en-US"/>
        </w:rPr>
        <w:footnoteReference w:id="68"/>
      </w:r>
      <w:r w:rsidRPr="00DC37B3">
        <w:rPr>
          <w:rFonts w:ascii="Times New Roman" w:eastAsia="Calibri" w:hAnsi="Times New Roman" w:cs="Times New Roman"/>
          <w:sz w:val="24"/>
          <w:szCs w:val="24"/>
          <w:lang w:eastAsia="en-US"/>
        </w:rPr>
        <w:t xml:space="preserve">. Par ailleurs, le récit fictif suppose un narrateur plus au moins présent, plus au moins proche. Parfois, il se confond avec un personnage qui raconte ce qui lui donne l’apparence d’une autobiographie. Comme dans la séquence « aujourd’hui » ou « les dernières mesures du Boléro », une autobiographie à la première personne qui prend à témoin le lecteur, afin qu’il puisse faire des commentaires sur l’action les faits et les gestes des personnages leurs pensées et intentions </w:t>
      </w:r>
    </w:p>
    <w:p w:rsidR="00DC37B3" w:rsidRPr="00DC37B3" w:rsidRDefault="00DC37B3" w:rsidP="00DC37B3">
      <w:pPr>
        <w:spacing w:line="480" w:lineRule="auto"/>
        <w:jc w:val="both"/>
        <w:rPr>
          <w:rFonts w:ascii="Times New Roman" w:eastAsia="Calibri" w:hAnsi="Times New Roman" w:cs="Times New Roman"/>
          <w:b/>
          <w:sz w:val="28"/>
          <w:szCs w:val="28"/>
          <w:lang w:eastAsia="en-US"/>
        </w:rPr>
      </w:pPr>
      <w:r w:rsidRPr="00DC37B3">
        <w:rPr>
          <w:rFonts w:ascii="Times New Roman" w:eastAsia="Calibri" w:hAnsi="Times New Roman" w:cs="Times New Roman"/>
          <w:sz w:val="24"/>
          <w:szCs w:val="24"/>
          <w:lang w:eastAsia="en-US"/>
        </w:rPr>
        <w:t xml:space="preserve">   Le narrateur a pour noble mission de raconter, de décrire et de faire parler. Pour ce fait, il invente, arrange, travestit. Il peut même restituer les pensées, de personnages authentiques « les ombres » ou « le maque de Shylock » fondées sur une connaissance approfondie de la figure historique, du contexte, des circonstances.       </w:t>
      </w:r>
    </w:p>
    <w:p w:rsidR="00DC37B3" w:rsidRPr="00DC37B3" w:rsidRDefault="00DC37B3" w:rsidP="00DC37B3">
      <w:pPr>
        <w:spacing w:after="0" w:line="480" w:lineRule="auto"/>
        <w:jc w:val="both"/>
        <w:rPr>
          <w:rFonts w:ascii="Times New Roman" w:eastAsia="Calibri" w:hAnsi="Times New Roman" w:cs="Times New Roman"/>
          <w:b/>
          <w:sz w:val="24"/>
          <w:szCs w:val="24"/>
          <w:lang w:eastAsia="en-US"/>
        </w:rPr>
      </w:pPr>
      <w:r w:rsidRPr="00DC37B3">
        <w:rPr>
          <w:rFonts w:ascii="Times New Roman" w:eastAsia="Calibri" w:hAnsi="Times New Roman" w:cs="Times New Roman"/>
          <w:b/>
          <w:sz w:val="24"/>
          <w:szCs w:val="24"/>
          <w:lang w:eastAsia="en-US"/>
        </w:rPr>
        <w:t xml:space="preserve">II.7 la différence entre mémoires, chronique et récit historique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 chronique est rédigée par un témoin d’un évènement avec une certaine distance personnelle. Le mot désigne un récit ordonné chronologiquement, relatant des faits avérés ou plausibles. Il atteste de la vérité de la fiction, et il sert à mettre à distance le terme de roman, qui était discrédité entre 1820- 1830 par l’émergence de la science historique. Mais le terme retrouve du sens avec le roman historique, ainsi « </w:t>
      </w:r>
      <w:r w:rsidRPr="00DC37B3">
        <w:rPr>
          <w:rFonts w:ascii="Times New Roman" w:eastAsia="Calibri" w:hAnsi="Times New Roman" w:cs="Times New Roman"/>
          <w:i/>
          <w:sz w:val="24"/>
          <w:szCs w:val="24"/>
          <w:lang w:eastAsia="en-US"/>
        </w:rPr>
        <w:t xml:space="preserve">Chronique du règne de Charles IX » </w:t>
      </w:r>
      <w:r w:rsidRPr="00DC37B3">
        <w:rPr>
          <w:rFonts w:ascii="Times New Roman" w:eastAsia="Calibri" w:hAnsi="Times New Roman" w:cs="Times New Roman"/>
          <w:sz w:val="24"/>
          <w:szCs w:val="24"/>
          <w:lang w:eastAsia="en-US"/>
        </w:rPr>
        <w:t xml:space="preserve">de Mérimée (1829) ou encore </w:t>
      </w:r>
      <w:r w:rsidRPr="00DC37B3">
        <w:rPr>
          <w:rFonts w:ascii="Times New Roman" w:eastAsia="Calibri" w:hAnsi="Times New Roman" w:cs="Times New Roman"/>
          <w:i/>
          <w:sz w:val="24"/>
          <w:szCs w:val="24"/>
          <w:lang w:eastAsia="en-US"/>
        </w:rPr>
        <w:t>« Le Rouge et Le Noir</w:t>
      </w:r>
      <w:r w:rsidRPr="00DC37B3">
        <w:rPr>
          <w:rFonts w:ascii="Times New Roman" w:eastAsia="Calibri" w:hAnsi="Times New Roman" w:cs="Times New Roman"/>
          <w:sz w:val="24"/>
          <w:szCs w:val="24"/>
          <w:lang w:eastAsia="en-US"/>
        </w:rPr>
        <w:t xml:space="preserve"> » de Stendhal, sous titré </w:t>
      </w:r>
      <w:r w:rsidRPr="00DC37B3">
        <w:rPr>
          <w:rFonts w:ascii="Times New Roman" w:eastAsia="Calibri" w:hAnsi="Times New Roman" w:cs="Times New Roman"/>
          <w:i/>
          <w:sz w:val="24"/>
          <w:szCs w:val="24"/>
          <w:lang w:eastAsia="en-US"/>
        </w:rPr>
        <w:t>« Chronique du</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sz w:val="24"/>
          <w:szCs w:val="24"/>
          <w:lang w:eastAsia="en-US"/>
        </w:rPr>
        <w:t>XIX</w:t>
      </w:r>
      <w:r w:rsidRPr="00DC37B3">
        <w:rPr>
          <w:rFonts w:ascii="Times New Roman" w:eastAsia="Calibri" w:hAnsi="Times New Roman" w:cs="Times New Roman"/>
          <w:i/>
          <w:sz w:val="24"/>
          <w:szCs w:val="24"/>
          <w:vertAlign w:val="superscript"/>
          <w:lang w:eastAsia="en-US"/>
        </w:rPr>
        <w:t xml:space="preserve">e </w:t>
      </w:r>
      <w:r w:rsidRPr="00DC37B3">
        <w:rPr>
          <w:rFonts w:ascii="Times New Roman" w:eastAsia="Calibri" w:hAnsi="Times New Roman" w:cs="Times New Roman"/>
          <w:i/>
          <w:sz w:val="24"/>
          <w:szCs w:val="24"/>
          <w:lang w:eastAsia="en-US"/>
        </w:rPr>
        <w:t>siècle</w:t>
      </w:r>
      <w:r w:rsidRPr="00DC37B3">
        <w:rPr>
          <w:rFonts w:ascii="Times New Roman" w:eastAsia="Calibri" w:hAnsi="Times New Roman" w:cs="Times New Roman"/>
          <w:sz w:val="24"/>
          <w:szCs w:val="24"/>
          <w:lang w:eastAsia="en-US"/>
        </w:rPr>
        <w:t xml:space="preserve"> » (1830). </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Les mémoires sont  tantôt des récits de vie, où se trouve une forte présence de réflexions historiques, politiques, ou philosophiques, comme « </w:t>
      </w:r>
      <w:r w:rsidRPr="00DC37B3">
        <w:rPr>
          <w:rFonts w:ascii="Times New Roman" w:eastAsia="Calibri" w:hAnsi="Times New Roman" w:cs="Times New Roman"/>
          <w:i/>
          <w:sz w:val="24"/>
          <w:szCs w:val="24"/>
          <w:lang w:eastAsia="en-US"/>
        </w:rPr>
        <w:t xml:space="preserve">les Mémoires d’outre-tombe » </w:t>
      </w:r>
      <w:r w:rsidRPr="00DC37B3">
        <w:rPr>
          <w:rFonts w:ascii="Times New Roman" w:eastAsia="Calibri" w:hAnsi="Times New Roman" w:cs="Times New Roman"/>
          <w:sz w:val="24"/>
          <w:szCs w:val="24"/>
          <w:lang w:eastAsia="en-US"/>
        </w:rPr>
        <w:t>de Château Briand. Et tantôt des relations de faits particuliers servant à l’histoire, comme par</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exemple « </w:t>
      </w:r>
      <w:r w:rsidRPr="00DC37B3">
        <w:rPr>
          <w:rFonts w:ascii="Times New Roman" w:eastAsia="Calibri" w:hAnsi="Times New Roman" w:cs="Times New Roman"/>
          <w:i/>
          <w:sz w:val="24"/>
          <w:szCs w:val="24"/>
          <w:lang w:eastAsia="en-US"/>
        </w:rPr>
        <w:t>les Mémoires  secrets sur les règnes de Louis XIV et de Louis XV »</w:t>
      </w:r>
      <w:r w:rsidRPr="00DC37B3">
        <w:rPr>
          <w:rFonts w:ascii="Times New Roman" w:eastAsia="Calibri" w:hAnsi="Times New Roman" w:cs="Times New Roman"/>
          <w:sz w:val="24"/>
          <w:szCs w:val="24"/>
          <w:lang w:eastAsia="en-US"/>
        </w:rPr>
        <w:t xml:space="preserve"> de Duclos avec un certain écart temporel.</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 récit historique est proche de la chronique. Il raconte un ou des évènements historiques, réels ou fictifs, situés dans un contexte décrit plus ou moins précisément. Il est  la mise en récit d’un passé vraisemblable  et d’une vérité du discours. </w:t>
      </w:r>
    </w:p>
    <w:p w:rsidR="00DC37B3" w:rsidRPr="00DC37B3" w:rsidRDefault="00DC37B3" w:rsidP="00DC37B3">
      <w:pPr>
        <w:spacing w:line="480" w:lineRule="auto"/>
        <w:jc w:val="both"/>
        <w:rPr>
          <w:rFonts w:ascii="Times New Roman" w:eastAsia="Calibri" w:hAnsi="Times New Roman" w:cs="Times New Roman"/>
          <w:b/>
          <w:sz w:val="28"/>
          <w:szCs w:val="28"/>
          <w:lang w:eastAsia="en-US"/>
        </w:rPr>
      </w:pPr>
      <w:r w:rsidRPr="00DC37B3">
        <w:rPr>
          <w:rFonts w:ascii="Times New Roman" w:eastAsia="Calibri" w:hAnsi="Times New Roman" w:cs="Times New Roman"/>
          <w:sz w:val="24"/>
          <w:szCs w:val="24"/>
          <w:lang w:eastAsia="en-US"/>
        </w:rPr>
        <w:t xml:space="preserve">   À partir du XVIII</w:t>
      </w:r>
      <w:r w:rsidRPr="00DC37B3">
        <w:rPr>
          <w:rFonts w:ascii="Times New Roman" w:eastAsia="Calibri" w:hAnsi="Times New Roman" w:cs="Times New Roman"/>
          <w:sz w:val="24"/>
          <w:szCs w:val="24"/>
          <w:vertAlign w:val="superscript"/>
          <w:lang w:eastAsia="en-US"/>
        </w:rPr>
        <w:t xml:space="preserve">e </w:t>
      </w:r>
      <w:r w:rsidRPr="00DC37B3">
        <w:rPr>
          <w:rFonts w:ascii="Times New Roman" w:eastAsia="Calibri" w:hAnsi="Times New Roman" w:cs="Times New Roman"/>
          <w:sz w:val="24"/>
          <w:szCs w:val="24"/>
          <w:lang w:eastAsia="en-US"/>
        </w:rPr>
        <w:t>siècle, il  manifeste une nouvelle ambition. Celle d’une connaissance, qui dépasse la seule analyse du cœur et de l’âme, des passions et des raisons (ce qui caractérisait la production classique). Il propose d’interpréter, de situer et donner à voir pour permettre de comprendre, contextualiser et prendre position. Bref, prendre en charge l’humanité entière. Mais ou se situe la ritournelle ?</w:t>
      </w:r>
    </w:p>
    <w:p w:rsidR="00DC37B3" w:rsidRPr="00DC37B3" w:rsidRDefault="00DC37B3" w:rsidP="00DC37B3">
      <w:pPr>
        <w:spacing w:after="0" w:line="480" w:lineRule="auto"/>
        <w:jc w:val="both"/>
        <w:rPr>
          <w:rFonts w:ascii="Times New Roman" w:eastAsia="Calibri" w:hAnsi="Times New Roman" w:cs="Times New Roman"/>
          <w:b/>
          <w:i/>
          <w:iCs/>
          <w:sz w:val="24"/>
          <w:szCs w:val="24"/>
          <w:lang w:eastAsia="en-US"/>
        </w:rPr>
      </w:pPr>
      <w:r w:rsidRPr="00DC37B3">
        <w:rPr>
          <w:rFonts w:ascii="Times New Roman" w:eastAsia="Calibri" w:hAnsi="Times New Roman" w:cs="Times New Roman"/>
          <w:b/>
          <w:sz w:val="24"/>
          <w:szCs w:val="24"/>
          <w:lang w:eastAsia="en-US"/>
        </w:rPr>
        <w:t xml:space="preserve">II.8 l’Histoire  dans </w:t>
      </w:r>
      <w:r w:rsidRPr="00DC37B3">
        <w:rPr>
          <w:rFonts w:ascii="Times New Roman" w:eastAsia="Calibri" w:hAnsi="Times New Roman" w:cs="Times New Roman"/>
          <w:b/>
          <w:i/>
          <w:iCs/>
          <w:sz w:val="24"/>
          <w:szCs w:val="24"/>
          <w:lang w:eastAsia="en-US"/>
        </w:rPr>
        <w:t>Ritournelle de la faim</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 conception de la </w:t>
      </w:r>
      <w:r w:rsidRPr="00DC37B3">
        <w:rPr>
          <w:rFonts w:ascii="Times New Roman" w:eastAsia="Calibri" w:hAnsi="Times New Roman" w:cs="Times New Roman"/>
          <w:i/>
          <w:sz w:val="24"/>
          <w:szCs w:val="24"/>
          <w:lang w:eastAsia="en-US"/>
        </w:rPr>
        <w:t>Ritournelle de la faim,</w:t>
      </w:r>
      <w:r w:rsidRPr="00DC37B3">
        <w:rPr>
          <w:rFonts w:ascii="Times New Roman" w:eastAsia="Calibri" w:hAnsi="Times New Roman" w:cs="Times New Roman"/>
          <w:sz w:val="24"/>
          <w:szCs w:val="24"/>
          <w:lang w:eastAsia="en-US"/>
        </w:rPr>
        <w:t xml:space="preserve"> part d’une juxtaposition de différents genres littéraires : autofiction, récit, chronique et récit réflexif. Elle évolue à travers  trois moments : l’entre deux guerre, durant la deuxième guerre mondiale et le présent. L’auteur empreinte le concept de Serge Dobrovsky pour nous confier un volet de son enfance. Un fait strictement réel inspiré de sa vie de trois ans, qui raconte le retour à la vie normal après la guerre et la réintégration du gout et de l’appétit. Un témoignage personnel et anecdotique, comme moyen simple de vulgarise le thème sans le dénaturé. Ensuite, il  installe la fiction d’une vie privée, dans un contexte historique, (l’entre deux guerres) et restitue l’ambiance exceptionnel du salon, avec une abondance de thèmes et de détails afin de certifier les personnages secondaires et renverser  la prétendue grandeur du père et des convives. Le renversement profite à l’héroïne, une jeune fille solitaire, qui à force d’accumuler les déceptions,  finit par</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dominer et structurer le roman à sa façon. L’expérience puise dans une spontanéité d’association d’idées, emprunté à la psychologie,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 </w:t>
      </w:r>
      <w:r w:rsidRPr="00DC37B3">
        <w:rPr>
          <w:rFonts w:ascii="Times New Roman" w:eastAsia="Calibri" w:hAnsi="Times New Roman" w:cs="Times New Roman"/>
          <w:i/>
          <w:sz w:val="24"/>
          <w:szCs w:val="24"/>
          <w:lang w:eastAsia="en-US"/>
        </w:rPr>
        <w:t>Le grand trou noir entrait en</w:t>
      </w:r>
      <w:r w:rsidRPr="00DC37B3">
        <w:rPr>
          <w:rFonts w:ascii="Times New Roman" w:eastAsia="Calibri" w:hAnsi="Times New Roman" w:cs="Times New Roman"/>
          <w:sz w:val="24"/>
          <w:szCs w:val="24"/>
          <w:lang w:eastAsia="en-US"/>
        </w:rPr>
        <w:t xml:space="preserve"> </w:t>
      </w:r>
      <w:r w:rsidRPr="00DC37B3">
        <w:rPr>
          <w:rFonts w:ascii="Times New Roman" w:eastAsia="Calibri" w:hAnsi="Times New Roman" w:cs="Times New Roman"/>
          <w:i/>
          <w:sz w:val="24"/>
          <w:szCs w:val="24"/>
          <w:lang w:eastAsia="en-US"/>
        </w:rPr>
        <w:t xml:space="preserve">elle, creusait un vide à l’intérieur de son corps. Avec un désespoir enfantin,» </w:t>
      </w:r>
      <w:r w:rsidRPr="00DC37B3">
        <w:rPr>
          <w:rFonts w:ascii="Times New Roman" w:eastAsia="Calibri" w:hAnsi="Times New Roman" w:cs="Times New Roman"/>
          <w:sz w:val="24"/>
          <w:szCs w:val="24"/>
          <w:lang w:eastAsia="en-US"/>
        </w:rPr>
        <w:t>P.98</w:t>
      </w:r>
      <w:r w:rsidRPr="00DC37B3">
        <w:rPr>
          <w:rFonts w:ascii="Times New Roman" w:eastAsia="Calibri" w:hAnsi="Times New Roman" w:cs="Times New Roman"/>
          <w:i/>
          <w:sz w:val="24"/>
          <w:szCs w:val="24"/>
          <w:lang w:eastAsia="en-US"/>
        </w:rPr>
        <w:t xml:space="preserve"> « pendant des semaines, après ce jour-là, pendant des mois, Ethel a porté ce trou au fond d’elle-même. C’était une douleur, un vide. Parfois elle perdait l’équilibre. » </w:t>
      </w:r>
      <w:r w:rsidRPr="00DC37B3">
        <w:rPr>
          <w:rFonts w:ascii="Times New Roman" w:eastAsia="Calibri" w:hAnsi="Times New Roman" w:cs="Times New Roman"/>
          <w:sz w:val="24"/>
          <w:szCs w:val="24"/>
          <w:lang w:eastAsia="en-US"/>
        </w:rPr>
        <w:t>(R.D.L.F.P.99), afin de dévoiler naturellement le déclin  des valeurs de la société occidentale du XX</w:t>
      </w:r>
      <w:r w:rsidRPr="00DC37B3">
        <w:rPr>
          <w:rFonts w:ascii="Times New Roman" w:eastAsia="Calibri" w:hAnsi="Times New Roman" w:cs="Times New Roman"/>
          <w:sz w:val="24"/>
          <w:szCs w:val="24"/>
          <w:vertAlign w:val="superscript"/>
          <w:lang w:eastAsia="en-US"/>
        </w:rPr>
        <w:t>e</w:t>
      </w:r>
      <w:r w:rsidRPr="00DC37B3">
        <w:rPr>
          <w:rFonts w:ascii="Times New Roman" w:eastAsia="Calibri" w:hAnsi="Times New Roman" w:cs="Times New Roman"/>
          <w:sz w:val="24"/>
          <w:szCs w:val="24"/>
          <w:lang w:eastAsia="en-US"/>
        </w:rPr>
        <w:t xml:space="preserve">. L’auteur </w:t>
      </w:r>
      <w:r w:rsidRPr="00DC37B3">
        <w:rPr>
          <w:rFonts w:ascii="Times New Roman" w:eastAsia="Calibri" w:hAnsi="Times New Roman" w:cs="Times New Roman"/>
          <w:sz w:val="24"/>
          <w:szCs w:val="24"/>
          <w:vertAlign w:val="superscript"/>
          <w:lang w:eastAsia="en-US"/>
        </w:rPr>
        <w:t xml:space="preserve"> </w:t>
      </w:r>
      <w:r w:rsidRPr="00DC37B3">
        <w:rPr>
          <w:rFonts w:ascii="Times New Roman" w:eastAsia="Calibri" w:hAnsi="Times New Roman" w:cs="Times New Roman"/>
          <w:sz w:val="24"/>
          <w:szCs w:val="24"/>
          <w:lang w:eastAsia="en-US"/>
        </w:rPr>
        <w:t>remonte à la situation première, ce que Dada appelait « l’état amorphe *»</w:t>
      </w:r>
      <w:r w:rsidRPr="00DC37B3">
        <w:rPr>
          <w:rFonts w:ascii="Times New Roman" w:eastAsia="Calibri" w:hAnsi="Times New Roman" w:cs="Times New Roman"/>
          <w:sz w:val="24"/>
          <w:vertAlign w:val="superscript"/>
          <w:lang w:eastAsia="en-US"/>
        </w:rPr>
        <w:footnoteReference w:id="69"/>
      </w:r>
      <w:r w:rsidRPr="00DC37B3">
        <w:rPr>
          <w:rFonts w:ascii="Times New Roman" w:eastAsia="Calibri" w:hAnsi="Times New Roman" w:cs="Times New Roman"/>
          <w:sz w:val="24"/>
          <w:szCs w:val="24"/>
          <w:lang w:eastAsia="en-US"/>
        </w:rPr>
        <w:t xml:space="preserve"> pour envisager une nouvelle synthèse de ce qui a pu se passer avant la catastrophe finale.   </w:t>
      </w:r>
    </w:p>
    <w:p w:rsidR="00DC37B3" w:rsidRP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 focalisation de la narration sur la variante spatio-temporelle ainsi que les mœurs  concrétise la variété inépuisable de sujets à caractère social très symbolique, et très pertinent.  Il y dépend des personnages au destin dramatique rempli de profonds conflits à chaque étape de l’œuvre. Le Clézio, raconte le malheur des siens, et ressent la douleur des autres, (ceux qui font partie de son Histoire de son passé) aussi il  nous convie à vivre la transition à l’Histoire, dans le troisième chapitre, par le recours au style direct, dans le  langage du drame de l’actualité des grands faits historiques (les lois de propagande à l’encontre des juifs). Une partie qui raisonne comme un testament, et dont l’auteur lui donne une dimension historique, politique, et sociale. Il confie le langage des faits à l’aventure de la fiction. Il dévoile au lecteur  une actualité « familiale héritée », des faits et des souvenirs  auxquels il n’a pas participé, mais qui le lui ont été transmis et inculqués par sa mère.  </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Le personnage inventé Ethel se substitue à sa mère, ainsi qu’à l’ensemble du peuple français, car nous sommes en face d’une vie historique  textualisée. Une vie sociale qui repose</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C37B3" w:rsidRPr="00DC37B3" w:rsidRDefault="00DC37B3" w:rsidP="00DC37B3">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C37B3">
        <w:rPr>
          <w:rFonts w:ascii="Times New Roman" w:eastAsia="Times New Roman" w:hAnsi="Times New Roman" w:cs="Times New Roman"/>
          <w:sz w:val="28"/>
          <w:szCs w:val="28"/>
          <w:lang w:eastAsia="en-US"/>
        </w:rPr>
        <w:lastRenderedPageBreak/>
        <w:t>Chapitre II : Aperçu historique</w:t>
      </w:r>
    </w:p>
    <w:p w:rsidR="00DC37B3" w:rsidRPr="00DC37B3" w:rsidRDefault="00DC37B3" w:rsidP="00DC37B3">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DC37B3" w:rsidRPr="00DC37B3" w:rsidRDefault="00DC37B3" w:rsidP="00DC37B3">
      <w:pPr>
        <w:spacing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sur une polarité importante, celle de l’arrachement (l’exode et l’errance)  l’enracinement (le refuge au sud et en montagne).  Deux positions contradictoires qui font l’unité de l’œuvre. Car toute la force et la tension du roman repose sur l’alliance et la coexistence du dégout et de l’enthousiasme, de l’action et du rêve, du jeu et de la gravité, de la raison et de la folie, l’affirmation et la négation, une vision atroce et exaltante.</w:t>
      </w:r>
    </w:p>
    <w:p w:rsidR="00DC37B3" w:rsidRPr="00DC37B3" w:rsidRDefault="00DC37B3" w:rsidP="00DC37B3">
      <w:pPr>
        <w:numPr>
          <w:ilvl w:val="0"/>
          <w:numId w:val="15"/>
        </w:numPr>
        <w:spacing w:after="0" w:line="480" w:lineRule="auto"/>
        <w:jc w:val="both"/>
        <w:rPr>
          <w:rFonts w:ascii="Times New Roman" w:eastAsia="Calibri" w:hAnsi="Times New Roman" w:cs="Times New Roman"/>
          <w:b/>
          <w:sz w:val="24"/>
          <w:szCs w:val="24"/>
          <w:lang w:eastAsia="en-US"/>
        </w:rPr>
      </w:pPr>
      <w:r w:rsidRPr="00DC37B3">
        <w:rPr>
          <w:rFonts w:ascii="Times New Roman" w:eastAsia="Calibri" w:hAnsi="Times New Roman" w:cs="Times New Roman"/>
          <w:b/>
          <w:sz w:val="24"/>
          <w:szCs w:val="24"/>
          <w:lang w:eastAsia="en-US"/>
        </w:rPr>
        <w:t>L’histoire</w:t>
      </w:r>
    </w:p>
    <w:p w:rsidR="00DC37B3" w:rsidRPr="00DC37B3" w:rsidRDefault="00DC37B3" w:rsidP="00DC37B3">
      <w:pPr>
        <w:spacing w:after="0" w:line="480" w:lineRule="auto"/>
        <w:jc w:val="both"/>
        <w:rPr>
          <w:rFonts w:ascii="Times New Roman" w:eastAsia="Calibri" w:hAnsi="Times New Roman" w:cs="Times New Roman"/>
          <w:b/>
          <w:sz w:val="24"/>
          <w:szCs w:val="24"/>
          <w:lang w:eastAsia="en-US"/>
        </w:rPr>
      </w:pPr>
      <w:r w:rsidRPr="00DC37B3">
        <w:rPr>
          <w:rFonts w:ascii="Times New Roman" w:eastAsia="Calibri" w:hAnsi="Times New Roman" w:cs="Times New Roman"/>
          <w:b/>
          <w:sz w:val="24"/>
          <w:szCs w:val="24"/>
          <w:lang w:eastAsia="en-US"/>
        </w:rPr>
        <w:t xml:space="preserve">    </w:t>
      </w:r>
      <w:r w:rsidRPr="00DC37B3">
        <w:rPr>
          <w:rFonts w:ascii="Times New Roman" w:eastAsia="Calibri" w:hAnsi="Times New Roman" w:cs="Times New Roman"/>
          <w:sz w:val="24"/>
          <w:szCs w:val="24"/>
          <w:lang w:eastAsia="en-US"/>
        </w:rPr>
        <w:t>Le Clézio réinvente un volet de l’histoire française, et raconte une réalité objective, celle de l’écrasement militaire de juin 1940 et l’humiliation subie. Cela dit, bien avant lui, Céline, l’homme en colère et révolté jouait la provocation et qualifiait en trois mots l’écrasement militaire : « l’enrageantes ferrailles à panique.</w:t>
      </w:r>
      <w:r w:rsidRPr="00DC37B3">
        <w:rPr>
          <w:rFonts w:ascii="Times New Roman" w:eastAsia="Calibri" w:hAnsi="Times New Roman" w:cs="Times New Roman"/>
          <w:sz w:val="24"/>
          <w:szCs w:val="24"/>
          <w:vertAlign w:val="superscript"/>
          <w:lang w:eastAsia="en-US"/>
        </w:rPr>
        <w:footnoteReference w:id="70"/>
      </w:r>
      <w:r w:rsidRPr="00DC37B3">
        <w:rPr>
          <w:rFonts w:ascii="Times New Roman" w:eastAsia="Calibri" w:hAnsi="Times New Roman" w:cs="Times New Roman"/>
          <w:sz w:val="24"/>
          <w:szCs w:val="24"/>
          <w:lang w:eastAsia="en-US"/>
        </w:rPr>
        <w:t> » et puis il rajoute « l’enrageantes ferrailles à panique chargent aux pantoufles ».</w:t>
      </w:r>
    </w:p>
    <w:p w:rsidR="00DC37B3" w:rsidRPr="00DC37B3" w:rsidRDefault="00DC37B3" w:rsidP="00DC37B3">
      <w:pPr>
        <w:spacing w:after="0" w:line="480" w:lineRule="auto"/>
        <w:jc w:val="both"/>
        <w:rPr>
          <w:rFonts w:ascii="Times New Roman" w:eastAsia="Calibri" w:hAnsi="Times New Roman" w:cs="Times New Roman"/>
          <w:i/>
          <w:sz w:val="24"/>
          <w:szCs w:val="24"/>
          <w:lang w:eastAsia="en-US"/>
        </w:rPr>
      </w:pPr>
      <w:r w:rsidRPr="00DC37B3">
        <w:rPr>
          <w:rFonts w:ascii="Times New Roman" w:eastAsia="Calibri" w:hAnsi="Times New Roman" w:cs="Times New Roman"/>
          <w:sz w:val="24"/>
          <w:szCs w:val="24"/>
          <w:lang w:eastAsia="en-US"/>
        </w:rPr>
        <w:t xml:space="preserve">   L’ambition Le Clézienne est de travailler la quintessence du concept même de la culpabilité (qui est en soi) « on pouvait vivre avec cela, c’était bien le plus étonnant. »(R.D.L.F.P.108) à cause du passé honteux « d’une certaine façon, c’était justice. Tous, ils étaient châtiés, abandonnés, trahis, comme en retour de leur orgueil passé. </w:t>
      </w:r>
      <w:r w:rsidRPr="00DC37B3">
        <w:rPr>
          <w:rFonts w:ascii="Times New Roman" w:eastAsia="Calibri" w:hAnsi="Times New Roman" w:cs="Times New Roman"/>
          <w:i/>
          <w:sz w:val="24"/>
          <w:szCs w:val="24"/>
          <w:lang w:eastAsia="en-US"/>
        </w:rPr>
        <w:t xml:space="preserve">» (R.D.L.F. P.156) </w:t>
      </w:r>
      <w:r w:rsidRPr="00DC37B3">
        <w:rPr>
          <w:rFonts w:ascii="Times New Roman" w:eastAsia="Calibri" w:hAnsi="Times New Roman" w:cs="Times New Roman"/>
          <w:sz w:val="24"/>
          <w:szCs w:val="24"/>
          <w:lang w:eastAsia="en-US"/>
        </w:rPr>
        <w:t>Il n’hésite pas à dénoncer l’idéologie bourgeoise de l’entre deux guerres qui faisait porter son malheur aux juifs, aux arabes et aux noirs. « Ils avaient gardés le crachoir, avec leurs discours anti-juifs, anti-nègres, anti-arabes.</w:t>
      </w:r>
      <w:r w:rsidRPr="00DC37B3">
        <w:rPr>
          <w:rFonts w:ascii="Times New Roman" w:eastAsia="Calibri" w:hAnsi="Times New Roman" w:cs="Times New Roman"/>
          <w:i/>
          <w:sz w:val="24"/>
          <w:szCs w:val="24"/>
          <w:lang w:eastAsia="en-US"/>
        </w:rPr>
        <w:t xml:space="preserve"> » </w:t>
      </w:r>
      <w:r w:rsidRPr="00DC37B3">
        <w:rPr>
          <w:rFonts w:ascii="Times New Roman" w:eastAsia="Calibri" w:hAnsi="Times New Roman" w:cs="Times New Roman"/>
          <w:sz w:val="24"/>
          <w:szCs w:val="24"/>
          <w:lang w:eastAsia="en-US"/>
        </w:rPr>
        <w:t>(R.D.L.F.</w:t>
      </w:r>
      <w:r w:rsidRPr="00DC37B3">
        <w:rPr>
          <w:rFonts w:ascii="Times New Roman" w:eastAsia="Calibri" w:hAnsi="Times New Roman" w:cs="Times New Roman"/>
          <w:i/>
          <w:sz w:val="24"/>
          <w:szCs w:val="24"/>
          <w:lang w:eastAsia="en-US"/>
        </w:rPr>
        <w:t xml:space="preserve"> </w:t>
      </w:r>
      <w:r w:rsidRPr="00DC37B3">
        <w:rPr>
          <w:rFonts w:ascii="Times New Roman" w:eastAsia="Calibri" w:hAnsi="Times New Roman" w:cs="Times New Roman"/>
          <w:sz w:val="24"/>
          <w:szCs w:val="24"/>
          <w:lang w:eastAsia="en-US"/>
        </w:rPr>
        <w:t>P</w:t>
      </w:r>
      <w:r w:rsidRPr="00DC37B3">
        <w:rPr>
          <w:rFonts w:ascii="Times New Roman" w:eastAsia="Calibri" w:hAnsi="Times New Roman" w:cs="Times New Roman"/>
          <w:i/>
          <w:sz w:val="24"/>
          <w:szCs w:val="24"/>
          <w:lang w:eastAsia="en-US"/>
        </w:rPr>
        <w:t xml:space="preserve">. </w:t>
      </w:r>
      <w:r w:rsidRPr="00DC37B3">
        <w:rPr>
          <w:rFonts w:ascii="Times New Roman" w:eastAsia="Calibri" w:hAnsi="Times New Roman" w:cs="Times New Roman"/>
          <w:sz w:val="24"/>
          <w:szCs w:val="24"/>
          <w:lang w:eastAsia="en-US"/>
        </w:rPr>
        <w:t>156)</w:t>
      </w:r>
    </w:p>
    <w:p w:rsidR="00DC37B3" w:rsidRDefault="00DC37B3" w:rsidP="00DC37B3">
      <w:pPr>
        <w:spacing w:after="0" w:line="480" w:lineRule="auto"/>
        <w:jc w:val="both"/>
        <w:rPr>
          <w:rFonts w:ascii="Times New Roman" w:eastAsia="Calibri" w:hAnsi="Times New Roman" w:cs="Times New Roman"/>
          <w:sz w:val="24"/>
          <w:szCs w:val="24"/>
          <w:lang w:eastAsia="en-US"/>
        </w:rPr>
      </w:pPr>
      <w:r w:rsidRPr="00DC37B3">
        <w:rPr>
          <w:rFonts w:ascii="Times New Roman" w:eastAsia="Calibri" w:hAnsi="Times New Roman" w:cs="Times New Roman"/>
          <w:sz w:val="24"/>
          <w:szCs w:val="24"/>
          <w:lang w:eastAsia="en-US"/>
        </w:rPr>
        <w:t xml:space="preserve">   L’auteur quitte la narration et devient chroniqueur, historien puis psychologue et se donne à fond pour charger son style et sa narration de la vérité sur les horreurs vécus durant la deuxième guerre mondiale : l’holocauste en masse, la purification de l’humanité, la haine et l’absurdité. Peu à peu, le ton devient apocalyptique, car nous assistons à une désintégration de</w:t>
      </w:r>
    </w:p>
    <w:p w:rsidR="00DC37B3" w:rsidRDefault="00DC37B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E77824" w:rsidRPr="00E77824" w:rsidRDefault="00E77824" w:rsidP="00E77824">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E77824">
        <w:rPr>
          <w:rFonts w:ascii="Times New Roman" w:eastAsia="Times New Roman" w:hAnsi="Times New Roman" w:cs="Times New Roman"/>
          <w:sz w:val="28"/>
          <w:szCs w:val="28"/>
          <w:lang w:eastAsia="en-US"/>
        </w:rPr>
        <w:lastRenderedPageBreak/>
        <w:t>Chapitre II : Aperçu historique</w:t>
      </w:r>
    </w:p>
    <w:p w:rsidR="00E77824" w:rsidRPr="00E77824" w:rsidRDefault="00E77824" w:rsidP="00E77824">
      <w:pPr>
        <w:tabs>
          <w:tab w:val="center" w:pos="4536"/>
          <w:tab w:val="right" w:pos="9072"/>
        </w:tabs>
        <w:spacing w:after="0" w:line="240" w:lineRule="auto"/>
        <w:rPr>
          <w:rFonts w:ascii="Calibri" w:eastAsia="Calibri" w:hAnsi="Calibri" w:cs="Times New Roman"/>
          <w:lang w:eastAsia="en-US"/>
        </w:rPr>
      </w:pPr>
    </w:p>
    <w:p w:rsidR="00DC37B3" w:rsidRDefault="00DC37B3" w:rsidP="00DC37B3">
      <w:pPr>
        <w:spacing w:after="0" w:line="480" w:lineRule="auto"/>
        <w:jc w:val="both"/>
        <w:rPr>
          <w:rFonts w:ascii="Times New Roman" w:eastAsia="Calibri" w:hAnsi="Times New Roman" w:cs="Times New Roman"/>
          <w:sz w:val="24"/>
          <w:szCs w:val="24"/>
          <w:lang w:eastAsia="en-US"/>
        </w:rPr>
      </w:pP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toute la société en sous-hommes, plutôt des non-hommes, des « ombres ». Pour ce fait, l’auteur leur fait un procès, et la sentence sera plus forte que la réalité « d’une certaine façon, c’était justice. Tous, ils étaient châtiés, abandonnés, trahis, comme en retour de leur orgueil passé. » « Maintenant leur monde, s’était écroulé, émietté, il avait été réduit à une eau de canal. Maintenant, ils étaient condamnés à errer comme des ombres, à leur tour, sans rien espérer, sans autre nourriture que les épluchures et les racines verdies, comme s’ils mangeaient la terre, le</w:t>
      </w:r>
      <w:r w:rsidRPr="00E77824">
        <w:rPr>
          <w:rFonts w:ascii="Times New Roman" w:eastAsia="Calibri" w:hAnsi="Times New Roman" w:cs="Times New Roman"/>
          <w:i/>
          <w:sz w:val="24"/>
          <w:szCs w:val="24"/>
          <w:lang w:eastAsia="en-US"/>
        </w:rPr>
        <w:t xml:space="preserve"> </w:t>
      </w:r>
      <w:r w:rsidRPr="00E77824">
        <w:rPr>
          <w:rFonts w:ascii="Times New Roman" w:eastAsia="Calibri" w:hAnsi="Times New Roman" w:cs="Times New Roman"/>
          <w:sz w:val="24"/>
          <w:szCs w:val="24"/>
          <w:lang w:eastAsia="en-US"/>
        </w:rPr>
        <w:t xml:space="preserve">charbon et le fer, dans cet hiver interminable. », « Ils avaient été rendus à leurs noms de famille imaginaires descendants de la « deuxième race ». » (R.D.L.F.P.158)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Ensuite, il nous fait une déposition de l’interminable liste des coupables, leur identité, qui sont-ils vraiment ? « Les volages, les « artistes », les affairistes, les margoulins, les prédateurs. Et aussi tous ceux qui avaient professé avec orgueil leur supériorité</w:t>
      </w:r>
      <w:r w:rsidRPr="00E77824">
        <w:rPr>
          <w:rFonts w:ascii="Times New Roman" w:eastAsia="Calibri" w:hAnsi="Times New Roman" w:cs="Times New Roman"/>
          <w:b/>
          <w:sz w:val="24"/>
          <w:szCs w:val="24"/>
          <w:lang w:eastAsia="en-US"/>
        </w:rPr>
        <w:t xml:space="preserve"> </w:t>
      </w:r>
      <w:r w:rsidRPr="00E77824">
        <w:rPr>
          <w:rFonts w:ascii="Times New Roman" w:eastAsia="Calibri" w:hAnsi="Times New Roman" w:cs="Times New Roman"/>
          <w:sz w:val="24"/>
          <w:szCs w:val="24"/>
          <w:lang w:eastAsia="en-US"/>
        </w:rPr>
        <w:t>morale et intellectuelle, les royalistes, les fouriéristes, les racistes, les suprématistes, les mysticistes, les spiritistes… »</w:t>
      </w:r>
      <w:r w:rsidRPr="00E77824">
        <w:rPr>
          <w:rFonts w:ascii="Times New Roman" w:eastAsia="Calibri" w:hAnsi="Times New Roman" w:cs="Times New Roman"/>
          <w:b/>
          <w:sz w:val="24"/>
          <w:szCs w:val="24"/>
          <w:lang w:eastAsia="en-US"/>
        </w:rPr>
        <w:t xml:space="preserve"> </w:t>
      </w:r>
      <w:r w:rsidRPr="00E77824">
        <w:rPr>
          <w:rFonts w:ascii="Times New Roman" w:eastAsia="Calibri" w:hAnsi="Times New Roman" w:cs="Times New Roman"/>
          <w:sz w:val="24"/>
          <w:szCs w:val="24"/>
          <w:lang w:eastAsia="en-US"/>
        </w:rPr>
        <w:t>« … les maurassiens, camelots du roi, mordréliens, pacifistes, munichois, collaborationnistes, anglophobes, celtomanes, oligarchistes, synarchistes, anarchistes, impérialistes, cagoulards, et ligueurs.</w:t>
      </w:r>
      <w:r w:rsidRPr="00E77824">
        <w:rPr>
          <w:rFonts w:ascii="Times New Roman" w:eastAsia="Calibri" w:hAnsi="Times New Roman" w:cs="Times New Roman"/>
          <w:i/>
          <w:sz w:val="24"/>
          <w:szCs w:val="24"/>
          <w:lang w:eastAsia="en-US"/>
        </w:rPr>
        <w:t> </w:t>
      </w:r>
      <w:r w:rsidRPr="00E77824">
        <w:rPr>
          <w:rFonts w:ascii="Times New Roman" w:eastAsia="Calibri" w:hAnsi="Times New Roman" w:cs="Times New Roman"/>
          <w:sz w:val="24"/>
          <w:szCs w:val="24"/>
          <w:lang w:eastAsia="en-US"/>
        </w:rPr>
        <w:t xml:space="preserve">» (R.D.L.F.P.156). Le Clézio n’épargne personne, tout le monde est coupable. </w:t>
      </w:r>
    </w:p>
    <w:p w:rsid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Il s’agit d’un un chef d’œuvre qui rapporte la désillusion sociale « Maintenant, ils comprenaient que l’ennemi ne ferait aucune différence entre eux et les autres, qu’ils seraient coupés et récoltés comme ceux qu’ils avaient dédaignés, tous ces va-nu-pieds, et ces sans-noms, ces sans-étoile nés pour les servir. » « Ces fantômes humains qui s’étaient jetés dans la gueule du loup, qui n’avaient pas réfléchi, qui avaient gobé tous les mensonges de l’époque, qui avaient cru en leur destinée, comme s’ils étaient vraiment d’une essence supérieur, nés d’une autre race.</w:t>
      </w:r>
      <w:r w:rsidRPr="00E77824">
        <w:rPr>
          <w:rFonts w:ascii="Times New Roman" w:eastAsia="Calibri" w:hAnsi="Times New Roman" w:cs="Times New Roman"/>
          <w:i/>
          <w:sz w:val="24"/>
          <w:szCs w:val="24"/>
          <w:lang w:eastAsia="en-US"/>
        </w:rPr>
        <w:t> </w:t>
      </w:r>
      <w:r w:rsidRPr="00E77824">
        <w:rPr>
          <w:rFonts w:ascii="Times New Roman" w:eastAsia="Calibri" w:hAnsi="Times New Roman" w:cs="Times New Roman"/>
          <w:sz w:val="24"/>
          <w:szCs w:val="24"/>
          <w:lang w:eastAsia="en-US"/>
        </w:rPr>
        <w:t>»(R.D.L.F.P.158) « tel un appel à la pitié générale » (R.D.L.F.P. 169)</w:t>
      </w:r>
    </w:p>
    <w:p w:rsidR="00E77824" w:rsidRDefault="00E77824">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E77824" w:rsidRPr="00E77824" w:rsidRDefault="00E77824" w:rsidP="00E77824">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E77824">
        <w:rPr>
          <w:rFonts w:ascii="Times New Roman" w:eastAsia="Times New Roman" w:hAnsi="Times New Roman" w:cs="Times New Roman"/>
          <w:sz w:val="28"/>
          <w:szCs w:val="28"/>
          <w:lang w:eastAsia="en-US"/>
        </w:rPr>
        <w:lastRenderedPageBreak/>
        <w:t>Chapitre II : Aperçu historique</w:t>
      </w:r>
    </w:p>
    <w:p w:rsidR="00E77824" w:rsidRPr="00E77824" w:rsidRDefault="00E77824" w:rsidP="00E77824">
      <w:pPr>
        <w:tabs>
          <w:tab w:val="center" w:pos="4536"/>
          <w:tab w:val="right" w:pos="9072"/>
        </w:tabs>
        <w:spacing w:after="0" w:line="240" w:lineRule="auto"/>
        <w:rPr>
          <w:rFonts w:ascii="Calibri" w:eastAsia="Calibri" w:hAnsi="Calibri" w:cs="Times New Roman"/>
          <w:lang w:eastAsia="en-US"/>
        </w:rPr>
      </w:pPr>
    </w:p>
    <w:p w:rsidR="00E77824" w:rsidRDefault="00E77824" w:rsidP="00E77824">
      <w:pPr>
        <w:spacing w:after="0" w:line="480" w:lineRule="auto"/>
        <w:jc w:val="both"/>
        <w:rPr>
          <w:rFonts w:ascii="Times New Roman" w:eastAsia="Calibri" w:hAnsi="Times New Roman" w:cs="Times New Roman"/>
          <w:sz w:val="24"/>
          <w:szCs w:val="24"/>
          <w:lang w:eastAsia="en-US"/>
        </w:rPr>
      </w:pP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Le narrateur amplifie les faits pour montrer l’état psychologique des gens et justifier la dépression « elle ne pouvait rien. On parlait d’une armée dans l’ombre, d’une résistance des patriotes, de soldats britanniques qui sautaient en parachutes sur les campagnes. Mais où ?» (R.D.L.F.P.169) « les bateaux avaient coulé à l’entrée du port, plus rien ne pouvait entrer ou sortir. Le phare ne s’allumait plus le soir. Sur les étals du marché, il n’y</w:t>
      </w:r>
      <w:r w:rsidRPr="00E77824">
        <w:rPr>
          <w:rFonts w:ascii="Times New Roman" w:eastAsia="Calibri" w:hAnsi="Times New Roman" w:cs="Times New Roman"/>
          <w:i/>
          <w:sz w:val="24"/>
          <w:szCs w:val="24"/>
          <w:lang w:eastAsia="en-US"/>
        </w:rPr>
        <w:t xml:space="preserve"> </w:t>
      </w:r>
      <w:r w:rsidRPr="00E77824">
        <w:rPr>
          <w:rFonts w:ascii="Times New Roman" w:eastAsia="Calibri" w:hAnsi="Times New Roman" w:cs="Times New Roman"/>
          <w:sz w:val="24"/>
          <w:szCs w:val="24"/>
          <w:lang w:eastAsia="en-US"/>
        </w:rPr>
        <w:t xml:space="preserve">avait rien, presque plus rien. Les mêmes ombres continuaient d’errer dans les allées, mais à présent les épluchures et les racines moisies se vendaient. Dans les jardins les chats errants se mangeaient entre eux. » (R.D.L.F.P.161)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Le Clézio va plus loin dans sa représentation et noircit le troisième chapitre, « Ethel a lu la détresse de la solitude, de la peur de la mort, le vide. » P.168 « quand elle était entrée pour la première fois, Ethel avait compris l’étendue du désastre dans la vie de cette femme. » « Maude mourait de faim, mais elle n’aurait jamais voulu le laisser paraître. Elle s’efforçait de cacher la réalité.</w:t>
      </w:r>
      <w:r w:rsidRPr="00E77824">
        <w:rPr>
          <w:rFonts w:ascii="Times New Roman" w:eastAsia="Calibri" w:hAnsi="Times New Roman" w:cs="Times New Roman"/>
          <w:i/>
          <w:sz w:val="24"/>
          <w:szCs w:val="24"/>
          <w:lang w:eastAsia="en-US"/>
        </w:rPr>
        <w:t>» (R.D.L.F.</w:t>
      </w:r>
      <w:r w:rsidRPr="00E77824">
        <w:rPr>
          <w:rFonts w:ascii="Times New Roman" w:eastAsia="Calibri" w:hAnsi="Times New Roman" w:cs="Times New Roman"/>
          <w:sz w:val="24"/>
          <w:szCs w:val="24"/>
          <w:lang w:eastAsia="en-US"/>
        </w:rPr>
        <w:t xml:space="preserve">P.164)Le talent et le style de l’écrivain fait parler la mort. Une constante de l’art, qui nous emporte dans le tragique du moment décrit.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 Les champs d’oliviers avait été minés. Un panneau écrit en deux langues menaçait les passants d’une tête de mort. A partir de dix- huit heures commençait le couvre-feu. Un soir qu’elle avait tardé, alors qu’elle montait à pied les escaliers de l’immeuble, un coup de feu avait percé un trou dans l’œil-de bœuf du cinquième et la balle s’était fichée dans le mur. </w:t>
      </w:r>
      <w:r w:rsidRPr="00E77824">
        <w:rPr>
          <w:rFonts w:ascii="Times New Roman" w:eastAsia="Calibri" w:hAnsi="Times New Roman" w:cs="Times New Roman"/>
          <w:i/>
          <w:sz w:val="24"/>
          <w:szCs w:val="24"/>
          <w:lang w:eastAsia="en-US"/>
        </w:rPr>
        <w:t xml:space="preserve">» </w:t>
      </w:r>
      <w:r w:rsidRPr="00E77824">
        <w:rPr>
          <w:rFonts w:ascii="Times New Roman" w:eastAsia="Calibri" w:hAnsi="Times New Roman" w:cs="Times New Roman"/>
          <w:sz w:val="24"/>
          <w:szCs w:val="24"/>
          <w:lang w:eastAsia="en-US"/>
        </w:rPr>
        <w:t xml:space="preserve">(R.D.L.F.P.160) </w:t>
      </w:r>
    </w:p>
    <w:p w:rsid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Le désespoir face au chaos : « …allez-y si vous voulez, moi je préfère mourir au grand air que d’être enterré comme un rat ! »(R.D.L.F.P.160) « on mourait petit à petit, de ne pas manger, de ne pas respirer, de ne pas être libre, de ne pas rêver.»</w:t>
      </w:r>
    </w:p>
    <w:p w:rsidR="00E77824" w:rsidRDefault="00E77824">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E77824" w:rsidRPr="00DE149B" w:rsidRDefault="00E77824" w:rsidP="00E77824">
      <w:pPr>
        <w:pStyle w:val="En-tte"/>
        <w:pBdr>
          <w:bottom w:val="thickThinSmallGap" w:sz="24" w:space="1" w:color="622423"/>
        </w:pBdr>
        <w:jc w:val="center"/>
        <w:rPr>
          <w:rFonts w:ascii="Times New Roman" w:eastAsia="Times New Roman" w:hAnsi="Times New Roman"/>
          <w:sz w:val="28"/>
          <w:szCs w:val="28"/>
        </w:rPr>
      </w:pPr>
      <w:r>
        <w:rPr>
          <w:rFonts w:ascii="Times New Roman" w:eastAsia="Times New Roman" w:hAnsi="Times New Roman"/>
          <w:sz w:val="28"/>
          <w:szCs w:val="28"/>
        </w:rPr>
        <w:lastRenderedPageBreak/>
        <w:t>Chapitre II : Aperçu historique</w:t>
      </w:r>
    </w:p>
    <w:p w:rsidR="00E77824" w:rsidRDefault="00E77824" w:rsidP="00E77824">
      <w:pPr>
        <w:pStyle w:val="En-tte"/>
      </w:pPr>
    </w:p>
    <w:p w:rsidR="00E77824" w:rsidRDefault="00E77824" w:rsidP="00E77824">
      <w:pPr>
        <w:spacing w:after="0" w:line="480" w:lineRule="auto"/>
        <w:jc w:val="both"/>
        <w:rPr>
          <w:rFonts w:ascii="Times New Roman" w:eastAsia="Calibri" w:hAnsi="Times New Roman" w:cs="Times New Roman"/>
          <w:sz w:val="24"/>
          <w:szCs w:val="24"/>
          <w:lang w:eastAsia="en-US"/>
        </w:rPr>
      </w:pP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Le grand humaniste glisse un mot pour dénoncer le colonialisme de l’Algérie</w:t>
      </w:r>
      <w:r w:rsidRPr="00E77824">
        <w:rPr>
          <w:rFonts w:ascii="Times New Roman" w:eastAsia="Calibri" w:hAnsi="Times New Roman" w:cs="Times New Roman"/>
          <w:i/>
          <w:sz w:val="24"/>
          <w:szCs w:val="24"/>
          <w:lang w:eastAsia="en-US"/>
        </w:rPr>
        <w:t xml:space="preserve"> « </w:t>
      </w:r>
      <w:r w:rsidRPr="00E77824">
        <w:rPr>
          <w:rFonts w:ascii="Times New Roman" w:eastAsia="Calibri" w:hAnsi="Times New Roman" w:cs="Times New Roman"/>
          <w:sz w:val="24"/>
          <w:szCs w:val="24"/>
          <w:lang w:eastAsia="en-US"/>
        </w:rPr>
        <w:t>à Mostaganem par exemple, les hommes et les femmes continuaient une histoire ancienne »  (R.D.L.F.P.162)</w:t>
      </w:r>
      <w:r w:rsidRPr="00E77824">
        <w:rPr>
          <w:rFonts w:ascii="Times New Roman" w:eastAsia="Calibri" w:hAnsi="Times New Roman" w:cs="Times New Roman"/>
          <w:i/>
          <w:sz w:val="24"/>
          <w:szCs w:val="24"/>
          <w:lang w:eastAsia="en-US"/>
        </w:rPr>
        <w:t xml:space="preserve">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Ceci étant il n’ya pas de guerre sans blessés et sans épidémies. Ainsi, l’auteur introduit le troisième cavalier apocalyptique : la guerre aux maladies : « Alexandre est arrivé dans un état proche du coma. Il a fallu le trainer à l’étage,… » P.173 « Ethel a cru que chaque matin Justine lui annoncerait : « Papa est mort dans la nuit ». » P.174 « Justine, à cause des soucis, …avait développé un ulcère à la jambe droite. Ethel voyait ces mêmes mouches qui se collaient à la jambe de sa mère, sur les bords de la plaie,… comme si les mouches étaient en train de manger sa mère vivante. » « Le pharmacien local n’avait que du bleu de méthylène, dont il avait badigeonné la jambe de Justine, en vain.</w:t>
      </w:r>
      <w:r w:rsidRPr="00E77824">
        <w:rPr>
          <w:rFonts w:ascii="Times New Roman" w:eastAsia="Calibri" w:hAnsi="Times New Roman" w:cs="Times New Roman"/>
          <w:i/>
          <w:sz w:val="24"/>
          <w:szCs w:val="24"/>
          <w:lang w:eastAsia="en-US"/>
        </w:rPr>
        <w:t xml:space="preserve"> » </w:t>
      </w:r>
      <w:r w:rsidRPr="00E77824">
        <w:rPr>
          <w:rFonts w:ascii="Times New Roman" w:eastAsia="Calibri" w:hAnsi="Times New Roman" w:cs="Times New Roman"/>
          <w:sz w:val="24"/>
          <w:szCs w:val="24"/>
          <w:lang w:eastAsia="en-US"/>
        </w:rPr>
        <w:t>(R.D.L.F.P.175)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Le roman se termine par un retour à la vie, par la réintégration des hommes « la vie a repris sans qu’elle s’en rende compte. »(R.D.L.F.P.174) « …à l’intérieur des maisons les poêles ronflaient et cela sentait bon la soupe et le pain aigre, la fumée de bois sec. » (R.D.L.F.P.174) </w:t>
      </w:r>
    </w:p>
    <w:p w:rsidR="00E77824" w:rsidRPr="00E77824"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Le Clézio intègre la fin de l’œuvre dans le présent, pour en faire une continuité et une intégration croissante du temps révolu dans le temps à venir.  Pour ce fait, il choisit une forme moderne, sans culpabilité, ni regret, et avec une grande liberté  « je ne me sens pas touriste. Quelque chose me relie à cette ville, malgré la distance, sans que je puisse savoir quoi. Un sentiment étrange, entre culpabilité et méfiance</w:t>
      </w:r>
      <w:r w:rsidRPr="00E77824">
        <w:rPr>
          <w:rFonts w:ascii="Times New Roman" w:eastAsia="Calibri" w:hAnsi="Times New Roman" w:cs="Times New Roman"/>
          <w:i/>
          <w:sz w:val="24"/>
          <w:szCs w:val="24"/>
          <w:lang w:eastAsia="en-US"/>
        </w:rPr>
        <w:t>…</w:t>
      </w:r>
      <w:r w:rsidRPr="00E77824">
        <w:rPr>
          <w:rFonts w:ascii="Times New Roman" w:eastAsia="Calibri" w:hAnsi="Times New Roman" w:cs="Times New Roman"/>
          <w:sz w:val="24"/>
          <w:szCs w:val="24"/>
          <w:lang w:eastAsia="en-US"/>
        </w:rPr>
        <w:t> »</w:t>
      </w:r>
      <w:r w:rsidRPr="00E77824">
        <w:rPr>
          <w:rFonts w:ascii="Times New Roman" w:eastAsia="Calibri" w:hAnsi="Times New Roman" w:cs="Times New Roman"/>
          <w:i/>
          <w:sz w:val="24"/>
          <w:szCs w:val="24"/>
          <w:lang w:eastAsia="en-US"/>
        </w:rPr>
        <w:t xml:space="preserve"> </w:t>
      </w:r>
      <w:r w:rsidRPr="00E77824">
        <w:rPr>
          <w:rFonts w:ascii="Times New Roman" w:eastAsia="Calibri" w:hAnsi="Times New Roman" w:cs="Times New Roman"/>
          <w:sz w:val="24"/>
          <w:szCs w:val="24"/>
          <w:lang w:eastAsia="en-US"/>
        </w:rPr>
        <w:t>(R.D.L.F.</w:t>
      </w:r>
      <w:r w:rsidRPr="00E77824">
        <w:rPr>
          <w:rFonts w:ascii="Times New Roman" w:eastAsia="Calibri" w:hAnsi="Times New Roman" w:cs="Times New Roman"/>
          <w:i/>
          <w:sz w:val="24"/>
          <w:szCs w:val="24"/>
          <w:lang w:eastAsia="en-US"/>
        </w:rPr>
        <w:t xml:space="preserve"> </w:t>
      </w:r>
      <w:r w:rsidRPr="00E77824">
        <w:rPr>
          <w:rFonts w:ascii="Times New Roman" w:eastAsia="Calibri" w:hAnsi="Times New Roman" w:cs="Times New Roman"/>
          <w:sz w:val="24"/>
          <w:szCs w:val="24"/>
          <w:lang w:eastAsia="en-US"/>
        </w:rPr>
        <w:t>P</w:t>
      </w:r>
      <w:r w:rsidRPr="00E77824">
        <w:rPr>
          <w:rFonts w:ascii="Times New Roman" w:eastAsia="Calibri" w:hAnsi="Times New Roman" w:cs="Times New Roman"/>
          <w:i/>
          <w:sz w:val="24"/>
          <w:szCs w:val="24"/>
          <w:lang w:eastAsia="en-US"/>
        </w:rPr>
        <w:t>.</w:t>
      </w:r>
      <w:r w:rsidRPr="00E77824">
        <w:rPr>
          <w:rFonts w:ascii="Times New Roman" w:eastAsia="Calibri" w:hAnsi="Times New Roman" w:cs="Times New Roman"/>
          <w:sz w:val="24"/>
          <w:szCs w:val="24"/>
          <w:lang w:eastAsia="en-US"/>
        </w:rPr>
        <w:t>199)</w:t>
      </w:r>
    </w:p>
    <w:p w:rsidR="00D74A4A" w:rsidRDefault="00E77824" w:rsidP="00E77824">
      <w:pPr>
        <w:spacing w:after="0" w:line="480" w:lineRule="auto"/>
        <w:jc w:val="both"/>
        <w:rPr>
          <w:rFonts w:ascii="Times New Roman" w:eastAsia="Calibri" w:hAnsi="Times New Roman" w:cs="Times New Roman"/>
          <w:sz w:val="24"/>
          <w:szCs w:val="24"/>
          <w:lang w:eastAsia="en-US"/>
        </w:rPr>
      </w:pPr>
      <w:r w:rsidRPr="00E77824">
        <w:rPr>
          <w:rFonts w:ascii="Times New Roman" w:eastAsia="Calibri" w:hAnsi="Times New Roman" w:cs="Times New Roman"/>
          <w:sz w:val="24"/>
          <w:szCs w:val="24"/>
          <w:lang w:eastAsia="en-US"/>
        </w:rPr>
        <w:t xml:space="preserve">   Par ailleurs, il donne la parole aux photos « Ce sont des visages anonymes, …ils sourient à l’objectif, ils semblent poser pour un portrait de famille. Ils ne savent pas qu’ils vont mourir. » (R.D.L.F.P.203) et aux souvenirs graphiques «  je ressens le choc de leur réalité, comme autrefois, quand je lisais aux archives » (R.D.L.F.P.202) pour rapprocher le</w:t>
      </w:r>
    </w:p>
    <w:p w:rsidR="00D74A4A" w:rsidRDefault="00D74A4A">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E77824" w:rsidRDefault="00E77824" w:rsidP="00E77824">
      <w:pPr>
        <w:spacing w:after="0" w:line="480" w:lineRule="auto"/>
        <w:jc w:val="both"/>
        <w:rPr>
          <w:rFonts w:ascii="Times New Roman" w:eastAsia="Calibri" w:hAnsi="Times New Roman" w:cs="Times New Roman"/>
          <w:sz w:val="24"/>
          <w:szCs w:val="24"/>
          <w:lang w:eastAsia="en-US"/>
        </w:rPr>
      </w:pPr>
    </w:p>
    <w:p w:rsidR="00D74A4A" w:rsidRPr="0081449A" w:rsidRDefault="00D74A4A" w:rsidP="00D74A4A">
      <w:pPr>
        <w:spacing w:after="0" w:line="480" w:lineRule="auto"/>
        <w:jc w:val="both"/>
        <w:rPr>
          <w:rFonts w:ascii="Times New Roman" w:hAnsi="Times New Roman"/>
          <w:sz w:val="24"/>
          <w:szCs w:val="24"/>
        </w:rPr>
      </w:pPr>
      <w:r w:rsidRPr="0081449A">
        <w:rPr>
          <w:rFonts w:ascii="Times New Roman" w:hAnsi="Times New Roman"/>
          <w:sz w:val="24"/>
          <w:szCs w:val="24"/>
        </w:rPr>
        <w:t>passé récent, du quotidien.  Il nous confie l’enseignement et l’héritage maternel</w:t>
      </w:r>
      <w:r w:rsidRPr="0081449A">
        <w:rPr>
          <w:rFonts w:ascii="Times New Roman" w:hAnsi="Times New Roman"/>
          <w:i/>
          <w:sz w:val="24"/>
          <w:szCs w:val="24"/>
        </w:rPr>
        <w:t xml:space="preserve"> « </w:t>
      </w:r>
      <w:r w:rsidRPr="0081449A">
        <w:rPr>
          <w:rFonts w:ascii="Times New Roman" w:hAnsi="Times New Roman"/>
          <w:sz w:val="24"/>
          <w:szCs w:val="24"/>
        </w:rPr>
        <w:t>D’instinct mes pas m’ont conduit au sud de la ville, au quartier que je</w:t>
      </w:r>
      <w:r w:rsidRPr="0081449A">
        <w:rPr>
          <w:rFonts w:ascii="Times New Roman" w:hAnsi="Times New Roman"/>
          <w:i/>
          <w:sz w:val="24"/>
          <w:szCs w:val="24"/>
        </w:rPr>
        <w:t xml:space="preserve"> ne </w:t>
      </w:r>
      <w:r w:rsidRPr="0081449A">
        <w:rPr>
          <w:rFonts w:ascii="Times New Roman" w:hAnsi="Times New Roman"/>
          <w:sz w:val="24"/>
          <w:szCs w:val="24"/>
        </w:rPr>
        <w:t>connais bien par les ouï-dire. C’est la suite de noms de rues, boulevards, avenues, places et placettes que ma mère a répétée depuis l’enfance, que j’ai apprise par cœur. Chaque fois qu’elle évoquait Paris,… » (R.D.L.F.</w:t>
      </w:r>
      <w:r w:rsidRPr="0081449A">
        <w:rPr>
          <w:rFonts w:ascii="Times New Roman" w:hAnsi="Times New Roman"/>
          <w:i/>
          <w:sz w:val="24"/>
          <w:szCs w:val="24"/>
        </w:rPr>
        <w:t xml:space="preserve"> </w:t>
      </w:r>
      <w:r w:rsidRPr="0081449A">
        <w:rPr>
          <w:rFonts w:ascii="Times New Roman" w:hAnsi="Times New Roman"/>
          <w:sz w:val="24"/>
          <w:szCs w:val="24"/>
        </w:rPr>
        <w:t>P.199)</w:t>
      </w:r>
      <w:r w:rsidRPr="0081449A">
        <w:rPr>
          <w:rFonts w:ascii="Times New Roman" w:hAnsi="Times New Roman"/>
          <w:i/>
          <w:sz w:val="24"/>
          <w:szCs w:val="24"/>
        </w:rPr>
        <w:t xml:space="preserve">  </w:t>
      </w:r>
      <w:r w:rsidRPr="0081449A">
        <w:rPr>
          <w:rFonts w:ascii="Times New Roman" w:hAnsi="Times New Roman"/>
          <w:sz w:val="24"/>
          <w:szCs w:val="24"/>
        </w:rPr>
        <w:t xml:space="preserve"> </w:t>
      </w:r>
    </w:p>
    <w:p w:rsidR="00D74A4A" w:rsidRPr="0081449A" w:rsidRDefault="00D74A4A" w:rsidP="00D74A4A">
      <w:pPr>
        <w:spacing w:after="0" w:line="480" w:lineRule="auto"/>
        <w:jc w:val="both"/>
        <w:rPr>
          <w:rFonts w:ascii="Times New Roman" w:hAnsi="Times New Roman"/>
          <w:sz w:val="24"/>
          <w:szCs w:val="24"/>
        </w:rPr>
      </w:pPr>
      <w:r>
        <w:rPr>
          <w:rFonts w:ascii="Times New Roman" w:hAnsi="Times New Roman"/>
          <w:sz w:val="24"/>
          <w:szCs w:val="24"/>
        </w:rPr>
        <w:t xml:space="preserve">    </w:t>
      </w:r>
      <w:r w:rsidRPr="0081449A">
        <w:rPr>
          <w:rFonts w:ascii="Times New Roman" w:hAnsi="Times New Roman"/>
          <w:sz w:val="24"/>
          <w:szCs w:val="24"/>
        </w:rPr>
        <w:t xml:space="preserve">Contrairement au récit classique </w:t>
      </w:r>
      <w:r w:rsidRPr="0081449A">
        <w:rPr>
          <w:rFonts w:ascii="Times New Roman" w:hAnsi="Times New Roman"/>
          <w:i/>
          <w:sz w:val="24"/>
          <w:szCs w:val="24"/>
        </w:rPr>
        <w:t>La Ritournelle de la faim</w:t>
      </w:r>
      <w:r w:rsidRPr="0081449A">
        <w:rPr>
          <w:rFonts w:ascii="Times New Roman" w:hAnsi="Times New Roman"/>
          <w:sz w:val="24"/>
          <w:szCs w:val="24"/>
        </w:rPr>
        <w:t>, offre une somme de réflexions et de commentaires philosophiques qui éclairent la dimension allégorique de l’œuvre et font d’elle un livre ouvert, un livre documentaire, proche des gens et de la réflexion. Car la représentation historienne est belle et bien une image présente d’une chose absente qui auparavant signifiait une réalité au passé</w:t>
      </w:r>
      <w:r w:rsidRPr="0081449A">
        <w:rPr>
          <w:rFonts w:ascii="Times New Roman" w:hAnsi="Times New Roman"/>
          <w:sz w:val="24"/>
          <w:szCs w:val="24"/>
          <w:vertAlign w:val="superscript"/>
        </w:rPr>
        <w:footnoteReference w:id="71"/>
      </w:r>
      <w:r w:rsidRPr="0081449A">
        <w:rPr>
          <w:rFonts w:ascii="Times New Roman" w:hAnsi="Times New Roman"/>
          <w:sz w:val="24"/>
          <w:szCs w:val="24"/>
        </w:rPr>
        <w:t xml:space="preserve"> et que sa perte, et sa destruction valent l’oubli « il y a oubli là où il y a eu trace. »</w:t>
      </w:r>
      <w:r w:rsidRPr="0081449A">
        <w:rPr>
          <w:rFonts w:ascii="Times New Roman" w:hAnsi="Times New Roman"/>
          <w:sz w:val="24"/>
          <w:szCs w:val="24"/>
          <w:vertAlign w:val="superscript"/>
        </w:rPr>
        <w:footnoteReference w:id="72"/>
      </w:r>
      <w:r w:rsidRPr="0081449A">
        <w:rPr>
          <w:rFonts w:ascii="Times New Roman" w:hAnsi="Times New Roman"/>
          <w:sz w:val="24"/>
          <w:szCs w:val="24"/>
        </w:rPr>
        <w:t xml:space="preserve"> Mais l’oubli dans l’entreprise le Clézienne est une ressource pour la mémoire et pour l’histoire « J’ai cherché l’endroit où autrefois se trouvait le Vél’d’Hiv. Cela s’appelle aujourd’hui la Plate –Forme. » (D.L.F.P.200) « il y a cinquante ans, il s’est passé cette chose atroce, impossible à imaginer, impardonnable. » (R.D.L.F.P.201) </w:t>
      </w:r>
    </w:p>
    <w:p w:rsidR="00D74A4A" w:rsidRDefault="00D74A4A" w:rsidP="00D74A4A">
      <w:pPr>
        <w:spacing w:after="0" w:line="480" w:lineRule="auto"/>
        <w:jc w:val="both"/>
        <w:rPr>
          <w:rFonts w:ascii="Times New Roman" w:hAnsi="Times New Roman"/>
          <w:sz w:val="24"/>
          <w:szCs w:val="24"/>
        </w:rPr>
      </w:pPr>
      <w:r>
        <w:rPr>
          <w:rFonts w:ascii="Times New Roman" w:hAnsi="Times New Roman"/>
          <w:sz w:val="24"/>
          <w:szCs w:val="24"/>
        </w:rPr>
        <w:t xml:space="preserve">   </w:t>
      </w:r>
      <w:r w:rsidRPr="0081449A">
        <w:rPr>
          <w:rFonts w:ascii="Times New Roman" w:hAnsi="Times New Roman"/>
          <w:sz w:val="24"/>
          <w:szCs w:val="24"/>
        </w:rPr>
        <w:t>L’œuvre en son principe recèle au fond d’elle un discours anthropologique. Celui des ‘grandeurs de chair’</w:t>
      </w:r>
      <w:r w:rsidRPr="0081449A">
        <w:rPr>
          <w:rFonts w:ascii="Times New Roman" w:hAnsi="Times New Roman"/>
          <w:sz w:val="24"/>
          <w:szCs w:val="24"/>
          <w:vertAlign w:val="superscript"/>
        </w:rPr>
        <w:footnoteReference w:id="73"/>
      </w:r>
      <w:r w:rsidRPr="0081449A">
        <w:rPr>
          <w:rFonts w:ascii="Times New Roman" w:hAnsi="Times New Roman"/>
          <w:sz w:val="24"/>
          <w:szCs w:val="24"/>
        </w:rPr>
        <w:t>« </w:t>
      </w:r>
      <w:r w:rsidRPr="0081449A">
        <w:rPr>
          <w:rFonts w:ascii="Times New Roman" w:hAnsi="Times New Roman"/>
          <w:i/>
          <w:sz w:val="24"/>
          <w:szCs w:val="24"/>
        </w:rPr>
        <w:t>la grandeur appartient à la même constellation que la misère dont elle est l’autre pôle dans l’ordre des contrariétés et des disproportions de l’homme </w:t>
      </w:r>
      <w:r w:rsidRPr="0081449A">
        <w:rPr>
          <w:rFonts w:ascii="Times New Roman" w:hAnsi="Times New Roman"/>
          <w:sz w:val="24"/>
          <w:szCs w:val="24"/>
        </w:rPr>
        <w:t>»</w:t>
      </w:r>
      <w:r w:rsidRPr="0081449A">
        <w:rPr>
          <w:rFonts w:ascii="Times New Roman" w:hAnsi="Times New Roman"/>
          <w:sz w:val="24"/>
          <w:szCs w:val="24"/>
          <w:vertAlign w:val="superscript"/>
        </w:rPr>
        <w:footnoteReference w:id="74"/>
      </w:r>
      <w:r w:rsidRPr="0081449A">
        <w:rPr>
          <w:rFonts w:ascii="Times New Roman" w:hAnsi="Times New Roman"/>
          <w:sz w:val="24"/>
          <w:szCs w:val="24"/>
        </w:rPr>
        <w:t xml:space="preserve">. Elle narre la misère d’un peuple déshérité déraciné, persécuté et meurtris. Dont </w:t>
      </w:r>
      <w:r w:rsidRPr="0081449A">
        <w:rPr>
          <w:rFonts w:ascii="Times New Roman" w:hAnsi="Times New Roman"/>
          <w:i/>
          <w:sz w:val="24"/>
          <w:szCs w:val="24"/>
        </w:rPr>
        <w:t>le boléro</w:t>
      </w:r>
      <w:r w:rsidRPr="0081449A">
        <w:rPr>
          <w:rFonts w:ascii="Times New Roman" w:hAnsi="Times New Roman"/>
          <w:sz w:val="24"/>
          <w:szCs w:val="24"/>
        </w:rPr>
        <w:t xml:space="preserve"> lui donne une voix qui accroît sa souffrance par le phénomène de répétition de sa composition « Le Boléro est une prophétie. Il raconte l’histoire d’une colère, d’une faim.</w:t>
      </w:r>
      <w:r w:rsidRPr="0081449A">
        <w:rPr>
          <w:rFonts w:ascii="Times New Roman" w:hAnsi="Times New Roman"/>
          <w:i/>
          <w:sz w:val="24"/>
          <w:szCs w:val="24"/>
        </w:rPr>
        <w:t> </w:t>
      </w:r>
      <w:r w:rsidRPr="0081449A">
        <w:rPr>
          <w:rFonts w:ascii="Times New Roman" w:hAnsi="Times New Roman"/>
          <w:sz w:val="24"/>
          <w:szCs w:val="24"/>
        </w:rPr>
        <w:t>» (R.D.L.F.P.206)</w:t>
      </w:r>
    </w:p>
    <w:p w:rsidR="00D74A4A" w:rsidRDefault="00D74A4A">
      <w:pPr>
        <w:rPr>
          <w:rFonts w:ascii="Times New Roman" w:hAnsi="Times New Roman"/>
          <w:sz w:val="24"/>
          <w:szCs w:val="24"/>
        </w:rPr>
      </w:pPr>
      <w:r>
        <w:rPr>
          <w:rFonts w:ascii="Times New Roman" w:hAnsi="Times New Roman"/>
          <w:sz w:val="24"/>
          <w:szCs w:val="24"/>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81449A" w:rsidRDefault="00D74A4A" w:rsidP="00D74A4A">
      <w:pPr>
        <w:spacing w:after="0" w:line="480" w:lineRule="auto"/>
        <w:jc w:val="both"/>
        <w:rPr>
          <w:rFonts w:ascii="Times New Roman" w:hAnsi="Times New Roman"/>
          <w:i/>
          <w:sz w:val="24"/>
          <w:szCs w:val="24"/>
        </w:rPr>
      </w:pPr>
      <w:r w:rsidRPr="0081449A">
        <w:rPr>
          <w:rFonts w:ascii="Times New Roman" w:hAnsi="Times New Roman"/>
          <w:sz w:val="24"/>
          <w:szCs w:val="24"/>
        </w:rPr>
        <w:t xml:space="preserve">Ainsi, l’universalité du thème de </w:t>
      </w:r>
      <w:r w:rsidRPr="006F3677">
        <w:rPr>
          <w:rFonts w:ascii="Times New Roman" w:hAnsi="Times New Roman"/>
          <w:i/>
          <w:sz w:val="24"/>
          <w:szCs w:val="24"/>
        </w:rPr>
        <w:t>la Ritournelle</w:t>
      </w:r>
      <w:r w:rsidRPr="0081449A">
        <w:rPr>
          <w:rFonts w:ascii="Times New Roman" w:hAnsi="Times New Roman"/>
          <w:sz w:val="24"/>
          <w:szCs w:val="24"/>
        </w:rPr>
        <w:t xml:space="preserve"> interroge la conscience des siens par une prophétie, ou plutôt une condamnation morale au présent, face à leur silence sur un passé honteux « le silence qui s’ensuit est terrible pour les survivants étourdis.»(R.D.L.F.P.206)</w:t>
      </w:r>
      <w:r w:rsidRPr="0081449A">
        <w:rPr>
          <w:rFonts w:ascii="Times New Roman" w:hAnsi="Times New Roman"/>
          <w:i/>
          <w:sz w:val="24"/>
          <w:szCs w:val="24"/>
        </w:rPr>
        <w:t xml:space="preserve">  </w:t>
      </w:r>
    </w:p>
    <w:p w:rsidR="00D74A4A" w:rsidRPr="006F3677" w:rsidRDefault="00D74A4A" w:rsidP="00D74A4A">
      <w:pPr>
        <w:spacing w:line="480" w:lineRule="auto"/>
        <w:jc w:val="both"/>
        <w:rPr>
          <w:rFonts w:ascii="Times New Roman" w:hAnsi="Times New Roman"/>
          <w:sz w:val="24"/>
          <w:szCs w:val="24"/>
        </w:rPr>
      </w:pPr>
      <w:r>
        <w:rPr>
          <w:rFonts w:ascii="Times New Roman" w:hAnsi="Times New Roman"/>
          <w:sz w:val="24"/>
          <w:szCs w:val="24"/>
        </w:rPr>
        <w:t xml:space="preserve">   </w:t>
      </w:r>
      <w:r w:rsidRPr="0081449A">
        <w:rPr>
          <w:rFonts w:ascii="Times New Roman" w:hAnsi="Times New Roman"/>
          <w:sz w:val="24"/>
          <w:szCs w:val="24"/>
        </w:rPr>
        <w:t xml:space="preserve">La condition historique de </w:t>
      </w:r>
      <w:r w:rsidRPr="006F3677">
        <w:rPr>
          <w:rFonts w:ascii="Times New Roman" w:hAnsi="Times New Roman"/>
          <w:i/>
          <w:sz w:val="24"/>
          <w:szCs w:val="24"/>
        </w:rPr>
        <w:t>la Ritournelle</w:t>
      </w:r>
      <w:r w:rsidRPr="0081449A">
        <w:rPr>
          <w:rFonts w:ascii="Times New Roman" w:hAnsi="Times New Roman"/>
          <w:sz w:val="24"/>
          <w:szCs w:val="24"/>
        </w:rPr>
        <w:t>, démasque l’imposture des dirigeants, le faux héroïsme, « On attendait on ne savait quoi. Le retour à la normale, sans doute. Puisque la crise était passée, puisqu’il n’y avait rien eu. Même pas une vraie guerre. Puisque tout était fini avant d’avoir commencé. »(R.D.L.F.P.138</w:t>
      </w:r>
      <w:r>
        <w:rPr>
          <w:rFonts w:ascii="Times New Roman" w:hAnsi="Times New Roman"/>
          <w:sz w:val="24"/>
          <w:szCs w:val="24"/>
        </w:rPr>
        <w:t>)</w:t>
      </w:r>
    </w:p>
    <w:p w:rsidR="00D74A4A" w:rsidRPr="0081449A" w:rsidRDefault="00D74A4A" w:rsidP="00D74A4A">
      <w:pPr>
        <w:numPr>
          <w:ilvl w:val="0"/>
          <w:numId w:val="15"/>
        </w:numPr>
        <w:spacing w:after="0" w:line="480" w:lineRule="auto"/>
        <w:jc w:val="both"/>
        <w:rPr>
          <w:rFonts w:ascii="Times New Roman" w:hAnsi="Times New Roman"/>
          <w:b/>
          <w:sz w:val="24"/>
          <w:szCs w:val="24"/>
        </w:rPr>
      </w:pPr>
      <w:r w:rsidRPr="0081449A">
        <w:rPr>
          <w:rFonts w:ascii="Times New Roman" w:hAnsi="Times New Roman"/>
          <w:b/>
          <w:sz w:val="24"/>
          <w:szCs w:val="24"/>
        </w:rPr>
        <w:t>la société </w:t>
      </w:r>
    </w:p>
    <w:p w:rsidR="00D74A4A" w:rsidRPr="0081449A" w:rsidRDefault="00D74A4A" w:rsidP="00D74A4A">
      <w:pPr>
        <w:spacing w:after="0" w:line="480" w:lineRule="auto"/>
        <w:jc w:val="both"/>
        <w:rPr>
          <w:rFonts w:ascii="Times New Roman" w:hAnsi="Times New Roman"/>
          <w:sz w:val="24"/>
          <w:szCs w:val="24"/>
        </w:rPr>
      </w:pPr>
      <w:r w:rsidRPr="0081449A">
        <w:rPr>
          <w:rFonts w:ascii="Times New Roman" w:hAnsi="Times New Roman"/>
          <w:sz w:val="24"/>
          <w:szCs w:val="24"/>
        </w:rPr>
        <w:t>« </w:t>
      </w:r>
      <w:r w:rsidRPr="0081449A">
        <w:rPr>
          <w:rFonts w:ascii="Times New Roman" w:hAnsi="Times New Roman"/>
          <w:i/>
          <w:sz w:val="24"/>
          <w:szCs w:val="24"/>
        </w:rPr>
        <w:t>A la mémoire est attaché une ambition, une prétention, celle d’être fidèle au passé.</w:t>
      </w:r>
      <w:r w:rsidRPr="0081449A">
        <w:rPr>
          <w:rFonts w:ascii="Times New Roman" w:hAnsi="Times New Roman"/>
          <w:sz w:val="24"/>
          <w:szCs w:val="24"/>
        </w:rPr>
        <w:t> »</w:t>
      </w:r>
      <w:r w:rsidRPr="0081449A">
        <w:rPr>
          <w:rFonts w:ascii="Times New Roman" w:hAnsi="Times New Roman"/>
          <w:sz w:val="24"/>
          <w:szCs w:val="24"/>
          <w:vertAlign w:val="superscript"/>
        </w:rPr>
        <w:footnoteReference w:id="75"/>
      </w:r>
    </w:p>
    <w:p w:rsidR="00D74A4A" w:rsidRPr="0081449A" w:rsidRDefault="00D74A4A" w:rsidP="00D74A4A">
      <w:pPr>
        <w:spacing w:after="0" w:line="480" w:lineRule="auto"/>
        <w:jc w:val="both"/>
        <w:rPr>
          <w:rFonts w:ascii="Times New Roman" w:hAnsi="Times New Roman"/>
          <w:sz w:val="24"/>
          <w:szCs w:val="24"/>
        </w:rPr>
      </w:pPr>
      <w:r>
        <w:rPr>
          <w:rFonts w:ascii="Times New Roman" w:hAnsi="Times New Roman"/>
          <w:sz w:val="24"/>
          <w:szCs w:val="24"/>
        </w:rPr>
        <w:t xml:space="preserve">   </w:t>
      </w:r>
      <w:r w:rsidRPr="0081449A">
        <w:rPr>
          <w:rFonts w:ascii="Times New Roman" w:hAnsi="Times New Roman"/>
          <w:sz w:val="24"/>
          <w:szCs w:val="24"/>
        </w:rPr>
        <w:t xml:space="preserve">Le Clézio interprète la société selon trois procédés différents. Un discours implicite à la représentation sociale et œuvrant au cœur même de la pratique sociale, c'est-à-dire des situations mondaines. Puis, un discours plus explicite et plus directe de la représentation de l’exercice d’autorité politique durant la deuxième guerre mondiale. Ensuite, il regroupe les deux représentations sous une dimension anthropologique dans un troisième discours. </w:t>
      </w:r>
    </w:p>
    <w:p w:rsidR="00D74A4A" w:rsidRDefault="00D74A4A" w:rsidP="00D74A4A">
      <w:pPr>
        <w:spacing w:after="0" w:line="480" w:lineRule="auto"/>
        <w:jc w:val="both"/>
        <w:rPr>
          <w:rFonts w:ascii="Times New Roman" w:hAnsi="Times New Roman"/>
          <w:i/>
          <w:sz w:val="24"/>
          <w:szCs w:val="24"/>
        </w:rPr>
      </w:pPr>
      <w:r>
        <w:rPr>
          <w:rFonts w:ascii="Times New Roman" w:hAnsi="Times New Roman"/>
          <w:sz w:val="24"/>
          <w:szCs w:val="24"/>
        </w:rPr>
        <w:t xml:space="preserve">   </w:t>
      </w:r>
      <w:r w:rsidRPr="0081449A">
        <w:rPr>
          <w:rFonts w:ascii="Times New Roman" w:hAnsi="Times New Roman"/>
          <w:sz w:val="24"/>
          <w:szCs w:val="24"/>
        </w:rPr>
        <w:t>Il s’agit toutefois, d’une écriture à grande échelle qui porte au jour une représentation pratiquée par des acteurs sociaux dont le portrait est le récit d’une vie, une vie antérieure. Autrement dit, un récit historique où s’entrecroisent un passé réel et une fiction irréelle qui donnent à voir et à comprendre la raison des faits de la société d’entre deux guerres. Cela dit, nous ne pouvons que nous réjouir de la possession d’un tel ouvrage documentaire dont l’orientation générale fait appel au témoignage de « la mémoire souvenir » « </w:t>
      </w:r>
      <w:r w:rsidRPr="0081449A">
        <w:rPr>
          <w:rFonts w:ascii="Times New Roman" w:hAnsi="Times New Roman"/>
          <w:i/>
          <w:sz w:val="24"/>
          <w:szCs w:val="24"/>
        </w:rPr>
        <w:t>c’est comme un évènement de ma vie ; il a pour essence de porter une date, et de ne pouvoir par conséquent</w:t>
      </w:r>
    </w:p>
    <w:p w:rsidR="00D74A4A" w:rsidRDefault="00D74A4A">
      <w:pPr>
        <w:rPr>
          <w:rFonts w:ascii="Times New Roman" w:hAnsi="Times New Roman"/>
          <w:i/>
          <w:sz w:val="24"/>
          <w:szCs w:val="24"/>
        </w:rPr>
      </w:pPr>
      <w:r>
        <w:rPr>
          <w:rFonts w:ascii="Times New Roman" w:hAnsi="Times New Roman"/>
          <w:i/>
          <w:sz w:val="24"/>
          <w:szCs w:val="24"/>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i/>
          <w:sz w:val="24"/>
          <w:szCs w:val="24"/>
          <w:lang w:eastAsia="en-US"/>
        </w:rPr>
        <w:t>se répéter </w:t>
      </w:r>
      <w:r w:rsidRPr="00D74A4A">
        <w:rPr>
          <w:rFonts w:ascii="Times New Roman" w:eastAsia="Calibri" w:hAnsi="Times New Roman" w:cs="Times New Roman"/>
          <w:sz w:val="24"/>
          <w:szCs w:val="24"/>
          <w:lang w:eastAsia="en-US"/>
        </w:rPr>
        <w:t>».</w:t>
      </w:r>
      <w:r w:rsidRPr="00D74A4A">
        <w:rPr>
          <w:rFonts w:ascii="Times New Roman" w:eastAsia="Calibri" w:hAnsi="Times New Roman" w:cs="Times New Roman"/>
          <w:sz w:val="24"/>
          <w:szCs w:val="24"/>
          <w:vertAlign w:val="superscript"/>
          <w:lang w:eastAsia="en-US"/>
        </w:rPr>
        <w:footnoteReference w:id="76"/>
      </w:r>
      <w:r w:rsidRPr="00D74A4A">
        <w:rPr>
          <w:rFonts w:ascii="Times New Roman" w:eastAsia="Calibri" w:hAnsi="Times New Roman" w:cs="Times New Roman"/>
          <w:sz w:val="24"/>
          <w:szCs w:val="24"/>
          <w:lang w:eastAsia="en-US"/>
        </w:rPr>
        <w:t xml:space="preserve"> Ainsi, nous pouvons le baptiser narration autoréférentielle d’une expérience vive, datée et localisée qui se sert d’imagination pour remonter « </w:t>
      </w:r>
      <w:r w:rsidRPr="00D74A4A">
        <w:rPr>
          <w:rFonts w:ascii="Times New Roman" w:eastAsia="Calibri" w:hAnsi="Times New Roman" w:cs="Times New Roman"/>
          <w:i/>
          <w:sz w:val="24"/>
          <w:szCs w:val="24"/>
          <w:lang w:eastAsia="en-US"/>
        </w:rPr>
        <w:t>y chercher une certaine image, la pente de notre vie</w:t>
      </w:r>
      <w:r w:rsidRPr="00D74A4A">
        <w:rPr>
          <w:rFonts w:ascii="Times New Roman" w:eastAsia="Calibri" w:hAnsi="Times New Roman" w:cs="Times New Roman"/>
          <w:sz w:val="24"/>
          <w:szCs w:val="24"/>
          <w:lang w:eastAsia="en-US"/>
        </w:rPr>
        <w:t xml:space="preserve"> </w:t>
      </w:r>
      <w:r w:rsidRPr="00D74A4A">
        <w:rPr>
          <w:rFonts w:ascii="Times New Roman" w:eastAsia="Calibri" w:hAnsi="Times New Roman" w:cs="Times New Roman"/>
          <w:i/>
          <w:sz w:val="24"/>
          <w:szCs w:val="24"/>
          <w:lang w:eastAsia="en-US"/>
        </w:rPr>
        <w:t>passée »</w:t>
      </w:r>
      <w:r w:rsidRPr="00D74A4A">
        <w:rPr>
          <w:rFonts w:ascii="Times New Roman" w:eastAsia="Calibri" w:hAnsi="Times New Roman" w:cs="Times New Roman"/>
          <w:sz w:val="24"/>
          <w:szCs w:val="24"/>
          <w:vertAlign w:val="superscript"/>
          <w:lang w:eastAsia="en-US"/>
        </w:rPr>
        <w:footnoteReference w:id="77"/>
      </w:r>
      <w:r w:rsidRPr="00D74A4A">
        <w:rPr>
          <w:rFonts w:ascii="Times New Roman" w:eastAsia="Calibri" w:hAnsi="Times New Roman" w:cs="Times New Roman"/>
          <w:sz w:val="24"/>
          <w:szCs w:val="24"/>
          <w:lang w:eastAsia="en-US"/>
        </w:rPr>
        <w:t xml:space="preserve"> tout cela, en direction de la source de vérité et donc du lieu du traumatisme dont l’écrivain citoyen en est responsable. </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Le Clézio termine la dernière partie de la fiction par le gardien de la mémoire*</w:t>
      </w:r>
      <w:r w:rsidRPr="00D74A4A">
        <w:rPr>
          <w:rFonts w:ascii="Times New Roman" w:eastAsia="Calibri" w:hAnsi="Times New Roman" w:cs="Times New Roman"/>
          <w:sz w:val="24"/>
          <w:szCs w:val="24"/>
          <w:vertAlign w:val="superscript"/>
          <w:lang w:eastAsia="en-US"/>
        </w:rPr>
        <w:footnoteReference w:id="78"/>
      </w:r>
      <w:r w:rsidRPr="00D74A4A">
        <w:rPr>
          <w:rFonts w:ascii="Times New Roman" w:eastAsia="Calibri" w:hAnsi="Times New Roman" w:cs="Times New Roman"/>
          <w:sz w:val="24"/>
          <w:szCs w:val="24"/>
          <w:lang w:eastAsia="en-US"/>
        </w:rPr>
        <w:t xml:space="preserve">, à savoir « le lieu vécu ». Ainsi, il parcourt cet indice de rappel –qui est une référence pour la connaissance historique- pour lutter contre l’oubli </w:t>
      </w:r>
      <w:r w:rsidRPr="00D74A4A">
        <w:rPr>
          <w:rFonts w:ascii="Times New Roman" w:eastAsia="Calibri" w:hAnsi="Times New Roman" w:cs="Times New Roman"/>
          <w:i/>
          <w:sz w:val="24"/>
          <w:szCs w:val="24"/>
          <w:lang w:eastAsia="en-US"/>
        </w:rPr>
        <w:t>« </w:t>
      </w:r>
      <w:r w:rsidRPr="00D74A4A">
        <w:rPr>
          <w:rFonts w:ascii="Times New Roman" w:eastAsia="Calibri" w:hAnsi="Times New Roman" w:cs="Times New Roman"/>
          <w:sz w:val="24"/>
          <w:szCs w:val="24"/>
          <w:lang w:eastAsia="en-US"/>
        </w:rPr>
        <w:t>D’instinct mes pas- et le transfert des bus- m’ont conduit au sud de la ville, au quartier que je connais bien par ouï-dire</w:t>
      </w:r>
      <w:r w:rsidRPr="00D74A4A">
        <w:rPr>
          <w:rFonts w:ascii="Times New Roman" w:eastAsia="Calibri" w:hAnsi="Times New Roman" w:cs="Times New Roman"/>
          <w:i/>
          <w:sz w:val="24"/>
          <w:szCs w:val="24"/>
          <w:lang w:eastAsia="en-US"/>
        </w:rPr>
        <w:t>. </w:t>
      </w:r>
      <w:r w:rsidRPr="00D74A4A">
        <w:rPr>
          <w:rFonts w:ascii="Times New Roman" w:eastAsia="Calibri" w:hAnsi="Times New Roman" w:cs="Times New Roman"/>
          <w:sz w:val="24"/>
          <w:szCs w:val="24"/>
          <w:lang w:eastAsia="en-US"/>
        </w:rPr>
        <w:t>»(R.D.L.F.P.199)  un lieu</w:t>
      </w:r>
      <w:r w:rsidRPr="00D74A4A">
        <w:rPr>
          <w:rFonts w:ascii="Times New Roman" w:eastAsia="Calibri" w:hAnsi="Times New Roman" w:cs="Times New Roman"/>
          <w:b/>
          <w:sz w:val="24"/>
          <w:szCs w:val="24"/>
          <w:lang w:eastAsia="en-US"/>
        </w:rPr>
        <w:t xml:space="preserve"> </w:t>
      </w:r>
      <w:r w:rsidRPr="00D74A4A">
        <w:rPr>
          <w:rFonts w:ascii="Times New Roman" w:eastAsia="Calibri" w:hAnsi="Times New Roman" w:cs="Times New Roman"/>
          <w:sz w:val="24"/>
          <w:szCs w:val="24"/>
          <w:lang w:eastAsia="en-US"/>
        </w:rPr>
        <w:t>de reconnaissance, en parfaite compatibilité avec les formes de figuration narrative à la demande de vérité. Ou plutôt, une alternative qui renforce la discrimination des témoignages et de leurs origines et relie l’intériorité de l’œuvre à son extériorité « chaque fois qu’elle évoquait Paris c’était ces noms qui revenaient » « c’est la</w:t>
      </w:r>
      <w:r w:rsidRPr="00D74A4A">
        <w:rPr>
          <w:rFonts w:ascii="Times New Roman" w:eastAsia="Calibri" w:hAnsi="Times New Roman" w:cs="Times New Roman"/>
          <w:i/>
          <w:sz w:val="24"/>
          <w:szCs w:val="24"/>
          <w:lang w:eastAsia="en-US"/>
        </w:rPr>
        <w:t xml:space="preserve"> </w:t>
      </w:r>
      <w:r w:rsidRPr="00D74A4A">
        <w:rPr>
          <w:rFonts w:ascii="Times New Roman" w:eastAsia="Calibri" w:hAnsi="Times New Roman" w:cs="Times New Roman"/>
          <w:sz w:val="24"/>
          <w:szCs w:val="24"/>
          <w:lang w:eastAsia="en-US"/>
        </w:rPr>
        <w:t>suite de noms de rues, boulevards, avenus, places et placettes que ma mère a répétée</w:t>
      </w:r>
      <w:r w:rsidRPr="00D74A4A">
        <w:rPr>
          <w:rFonts w:ascii="Times New Roman" w:eastAsia="Calibri" w:hAnsi="Times New Roman" w:cs="Times New Roman"/>
          <w:b/>
          <w:sz w:val="24"/>
          <w:szCs w:val="24"/>
          <w:lang w:eastAsia="en-US"/>
        </w:rPr>
        <w:t xml:space="preserve"> </w:t>
      </w:r>
      <w:r w:rsidRPr="00D74A4A">
        <w:rPr>
          <w:rFonts w:ascii="Times New Roman" w:eastAsia="Calibri" w:hAnsi="Times New Roman" w:cs="Times New Roman"/>
          <w:sz w:val="24"/>
          <w:szCs w:val="24"/>
          <w:lang w:eastAsia="en-US"/>
        </w:rPr>
        <w:t>depuis</w:t>
      </w:r>
      <w:r w:rsidRPr="00D74A4A">
        <w:rPr>
          <w:rFonts w:ascii="Times New Roman" w:eastAsia="Calibri" w:hAnsi="Times New Roman" w:cs="Times New Roman"/>
          <w:b/>
          <w:sz w:val="24"/>
          <w:szCs w:val="24"/>
          <w:lang w:eastAsia="en-US"/>
        </w:rPr>
        <w:t xml:space="preserve"> </w:t>
      </w:r>
      <w:r w:rsidRPr="00D74A4A">
        <w:rPr>
          <w:rFonts w:ascii="Times New Roman" w:eastAsia="Calibri" w:hAnsi="Times New Roman" w:cs="Times New Roman"/>
          <w:sz w:val="24"/>
          <w:szCs w:val="24"/>
          <w:lang w:eastAsia="en-US"/>
        </w:rPr>
        <w:t>l’enfance, que j’ai apprise par cœur. </w:t>
      </w:r>
      <w:r w:rsidRPr="00D74A4A">
        <w:rPr>
          <w:rFonts w:ascii="Times New Roman" w:eastAsia="Calibri" w:hAnsi="Times New Roman" w:cs="Times New Roman"/>
          <w:i/>
          <w:sz w:val="24"/>
          <w:szCs w:val="24"/>
          <w:lang w:eastAsia="en-US"/>
        </w:rPr>
        <w:t>»</w:t>
      </w:r>
      <w:r w:rsidRPr="00D74A4A">
        <w:rPr>
          <w:rFonts w:ascii="Times New Roman" w:eastAsia="Calibri" w:hAnsi="Times New Roman" w:cs="Times New Roman"/>
          <w:sz w:val="24"/>
          <w:szCs w:val="24"/>
          <w:lang w:eastAsia="en-US"/>
        </w:rPr>
        <w:t xml:space="preserve">(R.D.L.F.P.199) il travaille ses souvenirs afin de restaurer le passé, de la façon la plus authentique possible.  </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i/>
          <w:sz w:val="24"/>
          <w:szCs w:val="24"/>
          <w:lang w:eastAsia="en-US"/>
        </w:rPr>
        <w:t xml:space="preserve">  La Ritournelle</w:t>
      </w:r>
      <w:r w:rsidRPr="00D74A4A">
        <w:rPr>
          <w:rFonts w:ascii="Times New Roman" w:eastAsia="Calibri" w:hAnsi="Times New Roman" w:cs="Times New Roman"/>
          <w:sz w:val="24"/>
          <w:szCs w:val="24"/>
          <w:lang w:eastAsia="en-US"/>
        </w:rPr>
        <w:t xml:space="preserve"> est une écriture qui réanime des traces enfouis et leur assure des retours en arrière explicatifs. Des digressions qui enrichissent l’inventaire idéologique de dépôts inédits et rapprochent le lecteur de ce temps. </w:t>
      </w:r>
    </w:p>
    <w:p w:rsid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La redistribution des figures dans l’espace social exhale une prédisposition à la contradiction : le grand Samuel, grisaillé conservateur, responsable, honorable, face à</w:t>
      </w:r>
    </w:p>
    <w:p w:rsidR="00D74A4A" w:rsidRDefault="00D74A4A">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Alexandre, le bourgeois, oisif, médiocre, libertin et irresponsable. Ce dernier est confronté aux convives, aux opportunistes, et aux dépouilleurs. Les épreuves de qualification et les évaluations des principaux antagonistes, redéfinissent la grandeur d’une nation qui jadis, s’était autodétruite. En effet, chacun d’eux cherche à éviter des situations similaires au passé, (à la première guerre mondiale) et à approuver la nouveauté (Hitler, la mode, la vie nouvelle).  Ainsi les violences racistes et xénophobes et les buchers se transforment en un sentiment légitime et positif (puisque l’on cherche d’abord à survivre). Tout comme le dégoût et l’enthousiasme, qui poussés à bout finissent par se prévaloir. Et c’est ainsi que nous assistons à l’anéantissement de toutes les valeurs humaines et de tout l’empire bourgeois. </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D’autre part, la société du roman illustre le mythe de la régénération cyclique par le biais de catastrophes successives. Une vision apocalyptique traduite par l’anéantissement de la famille, suivit de la guerre, la faim, le froid, et les maladies qui déblayent le terrain afin de rétablir une autre société. Il s’agit, d’un concept moderne et révolutionnaire qui se greffe autour d’une vision purificatrice de l’humanité. Van Gogh « rêve d’une société rafraichie après de grands ouragans. »</w:t>
      </w:r>
      <w:r w:rsidRPr="00D74A4A">
        <w:rPr>
          <w:rFonts w:ascii="Times New Roman" w:eastAsia="Calibri" w:hAnsi="Times New Roman" w:cs="Times New Roman"/>
          <w:sz w:val="24"/>
          <w:szCs w:val="24"/>
          <w:vertAlign w:val="superscript"/>
          <w:lang w:eastAsia="en-US"/>
        </w:rPr>
        <w:footnoteReference w:id="79"/>
      </w:r>
      <w:r w:rsidRPr="00D74A4A">
        <w:rPr>
          <w:rFonts w:ascii="Times New Roman" w:eastAsia="Calibri" w:hAnsi="Times New Roman" w:cs="Times New Roman"/>
          <w:sz w:val="24"/>
          <w:szCs w:val="24"/>
          <w:lang w:eastAsia="en-US"/>
        </w:rPr>
        <w:t xml:space="preserve"> </w:t>
      </w:r>
    </w:p>
    <w:p w:rsid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L’auteur spécialiste du concept sociétal dénonce et conteste les principes idéologiques et les faits sociaux, à travers les malaises ressentis de l’héroïne afin de cibler des incidents précis qui font appel principalement à la mémoire collective « Ethel sentait la même nausée dans sa gorge, à écouter ce concert de mots, d’exclamations. »(R.D.L.F.P.83) « elle répondit méchamment : « oui, toutes ces parlotes, ces cancans ! Il devait y avoir les mêmes dans le salon du Titanic quand il a coulé »(R.D.L.F.P.77)  En effet, après avoir fait miroiter toute la grandeur des valeurs bourgeoises successivement et progressivement dans chaque partie « la</w:t>
      </w:r>
    </w:p>
    <w:p w:rsidR="00D74A4A" w:rsidRDefault="00D74A4A">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foule passe sans s’arrêter, coule d’un même mouvement, complets noirs, chapeaux noirs et le froufrou léger des robes des femmes, leurs chapeaux à plumes, à fruits, à voilettes. » (R.D.L.F.P.21) deuxième partie : « Ethel avait toujours connu l’ambiance de ces réunions, cela faisait partie de sa vie familiale du décor de son enfance. »(R.D.L.F.P.48)  troisième partie : « Ils s’étaient crus de la race des seigneurs, descendants des maîtres et des Grands Mounes qui pliaient l’univers selon leurs désirs. » (R.D.L.F.P.157) L’auteur désintègre complètement cette classe « le monde nouveau qu’ils appelaient n’était pas venu. » « Maintenant, leur monde s’était écroulé, émietté, il avait été réduit à une eau de canal. »(R.D.L.F.P.157)  puis la réintègre dans une autre vie plus significative à la quête d’une réalité historique « maintenant, ils étaient vieux, on était en guerre, on crever de faim dans les beaux quartiers. »(R.D.L.F.P.168) « peu à peu, le quotidien avait pris une place importante. »  (R.D.L.F.P.154) En fait, son projet apparait clairement, à travers la transformation</w:t>
      </w:r>
      <w:r w:rsidRPr="00D74A4A">
        <w:rPr>
          <w:rFonts w:ascii="Times New Roman" w:eastAsia="Calibri" w:hAnsi="Times New Roman" w:cs="Times New Roman"/>
          <w:i/>
          <w:sz w:val="24"/>
          <w:szCs w:val="24"/>
          <w:lang w:eastAsia="en-US"/>
        </w:rPr>
        <w:t xml:space="preserve"> radicale</w:t>
      </w:r>
      <w:r w:rsidRPr="00D74A4A">
        <w:rPr>
          <w:rFonts w:ascii="Times New Roman" w:eastAsia="Calibri" w:hAnsi="Times New Roman" w:cs="Times New Roman"/>
          <w:sz w:val="24"/>
          <w:szCs w:val="24"/>
          <w:lang w:eastAsia="en-US"/>
        </w:rPr>
        <w:t xml:space="preserve"> de l’Etre du principal antagoniste et sa libération, pour soustraire la vérité à la dissimulation et laisser ainsi, entrevoir la face cachée de ce monde</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 C’était comme d’avoir les yeux toujours fixés au sol, à la recherche de quelque chose », « des ombres, des vieux, des pauvresses qui piquaient les détritus au bout d’un bâton et les enfournaient dans leurs sacs de jute. »(R.D.L.F.P.154)</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Courbés, en deux, enveloppés dans des fichus, des couvertures, leurs mains noires, aux ongles trop longs, leurs visages aigus, nez crochus, mentons en galoche. » (R.D.L.F. P.155) </w:t>
      </w:r>
    </w:p>
    <w:p w:rsid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Parallèlement l’auteur oppose l’idéologie individuelle et révolutionnaire « elle se sentait le brave petit soldat qui monte au combat, sans expérience, avec toute l’ardeur et la confiance de la jeunesse. »(R.D.L.F.P.119) à l’idéologie collective « silencieux comme chiens » (R.D.L.F.P.155)</w:t>
      </w:r>
    </w:p>
    <w:p w:rsidR="00D74A4A" w:rsidRDefault="00D74A4A">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La société est le lieu filial qui relie le personnage à son groupe « cette bizarre complicité entre elle et le temps révolu, »(R.D.L.F.P.167) et trahit les intentions de l’auteur. Ainsi, toutes les pamphlets idéologiques et politiques évoqués par l’écrivain laissent entrevoir le grand désordre qui dominait la société de l’époque «</w:t>
      </w:r>
      <w:r w:rsidRPr="00D74A4A">
        <w:rPr>
          <w:rFonts w:ascii="Times New Roman" w:eastAsia="Calibri" w:hAnsi="Times New Roman" w:cs="Times New Roman"/>
          <w:i/>
          <w:sz w:val="24"/>
          <w:szCs w:val="24"/>
          <w:lang w:eastAsia="en-US"/>
        </w:rPr>
        <w:t xml:space="preserve"> </w:t>
      </w:r>
      <w:r w:rsidRPr="00D74A4A">
        <w:rPr>
          <w:rFonts w:ascii="Times New Roman" w:eastAsia="Calibri" w:hAnsi="Times New Roman" w:cs="Times New Roman"/>
          <w:sz w:val="24"/>
          <w:szCs w:val="24"/>
          <w:lang w:eastAsia="en-US"/>
        </w:rPr>
        <w:t>une débâcle d’objets flottants au courant incohérent des évènements, dans le chaos des fausses nouvelles, des communiqués mensongers, des articles de propagandes, de la haine des étrangers, de la méfiance des espions, des ragots d’épicier, de la faim et du vide, du manque d’amour et d’orgueil. »(R.D.L.F.P.142). Un registre saturé de paranoïa, « le Russe sanguinaire qui allait rompre les digues et envahir l’Europe, »(R.D.L.F.P.144) de mesquinerie, et de médiocrité d’une société qui n’a plus de valeur. À la fois, insignifiante fourbe et médisante « Toutes les conversations du salon, insignifiantes, rodomontantes, » (R.D.L.F.P.129) « cette façon que les gens de sa famille avait de nier le réel. »(R.D.L.F. P.129) sans oublier les nouvelles pratiques comme les délations « dénoncé par la voix rocailleuse de Talon, ou bien mis en évidence par l’ironie</w:t>
      </w:r>
      <w:r w:rsidRPr="00D74A4A">
        <w:rPr>
          <w:rFonts w:ascii="Times New Roman" w:eastAsia="Calibri" w:hAnsi="Times New Roman" w:cs="Times New Roman"/>
          <w:i/>
          <w:sz w:val="24"/>
          <w:szCs w:val="24"/>
          <w:lang w:eastAsia="en-US"/>
        </w:rPr>
        <w:t xml:space="preserve"> </w:t>
      </w:r>
      <w:r w:rsidRPr="00D74A4A">
        <w:rPr>
          <w:rFonts w:ascii="Times New Roman" w:eastAsia="Calibri" w:hAnsi="Times New Roman" w:cs="Times New Roman"/>
          <w:sz w:val="24"/>
          <w:szCs w:val="24"/>
          <w:lang w:eastAsia="en-US"/>
        </w:rPr>
        <w:t xml:space="preserve">de la générale Lemercier,» (R.D.L.F. P.141) et de son silence face à l’holocauste en masse « la déportation de leurs contemporains »(R.D.L.F.P.158) que de détails qui révèle les dessous de cette existence. </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A la fin, Le Clézio essaye de combler le fossé existant – et qui dure- entre les siens et les autres « c’est Hakim, le gosse de la Plate-forme, qui a raison. Son regard dur, son front lisse, ses yeux sombres : « Vous cherchez quoi ? »(R.D.L.F.P.205) et récupère ainsi, le patrimoine historique et culturel de toute l’humanité dans son œuvre. </w:t>
      </w:r>
    </w:p>
    <w:p w:rsid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Toute l’œuvre est un jugement moral « Ethel pensait à eux avec une rage froide, parce qu’ils n’avaient pas changé, et que les évènements dramatiques, l’exode, la ruine, la déportation de leurs contemporains loin de leur nuire, avaient décuplé leur puissance. »(R.D.L.F.P.158) dont le but est d’en faire un récit réflexif « plus tard, quand tout aura sombré, Ethel essaiera de se</w:t>
      </w:r>
    </w:p>
    <w:p w:rsidR="00D74A4A" w:rsidRDefault="00D74A4A">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souvenir de ces après-midi du dimanche dans le salon de ses parents, et le silence du présent fera ressortir encore d’avantage le bruit de ces réunions » (R.D.L.F.</w:t>
      </w:r>
      <w:r w:rsidRPr="00D74A4A">
        <w:rPr>
          <w:rFonts w:ascii="Times New Roman" w:eastAsia="Calibri" w:hAnsi="Times New Roman" w:cs="Times New Roman"/>
          <w:i/>
          <w:sz w:val="24"/>
          <w:szCs w:val="24"/>
          <w:lang w:eastAsia="en-US"/>
        </w:rPr>
        <w:t xml:space="preserve"> </w:t>
      </w:r>
      <w:r w:rsidRPr="00D74A4A">
        <w:rPr>
          <w:rFonts w:ascii="Times New Roman" w:eastAsia="Calibri" w:hAnsi="Times New Roman" w:cs="Times New Roman"/>
          <w:sz w:val="24"/>
          <w:szCs w:val="24"/>
          <w:lang w:eastAsia="en-US"/>
        </w:rPr>
        <w:t>P.57)</w:t>
      </w:r>
    </w:p>
    <w:p w:rsidR="00D74A4A" w:rsidRPr="00D74A4A" w:rsidRDefault="00D74A4A" w:rsidP="00D74A4A">
      <w:pPr>
        <w:spacing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Un processus psychologique dont le choix du personnage Ethel- enfant et Ethel -adolescente constitue une réserve naturelle de l’authenticité «Maintenant, Ethel aurait pu faire la liste de toutes ces bêtises. » « Cela revenait sans cesse. » (R.D.L.F.P.110)</w:t>
      </w:r>
    </w:p>
    <w:p w:rsidR="00D74A4A" w:rsidRPr="00D74A4A" w:rsidRDefault="00D74A4A" w:rsidP="00D74A4A">
      <w:pPr>
        <w:spacing w:after="0"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b/>
          <w:bCs/>
          <w:sz w:val="24"/>
          <w:szCs w:val="24"/>
          <w:lang w:eastAsia="en-US"/>
        </w:rPr>
        <w:t xml:space="preserve">II.9 </w:t>
      </w:r>
      <w:r w:rsidRPr="00D74A4A">
        <w:rPr>
          <w:rFonts w:ascii="Times New Roman" w:eastAsia="Calibri" w:hAnsi="Times New Roman" w:cs="Times New Roman"/>
          <w:b/>
          <w:sz w:val="24"/>
          <w:szCs w:val="24"/>
          <w:lang w:eastAsia="en-US"/>
        </w:rPr>
        <w:t xml:space="preserve">La société française durant la guerre : (l’histoire telle quelle) </w:t>
      </w:r>
    </w:p>
    <w:p w:rsidR="00D74A4A" w:rsidRPr="00D74A4A" w:rsidRDefault="00D74A4A" w:rsidP="00D74A4A">
      <w:pPr>
        <w:spacing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sz w:val="24"/>
          <w:szCs w:val="24"/>
          <w:lang w:eastAsia="en-US"/>
        </w:rPr>
        <w:t xml:space="preserve">   Prendre </w:t>
      </w:r>
      <w:r w:rsidRPr="00D74A4A">
        <w:rPr>
          <w:rFonts w:ascii="Times New Roman" w:eastAsia="Calibri" w:hAnsi="Times New Roman" w:cs="Times New Roman"/>
          <w:i/>
          <w:sz w:val="24"/>
          <w:szCs w:val="24"/>
          <w:lang w:eastAsia="en-US"/>
        </w:rPr>
        <w:t>La Ritournelle</w:t>
      </w:r>
      <w:r w:rsidRPr="00D74A4A">
        <w:rPr>
          <w:rFonts w:ascii="Times New Roman" w:eastAsia="Calibri" w:hAnsi="Times New Roman" w:cs="Times New Roman"/>
          <w:sz w:val="24"/>
          <w:szCs w:val="24"/>
          <w:lang w:eastAsia="en-US"/>
        </w:rPr>
        <w:t xml:space="preserve"> comme une simple fiction romanesque, c’est condamné son contenu historique à une simple histoire d’une vie antérieure. En effet, c’est une façon originelle de traiter et d’assembler des faits historiques à la fois, individuelles et collectifs pour la mémoire des générations à venir ….. </w:t>
      </w:r>
    </w:p>
    <w:p w:rsidR="00D74A4A" w:rsidRPr="00D74A4A" w:rsidRDefault="00D74A4A" w:rsidP="00D74A4A">
      <w:pPr>
        <w:spacing w:line="480" w:lineRule="auto"/>
        <w:jc w:val="both"/>
        <w:rPr>
          <w:rFonts w:ascii="Times New Roman" w:eastAsia="Calibri" w:hAnsi="Times New Roman" w:cs="Times New Roman"/>
          <w:sz w:val="24"/>
          <w:szCs w:val="24"/>
          <w:lang w:eastAsia="en-US"/>
        </w:rPr>
      </w:pPr>
      <w:r w:rsidRPr="00D74A4A">
        <w:rPr>
          <w:rFonts w:ascii="Times New Roman" w:eastAsia="Calibri" w:hAnsi="Times New Roman" w:cs="Times New Roman"/>
          <w:b/>
          <w:sz w:val="24"/>
          <w:szCs w:val="24"/>
          <w:lang w:eastAsia="en-US"/>
        </w:rPr>
        <w:t>La véracité des évènements historiques relatés dans le roman</w:t>
      </w:r>
      <w:r w:rsidRPr="00D74A4A">
        <w:rPr>
          <w:rFonts w:ascii="Times New Roman" w:eastAsia="Calibri" w:hAnsi="Times New Roman" w:cs="Times New Roman"/>
          <w:sz w:val="24"/>
          <w:szCs w:val="24"/>
          <w:lang w:eastAsia="en-US"/>
        </w:rPr>
        <w:t xml:space="preserve">  </w:t>
      </w:r>
    </w:p>
    <w:p w:rsidR="00D74A4A" w:rsidRDefault="00D74A4A" w:rsidP="00D74A4A">
      <w:pPr>
        <w:spacing w:after="0" w:line="480" w:lineRule="auto"/>
        <w:jc w:val="both"/>
        <w:rPr>
          <w:rFonts w:ascii="Times New Roman" w:eastAsia="Calibri" w:hAnsi="Times New Roman" w:cs="Times New Roman"/>
          <w:bCs/>
          <w:sz w:val="24"/>
          <w:szCs w:val="24"/>
          <w:lang w:eastAsia="en-US"/>
        </w:rPr>
      </w:pPr>
      <w:r w:rsidRPr="00D74A4A">
        <w:rPr>
          <w:rFonts w:ascii="Times New Roman" w:eastAsia="Calibri" w:hAnsi="Times New Roman" w:cs="Times New Roman"/>
          <w:bCs/>
          <w:sz w:val="24"/>
          <w:szCs w:val="24"/>
          <w:lang w:eastAsia="en-US"/>
        </w:rPr>
        <w:t xml:space="preserve">   Le bilan dramatique de la grande guerre fut tellement lourd qu’il  traumatisa toute l’Europe durant des années. Ainsi, les  populations tentaient  tant bien que mal,  à penser leurs  blessures et à éviter à tous prix, un autre conflit mondial. En France, la nouvelle génération proclamait  la « dernière des dernières </w:t>
      </w:r>
      <w:r w:rsidRPr="00D74A4A">
        <w:rPr>
          <w:rFonts w:ascii="Times New Roman" w:eastAsia="Calibri" w:hAnsi="Times New Roman" w:cs="Times New Roman"/>
          <w:bCs/>
          <w:sz w:val="24"/>
          <w:vertAlign w:val="superscript"/>
          <w:lang w:eastAsia="en-US"/>
        </w:rPr>
        <w:footnoteReference w:id="80"/>
      </w:r>
      <w:r w:rsidRPr="00D74A4A">
        <w:rPr>
          <w:rFonts w:ascii="Times New Roman" w:eastAsia="Calibri" w:hAnsi="Times New Roman" w:cs="Times New Roman"/>
          <w:bCs/>
          <w:sz w:val="24"/>
          <w:szCs w:val="24"/>
          <w:lang w:eastAsia="en-US"/>
        </w:rPr>
        <w:t>»  et de « plus jamais ça ! »,  Ce qui explique, en outre,  l'euphorie et l'esprit libéré de La première moitié, de la période</w:t>
      </w:r>
      <w:r w:rsidRPr="00D74A4A">
        <w:rPr>
          <w:rFonts w:ascii="Times New Roman" w:eastAsia="Calibri" w:hAnsi="Times New Roman" w:cs="Times New Roman"/>
          <w:sz w:val="24"/>
          <w:szCs w:val="24"/>
          <w:lang w:eastAsia="en-US"/>
        </w:rPr>
        <w:t xml:space="preserve"> d’entre deux guerres, dite </w:t>
      </w:r>
      <w:r w:rsidRPr="00D74A4A">
        <w:rPr>
          <w:rFonts w:ascii="Times New Roman" w:eastAsia="Calibri" w:hAnsi="Times New Roman" w:cs="Times New Roman"/>
          <w:bCs/>
          <w:sz w:val="24"/>
          <w:szCs w:val="24"/>
          <w:lang w:eastAsia="en-US"/>
        </w:rPr>
        <w:t xml:space="preserve">« les </w:t>
      </w:r>
      <w:hyperlink r:id="rId14" w:tooltip="Années folles en France" w:history="1">
        <w:r w:rsidRPr="00D74A4A">
          <w:rPr>
            <w:rFonts w:ascii="Times New Roman" w:eastAsia="Calibri" w:hAnsi="Times New Roman" w:cs="Times New Roman"/>
            <w:bCs/>
            <w:color w:val="000000"/>
            <w:sz w:val="24"/>
            <w:lang w:eastAsia="en-US"/>
          </w:rPr>
          <w:t>Années folles</w:t>
        </w:r>
      </w:hyperlink>
      <w:r w:rsidRPr="00D74A4A">
        <w:rPr>
          <w:rFonts w:ascii="Times New Roman" w:eastAsia="Calibri" w:hAnsi="Times New Roman" w:cs="Times New Roman"/>
          <w:bCs/>
          <w:sz w:val="24"/>
          <w:szCs w:val="24"/>
          <w:lang w:eastAsia="en-US"/>
        </w:rPr>
        <w:t xml:space="preserve"> ». Une époque d’insouciance caractérisée par les ruptures dans le comportement social (modification des codes de comportement, en particulier chez les femmes, avec de nouveaux stylismes transgressifs). Durant cette période, </w:t>
      </w:r>
      <w:hyperlink r:id="rId15" w:history="1">
        <w:r w:rsidRPr="00D74A4A">
          <w:rPr>
            <w:rFonts w:ascii="Times New Roman" w:eastAsia="Calibri" w:hAnsi="Times New Roman" w:cs="Times New Roman"/>
            <w:bCs/>
            <w:color w:val="000000"/>
            <w:sz w:val="24"/>
            <w:lang w:eastAsia="en-US"/>
          </w:rPr>
          <w:t>Montparnasse</w:t>
        </w:r>
      </w:hyperlink>
      <w:r w:rsidRPr="00D74A4A">
        <w:rPr>
          <w:rFonts w:ascii="Times New Roman" w:eastAsia="Calibri" w:hAnsi="Times New Roman" w:cs="Times New Roman"/>
          <w:bCs/>
          <w:color w:val="000000"/>
          <w:sz w:val="24"/>
          <w:szCs w:val="24"/>
          <w:lang w:eastAsia="en-US"/>
        </w:rPr>
        <w:t xml:space="preserve"> </w:t>
      </w:r>
      <w:r w:rsidRPr="00D74A4A">
        <w:rPr>
          <w:rFonts w:ascii="Times New Roman" w:eastAsia="Calibri" w:hAnsi="Times New Roman" w:cs="Times New Roman"/>
          <w:bCs/>
          <w:sz w:val="24"/>
          <w:szCs w:val="24"/>
          <w:lang w:eastAsia="en-US"/>
        </w:rPr>
        <w:t xml:space="preserve">et </w:t>
      </w:r>
      <w:hyperlink r:id="rId16" w:history="1">
        <w:r w:rsidRPr="00D74A4A">
          <w:rPr>
            <w:rFonts w:ascii="Times New Roman" w:eastAsia="Calibri" w:hAnsi="Times New Roman" w:cs="Times New Roman"/>
            <w:bCs/>
            <w:color w:val="000000"/>
            <w:sz w:val="24"/>
            <w:lang w:eastAsia="en-US"/>
          </w:rPr>
          <w:t>Montmartre</w:t>
        </w:r>
      </w:hyperlink>
      <w:r w:rsidRPr="00D74A4A">
        <w:rPr>
          <w:rFonts w:ascii="Times New Roman" w:eastAsia="Calibri" w:hAnsi="Times New Roman" w:cs="Times New Roman"/>
          <w:bCs/>
          <w:sz w:val="24"/>
          <w:szCs w:val="24"/>
          <w:lang w:eastAsia="en-US"/>
        </w:rPr>
        <w:t xml:space="preserve"> étaient« le nombril du monde ». En effet, c’était les quartiers les plus célèbres de Paris, avec un aspect de modernité irréprochable et le lieu de rencontre  entre intellectuels.  Tout de même, la rive gauche de la </w:t>
      </w:r>
      <w:hyperlink r:id="rId17" w:history="1">
        <w:r w:rsidRPr="00D74A4A">
          <w:rPr>
            <w:rFonts w:ascii="Times New Roman" w:eastAsia="Calibri" w:hAnsi="Times New Roman" w:cs="Times New Roman"/>
            <w:bCs/>
            <w:color w:val="000000"/>
            <w:sz w:val="24"/>
            <w:lang w:eastAsia="en-US"/>
          </w:rPr>
          <w:t>Seine</w:t>
        </w:r>
      </w:hyperlink>
      <w:r w:rsidRPr="00D74A4A">
        <w:rPr>
          <w:rFonts w:ascii="Times New Roman" w:eastAsia="Calibri" w:hAnsi="Times New Roman" w:cs="Times New Roman"/>
          <w:sz w:val="24"/>
          <w:szCs w:val="24"/>
          <w:lang w:eastAsia="en-US"/>
        </w:rPr>
        <w:t>,</w:t>
      </w:r>
      <w:r w:rsidRPr="00D74A4A">
        <w:rPr>
          <w:rFonts w:ascii="Times New Roman" w:eastAsia="Calibri" w:hAnsi="Times New Roman" w:cs="Times New Roman"/>
          <w:bCs/>
          <w:sz w:val="24"/>
          <w:szCs w:val="24"/>
          <w:lang w:eastAsia="en-US"/>
        </w:rPr>
        <w:t xml:space="preserve">  avait elle aussi, connu une forte concentration de</w:t>
      </w:r>
    </w:p>
    <w:p w:rsidR="00D74A4A" w:rsidRDefault="00D74A4A">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D74A4A" w:rsidRPr="00D74A4A" w:rsidRDefault="00D74A4A" w:rsidP="00D74A4A">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D74A4A">
        <w:rPr>
          <w:rFonts w:ascii="Times New Roman" w:eastAsia="Times New Roman" w:hAnsi="Times New Roman" w:cs="Times New Roman"/>
          <w:sz w:val="28"/>
          <w:szCs w:val="28"/>
          <w:lang w:eastAsia="en-US"/>
        </w:rPr>
        <w:lastRenderedPageBreak/>
        <w:t>Chapitre II : Aperçu historique</w:t>
      </w:r>
    </w:p>
    <w:p w:rsidR="00D74A4A" w:rsidRPr="00D74A4A" w:rsidRDefault="00D74A4A" w:rsidP="00D74A4A">
      <w:pPr>
        <w:tabs>
          <w:tab w:val="center" w:pos="4536"/>
          <w:tab w:val="right" w:pos="9072"/>
        </w:tabs>
        <w:spacing w:after="0" w:line="240" w:lineRule="auto"/>
        <w:rPr>
          <w:rFonts w:ascii="Calibri" w:eastAsia="Calibri" w:hAnsi="Calibri" w:cs="Times New Roman"/>
          <w:lang w:eastAsia="en-US"/>
        </w:rPr>
      </w:pPr>
    </w:p>
    <w:p w:rsidR="00D74A4A" w:rsidRDefault="00D74A4A" w:rsidP="00D74A4A">
      <w:pPr>
        <w:spacing w:after="0" w:line="480" w:lineRule="auto"/>
        <w:jc w:val="both"/>
        <w:rPr>
          <w:rFonts w:ascii="Times New Roman" w:eastAsia="Calibri" w:hAnsi="Times New Roman" w:cs="Times New Roman"/>
          <w:sz w:val="24"/>
          <w:szCs w:val="24"/>
          <w:lang w:eastAsia="en-US"/>
        </w:rPr>
      </w:pPr>
    </w:p>
    <w:p w:rsidR="00D74A4A" w:rsidRPr="00D74A4A" w:rsidRDefault="00D74A4A" w:rsidP="00D74A4A">
      <w:pPr>
        <w:spacing w:after="0" w:line="480" w:lineRule="auto"/>
        <w:jc w:val="both"/>
        <w:rPr>
          <w:rFonts w:ascii="Times New Roman" w:eastAsia="Calibri" w:hAnsi="Times New Roman" w:cs="Times New Roman"/>
          <w:bCs/>
          <w:sz w:val="24"/>
          <w:szCs w:val="24"/>
          <w:lang w:eastAsia="en-US"/>
        </w:rPr>
      </w:pPr>
      <w:r w:rsidRPr="00D74A4A">
        <w:rPr>
          <w:rFonts w:ascii="Times New Roman" w:eastAsia="Calibri" w:hAnsi="Times New Roman" w:cs="Times New Roman"/>
          <w:bCs/>
          <w:sz w:val="24"/>
          <w:szCs w:val="24"/>
          <w:lang w:eastAsia="en-US"/>
        </w:rPr>
        <w:t>créateurs en arts et en  lettres. Des écrivains américains de la « </w:t>
      </w:r>
      <w:hyperlink r:id="rId18" w:history="1">
        <w:r w:rsidRPr="00D74A4A">
          <w:rPr>
            <w:rFonts w:ascii="Times New Roman" w:eastAsia="Calibri" w:hAnsi="Times New Roman" w:cs="Times New Roman"/>
            <w:bCs/>
            <w:color w:val="000000"/>
            <w:sz w:val="24"/>
            <w:lang w:eastAsia="en-US"/>
          </w:rPr>
          <w:t>Génération perdue</w:t>
        </w:r>
      </w:hyperlink>
      <w:r w:rsidRPr="00D74A4A">
        <w:rPr>
          <w:rFonts w:ascii="Times New Roman" w:eastAsia="Calibri" w:hAnsi="Times New Roman" w:cs="Times New Roman"/>
          <w:bCs/>
          <w:color w:val="000000"/>
          <w:sz w:val="24"/>
          <w:szCs w:val="24"/>
          <w:lang w:eastAsia="en-US"/>
        </w:rPr>
        <w:t> </w:t>
      </w:r>
      <w:r w:rsidRPr="00D74A4A">
        <w:rPr>
          <w:rFonts w:ascii="Times New Roman" w:eastAsia="Calibri" w:hAnsi="Times New Roman" w:cs="Times New Roman"/>
          <w:bCs/>
          <w:sz w:val="24"/>
          <w:szCs w:val="24"/>
          <w:lang w:eastAsia="en-US"/>
        </w:rPr>
        <w:t>», comme Scott Fitzgerald, Henri Miller et Ernest Hemingway, y parvenaient afin de  côtoyer  les exilés qui ont fui les dictatures méditerranéennes et balkaniques. Mais, très vite, la nouvelle carte du continent et  le krach boursier de (1929)  créèrent de nouvelles  tensions. Des conflits d'envergure</w:t>
      </w:r>
      <w:r w:rsidRPr="00D74A4A">
        <w:rPr>
          <w:rFonts w:ascii="Times New Roman" w:eastAsia="Calibri" w:hAnsi="Times New Roman" w:cs="Times New Roman"/>
          <w:bCs/>
          <w:i/>
          <w:sz w:val="24"/>
          <w:szCs w:val="24"/>
          <w:lang w:eastAsia="en-US"/>
        </w:rPr>
        <w:t xml:space="preserve"> </w:t>
      </w:r>
      <w:r w:rsidRPr="00D74A4A">
        <w:rPr>
          <w:rFonts w:ascii="Times New Roman" w:eastAsia="Calibri" w:hAnsi="Times New Roman" w:cs="Times New Roman"/>
          <w:bCs/>
          <w:sz w:val="24"/>
          <w:szCs w:val="24"/>
          <w:lang w:eastAsia="en-US"/>
        </w:rPr>
        <w:t>mondiale (invasion de l’Abyssinie par l’Italie en 1935, Guerre civile espagnole de 1936 à 1939) qui favorisèrent le retour des nationalismes  ainsi qu’un développement des idéologies totalitaires, (de droite (fascisme, nazisme) et de gauche (stalinisme)).</w:t>
      </w:r>
      <w:r w:rsidRPr="00D74A4A">
        <w:rPr>
          <w:rFonts w:ascii="Times New Roman" w:eastAsia="Calibri" w:hAnsi="Times New Roman" w:cs="Times New Roman"/>
          <w:bCs/>
          <w:sz w:val="24"/>
          <w:vertAlign w:val="superscript"/>
          <w:lang w:eastAsia="en-US"/>
        </w:rPr>
        <w:footnoteReference w:id="81"/>
      </w:r>
    </w:p>
    <w:p w:rsidR="00D74A4A" w:rsidRPr="00D74A4A" w:rsidRDefault="00D74A4A" w:rsidP="00D74A4A">
      <w:pPr>
        <w:spacing w:after="0" w:line="480" w:lineRule="auto"/>
        <w:jc w:val="both"/>
        <w:rPr>
          <w:rFonts w:ascii="Times New Roman" w:eastAsia="Calibri" w:hAnsi="Times New Roman" w:cs="Times New Roman"/>
          <w:bCs/>
          <w:sz w:val="24"/>
          <w:szCs w:val="24"/>
          <w:lang w:eastAsia="en-US"/>
        </w:rPr>
      </w:pPr>
      <w:r w:rsidRPr="00D74A4A">
        <w:rPr>
          <w:rFonts w:ascii="Times New Roman" w:eastAsia="Calibri" w:hAnsi="Times New Roman" w:cs="Times New Roman"/>
          <w:bCs/>
          <w:sz w:val="24"/>
          <w:szCs w:val="24"/>
          <w:lang w:eastAsia="en-US"/>
        </w:rPr>
        <w:t xml:space="preserve">   Ainsi, Face à la montée en puissance d’Hitler, les dirigeants français  renforcent l’Entente cordiale avec les Britanniques, car l’urgence était d’éviter la guerre aux compatriotes. Mais ces derniers, ne se sentaient  pas menacés en raison de leur situation insulaire, et c’est ainsi, qu’ils tournèrent le dos au français, pensant  que les Allemands étaient des partenaires commerciaux importants et un rempart contre le bolchevisme «  l’Angleterre a tranché le dernier lien qui nous attachait à elle » P. 137  </w:t>
      </w:r>
    </w:p>
    <w:p w:rsidR="00D74A4A" w:rsidRPr="00D74A4A" w:rsidRDefault="00D74A4A" w:rsidP="00D74A4A">
      <w:pPr>
        <w:spacing w:after="0" w:line="480" w:lineRule="auto"/>
        <w:jc w:val="both"/>
        <w:rPr>
          <w:rFonts w:ascii="Times New Roman" w:eastAsia="Calibri" w:hAnsi="Times New Roman" w:cs="Times New Roman"/>
          <w:bCs/>
          <w:sz w:val="24"/>
          <w:szCs w:val="24"/>
          <w:lang w:eastAsia="en-US"/>
        </w:rPr>
      </w:pPr>
      <w:r w:rsidRPr="00D74A4A">
        <w:rPr>
          <w:rFonts w:ascii="Times New Roman" w:eastAsia="Calibri" w:hAnsi="Times New Roman" w:cs="Times New Roman"/>
          <w:bCs/>
          <w:sz w:val="24"/>
          <w:szCs w:val="24"/>
          <w:lang w:eastAsia="en-US"/>
        </w:rPr>
        <w:t xml:space="preserve">   Par ailleurs, et suite au ralliement des Sudètes, et à l’invasion de la Tchécoslovaquie ainsi qu’à l’attaque de la Pologne par les Allemands, la France et son allié Britannique décide d’entrer en guerre contre Hitler, le 3 septembre 1939. La mobilisation générale est décrétée en France. Ceci étant, l’évènement n’a pas  empêché le Tour de France de 1939 d’avoir lieu en dépit, de l’absence des italiens et des allemands. Le tracé devait -tout simplement- évité le tout l’Est du pays (devenu zone des armées). Trois jours, après l’arrivée du Tour à Paris, </w:t>
      </w:r>
      <w:r w:rsidRPr="00D74A4A">
        <w:rPr>
          <w:rFonts w:ascii="Times New Roman" w:eastAsia="Calibri" w:hAnsi="Times New Roman" w:cs="Times New Roman"/>
          <w:bCs/>
          <w:i/>
          <w:sz w:val="24"/>
          <w:szCs w:val="24"/>
          <w:lang w:eastAsia="en-US"/>
        </w:rPr>
        <w:t>L’Auto</w:t>
      </w:r>
      <w:r w:rsidRPr="00D74A4A">
        <w:rPr>
          <w:rFonts w:ascii="Times New Roman" w:eastAsia="Calibri" w:hAnsi="Times New Roman" w:cs="Times New Roman"/>
          <w:bCs/>
          <w:sz w:val="24"/>
          <w:szCs w:val="24"/>
          <w:lang w:eastAsia="en-US"/>
        </w:rPr>
        <w:t xml:space="preserve"> annonce que « </w:t>
      </w:r>
      <w:r w:rsidRPr="00D74A4A">
        <w:rPr>
          <w:rFonts w:ascii="Times New Roman" w:eastAsia="Calibri" w:hAnsi="Times New Roman" w:cs="Times New Roman"/>
          <w:bCs/>
          <w:i/>
          <w:sz w:val="24"/>
          <w:szCs w:val="24"/>
          <w:lang w:eastAsia="en-US"/>
        </w:rPr>
        <w:t>le Tour de 1940  commencera par le Nord et l’Est et finira directement de Pau à Paris </w:t>
      </w:r>
      <w:r w:rsidRPr="00D74A4A">
        <w:rPr>
          <w:rFonts w:ascii="Times New Roman" w:eastAsia="Calibri" w:hAnsi="Times New Roman" w:cs="Times New Roman"/>
          <w:bCs/>
          <w:i/>
          <w:sz w:val="24"/>
          <w:vertAlign w:val="superscript"/>
          <w:lang w:eastAsia="en-US"/>
        </w:rPr>
        <w:footnoteReference w:id="82"/>
      </w:r>
      <w:r w:rsidRPr="00D74A4A">
        <w:rPr>
          <w:rFonts w:ascii="Times New Roman" w:eastAsia="Calibri" w:hAnsi="Times New Roman" w:cs="Times New Roman"/>
          <w:bCs/>
          <w:sz w:val="24"/>
          <w:szCs w:val="24"/>
          <w:lang w:eastAsia="en-US"/>
        </w:rPr>
        <w:t xml:space="preserve">». Autrement, la course à étapes avait été mise en sommeil jusqu’en 1947. </w:t>
      </w:r>
    </w:p>
    <w:p w:rsidR="00D74A4A" w:rsidRPr="00D74A4A" w:rsidRDefault="00D74A4A" w:rsidP="00D74A4A">
      <w:pPr>
        <w:spacing w:after="0" w:line="480" w:lineRule="auto"/>
        <w:jc w:val="both"/>
        <w:rPr>
          <w:rFonts w:ascii="Times New Roman" w:eastAsia="Calibri" w:hAnsi="Times New Roman" w:cs="Times New Roman"/>
          <w:bCs/>
          <w:sz w:val="24"/>
          <w:szCs w:val="24"/>
          <w:lang w:eastAsia="en-US"/>
        </w:rPr>
      </w:pPr>
      <w:r w:rsidRPr="00D74A4A">
        <w:rPr>
          <w:rFonts w:ascii="Times New Roman" w:eastAsia="Calibri" w:hAnsi="Times New Roman" w:cs="Times New Roman"/>
          <w:bCs/>
          <w:sz w:val="24"/>
          <w:szCs w:val="24"/>
          <w:lang w:eastAsia="en-US"/>
        </w:rPr>
        <w:t xml:space="preserve">   La France était en guerre, et ce sans livrer aucune bataille d’ampleur. Il fallait simplement se contenter de fortifier en béton la ligne Maginot – des Ardennes jusqu’à la frontière Suisse -</w:t>
      </w:r>
    </w:p>
    <w:p w:rsidR="00B81292" w:rsidRPr="00B81292" w:rsidRDefault="00B81292" w:rsidP="00B81292">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B81292">
        <w:rPr>
          <w:rFonts w:ascii="Times New Roman" w:eastAsia="Times New Roman" w:hAnsi="Times New Roman" w:cs="Times New Roman"/>
          <w:sz w:val="28"/>
          <w:szCs w:val="28"/>
          <w:lang w:eastAsia="en-US"/>
        </w:rPr>
        <w:lastRenderedPageBreak/>
        <w:t>Chapitre II : Aperçu historique</w:t>
      </w:r>
    </w:p>
    <w:p w:rsidR="00B81292" w:rsidRPr="00B81292" w:rsidRDefault="00B81292" w:rsidP="00B81292">
      <w:pPr>
        <w:tabs>
          <w:tab w:val="center" w:pos="4536"/>
          <w:tab w:val="right" w:pos="9072"/>
        </w:tabs>
        <w:spacing w:after="0" w:line="240" w:lineRule="auto"/>
        <w:rPr>
          <w:rFonts w:ascii="Calibri" w:eastAsia="Calibri" w:hAnsi="Calibri" w:cs="Times New Roman"/>
          <w:lang w:eastAsia="en-US"/>
        </w:rPr>
      </w:pPr>
    </w:p>
    <w:p w:rsidR="002A21EF" w:rsidRDefault="002A21EF" w:rsidP="002A21EF">
      <w:pPr>
        <w:spacing w:line="480" w:lineRule="auto"/>
        <w:jc w:val="both"/>
        <w:rPr>
          <w:rFonts w:ascii="Times New Roman" w:eastAsia="Calibri" w:hAnsi="Times New Roman" w:cs="Times New Roman"/>
          <w:sz w:val="24"/>
          <w:szCs w:val="24"/>
          <w:lang w:eastAsia="en-US"/>
        </w:rPr>
      </w:pPr>
    </w:p>
    <w:p w:rsidR="00B81292" w:rsidRPr="00B81292" w:rsidRDefault="00B81292" w:rsidP="00B81292">
      <w:pPr>
        <w:spacing w:after="0"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pour -soit disant- empêcher les Allemands de pénétrer en France. Et c’est ainsi que la période de septembre 1939 à mai 1940 est appelée « une drôle de guerre »</w:t>
      </w:r>
      <w:r w:rsidRPr="00B81292">
        <w:rPr>
          <w:rFonts w:ascii="Times New Roman" w:eastAsia="Calibri" w:hAnsi="Times New Roman" w:cs="Times New Roman"/>
          <w:bCs/>
          <w:sz w:val="24"/>
          <w:vertAlign w:val="superscript"/>
          <w:lang w:eastAsia="en-US"/>
        </w:rPr>
        <w:footnoteReference w:id="83"/>
      </w:r>
      <w:r w:rsidRPr="00B81292">
        <w:rPr>
          <w:rFonts w:ascii="Times New Roman" w:eastAsia="Calibri" w:hAnsi="Times New Roman" w:cs="Times New Roman"/>
          <w:bCs/>
          <w:sz w:val="24"/>
          <w:szCs w:val="24"/>
          <w:lang w:eastAsia="en-US"/>
        </w:rPr>
        <w:t>. Car pendant des semaines, les deux armées se font face, s’observent et échangent quelques coups de feu « on attendait on ne savait quoi. Le retour à la normale, sans doute. Puisque la crise était passée, puis qu’il n’y avait rien eu. Même pas une vraie guerre. Puisque tout était fini avant d’avo</w:t>
      </w:r>
      <w:r w:rsidRPr="00B81292">
        <w:rPr>
          <w:rFonts w:ascii="Times New Roman" w:eastAsia="Calibri" w:hAnsi="Times New Roman" w:cs="Times New Roman"/>
          <w:bCs/>
          <w:i/>
          <w:sz w:val="24"/>
          <w:szCs w:val="24"/>
          <w:lang w:eastAsia="en-US"/>
        </w:rPr>
        <w:t xml:space="preserve">ir </w:t>
      </w:r>
      <w:r w:rsidRPr="00B81292">
        <w:rPr>
          <w:rFonts w:ascii="Times New Roman" w:eastAsia="Calibri" w:hAnsi="Times New Roman" w:cs="Times New Roman"/>
          <w:bCs/>
          <w:sz w:val="24"/>
          <w:szCs w:val="24"/>
          <w:lang w:eastAsia="en-US"/>
        </w:rPr>
        <w:t xml:space="preserve">commencé. (R.D.L.F.P138)   </w:t>
      </w:r>
    </w:p>
    <w:p w:rsidR="00B81292" w:rsidRPr="00B81292" w:rsidRDefault="00B81292" w:rsidP="00B81292">
      <w:pPr>
        <w:spacing w:after="0"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   Toutefois, le cours de la vie normale a été entravé par l’instauration du couvre feu et l’interdiction des bals populaires ainsi que les réunions publiques. Le calme et le sang froid dominé partout. Une période singulière avait surgi dans la vie des français. Les rues se vidaient tandis que les gares s’emplissaient, mais ils continuaient à lire et à se détendre «  le Pouldu ». La radio tentait de faire oublier la guerre, et des stars comme  Fernandel ou Joséphine Baker se produisaient devant les soldats afin de soutenir le moral des soldats. Le commandement militaire avait même créé « un service de lecture, arts et spectacles aux armés »  pour faire oublier la situation ; mais l’oisiveté gagnait les rangs. </w:t>
      </w:r>
    </w:p>
    <w:p w:rsidR="00B81292" w:rsidRDefault="00B81292" w:rsidP="00B81292">
      <w:pPr>
        <w:spacing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   Malgré  tous ces efforts sur le front, au début du printemps 1940, la démoralisation et la lassitude conquirent le front «  l’ennui de ces longs mois d’hiver et du printemps 1939-1940, qui a rongé tant d’intelligences, pesait lourdement… »</w:t>
      </w:r>
      <w:r w:rsidRPr="00B81292">
        <w:rPr>
          <w:rFonts w:ascii="Times New Roman" w:eastAsia="Calibri" w:hAnsi="Times New Roman" w:cs="Times New Roman"/>
          <w:bCs/>
          <w:sz w:val="24"/>
          <w:vertAlign w:val="superscript"/>
          <w:lang w:eastAsia="en-US"/>
        </w:rPr>
        <w:footnoteReference w:id="84"/>
      </w:r>
      <w:r w:rsidRPr="00B81292">
        <w:rPr>
          <w:rFonts w:ascii="Times New Roman" w:eastAsia="Calibri" w:hAnsi="Times New Roman" w:cs="Times New Roman"/>
          <w:bCs/>
          <w:sz w:val="24"/>
          <w:szCs w:val="24"/>
          <w:lang w:eastAsia="en-US"/>
        </w:rPr>
        <w:t>. Aussi, les cinémas, les théâtres, les cabarets, et les restaurants, rouvrirent progressivement au printemps 1940. Les français cherchaient à se détendre et à oublier le lourd contexte de la « drôle de guerre » ; cependant, les traitres (comme Ferdonnet,</w:t>
      </w:r>
      <w:r w:rsidRPr="00B81292">
        <w:rPr>
          <w:rFonts w:ascii="Times New Roman" w:eastAsia="Calibri" w:hAnsi="Times New Roman" w:cs="Times New Roman"/>
          <w:bCs/>
          <w:sz w:val="24"/>
          <w:vertAlign w:val="superscript"/>
          <w:lang w:eastAsia="en-US"/>
        </w:rPr>
        <w:footnoteReference w:id="85"/>
      </w:r>
      <w:r w:rsidRPr="00B81292">
        <w:rPr>
          <w:rFonts w:ascii="Times New Roman" w:eastAsia="Calibri" w:hAnsi="Times New Roman" w:cs="Times New Roman"/>
          <w:bCs/>
          <w:sz w:val="24"/>
          <w:szCs w:val="24"/>
          <w:lang w:eastAsia="en-US"/>
        </w:rPr>
        <w:t>) répandaient  la propagande Nazie dans le but de détruire progressivement l’orgueil national des Français. Ceci divisa politiquement le peuple et l’amena à rompre avec la bourgeoisie pour adhérer en masse au parti communiste français. Ce</w:t>
      </w:r>
    </w:p>
    <w:p w:rsidR="00B81292" w:rsidRPr="00B81292" w:rsidRDefault="00B81292" w:rsidP="00B81292">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B81292">
        <w:rPr>
          <w:rFonts w:ascii="Times New Roman" w:eastAsia="Times New Roman" w:hAnsi="Times New Roman" w:cs="Times New Roman"/>
          <w:sz w:val="28"/>
          <w:szCs w:val="28"/>
          <w:lang w:eastAsia="en-US"/>
        </w:rPr>
        <w:lastRenderedPageBreak/>
        <w:t>Chapitre II : Aperçu historique</w:t>
      </w:r>
    </w:p>
    <w:p w:rsidR="00B81292" w:rsidRPr="00B81292" w:rsidRDefault="00B81292" w:rsidP="00B81292">
      <w:pPr>
        <w:tabs>
          <w:tab w:val="center" w:pos="4536"/>
          <w:tab w:val="right" w:pos="9072"/>
        </w:tabs>
        <w:spacing w:after="0" w:line="240" w:lineRule="auto"/>
        <w:rPr>
          <w:rFonts w:ascii="Calibri" w:eastAsia="Calibri" w:hAnsi="Calibri" w:cs="Times New Roman"/>
          <w:lang w:eastAsia="en-US"/>
        </w:rPr>
      </w:pPr>
    </w:p>
    <w:p w:rsidR="00B81292" w:rsidRDefault="00B81292">
      <w:pPr>
        <w:rPr>
          <w:rFonts w:ascii="Times New Roman" w:eastAsia="Calibri" w:hAnsi="Times New Roman" w:cs="Times New Roman"/>
          <w:bCs/>
          <w:sz w:val="24"/>
          <w:szCs w:val="24"/>
          <w:lang w:eastAsia="en-US"/>
        </w:rPr>
      </w:pPr>
    </w:p>
    <w:p w:rsidR="00B81292" w:rsidRPr="00B81292" w:rsidRDefault="00B81292" w:rsidP="00B81292">
      <w:pPr>
        <w:spacing w:after="0"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dernier  dénonçait vivement  la vie trop chère et fustigeait  le gaspillage de l’armée « moi, ce qui m’inquiète, c’est plutôt le présent, le prix de la vie, les augmentations. »(R.D.L.F.P.56) </w:t>
      </w:r>
    </w:p>
    <w:p w:rsidR="00B81292" w:rsidRPr="00B81292" w:rsidRDefault="00B81292" w:rsidP="00B81292">
      <w:pPr>
        <w:spacing w:after="0" w:line="480" w:lineRule="auto"/>
        <w:jc w:val="both"/>
        <w:rPr>
          <w:rFonts w:ascii="Times New Roman" w:eastAsia="Calibri" w:hAnsi="Times New Roman" w:cs="Times New Roman"/>
          <w:bCs/>
          <w:i/>
          <w:sz w:val="24"/>
          <w:szCs w:val="24"/>
          <w:lang w:eastAsia="en-US"/>
        </w:rPr>
      </w:pPr>
      <w:r w:rsidRPr="00B81292">
        <w:rPr>
          <w:rFonts w:ascii="Times New Roman" w:eastAsia="Calibri" w:hAnsi="Times New Roman" w:cs="Times New Roman"/>
          <w:bCs/>
          <w:sz w:val="24"/>
          <w:szCs w:val="24"/>
          <w:lang w:eastAsia="en-US"/>
        </w:rPr>
        <w:t xml:space="preserve">   Simplement, avec la mobilisation des hommes au front et le retard dans l’application de la loi</w:t>
      </w:r>
      <w:r w:rsidRPr="00B81292">
        <w:rPr>
          <w:rFonts w:ascii="Times New Roman" w:eastAsia="Calibri" w:hAnsi="Times New Roman" w:cs="Times New Roman"/>
          <w:bCs/>
          <w:sz w:val="24"/>
          <w:vertAlign w:val="superscript"/>
          <w:lang w:eastAsia="en-US"/>
        </w:rPr>
        <w:footnoteReference w:id="86"/>
      </w:r>
      <w:r w:rsidRPr="00B81292">
        <w:rPr>
          <w:rFonts w:ascii="Times New Roman" w:eastAsia="Calibri" w:hAnsi="Times New Roman" w:cs="Times New Roman"/>
          <w:bCs/>
          <w:sz w:val="24"/>
          <w:szCs w:val="24"/>
          <w:lang w:eastAsia="en-US"/>
        </w:rPr>
        <w:t xml:space="preserve"> du 11juillet 1938, (appliquée le  29 février 1940</w:t>
      </w:r>
      <w:r w:rsidRPr="00B81292">
        <w:rPr>
          <w:rFonts w:ascii="Times New Roman" w:eastAsia="Calibri" w:hAnsi="Times New Roman" w:cs="Times New Roman"/>
          <w:bCs/>
          <w:sz w:val="24"/>
          <w:vertAlign w:val="superscript"/>
          <w:lang w:eastAsia="en-US"/>
        </w:rPr>
        <w:footnoteReference w:id="87"/>
      </w:r>
      <w:r w:rsidRPr="00B81292">
        <w:rPr>
          <w:rFonts w:ascii="Times New Roman" w:eastAsia="Calibri" w:hAnsi="Times New Roman" w:cs="Times New Roman"/>
          <w:bCs/>
          <w:sz w:val="24"/>
          <w:szCs w:val="24"/>
          <w:lang w:eastAsia="en-US"/>
        </w:rPr>
        <w:t>.) commença progressivement « la chasse »</w:t>
      </w:r>
      <w:r w:rsidRPr="00B81292">
        <w:rPr>
          <w:rFonts w:ascii="Times New Roman" w:eastAsia="Calibri" w:hAnsi="Times New Roman" w:cs="Times New Roman"/>
          <w:bCs/>
          <w:sz w:val="24"/>
          <w:vertAlign w:val="superscript"/>
          <w:lang w:eastAsia="en-US"/>
        </w:rPr>
        <w:footnoteReference w:id="88"/>
      </w:r>
      <w:r w:rsidRPr="00B81292">
        <w:rPr>
          <w:rFonts w:ascii="Times New Roman" w:eastAsia="Calibri" w:hAnsi="Times New Roman" w:cs="Times New Roman"/>
          <w:bCs/>
          <w:sz w:val="24"/>
          <w:szCs w:val="24"/>
          <w:lang w:eastAsia="en-US"/>
        </w:rPr>
        <w:t xml:space="preserve"> aux aliments dans toutes les villes françaises. Ainsi, le savon, le café, l’huile, la tabac, le riz, manquaient. Même les réserves de  vin étaient presque vides dans certains départements au nord de la Loire, en Bretagne et en Normandie.  Le pain était de moindre qualité, « </w:t>
      </w:r>
      <w:r w:rsidRPr="00B81292">
        <w:rPr>
          <w:rFonts w:ascii="Times New Roman" w:eastAsia="Calibri" w:hAnsi="Times New Roman" w:cs="Times New Roman"/>
          <w:bCs/>
          <w:i/>
          <w:sz w:val="24"/>
          <w:szCs w:val="24"/>
          <w:lang w:eastAsia="en-US"/>
        </w:rPr>
        <w:t>on faisait des économies sur tout. Sur les repas le vin, les sorties, et même les cigarettes. Alors, aux déjeuners c’était plutôt du cari sec et des lentilles, avec très peu de viande, et très peu d’alcools. »</w:t>
      </w:r>
      <w:r w:rsidRPr="00B81292">
        <w:rPr>
          <w:rFonts w:ascii="Times New Roman" w:eastAsia="Calibri" w:hAnsi="Times New Roman" w:cs="Times New Roman"/>
          <w:bCs/>
          <w:sz w:val="24"/>
          <w:szCs w:val="24"/>
          <w:lang w:eastAsia="en-US"/>
        </w:rPr>
        <w:t xml:space="preserve"> (R.D.L.F.P.104) </w:t>
      </w:r>
      <w:r w:rsidRPr="00B81292">
        <w:rPr>
          <w:rFonts w:ascii="Times New Roman" w:eastAsia="Calibri" w:hAnsi="Times New Roman" w:cs="Times New Roman"/>
          <w:bCs/>
          <w:i/>
          <w:sz w:val="24"/>
          <w:szCs w:val="24"/>
          <w:lang w:eastAsia="en-US"/>
        </w:rPr>
        <w:t xml:space="preserve"> </w:t>
      </w:r>
    </w:p>
    <w:p w:rsidR="00B81292" w:rsidRDefault="00B81292" w:rsidP="00B81292">
      <w:pPr>
        <w:spacing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   Ainsi, les Français entraient dans le mode de restriction – imposé par Daladier sous la III république- : les boucheries devaient fermer trois jours par semaine, l’instauration des cartes de rationnement, selon le décret du 29 février 1940 et des tickets ou des coupons pour des denrées spécifiques. Dans la même période, (c'est-à-dire, l’hiver 1939- 1940)  les experts de la météorologie annoncèrent l’hiver le plus froid depuis, celui de 1893. En effet,  Plus de trente centimètres de neige recouvraient la majeure partie des régions françaises, à Noel 1939. Même le Sud –Est méditerranéen n’avait pas été épargné. Les températures descendaient jusqu’à – 24°C, les canalisations d’eau éclataient par milliers, les canaux et les fleuves étaient figés par la glace. Une période de grand froid, marquée par l’importation en grande quantité de bois et de charbon, dont la population était appelé à réduire de moitié sa consommation quotidienne. La misère gagnait les familles françaises pendant cette saison rude. </w:t>
      </w:r>
      <w:r w:rsidRPr="00B81292">
        <w:rPr>
          <w:rFonts w:ascii="Times New Roman" w:eastAsia="Calibri" w:hAnsi="Times New Roman" w:cs="Times New Roman"/>
          <w:sz w:val="24"/>
          <w:szCs w:val="24"/>
          <w:lang w:eastAsia="en-US"/>
        </w:rPr>
        <w:t>Subitement,</w:t>
      </w:r>
      <w:r>
        <w:rPr>
          <w:rFonts w:ascii="Times New Roman" w:eastAsia="Calibri" w:hAnsi="Times New Roman" w:cs="Times New Roman"/>
          <w:bCs/>
          <w:sz w:val="24"/>
          <w:szCs w:val="24"/>
          <w:lang w:eastAsia="en-US"/>
        </w:rPr>
        <w:br w:type="page"/>
      </w:r>
    </w:p>
    <w:p w:rsidR="00B81292" w:rsidRPr="00B81292" w:rsidRDefault="00B81292" w:rsidP="00B81292">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B81292">
        <w:rPr>
          <w:rFonts w:ascii="Times New Roman" w:eastAsia="Times New Roman" w:hAnsi="Times New Roman" w:cs="Times New Roman"/>
          <w:sz w:val="28"/>
          <w:szCs w:val="28"/>
          <w:lang w:eastAsia="en-US"/>
        </w:rPr>
        <w:lastRenderedPageBreak/>
        <w:t>Chapitre II : Aperçu historique</w:t>
      </w:r>
    </w:p>
    <w:p w:rsidR="00B81292" w:rsidRPr="00B81292" w:rsidRDefault="00B81292" w:rsidP="00B81292">
      <w:pPr>
        <w:tabs>
          <w:tab w:val="center" w:pos="4536"/>
          <w:tab w:val="right" w:pos="9072"/>
        </w:tabs>
        <w:spacing w:after="0" w:line="240" w:lineRule="auto"/>
        <w:rPr>
          <w:rFonts w:ascii="Calibri" w:eastAsia="Calibri" w:hAnsi="Calibri" w:cs="Times New Roman"/>
          <w:lang w:eastAsia="en-US"/>
        </w:rPr>
      </w:pPr>
    </w:p>
    <w:p w:rsidR="00B81292" w:rsidRPr="003400AC" w:rsidRDefault="00B81292" w:rsidP="00B81292">
      <w:pPr>
        <w:spacing w:after="0" w:line="480" w:lineRule="auto"/>
        <w:jc w:val="both"/>
        <w:rPr>
          <w:rFonts w:ascii="Times New Roman" w:hAnsi="Times New Roman"/>
          <w:bCs/>
          <w:sz w:val="24"/>
          <w:szCs w:val="24"/>
        </w:rPr>
      </w:pPr>
      <w:r>
        <w:rPr>
          <w:rFonts w:ascii="Times New Roman" w:hAnsi="Times New Roman"/>
          <w:sz w:val="24"/>
          <w:szCs w:val="24"/>
        </w:rPr>
        <w:t xml:space="preserve">le 10 mai 1940, les Allemands envahirent  la Belgique et les Pays Bas, et à  sept heures trente, Frossard, le ministre de l’information annonçait sur la Radio nationale, que la vraie guerre avait commencé. </w:t>
      </w:r>
    </w:p>
    <w:p w:rsidR="00B81292" w:rsidRDefault="00B81292" w:rsidP="00B81292">
      <w:pPr>
        <w:spacing w:after="0" w:line="480" w:lineRule="auto"/>
        <w:jc w:val="both"/>
        <w:rPr>
          <w:rFonts w:ascii="Times New Roman" w:hAnsi="Times New Roman"/>
          <w:sz w:val="24"/>
          <w:szCs w:val="24"/>
        </w:rPr>
      </w:pPr>
      <w:r>
        <w:rPr>
          <w:rFonts w:ascii="Times New Roman" w:hAnsi="Times New Roman"/>
          <w:sz w:val="24"/>
          <w:szCs w:val="24"/>
        </w:rPr>
        <w:t xml:space="preserve">   Plus de six cents avions attaquaient les Français en piqué, « l’air était tenu en permanence par 50 à 70 appareils qui virevoltent »</w:t>
      </w:r>
      <w:r>
        <w:rPr>
          <w:rStyle w:val="Appelnotedebasdep"/>
          <w:rFonts w:ascii="Times New Roman" w:hAnsi="Times New Roman"/>
          <w:sz w:val="24"/>
          <w:szCs w:val="24"/>
        </w:rPr>
        <w:footnoteReference w:id="89"/>
      </w:r>
      <w:r>
        <w:rPr>
          <w:rFonts w:ascii="Times New Roman" w:hAnsi="Times New Roman"/>
          <w:sz w:val="24"/>
          <w:szCs w:val="24"/>
        </w:rPr>
        <w:t xml:space="preserve">. Ainsi, la drôle de guerre, sans fusion de sang, prenait fin face à la Luftwaffe qui comptait 3500 avions de combat (chasseurs et bombardiers) et surtout au commandement et coordination de toutes les forces allemandes. Les armées françaises étaient pulvérisées, la ligne Maginot a été contournée par l’ouest. L’ennemi était passé par les Ardennes. Aussi, Le repli des soldats français était entravé par le désordre de l’exode des civils. De ce fait, les civils furent bombardés par les avions allemands. </w:t>
      </w:r>
    </w:p>
    <w:p w:rsidR="00B81292" w:rsidRDefault="00B81292" w:rsidP="00B81292">
      <w:pPr>
        <w:spacing w:after="0" w:line="480" w:lineRule="auto"/>
        <w:jc w:val="both"/>
        <w:rPr>
          <w:rFonts w:ascii="Times New Roman" w:hAnsi="Times New Roman"/>
          <w:sz w:val="24"/>
          <w:szCs w:val="24"/>
        </w:rPr>
      </w:pPr>
      <w:r>
        <w:rPr>
          <w:rFonts w:ascii="Times New Roman" w:hAnsi="Times New Roman"/>
          <w:sz w:val="24"/>
          <w:szCs w:val="24"/>
        </w:rPr>
        <w:t xml:space="preserve">   L’ordre de retraite avait été donné</w:t>
      </w:r>
      <w:r w:rsidRPr="007D0C16">
        <w:rPr>
          <w:rFonts w:ascii="Times New Roman" w:hAnsi="Times New Roman"/>
          <w:sz w:val="24"/>
          <w:szCs w:val="24"/>
        </w:rPr>
        <w:t xml:space="preserve"> </w:t>
      </w:r>
      <w:r>
        <w:rPr>
          <w:rFonts w:ascii="Times New Roman" w:hAnsi="Times New Roman"/>
          <w:sz w:val="24"/>
          <w:szCs w:val="24"/>
        </w:rPr>
        <w:t>l</w:t>
      </w:r>
      <w:r w:rsidRPr="007D0C16">
        <w:rPr>
          <w:rFonts w:ascii="Times New Roman" w:hAnsi="Times New Roman"/>
          <w:sz w:val="24"/>
          <w:szCs w:val="24"/>
        </w:rPr>
        <w:t>e 12 juin</w:t>
      </w:r>
      <w:r>
        <w:rPr>
          <w:rFonts w:ascii="Times New Roman" w:hAnsi="Times New Roman"/>
          <w:sz w:val="24"/>
          <w:szCs w:val="24"/>
        </w:rPr>
        <w:t xml:space="preserve">, les ministres et leurs services se dispersèrent en Touraine dans une vingtaine de châteaux. La déroute était totale avec ses fuyards, ses isolés, ses perdus, ses petits groupes de soldats sans chef à la recherche de nourriture. Des milliers de soldats s’étaient fait prisonniers. Paradoxalement, -en raison du tri des informations et de la censure- beaucoup de français pensaient que les opérations allemandes étaient essentiellement concentrées sur les Pays Bas, et que toute rumeur indiquant le contraire proviendrait de la propagande de la cinquième colonne.  </w:t>
      </w:r>
    </w:p>
    <w:p w:rsidR="00B81292" w:rsidRDefault="00B81292" w:rsidP="00B81292">
      <w:pPr>
        <w:spacing w:line="480" w:lineRule="auto"/>
        <w:jc w:val="both"/>
        <w:rPr>
          <w:rFonts w:ascii="Times New Roman" w:hAnsi="Times New Roman"/>
          <w:sz w:val="24"/>
          <w:szCs w:val="24"/>
        </w:rPr>
      </w:pPr>
      <w:r>
        <w:rPr>
          <w:rFonts w:ascii="Times New Roman" w:hAnsi="Times New Roman"/>
          <w:sz w:val="24"/>
          <w:szCs w:val="24"/>
        </w:rPr>
        <w:t xml:space="preserve">   Une année avant, soit en septembre 1939, le repli anticipé des frontaliers «</w:t>
      </w:r>
      <w:r w:rsidRPr="003400AC">
        <w:rPr>
          <w:rFonts w:ascii="Times New Roman" w:hAnsi="Times New Roman"/>
          <w:sz w:val="24"/>
          <w:szCs w:val="24"/>
        </w:rPr>
        <w:t>déjà, l’an passé, en septembre, le 23 et le 24, les nouvelles de l’exode de la frontière nord, tous ces gens lancés sur les routes, avec leurs voitures à cheval et leurs charrettes à bras. La tempête qui avait soufflé sur eux,… </w:t>
      </w:r>
      <w:r>
        <w:rPr>
          <w:rFonts w:ascii="Times New Roman" w:hAnsi="Times New Roman"/>
          <w:i/>
          <w:sz w:val="24"/>
          <w:szCs w:val="24"/>
        </w:rPr>
        <w:t>»</w:t>
      </w:r>
      <w:r>
        <w:rPr>
          <w:rFonts w:ascii="Times New Roman" w:hAnsi="Times New Roman"/>
          <w:sz w:val="24"/>
          <w:szCs w:val="24"/>
        </w:rPr>
        <w:t>(R.D.L.F.P.</w:t>
      </w:r>
      <w:r w:rsidRPr="003400AC">
        <w:rPr>
          <w:rFonts w:ascii="Times New Roman" w:hAnsi="Times New Roman"/>
          <w:sz w:val="24"/>
          <w:szCs w:val="24"/>
        </w:rPr>
        <w:t>130)</w:t>
      </w:r>
      <w:r>
        <w:rPr>
          <w:rFonts w:ascii="Times New Roman" w:hAnsi="Times New Roman"/>
          <w:sz w:val="24"/>
          <w:szCs w:val="24"/>
        </w:rPr>
        <w:t xml:space="preserve"> avait gagné l’esprit des Parisiens. </w:t>
      </w:r>
      <w:r w:rsidRPr="00C43A66">
        <w:rPr>
          <w:rFonts w:ascii="Times New Roman" w:hAnsi="Times New Roman"/>
          <w:sz w:val="24"/>
          <w:szCs w:val="24"/>
        </w:rPr>
        <w:t xml:space="preserve">500.000 Parisiens </w:t>
      </w:r>
      <w:r>
        <w:rPr>
          <w:rFonts w:ascii="Times New Roman" w:hAnsi="Times New Roman"/>
          <w:sz w:val="24"/>
          <w:szCs w:val="24"/>
        </w:rPr>
        <w:t xml:space="preserve">quittèrent </w:t>
      </w:r>
      <w:r w:rsidRPr="00C43A66">
        <w:rPr>
          <w:rFonts w:ascii="Times New Roman" w:hAnsi="Times New Roman"/>
          <w:sz w:val="24"/>
          <w:szCs w:val="24"/>
        </w:rPr>
        <w:t>la capitale</w:t>
      </w:r>
      <w:r>
        <w:rPr>
          <w:rFonts w:ascii="Times New Roman" w:hAnsi="Times New Roman"/>
          <w:sz w:val="24"/>
          <w:szCs w:val="24"/>
        </w:rPr>
        <w:t xml:space="preserve"> en cette période. Le </w:t>
      </w:r>
      <w:r w:rsidRPr="00C43A66">
        <w:rPr>
          <w:rFonts w:ascii="Times New Roman" w:hAnsi="Times New Roman"/>
          <w:sz w:val="24"/>
          <w:szCs w:val="24"/>
        </w:rPr>
        <w:t>phénomène s</w:t>
      </w:r>
      <w:r>
        <w:rPr>
          <w:rFonts w:ascii="Times New Roman" w:hAnsi="Times New Roman"/>
          <w:sz w:val="24"/>
          <w:szCs w:val="24"/>
        </w:rPr>
        <w:t>’était largement amplifié</w:t>
      </w:r>
      <w:r w:rsidRPr="00C43A66">
        <w:rPr>
          <w:rFonts w:ascii="Times New Roman" w:hAnsi="Times New Roman"/>
          <w:sz w:val="24"/>
          <w:szCs w:val="24"/>
        </w:rPr>
        <w:t xml:space="preserve"> une fois la ligne de front percée</w:t>
      </w:r>
      <w:r>
        <w:rPr>
          <w:rFonts w:ascii="Times New Roman" w:hAnsi="Times New Roman"/>
          <w:sz w:val="24"/>
          <w:szCs w:val="24"/>
        </w:rPr>
        <w:t xml:space="preserve"> aussi, l</w:t>
      </w:r>
      <w:r w:rsidRPr="00C43A66">
        <w:rPr>
          <w:rFonts w:ascii="Times New Roman" w:hAnsi="Times New Roman"/>
          <w:sz w:val="24"/>
          <w:szCs w:val="24"/>
        </w:rPr>
        <w:t>es viles se vid</w:t>
      </w:r>
      <w:r>
        <w:rPr>
          <w:rFonts w:ascii="Times New Roman" w:hAnsi="Times New Roman"/>
          <w:sz w:val="24"/>
          <w:szCs w:val="24"/>
        </w:rPr>
        <w:t>ai</w:t>
      </w:r>
      <w:r w:rsidRPr="00C43A66">
        <w:rPr>
          <w:rFonts w:ascii="Times New Roman" w:hAnsi="Times New Roman"/>
          <w:sz w:val="24"/>
          <w:szCs w:val="24"/>
        </w:rPr>
        <w:t>ent de leurs civils et de leurs soldats.</w:t>
      </w:r>
      <w:r>
        <w:rPr>
          <w:rFonts w:ascii="Times New Roman" w:hAnsi="Times New Roman"/>
          <w:sz w:val="24"/>
          <w:szCs w:val="24"/>
        </w:rPr>
        <w:t xml:space="preserve"> (voir annexe IV)</w:t>
      </w:r>
    </w:p>
    <w:p w:rsidR="00B81292" w:rsidRPr="00B81292" w:rsidRDefault="00B81292" w:rsidP="00B81292">
      <w:pPr>
        <w:pStyle w:val="En-tte"/>
        <w:pBdr>
          <w:bottom w:val="thickThinSmallGap" w:sz="24" w:space="1" w:color="622423"/>
        </w:pBdr>
        <w:jc w:val="center"/>
        <w:rPr>
          <w:rFonts w:ascii="Times New Roman" w:eastAsia="Times New Roman" w:hAnsi="Times New Roman"/>
          <w:sz w:val="28"/>
          <w:szCs w:val="28"/>
        </w:rPr>
      </w:pPr>
      <w:r>
        <w:rPr>
          <w:rFonts w:ascii="Times New Roman" w:hAnsi="Times New Roman"/>
          <w:sz w:val="24"/>
          <w:szCs w:val="24"/>
        </w:rPr>
        <w:br w:type="page"/>
      </w:r>
      <w:r w:rsidRPr="00B81292">
        <w:rPr>
          <w:rFonts w:ascii="Times New Roman" w:eastAsia="Times New Roman" w:hAnsi="Times New Roman"/>
          <w:sz w:val="28"/>
          <w:szCs w:val="28"/>
        </w:rPr>
        <w:lastRenderedPageBreak/>
        <w:t>Chapitre II : Aperçu historique</w:t>
      </w:r>
    </w:p>
    <w:p w:rsidR="00B81292" w:rsidRPr="00B81292" w:rsidRDefault="00B81292" w:rsidP="00B81292">
      <w:pPr>
        <w:tabs>
          <w:tab w:val="center" w:pos="4536"/>
          <w:tab w:val="right" w:pos="9072"/>
        </w:tabs>
        <w:spacing w:after="0" w:line="240" w:lineRule="auto"/>
        <w:rPr>
          <w:rFonts w:ascii="Calibri" w:eastAsia="Calibri" w:hAnsi="Calibri" w:cs="Times New Roman"/>
          <w:lang w:eastAsia="en-US"/>
        </w:rPr>
      </w:pPr>
    </w:p>
    <w:p w:rsidR="00B81292" w:rsidRDefault="00B81292" w:rsidP="00B81292">
      <w:pPr>
        <w:rPr>
          <w:rFonts w:ascii="Times New Roman" w:hAnsi="Times New Roman"/>
          <w:sz w:val="24"/>
          <w:szCs w:val="24"/>
        </w:rPr>
      </w:pPr>
    </w:p>
    <w:p w:rsidR="00B81292" w:rsidRPr="00B81292" w:rsidRDefault="00B81292" w:rsidP="00B81292">
      <w:pPr>
        <w:spacing w:after="0" w:line="480" w:lineRule="auto"/>
        <w:jc w:val="both"/>
        <w:rPr>
          <w:rFonts w:ascii="Times New Roman" w:eastAsia="Calibri" w:hAnsi="Times New Roman" w:cs="Times New Roman"/>
          <w:sz w:val="24"/>
          <w:szCs w:val="24"/>
          <w:lang w:eastAsia="en-US"/>
        </w:rPr>
      </w:pPr>
      <w:r w:rsidRPr="00B81292">
        <w:rPr>
          <w:rFonts w:ascii="Times New Roman" w:eastAsia="Calibri" w:hAnsi="Times New Roman" w:cs="Times New Roman"/>
          <w:sz w:val="24"/>
          <w:szCs w:val="24"/>
          <w:lang w:eastAsia="en-US"/>
        </w:rPr>
        <w:t xml:space="preserve">Toutefois, c’était les rumeurs, qui étaient  en partie responsables de l’exode des millions de français, « …dans le chaos des fausses nouvelles, des communiqués mensongers, des articles de propagande, de la haine des étrangers, de la méfiance des espions, des ragots d’épicier, de  la faim et du vide, du manque d’amour et d’orgueil. » (R.D.L.F.P.142) </w:t>
      </w:r>
    </w:p>
    <w:p w:rsidR="00B81292" w:rsidRPr="00B81292" w:rsidRDefault="00B81292" w:rsidP="00B81292">
      <w:pPr>
        <w:spacing w:after="0" w:line="480" w:lineRule="auto"/>
        <w:jc w:val="both"/>
        <w:rPr>
          <w:rFonts w:ascii="Times New Roman" w:eastAsia="Calibri" w:hAnsi="Times New Roman" w:cs="Times New Roman"/>
          <w:sz w:val="24"/>
          <w:szCs w:val="24"/>
          <w:lang w:eastAsia="en-US"/>
        </w:rPr>
      </w:pPr>
      <w:r w:rsidRPr="00B81292">
        <w:rPr>
          <w:rFonts w:ascii="Times New Roman" w:eastAsia="Calibri" w:hAnsi="Times New Roman" w:cs="Times New Roman"/>
          <w:sz w:val="24"/>
          <w:szCs w:val="24"/>
          <w:lang w:eastAsia="en-US"/>
        </w:rPr>
        <w:t xml:space="preserve">   Un motif commun à la Grande Peur de 1789</w:t>
      </w:r>
      <w:r w:rsidRPr="00B81292">
        <w:rPr>
          <w:rFonts w:ascii="Times New Roman" w:eastAsia="Calibri" w:hAnsi="Times New Roman" w:cs="Times New Roman"/>
          <w:sz w:val="24"/>
          <w:vertAlign w:val="superscript"/>
          <w:lang w:eastAsia="en-US"/>
        </w:rPr>
        <w:footnoteReference w:id="90"/>
      </w:r>
      <w:r w:rsidRPr="00B81292">
        <w:rPr>
          <w:rFonts w:ascii="Times New Roman" w:eastAsia="Calibri" w:hAnsi="Times New Roman" w:cs="Times New Roman"/>
          <w:sz w:val="24"/>
          <w:szCs w:val="24"/>
          <w:lang w:eastAsia="en-US"/>
        </w:rPr>
        <w:t>. Mais, la vraie motivation du départ précipité de la population, est le souvenir du siège de Paris de 1870</w:t>
      </w:r>
      <w:r w:rsidRPr="00B81292">
        <w:rPr>
          <w:rFonts w:ascii="Times New Roman" w:eastAsia="Calibri" w:hAnsi="Times New Roman" w:cs="Times New Roman"/>
          <w:sz w:val="24"/>
          <w:vertAlign w:val="superscript"/>
          <w:lang w:eastAsia="en-US"/>
        </w:rPr>
        <w:footnoteReference w:id="91"/>
      </w:r>
      <w:r w:rsidRPr="00B81292">
        <w:rPr>
          <w:rFonts w:ascii="Times New Roman" w:eastAsia="Calibri" w:hAnsi="Times New Roman" w:cs="Times New Roman"/>
          <w:sz w:val="24"/>
          <w:szCs w:val="24"/>
          <w:lang w:eastAsia="en-US"/>
        </w:rPr>
        <w:t xml:space="preserve"> par les Prussiens.  S’ajoute à cela la propagande allemande (comme le massacre des civils à Oignies), et le sentiment d’abandon des autorités qui fuyaient l’occupation du pays, tout comme les bombardements meurtriers et destructeurs. Enfin, des millions de gens (Français et Européens) avaient erré sur les routes de France pendant le mois de juin 1940. Le printemps et l’été 1940 étaient pour eux,  une longue marche effroyable, face à la désorganisation générale, à la faim, au feu des Stukas, et à la peur.  </w:t>
      </w:r>
    </w:p>
    <w:p w:rsidR="00B81292" w:rsidRPr="00B81292" w:rsidRDefault="00B81292" w:rsidP="00B81292">
      <w:pPr>
        <w:spacing w:after="0"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   Le 10 juin, l’Italie entra en guerre et les populations frontalières du sud-est s’enfuirent à leur tour. Le 14 juin, Paris est déclarée « ville ouverte » afin de la préserver. La défaite avait été officialisée  par l’appel à la cessation des hostilités, le </w:t>
      </w:r>
      <w:r w:rsidRPr="00B81292">
        <w:rPr>
          <w:rFonts w:ascii="Times New Roman" w:eastAsia="Calibri" w:hAnsi="Times New Roman" w:cs="Times New Roman"/>
          <w:bCs/>
          <w:i/>
          <w:sz w:val="24"/>
          <w:szCs w:val="24"/>
          <w:lang w:eastAsia="en-US"/>
        </w:rPr>
        <w:t xml:space="preserve">lundi 17 juin 1940, </w:t>
      </w:r>
      <w:r w:rsidRPr="00B81292">
        <w:rPr>
          <w:rFonts w:ascii="Times New Roman" w:eastAsia="Calibri" w:hAnsi="Times New Roman" w:cs="Times New Roman"/>
          <w:bCs/>
          <w:sz w:val="24"/>
          <w:szCs w:val="24"/>
          <w:lang w:eastAsia="en-US"/>
        </w:rPr>
        <w:t>et la convention d’armistice Franco-italienne le 25 juin. Car pour Pétain, l’urgence était de trouver une solution à l’exode en masse qui formait une ligne mobile coupant la France en deux d’est en ouest (entre Bordeaux et le sud-est de Bourg-Saint-Maurice).</w:t>
      </w:r>
    </w:p>
    <w:p w:rsidR="00B81292" w:rsidRDefault="00B81292" w:rsidP="00B81292">
      <w:pPr>
        <w:spacing w:line="480" w:lineRule="auto"/>
        <w:jc w:val="both"/>
        <w:rPr>
          <w:rFonts w:ascii="Times New Roman" w:eastAsia="Calibri" w:hAnsi="Times New Roman" w:cs="Times New Roman"/>
          <w:bCs/>
          <w:sz w:val="24"/>
          <w:szCs w:val="24"/>
          <w:lang w:eastAsia="en-US"/>
        </w:rPr>
      </w:pPr>
      <w:r w:rsidRPr="00B81292">
        <w:rPr>
          <w:rFonts w:ascii="Times New Roman" w:eastAsia="Calibri" w:hAnsi="Times New Roman" w:cs="Times New Roman"/>
          <w:bCs/>
          <w:sz w:val="24"/>
          <w:szCs w:val="24"/>
          <w:lang w:eastAsia="en-US"/>
        </w:rPr>
        <w:t xml:space="preserve">   L’Histoire de 1871, rapporte que vingt-cinq départements avaient été occupés par les Allemands contre sept en 1914. Mais en 1940</w:t>
      </w:r>
      <w:r w:rsidRPr="00B81292">
        <w:rPr>
          <w:rFonts w:ascii="Times New Roman" w:eastAsia="Calibri" w:hAnsi="Times New Roman" w:cs="Times New Roman"/>
          <w:bCs/>
          <w:sz w:val="24"/>
          <w:vertAlign w:val="superscript"/>
          <w:lang w:eastAsia="en-US"/>
        </w:rPr>
        <w:footnoteReference w:id="92"/>
      </w:r>
      <w:r w:rsidRPr="00B81292">
        <w:rPr>
          <w:rFonts w:ascii="Times New Roman" w:eastAsia="Calibri" w:hAnsi="Times New Roman" w:cs="Times New Roman"/>
          <w:bCs/>
          <w:sz w:val="24"/>
          <w:szCs w:val="24"/>
          <w:lang w:eastAsia="en-US"/>
        </w:rPr>
        <w:t>, l’armistice franco-allemand compartimente la</w:t>
      </w:r>
    </w:p>
    <w:p w:rsidR="00B81292" w:rsidRDefault="00B81292">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B81292" w:rsidRPr="00B81292" w:rsidRDefault="00B81292" w:rsidP="00B81292">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B81292">
        <w:rPr>
          <w:rFonts w:ascii="Times New Roman" w:eastAsia="Times New Roman" w:hAnsi="Times New Roman" w:cs="Times New Roman"/>
          <w:sz w:val="28"/>
          <w:szCs w:val="28"/>
          <w:lang w:eastAsia="en-US"/>
        </w:rPr>
        <w:lastRenderedPageBreak/>
        <w:t>Chapitre II : Aperçu historique</w:t>
      </w:r>
    </w:p>
    <w:p w:rsidR="00B81292" w:rsidRPr="00B81292" w:rsidRDefault="00B81292" w:rsidP="00B81292">
      <w:pPr>
        <w:tabs>
          <w:tab w:val="center" w:pos="4536"/>
          <w:tab w:val="right" w:pos="9072"/>
        </w:tabs>
        <w:spacing w:after="0" w:line="240" w:lineRule="auto"/>
        <w:rPr>
          <w:rFonts w:ascii="Calibri" w:eastAsia="Calibri" w:hAnsi="Calibri" w:cs="Times New Roman"/>
          <w:lang w:eastAsia="en-US"/>
        </w:rPr>
      </w:pPr>
    </w:p>
    <w:p w:rsidR="00B81292" w:rsidRDefault="00B81292" w:rsidP="00B81292">
      <w:pPr>
        <w:spacing w:line="480" w:lineRule="auto"/>
        <w:jc w:val="both"/>
        <w:rPr>
          <w:rFonts w:ascii="Times New Roman" w:hAnsi="Times New Roman"/>
          <w:sz w:val="24"/>
          <w:szCs w:val="24"/>
        </w:rPr>
      </w:pPr>
    </w:p>
    <w:p w:rsidR="002B433F" w:rsidRP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France en cinquante-trois départements (quarante et un dans leur totalité), (voir annexe V) délimités par la </w:t>
      </w:r>
    </w:p>
    <w:p w:rsidR="002B433F" w:rsidRPr="002B433F" w:rsidRDefault="002B433F" w:rsidP="002B433F">
      <w:pPr>
        <w:spacing w:line="480" w:lineRule="auto"/>
        <w:jc w:val="both"/>
        <w:rPr>
          <w:rFonts w:ascii="Times New Roman" w:eastAsia="Calibri" w:hAnsi="Times New Roman" w:cs="Times New Roman"/>
          <w:bCs/>
          <w:sz w:val="24"/>
          <w:szCs w:val="24"/>
          <w:lang w:eastAsia="en-US"/>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ligne de démarcation. Trente quatre seulement sont situés en zone non occupée. Mais à l’intérieur même de la ligne principale, il y ait eu d’autres, pour en faire des zones interdites et des zones rattachées. A l’intérieur, de ces dernières sont distribuées des cartes de vivres de la </w:t>
      </w:r>
      <w:r w:rsidRPr="002B433F">
        <w:rPr>
          <w:rFonts w:ascii="Times New Roman" w:eastAsia="Calibri" w:hAnsi="Times New Roman" w:cs="Times New Roman"/>
          <w:bCs/>
          <w:i/>
          <w:sz w:val="24"/>
          <w:szCs w:val="24"/>
          <w:lang w:eastAsia="en-US"/>
        </w:rPr>
        <w:t>NSV</w:t>
      </w:r>
      <w:r w:rsidRPr="002B433F">
        <w:rPr>
          <w:rFonts w:ascii="Times New Roman" w:eastAsia="Calibri" w:hAnsi="Times New Roman" w:cs="Times New Roman"/>
          <w:bCs/>
          <w:sz w:val="24"/>
          <w:szCs w:val="24"/>
          <w:lang w:eastAsia="en-US"/>
        </w:rPr>
        <w:t xml:space="preserve"> avec en slogan « c’est le maître de l’Allemagne, Adolf Hitler, qui donne cela à vos femmes et à vos enfants. ».</w:t>
      </w:r>
      <w:r w:rsidRPr="002B433F">
        <w:rPr>
          <w:rFonts w:ascii="Times New Roman" w:eastAsia="Calibri" w:hAnsi="Times New Roman" w:cs="Times New Roman"/>
          <w:bCs/>
          <w:sz w:val="24"/>
          <w:vertAlign w:val="superscript"/>
          <w:lang w:eastAsia="en-US"/>
        </w:rPr>
        <w:footnoteReference w:id="93"/>
      </w:r>
      <w:r w:rsidRPr="002B433F">
        <w:rPr>
          <w:rFonts w:ascii="Times New Roman" w:eastAsia="Calibri" w:hAnsi="Times New Roman" w:cs="Times New Roman"/>
          <w:bCs/>
          <w:sz w:val="24"/>
          <w:szCs w:val="24"/>
          <w:lang w:eastAsia="en-US"/>
        </w:rPr>
        <w:t xml:space="preserve"> Ainsi, la migration forcée s’achève dans l’humiliation.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Le 22 juillet, un plan de rapatriement des réfugiés, en zone occupé, est imposé par les Allemands. Pour ce fait, ils devaient être munis d’un ordre de mission et d’une autorisation allemande de passage interzone. A la mi-septembre 1940, des listes de réfugiés non autorisés à franchir la ligne sont envoyées par les occupants aux dirigeants français.</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L’installation des Allemands se fait dans une sorte de vide des rues et de silence inhabituel ce qui favorisa la propagande qui annonçait la paix ! Pour ce fait, des millions de tracts, d’affiches et de brochures étaient distribuées pour convaincre les Français que le choix d’une Europe allemande était le meilleur. Ainsi, la diversité des opinions et des attitudes gagnait les esprits et partageait les occupés. </w:t>
      </w:r>
    </w:p>
    <w:p w:rsid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Entre temps, nombre de Français vaquèrent à leurs activités quotidiennes, en essayant d’être discret, ce qui créa une forme de sociabilité particulière entre l’occupant  et l’occupé. Mais au fil du temps, l’horizon se fermait « peu à peu le monde se rétrécissait. »P.157 </w:t>
      </w:r>
      <w:r w:rsidRPr="002B433F">
        <w:rPr>
          <w:rFonts w:ascii="Times New Roman" w:eastAsia="Calibri" w:hAnsi="Times New Roman" w:cs="Times New Roman"/>
          <w:bCs/>
          <w:i/>
          <w:sz w:val="24"/>
          <w:szCs w:val="24"/>
          <w:lang w:eastAsia="en-US"/>
        </w:rPr>
        <w:t>«  petit à petit,</w:t>
      </w:r>
      <w:r w:rsidRPr="002B433F">
        <w:rPr>
          <w:rFonts w:ascii="Times New Roman" w:eastAsia="Calibri" w:hAnsi="Times New Roman" w:cs="Times New Roman"/>
          <w:bCs/>
          <w:sz w:val="24"/>
          <w:szCs w:val="24"/>
          <w:lang w:eastAsia="en-US"/>
        </w:rPr>
        <w:t xml:space="preserve"> les rues se fermaient,...» P.159 et la pression psychologique sur le quotidien des deux zones se faisait sentir. Car la ligne de démarcation était passée d’une limite militaire à une zone</w:t>
      </w:r>
    </w:p>
    <w:p w:rsidR="002B433F" w:rsidRPr="002B433F" w:rsidRDefault="002B433F" w:rsidP="002B433F">
      <w:pPr>
        <w:pStyle w:val="En-tte"/>
        <w:pBdr>
          <w:bottom w:val="thickThinSmallGap" w:sz="24" w:space="1" w:color="622423"/>
        </w:pBdr>
        <w:jc w:val="center"/>
        <w:rPr>
          <w:rFonts w:ascii="Times New Roman" w:eastAsia="Times New Roman" w:hAnsi="Times New Roman"/>
          <w:sz w:val="28"/>
          <w:szCs w:val="28"/>
        </w:rPr>
      </w:pPr>
      <w:r>
        <w:rPr>
          <w:rFonts w:ascii="Times New Roman" w:hAnsi="Times New Roman"/>
          <w:bCs/>
          <w:sz w:val="24"/>
          <w:szCs w:val="24"/>
        </w:rPr>
        <w:br w:type="page"/>
      </w:r>
      <w:r w:rsidRPr="002B433F">
        <w:rPr>
          <w:rFonts w:ascii="Times New Roman" w:eastAsia="Times New Roman" w:hAnsi="Times New Roman"/>
          <w:sz w:val="28"/>
          <w:szCs w:val="28"/>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spacing w:line="480" w:lineRule="auto"/>
        <w:jc w:val="both"/>
        <w:rPr>
          <w:rFonts w:ascii="Times New Roman" w:hAnsi="Times New Roman"/>
          <w:bCs/>
          <w:sz w:val="24"/>
          <w:szCs w:val="24"/>
        </w:rPr>
      </w:pPr>
      <w:r>
        <w:rPr>
          <w:rFonts w:ascii="Times New Roman" w:hAnsi="Times New Roman"/>
          <w:bCs/>
          <w:sz w:val="24"/>
          <w:szCs w:val="24"/>
        </w:rPr>
        <w:t xml:space="preserve">douanière gardée par la VGAD </w:t>
      </w:r>
      <w:r>
        <w:rPr>
          <w:rStyle w:val="Appelnotedebasdep"/>
          <w:rFonts w:ascii="Times New Roman" w:hAnsi="Times New Roman"/>
          <w:bCs/>
          <w:sz w:val="24"/>
          <w:szCs w:val="24"/>
        </w:rPr>
        <w:footnoteReference w:id="94"/>
      </w:r>
      <w:r>
        <w:rPr>
          <w:rFonts w:ascii="Times New Roman" w:hAnsi="Times New Roman"/>
          <w:bCs/>
          <w:sz w:val="24"/>
          <w:szCs w:val="24"/>
        </w:rPr>
        <w:t xml:space="preserve">(service renforcé de la surveillance des frontières). De ce fait, les treize départements occupés avaient été inondés par des barrières, des guérites, des drapeaux, des soldats, des barbelés, des herses et des panneaux  aux limites de la ligne de démarcation indiquant : </w:t>
      </w:r>
    </w:p>
    <w:p w:rsidR="002B433F" w:rsidRPr="0009727F" w:rsidRDefault="002B433F" w:rsidP="002B433F">
      <w:pPr>
        <w:spacing w:after="0" w:line="480" w:lineRule="auto"/>
        <w:ind w:left="1701"/>
        <w:jc w:val="both"/>
        <w:rPr>
          <w:rFonts w:ascii="Times New Roman" w:hAnsi="Times New Roman"/>
          <w:bCs/>
          <w:i/>
          <w:sz w:val="24"/>
          <w:szCs w:val="24"/>
        </w:rPr>
      </w:pPr>
      <w:r>
        <w:rPr>
          <w:rFonts w:ascii="Times New Roman" w:hAnsi="Times New Roman"/>
          <w:bCs/>
          <w:sz w:val="24"/>
          <w:szCs w:val="24"/>
        </w:rPr>
        <w:t xml:space="preserve">«   </w:t>
      </w:r>
      <w:r w:rsidRPr="0009727F">
        <w:rPr>
          <w:rFonts w:ascii="Times New Roman" w:hAnsi="Times New Roman"/>
          <w:bCs/>
          <w:i/>
          <w:sz w:val="24"/>
          <w:szCs w:val="24"/>
        </w:rPr>
        <w:t>Ligne de démarcation- Défense de traverser</w:t>
      </w:r>
    </w:p>
    <w:p w:rsidR="002B433F" w:rsidRPr="0009727F" w:rsidRDefault="002B433F" w:rsidP="002B433F">
      <w:pPr>
        <w:spacing w:line="480" w:lineRule="auto"/>
        <w:ind w:left="1843"/>
        <w:jc w:val="both"/>
        <w:rPr>
          <w:rFonts w:ascii="Times New Roman" w:hAnsi="Times New Roman"/>
          <w:bCs/>
          <w:i/>
          <w:sz w:val="24"/>
          <w:szCs w:val="24"/>
        </w:rPr>
      </w:pPr>
      <w:r w:rsidRPr="0009727F">
        <w:rPr>
          <w:rFonts w:ascii="Times New Roman" w:hAnsi="Times New Roman"/>
          <w:bCs/>
          <w:i/>
          <w:sz w:val="24"/>
          <w:szCs w:val="24"/>
        </w:rPr>
        <w:t>Ne doit être passé qu’au point de contrôle,</w:t>
      </w:r>
    </w:p>
    <w:p w:rsidR="002B433F" w:rsidRPr="0009727F" w:rsidRDefault="002B433F" w:rsidP="002B433F">
      <w:pPr>
        <w:spacing w:after="0" w:line="480" w:lineRule="auto"/>
        <w:ind w:left="2410"/>
        <w:jc w:val="both"/>
        <w:rPr>
          <w:rFonts w:ascii="Times New Roman" w:hAnsi="Times New Roman"/>
          <w:bCs/>
          <w:i/>
          <w:sz w:val="24"/>
          <w:szCs w:val="24"/>
        </w:rPr>
      </w:pPr>
      <w:r w:rsidRPr="0009727F">
        <w:rPr>
          <w:rFonts w:ascii="Times New Roman" w:hAnsi="Times New Roman"/>
          <w:bCs/>
          <w:i/>
          <w:sz w:val="24"/>
          <w:szCs w:val="24"/>
        </w:rPr>
        <w:t>Autrement on tirera</w:t>
      </w:r>
    </w:p>
    <w:p w:rsidR="002B433F" w:rsidRDefault="002B433F" w:rsidP="002B433F">
      <w:pPr>
        <w:spacing w:line="480" w:lineRule="auto"/>
        <w:ind w:left="1843"/>
        <w:jc w:val="both"/>
        <w:rPr>
          <w:rFonts w:ascii="Times New Roman" w:hAnsi="Times New Roman"/>
          <w:bCs/>
          <w:sz w:val="24"/>
          <w:szCs w:val="24"/>
        </w:rPr>
      </w:pPr>
      <w:r w:rsidRPr="0009727F">
        <w:rPr>
          <w:rFonts w:ascii="Times New Roman" w:hAnsi="Times New Roman"/>
          <w:bCs/>
          <w:i/>
          <w:sz w:val="24"/>
          <w:szCs w:val="24"/>
        </w:rPr>
        <w:t>Danger de mort à cause des mines</w:t>
      </w:r>
      <w:r>
        <w:rPr>
          <w:rFonts w:ascii="Times New Roman" w:hAnsi="Times New Roman"/>
          <w:bCs/>
          <w:sz w:val="24"/>
          <w:szCs w:val="24"/>
        </w:rPr>
        <w:t>  »</w:t>
      </w:r>
    </w:p>
    <w:p w:rsidR="002B433F" w:rsidRPr="003400AC" w:rsidRDefault="002B433F" w:rsidP="002B433F">
      <w:pPr>
        <w:spacing w:after="0" w:line="480" w:lineRule="auto"/>
        <w:jc w:val="both"/>
        <w:rPr>
          <w:rFonts w:ascii="Times New Roman" w:hAnsi="Times New Roman"/>
          <w:bCs/>
          <w:sz w:val="24"/>
          <w:szCs w:val="24"/>
        </w:rPr>
      </w:pPr>
      <w:r>
        <w:rPr>
          <w:rFonts w:ascii="Times New Roman" w:hAnsi="Times New Roman"/>
          <w:bCs/>
          <w:sz w:val="24"/>
          <w:szCs w:val="24"/>
        </w:rPr>
        <w:t xml:space="preserve">   Paradoxalement, la zone dite « non occupée » dépendait elle aussi, des mesures de l’occupant et du régime politique autoritaire français. Ceci étant les français ne pouvaient plus circuler sans laissez-passer, et ce dernier n’était délivré que pour des motifs précis, entre autre,  l’inhumation ou l’exhumation d’un proche parent, la naissance d’un enfant ou d’un petit  enfant, </w:t>
      </w:r>
      <w:r w:rsidRPr="00C74B0B">
        <w:rPr>
          <w:rFonts w:ascii="Times New Roman" w:hAnsi="Times New Roman"/>
          <w:bCs/>
          <w:sz w:val="24"/>
          <w:szCs w:val="24"/>
        </w:rPr>
        <w:t>la maladie</w:t>
      </w:r>
      <w:r>
        <w:rPr>
          <w:rFonts w:ascii="Times New Roman" w:hAnsi="Times New Roman"/>
          <w:bCs/>
          <w:sz w:val="24"/>
          <w:szCs w:val="24"/>
        </w:rPr>
        <w:t xml:space="preserve"> </w:t>
      </w:r>
      <w:r w:rsidRPr="00C74B0B">
        <w:rPr>
          <w:rFonts w:ascii="Times New Roman" w:hAnsi="Times New Roman"/>
          <w:bCs/>
          <w:sz w:val="24"/>
          <w:szCs w:val="24"/>
        </w:rPr>
        <w:t>grave d’un familier,</w:t>
      </w:r>
      <w:r>
        <w:rPr>
          <w:rFonts w:ascii="Times New Roman" w:hAnsi="Times New Roman"/>
          <w:bCs/>
          <w:sz w:val="24"/>
          <w:szCs w:val="24"/>
        </w:rPr>
        <w:t xml:space="preserve"> « </w:t>
      </w:r>
      <w:r w:rsidRPr="003400AC">
        <w:rPr>
          <w:rFonts w:ascii="Times New Roman" w:hAnsi="Times New Roman"/>
          <w:bCs/>
          <w:sz w:val="24"/>
          <w:szCs w:val="24"/>
        </w:rPr>
        <w:t>certificat de rapatriement par la route</w:t>
      </w:r>
      <w:r>
        <w:rPr>
          <w:rFonts w:ascii="Times New Roman" w:hAnsi="Times New Roman"/>
          <w:bCs/>
          <w:sz w:val="24"/>
          <w:szCs w:val="24"/>
        </w:rPr>
        <w:t> » P.146 la visite à un mari ou à un proche grand blessé de captivité,  etc.</w:t>
      </w:r>
      <w:r>
        <w:rPr>
          <w:rStyle w:val="Appelnotedebasdep"/>
          <w:rFonts w:ascii="Times New Roman" w:hAnsi="Times New Roman"/>
          <w:bCs/>
          <w:sz w:val="24"/>
          <w:szCs w:val="24"/>
        </w:rPr>
        <w:footnoteReference w:id="95"/>
      </w:r>
      <w:r>
        <w:rPr>
          <w:rFonts w:ascii="Times New Roman" w:hAnsi="Times New Roman"/>
          <w:bCs/>
          <w:sz w:val="24"/>
          <w:szCs w:val="24"/>
        </w:rPr>
        <w:t xml:space="preserve"> </w:t>
      </w:r>
      <w:r w:rsidRPr="003400AC">
        <w:rPr>
          <w:rFonts w:ascii="Times New Roman" w:hAnsi="Times New Roman"/>
          <w:bCs/>
          <w:sz w:val="24"/>
          <w:szCs w:val="24"/>
        </w:rPr>
        <w:t>« le document officiel, signé du chef de service  de la Circulation sur le territoire occupé, faisait état d’une personne âgée et malade, et n’était valable que pour la journée du 14 décembre. »P.173</w:t>
      </w:r>
    </w:p>
    <w:p w:rsidR="002B433F" w:rsidRDefault="002B433F" w:rsidP="002B433F">
      <w:pPr>
        <w:spacing w:after="0" w:line="480" w:lineRule="auto"/>
        <w:jc w:val="both"/>
        <w:rPr>
          <w:rFonts w:ascii="Times New Roman" w:hAnsi="Times New Roman"/>
          <w:bCs/>
          <w:sz w:val="24"/>
          <w:szCs w:val="24"/>
        </w:rPr>
      </w:pPr>
      <w:r>
        <w:rPr>
          <w:rFonts w:ascii="Times New Roman" w:hAnsi="Times New Roman"/>
          <w:bCs/>
          <w:sz w:val="24"/>
          <w:szCs w:val="24"/>
        </w:rPr>
        <w:t xml:space="preserve">   L’occupé était soumis à un quasi- cloisonnement jusqu’à la rencontre d’Hitler-Pétain, à Montoire le 24 octobre 1940</w:t>
      </w:r>
      <w:r>
        <w:rPr>
          <w:rStyle w:val="Appelnotedebasdep"/>
          <w:rFonts w:ascii="Times New Roman" w:hAnsi="Times New Roman"/>
          <w:bCs/>
          <w:sz w:val="24"/>
          <w:szCs w:val="24"/>
        </w:rPr>
        <w:footnoteReference w:id="96"/>
      </w:r>
      <w:r>
        <w:rPr>
          <w:rFonts w:ascii="Times New Roman" w:hAnsi="Times New Roman"/>
          <w:bCs/>
          <w:sz w:val="24"/>
          <w:szCs w:val="24"/>
        </w:rPr>
        <w:t xml:space="preserve"> où la France s’était engagée dans la collaboration d’Etat qui lui coûta des concessions beaucoup plus importantes, comme le contrôle de la Banque de France et la surveillance des autres banques dont le transfert des fonds était bloqué.  </w:t>
      </w:r>
    </w:p>
    <w:p w:rsidR="002B433F" w:rsidRDefault="002B433F" w:rsidP="002B433F">
      <w:pPr>
        <w:spacing w:line="480" w:lineRule="auto"/>
        <w:rPr>
          <w:rFonts w:ascii="Times New Roman" w:hAnsi="Times New Roman"/>
          <w:bCs/>
          <w:sz w:val="24"/>
          <w:szCs w:val="24"/>
        </w:rPr>
      </w:pPr>
      <w:r>
        <w:rPr>
          <w:rFonts w:ascii="Times New Roman" w:hAnsi="Times New Roman"/>
          <w:bCs/>
          <w:sz w:val="24"/>
          <w:szCs w:val="24"/>
        </w:rPr>
        <w:t xml:space="preserve">   A la difficulté de circuler, s’ajoute l’interdiction ou la limitation des échanges épistolaires ; du moins jusqu’au 29 septembre 1940, où des « cartes interzones » sont mis à la disposition</w:t>
      </w:r>
    </w:p>
    <w:p w:rsidR="002B433F" w:rsidRPr="002B433F" w:rsidRDefault="002B433F" w:rsidP="002B433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B433F">
        <w:rPr>
          <w:rFonts w:ascii="Times New Roman" w:eastAsia="Times New Roman" w:hAnsi="Times New Roman" w:cs="Times New Roman"/>
          <w:sz w:val="28"/>
          <w:szCs w:val="28"/>
          <w:lang w:eastAsia="en-US"/>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rPr>
          <w:rFonts w:ascii="Times New Roman" w:hAnsi="Times New Roman"/>
          <w:bCs/>
          <w:sz w:val="24"/>
          <w:szCs w:val="24"/>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des habitants (sauf ceux des zones annexées) pour des correspondances privées mais avec des mentions pré-imprimées : « en bonne santé », « prisonnier », « sans nouvelles », « la famille va bien », « a été reçu », « affectueuses pensées. Baisers », ou « je ne suis pas tué ».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 Une seule fois, Ethel a reçu une lettre….une enveloppe renforcée, fermée par une ficelle sans nom de destinataire….Ethel a lu la lettre deux fois,…elle l’a mise dans le poêle, où elle s’est enflammée d’une seule flamme claire, un peu bleue. » (R.D.L.F.P.173)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Dans le Sud-Est il fallait vivre avec l’occupant italien qui n’était pas soucieux de laisser une image positive comme les Allemands. En effet, il s’était vite installé dans les administrations et avait expulsé les fonctionnaires. Il avait  facilement pillé, endommageait, et détruits  les maisons des niçois et des mentonnais. Entre 1940 et 1942, les italiens avaient multiplié les interdictions, rédigeait les budgets municipaux en lires, ainsi que les noms de rue et les enseignes publicitaires en italien, pratiquait la censure postale. Les tensions étaient permanentes entre les  bergers et les troupes italiennes. En novembre 1942, les Italiens avaient occupé sept départements sans la Corse.  Les tortionnaires de l’Ovra et la police fasciste  avaient laissé de très mauvais souvenirs à Embrun et à Nice « les torturés criaient la nuit avec des voix de chiens, leurs ongles arrachés, les femmes violées, un bâton enfoncé dans leur fondement, leurs bouts de sein brûlés au chalumeau. »(R.D.L.F.P.170) </w:t>
      </w:r>
    </w:p>
    <w:p w:rsid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La vie quotidienne des femmes de 1939 à 1945 a été épouvantable. En effet, la captivité de l’époux et des fils ou leur mobilisation au front avaient forcé des millions de françaises à   endosser les tâches et les responsabilités du mari absent « Justine avait pris les choses en main. A la gare, elle s’affairait, multipliait les recommandations, les pourboires aux portefaix</w:t>
      </w:r>
      <w:r w:rsidRPr="002B433F">
        <w:rPr>
          <w:rFonts w:ascii="Times New Roman" w:eastAsia="Calibri" w:hAnsi="Times New Roman" w:cs="Times New Roman"/>
          <w:bCs/>
          <w:i/>
          <w:sz w:val="24"/>
          <w:szCs w:val="24"/>
          <w:lang w:eastAsia="en-US"/>
        </w:rPr>
        <w:t> »</w:t>
      </w:r>
      <w:r w:rsidRPr="002B433F">
        <w:rPr>
          <w:rFonts w:ascii="Times New Roman" w:eastAsia="Calibri" w:hAnsi="Times New Roman" w:cs="Times New Roman"/>
          <w:bCs/>
          <w:sz w:val="24"/>
          <w:szCs w:val="24"/>
          <w:lang w:eastAsia="en-US"/>
        </w:rPr>
        <w:t>(R.D.L.F.P.144) elles avaient subi les combats, la débâcle, les humiliations de l’exode et l’incertitude du retour du mari et des fils. Ces derniers étaient détenus dans les camps d’internement dont les conditions de vie ressemblaient à celles des camps de concentration, tel celui de Rawa-Ruska en Pologne. En fait, ils constituaient une main</w:t>
      </w:r>
    </w:p>
    <w:p w:rsidR="002B433F" w:rsidRPr="002B433F" w:rsidRDefault="002B433F" w:rsidP="002B433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B433F">
        <w:rPr>
          <w:rFonts w:ascii="Times New Roman" w:eastAsia="Times New Roman" w:hAnsi="Times New Roman" w:cs="Times New Roman"/>
          <w:sz w:val="28"/>
          <w:szCs w:val="28"/>
          <w:lang w:eastAsia="en-US"/>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rPr>
          <w:rFonts w:ascii="Times New Roman" w:eastAsia="Calibri" w:hAnsi="Times New Roman" w:cs="Times New Roman"/>
          <w:bCs/>
          <w:sz w:val="24"/>
          <w:szCs w:val="24"/>
          <w:lang w:eastAsia="en-US"/>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d’œuvre importante pour le Reich et un excellent moyen de chantage pour faire monter les frais de l’occupation.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Avec l’occupation et les années de restriction, la solitude et la peur de manquer de nourriture tout au long de la guerre ainsi que la tristesse et l‘angoisse permanentes  épuisaient  ces femmes et les marquaient à vie.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 Ethel se demandait si elle ressentirait quelque chose, juste un peu de souvenir du dernier été au Pouldu,…elle essayait de rejoindre le temps passé,…Laurent était raide, distant,…Le silence avait construit un mur invisible entre eux. »(D.D.L.F.P.181)</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Mais plus l’occupation durcissait les conditions du ravitaillement, plus la population mourait de faim, et souffrait d’un sous développement physique. Le 15 mars 1941, Jean Galtier-Boissière</w:t>
      </w:r>
      <w:r w:rsidRPr="002B433F">
        <w:rPr>
          <w:rFonts w:ascii="Times New Roman" w:eastAsia="Calibri" w:hAnsi="Times New Roman" w:cs="Times New Roman"/>
          <w:bCs/>
          <w:sz w:val="24"/>
          <w:vertAlign w:val="superscript"/>
          <w:lang w:eastAsia="en-US"/>
        </w:rPr>
        <w:footnoteReference w:id="97"/>
      </w:r>
      <w:r w:rsidRPr="002B433F">
        <w:rPr>
          <w:rFonts w:ascii="Times New Roman" w:eastAsia="Calibri" w:hAnsi="Times New Roman" w:cs="Times New Roman"/>
          <w:bCs/>
          <w:sz w:val="24"/>
          <w:szCs w:val="24"/>
          <w:lang w:eastAsia="en-US"/>
        </w:rPr>
        <w:t xml:space="preserve">fait des constats suivants : « pour Paris, beaucoup de gens ont maigri de 5,10 et même 20 kilogrammes. »  Le rationnement et le manque de nourriture avaient eu des conséquences physiques rapides sur les habitants.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 Silencieux comme des chiens, courbés en deux, enveloppés dans des fichus, des couvertures, leurs mains noires, aux ongles trop longs, leurs visages aigus, nez crochus, menton en galoche. » « Une vieille femme percluse, amaigrie,…» (R.D.L.F.P. 155)</w:t>
      </w:r>
    </w:p>
    <w:p w:rsid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Des études sur le poids des enfants et des travailleurs, en 1943 montraient que les milieux ouvriers étaient les plus atteints par les déficiences et que le poids des enfants était inférieur aux courbes statistiques. Ainsi, 142 communications sur les questions alimentaires avaient  été présentées  à l’académie de médecine, entre septembre 1940 et juin 1944. Et qu’en avril 1943</w:t>
      </w:r>
      <w:r w:rsidRPr="002B433F">
        <w:rPr>
          <w:rFonts w:ascii="Times New Roman" w:eastAsia="Calibri" w:hAnsi="Times New Roman" w:cs="Times New Roman"/>
          <w:bCs/>
          <w:sz w:val="24"/>
          <w:vertAlign w:val="superscript"/>
          <w:lang w:eastAsia="en-US"/>
        </w:rPr>
        <w:footnoteReference w:id="98"/>
      </w:r>
      <w:r w:rsidRPr="002B433F">
        <w:rPr>
          <w:rFonts w:ascii="Times New Roman" w:eastAsia="Calibri" w:hAnsi="Times New Roman" w:cs="Times New Roman"/>
          <w:bCs/>
          <w:sz w:val="24"/>
          <w:szCs w:val="24"/>
          <w:lang w:eastAsia="en-US"/>
        </w:rPr>
        <w:t>, une résolution unanime demandait que le gouvernement prenne ses responsabilités pour nourrir suffisamment la population et dénonçait les réquisitions allemandes. La gale, la tuberculose « un œdème avait envahi ses poumons, il s’était étouffé. »(R.D.L.F.P.195)</w:t>
      </w:r>
    </w:p>
    <w:p w:rsidR="002B433F" w:rsidRPr="002B433F" w:rsidRDefault="002B433F" w:rsidP="002B433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B433F">
        <w:rPr>
          <w:rFonts w:ascii="Times New Roman" w:eastAsia="Times New Roman" w:hAnsi="Times New Roman" w:cs="Times New Roman"/>
          <w:sz w:val="28"/>
          <w:szCs w:val="28"/>
          <w:lang w:eastAsia="en-US"/>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rPr>
          <w:rFonts w:ascii="Times New Roman" w:eastAsia="Calibri" w:hAnsi="Times New Roman" w:cs="Times New Roman"/>
          <w:bCs/>
          <w:sz w:val="24"/>
          <w:szCs w:val="24"/>
          <w:lang w:eastAsia="en-US"/>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s’étaient facilement propagées, le rachitisme touchait les enfants scolarisés, et les taux de mortalité étaient plus importants dans les départements industriels où la mortalité était supérieure à la moyenne nationale.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Aussi, dans le cadre de la collaboration économique le régime de Vichy était contraint de fournir au Reich des produits finis et semi-finis. Par exemple, près de six millions de paires de chaussures à semelles de cuir étaient livrées à l’Allemagne, alors que la production nationale ne suffisait pas à chausser les français. Au fil des années d’occupation, il était de plus en plus difficile de se chausser. Les semelles en bois étaient en  vogue (galoches et les sabots) entre 1942 et 1943. « Ethel s’est habillée comme elles, … Pèlerine, jupe de laine rêche, foulard noir galoches.»(R.D.L.F.P.174)   </w:t>
      </w:r>
    </w:p>
    <w:p w:rsidR="002B433F" w:rsidRP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Tout comme, lors de la Première Guerre  mondiale, où la science avait dû faire des prouesses pour trouver des solutions de remplacement. Durant la deuxième guerre mondiale et  dans le domaine alimentaire, les chimistes avaient inventé des produits de synthèse comme les ersatz de sucre. Aussi, en 1940, le régime de Vichy autorisa la fabrication de sucre de raisin, qui avait été commercialisé au printemps 1941. Le savon avait été remplacé par des formules anciennes à base de cendre. Les hommes fumaient du trèfle séché, le thé était  fabriqué à base de feuilles de noyer, de châtaignier, de frêne, de ronce, de cassis, de bouleau ou encore d’écorce d’orange amère. </w:t>
      </w:r>
    </w:p>
    <w:p w:rsid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«…elle inventait des décoctions, à fleur d’oranger, d’acacia, avec des pétales de rose ou de chrysanthème, des peaux de pomme et des cônes d’eucalyptus, du thym, des feuilles de faux poivrier, de la menthe,…c’était âcre imbuvable. » P.164, « Maude avait préparé un goûter à sa façon, thé de va-savoir-quoi… » (R.D.L.F. P.168)</w:t>
      </w:r>
    </w:p>
    <w:p w:rsidR="002B433F" w:rsidRDefault="002B433F">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2B433F" w:rsidRPr="002B433F" w:rsidRDefault="002B433F" w:rsidP="002B433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B433F">
        <w:rPr>
          <w:rFonts w:ascii="Times New Roman" w:eastAsia="Times New Roman" w:hAnsi="Times New Roman" w:cs="Times New Roman"/>
          <w:sz w:val="28"/>
          <w:szCs w:val="28"/>
          <w:lang w:eastAsia="en-US"/>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spacing w:line="480" w:lineRule="auto"/>
        <w:jc w:val="both"/>
        <w:rPr>
          <w:rFonts w:ascii="Times New Roman" w:eastAsia="Calibri" w:hAnsi="Times New Roman" w:cs="Times New Roman"/>
          <w:bCs/>
          <w:sz w:val="24"/>
          <w:szCs w:val="24"/>
          <w:lang w:eastAsia="en-US"/>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La France avait été pillée de toutes ses richesses, en raison du montant démesuré des frais de l’occupation. Elle manquait de tout et pour ce fait, la moindre parcelle de nourriture ou de matière première était récupérée  «  Ethel achetait des feuilles de navet, des feuilles de courge, des feuilles de chou. »  « …puisqu’on savait déjà, avec un reste de safran et de poudre de cari, accommoder la nourriture des lapins. » (R.D.L.F.P.154) </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Le phénomène des files d’attente faisait également partie du quotidien français. En fait, il date de la Révolution française et s’était étendu tout au long du XIX </w:t>
      </w:r>
      <w:r w:rsidRPr="002B433F">
        <w:rPr>
          <w:rFonts w:ascii="Times New Roman" w:eastAsia="Calibri" w:hAnsi="Times New Roman" w:cs="Times New Roman"/>
          <w:bCs/>
          <w:sz w:val="24"/>
          <w:szCs w:val="24"/>
          <w:vertAlign w:val="superscript"/>
          <w:lang w:eastAsia="en-US"/>
        </w:rPr>
        <w:t xml:space="preserve">e </w:t>
      </w:r>
      <w:r w:rsidRPr="002B433F">
        <w:rPr>
          <w:rFonts w:ascii="Times New Roman" w:eastAsia="Calibri" w:hAnsi="Times New Roman" w:cs="Times New Roman"/>
          <w:bCs/>
          <w:sz w:val="24"/>
          <w:szCs w:val="24"/>
          <w:lang w:eastAsia="en-US"/>
        </w:rPr>
        <w:t>siècle avec les soupes populaires, puis durant la Grande Guerre. A ce propos, Ginette Thomas rapporte son horreur profonde des files d’attente « pour tout et partout »</w:t>
      </w:r>
      <w:r w:rsidRPr="002B433F">
        <w:rPr>
          <w:rFonts w:ascii="Times New Roman" w:eastAsia="Calibri" w:hAnsi="Times New Roman" w:cs="Times New Roman"/>
          <w:bCs/>
          <w:sz w:val="24"/>
          <w:vertAlign w:val="superscript"/>
          <w:lang w:eastAsia="en-US"/>
        </w:rPr>
        <w:footnoteReference w:id="99"/>
      </w:r>
      <w:r w:rsidRPr="002B433F">
        <w:rPr>
          <w:rFonts w:ascii="Times New Roman" w:eastAsia="Calibri" w:hAnsi="Times New Roman" w:cs="Times New Roman"/>
          <w:bCs/>
          <w:sz w:val="24"/>
          <w:szCs w:val="24"/>
          <w:lang w:eastAsia="en-US"/>
        </w:rPr>
        <w:t>. Jean Galtier-Boissière, témoigne des « queues interminables qui piétinent dans la boue »</w:t>
      </w:r>
      <w:r w:rsidRPr="002B433F">
        <w:rPr>
          <w:rFonts w:ascii="Times New Roman" w:eastAsia="Calibri" w:hAnsi="Times New Roman" w:cs="Times New Roman"/>
          <w:bCs/>
          <w:sz w:val="24"/>
          <w:vertAlign w:val="superscript"/>
          <w:lang w:eastAsia="en-US"/>
        </w:rPr>
        <w:footnoteReference w:id="100"/>
      </w:r>
      <w:r w:rsidRPr="002B433F">
        <w:rPr>
          <w:rFonts w:ascii="Times New Roman" w:eastAsia="Calibri" w:hAnsi="Times New Roman" w:cs="Times New Roman"/>
          <w:bCs/>
          <w:sz w:val="24"/>
          <w:szCs w:val="24"/>
          <w:lang w:eastAsia="en-US"/>
        </w:rPr>
        <w:t xml:space="preserve"> rue Mouffetard à Paris. D’ailleurs, elles ont fait l’objet de nombreux articles de presse et d’innombrables récits et autobiographies de plusieurs contemporains. Mais c’est le petit ouvrage de Paul Achard, intitulé « </w:t>
      </w:r>
      <w:r w:rsidRPr="002B433F">
        <w:rPr>
          <w:rFonts w:ascii="Times New Roman" w:eastAsia="Calibri" w:hAnsi="Times New Roman" w:cs="Times New Roman"/>
          <w:bCs/>
          <w:i/>
          <w:sz w:val="24"/>
          <w:szCs w:val="24"/>
          <w:lang w:eastAsia="en-US"/>
        </w:rPr>
        <w:t xml:space="preserve">la queue » </w:t>
      </w:r>
      <w:r w:rsidRPr="002B433F">
        <w:rPr>
          <w:rFonts w:ascii="Times New Roman" w:eastAsia="Calibri" w:hAnsi="Times New Roman" w:cs="Times New Roman"/>
          <w:bCs/>
          <w:sz w:val="24"/>
          <w:szCs w:val="24"/>
          <w:lang w:eastAsia="en-US"/>
        </w:rPr>
        <w:t xml:space="preserve">publié en 1945, qui avait su interpréter fidèlement  les rituels et les codes de ce nouveau lieu de sociabilité. Il y rapportait tout ce qui s’y disait et tout ce qui s’y pensait. Il était même accompagné de quelque dessin. </w:t>
      </w:r>
    </w:p>
    <w:p w:rsid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L’Histoire de France de 1939- 1945 est également celle du sort des juifs et des enfants juifs. Sur ce sujet le régime de Vichy avait été sans pitié. Il avait largement contribué à l’exclusion et à la persécution, puis à la déportation des parents, ainsi qu’à celle des enfants. La loi du 19 octobre 1942 comptait 18.000</w:t>
      </w:r>
      <w:r w:rsidRPr="002B433F">
        <w:rPr>
          <w:rFonts w:ascii="Times New Roman" w:eastAsia="Calibri" w:hAnsi="Times New Roman" w:cs="Times New Roman"/>
          <w:bCs/>
          <w:sz w:val="24"/>
          <w:vertAlign w:val="superscript"/>
          <w:lang w:eastAsia="en-US"/>
        </w:rPr>
        <w:footnoteReference w:id="101"/>
      </w:r>
      <w:r w:rsidRPr="002B433F">
        <w:rPr>
          <w:rFonts w:ascii="Times New Roman" w:eastAsia="Calibri" w:hAnsi="Times New Roman" w:cs="Times New Roman"/>
          <w:bCs/>
          <w:sz w:val="24"/>
          <w:szCs w:val="24"/>
          <w:lang w:eastAsia="en-US"/>
        </w:rPr>
        <w:t xml:space="preserve"> enfants juifs français exclus du système scolaire. Une politique qui avait pris de l’ampleur avec le retour de Pierre Laval au pouvoir et l’arrivée des SS en France au printemps 1942. En cette période précise, les lois antisémites étaient</w:t>
      </w:r>
    </w:p>
    <w:p w:rsidR="002B433F" w:rsidRPr="002B433F" w:rsidRDefault="002B433F" w:rsidP="002B433F">
      <w:pPr>
        <w:pStyle w:val="En-tte"/>
        <w:pBdr>
          <w:bottom w:val="thickThinSmallGap" w:sz="24" w:space="1" w:color="622423"/>
        </w:pBdr>
        <w:jc w:val="center"/>
        <w:rPr>
          <w:rFonts w:ascii="Times New Roman" w:eastAsia="Times New Roman" w:hAnsi="Times New Roman"/>
          <w:sz w:val="28"/>
          <w:szCs w:val="28"/>
        </w:rPr>
      </w:pPr>
      <w:r>
        <w:rPr>
          <w:rFonts w:ascii="Times New Roman" w:hAnsi="Times New Roman"/>
          <w:bCs/>
          <w:sz w:val="24"/>
          <w:szCs w:val="24"/>
        </w:rPr>
        <w:br w:type="page"/>
      </w:r>
      <w:r w:rsidRPr="002B433F">
        <w:rPr>
          <w:rFonts w:ascii="Times New Roman" w:eastAsia="Times New Roman" w:hAnsi="Times New Roman"/>
          <w:sz w:val="28"/>
          <w:szCs w:val="28"/>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rPr>
          <w:rFonts w:ascii="Times New Roman" w:eastAsia="Calibri" w:hAnsi="Times New Roman" w:cs="Times New Roman"/>
          <w:bCs/>
          <w:sz w:val="24"/>
          <w:szCs w:val="24"/>
          <w:lang w:eastAsia="en-US"/>
        </w:rPr>
      </w:pP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promulguées par les Allemands et par Vichy. Comme par exemple, l’obligation du port de l’étoile jaune dès le 29 mai 1942, par tous les juifs de la zone occupée, à partir de l’âge de six ans. Une marque qui les désignait comme des « ennemis » « l’honnête Français exploité par le banquier juif cosmopolite. » (R.D.L.F.P.78)</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L’ordonnance du 29 juillet 1942, interdisait la fréquentation et l’entrée des juifs dans la majorité des lieux publics (cinémas, bibliothèques) même les enfants n’avait été pas épargnés        « les décrets publiés par le journal officiel : article premier, est regardé comme juif…..Article deux : l’accès et l’exercice des fonctions publiques et mandats sont interdits aux juifs… », « La loi du 2 juin prescrivant le recensement des juifs. », « La loi du 17 juin : il est interdit à toute personne de race juive d’exercer les professions suivantes… » (R.D.L.F. P.139)</w:t>
      </w:r>
    </w:p>
    <w:p w:rsidR="002B433F" w:rsidRP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Mais le plus tragique fut les rafles. La première avait eu lieu le 14 mai 1941, puis celle du Vélodrome d’Hiver en juillet 1942. En effet le 16 et le 17 juillet, 4500 policiers et quelques dizaines de gendarmes avaient été mobilisés pour traquer des milliers de familles à quatre heures du matin. Les statistiques parlent de 13 152 juifs raflés, dont 5919 femmes, 3118 hommes et 4115 enfants</w:t>
      </w:r>
      <w:r w:rsidRPr="002B433F">
        <w:rPr>
          <w:rFonts w:ascii="Times New Roman" w:eastAsia="Calibri" w:hAnsi="Times New Roman" w:cs="Times New Roman"/>
          <w:bCs/>
          <w:sz w:val="24"/>
          <w:vertAlign w:val="superscript"/>
          <w:lang w:eastAsia="en-US"/>
        </w:rPr>
        <w:footnoteReference w:id="102"/>
      </w:r>
      <w:r w:rsidRPr="002B433F">
        <w:rPr>
          <w:rFonts w:ascii="Times New Roman" w:eastAsia="Calibri" w:hAnsi="Times New Roman" w:cs="Times New Roman"/>
          <w:bCs/>
          <w:sz w:val="24"/>
          <w:szCs w:val="24"/>
          <w:lang w:eastAsia="en-US"/>
        </w:rPr>
        <w:t>. Mais ce qui avait marqué les esprits des témoins c’était l’indifférence des religieux «le constat amer de l’indifférence du prêtre de la paroisse ; pour les religieux, ce sont les juifs qui ont crucifié  le Christ. A quoi bon les secourir? »</w:t>
      </w:r>
      <w:r w:rsidRPr="002B433F">
        <w:rPr>
          <w:rFonts w:ascii="Times New Roman" w:eastAsia="Calibri" w:hAnsi="Times New Roman" w:cs="Times New Roman"/>
          <w:bCs/>
          <w:sz w:val="24"/>
          <w:vertAlign w:val="superscript"/>
          <w:lang w:eastAsia="en-US"/>
        </w:rPr>
        <w:footnoteReference w:id="103"/>
      </w:r>
      <w:r w:rsidRPr="002B433F">
        <w:rPr>
          <w:rFonts w:ascii="Times New Roman" w:eastAsia="Calibri" w:hAnsi="Times New Roman" w:cs="Times New Roman"/>
          <w:bCs/>
          <w:sz w:val="24"/>
          <w:szCs w:val="24"/>
          <w:lang w:eastAsia="en-US"/>
        </w:rPr>
        <w:t xml:space="preserve"> « La Kabbale, le règne de Satan » (Gougenot des Mousseaux, approuvé par S.S Pie IX » (R.D.L.F.P. 78)</w:t>
      </w:r>
    </w:p>
    <w:p w:rsidR="002B433F" w:rsidRDefault="002B433F" w:rsidP="002B433F">
      <w:pPr>
        <w:spacing w:after="0"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 xml:space="preserve">   Les Allemands en accord avec les autorités de Vichy souhaitaient à tout prix remplir des wagons et assurer des convois réguliers vers les camps nazis. Mais, comme il n’y avait pas assez d’adultes, les enfants devaient compléter les listes officielles de juifs à déporter. Dans la</w:t>
      </w:r>
    </w:p>
    <w:p w:rsidR="002B433F" w:rsidRDefault="002B433F">
      <w:pPr>
        <w:rPr>
          <w:rFonts w:ascii="Times New Roman" w:eastAsia="Calibri" w:hAnsi="Times New Roman" w:cs="Times New Roman"/>
          <w:bCs/>
          <w:sz w:val="24"/>
          <w:szCs w:val="24"/>
          <w:lang w:eastAsia="en-US"/>
        </w:rPr>
      </w:pPr>
      <w:r>
        <w:rPr>
          <w:rFonts w:ascii="Times New Roman" w:eastAsia="Calibri" w:hAnsi="Times New Roman" w:cs="Times New Roman"/>
          <w:bCs/>
          <w:sz w:val="24"/>
          <w:szCs w:val="24"/>
          <w:lang w:eastAsia="en-US"/>
        </w:rPr>
        <w:br w:type="page"/>
      </w:r>
    </w:p>
    <w:p w:rsidR="002B433F" w:rsidRPr="002B433F" w:rsidRDefault="002B433F" w:rsidP="002B433F">
      <w:pPr>
        <w:pBdr>
          <w:bottom w:val="thickThinSmallGap" w:sz="24" w:space="1" w:color="622423"/>
        </w:pBdr>
        <w:tabs>
          <w:tab w:val="center" w:pos="4536"/>
          <w:tab w:val="right" w:pos="9072"/>
        </w:tabs>
        <w:spacing w:after="0" w:line="240" w:lineRule="auto"/>
        <w:jc w:val="center"/>
        <w:rPr>
          <w:rFonts w:ascii="Times New Roman" w:eastAsia="Times New Roman" w:hAnsi="Times New Roman" w:cs="Times New Roman"/>
          <w:sz w:val="28"/>
          <w:szCs w:val="28"/>
          <w:lang w:eastAsia="en-US"/>
        </w:rPr>
      </w:pPr>
      <w:r w:rsidRPr="002B433F">
        <w:rPr>
          <w:rFonts w:ascii="Times New Roman" w:eastAsia="Times New Roman" w:hAnsi="Times New Roman" w:cs="Times New Roman"/>
          <w:sz w:val="28"/>
          <w:szCs w:val="28"/>
          <w:lang w:eastAsia="en-US"/>
        </w:rPr>
        <w:lastRenderedPageBreak/>
        <w:t>Chapitre II : Aperçu historique</w:t>
      </w:r>
    </w:p>
    <w:p w:rsidR="002B433F" w:rsidRPr="002B433F" w:rsidRDefault="002B433F" w:rsidP="002B433F">
      <w:pPr>
        <w:tabs>
          <w:tab w:val="center" w:pos="4536"/>
          <w:tab w:val="right" w:pos="9072"/>
        </w:tabs>
        <w:spacing w:after="0" w:line="240" w:lineRule="auto"/>
        <w:rPr>
          <w:rFonts w:ascii="Calibri" w:eastAsia="Calibri" w:hAnsi="Calibri" w:cs="Times New Roman"/>
          <w:lang w:eastAsia="en-US"/>
        </w:rPr>
      </w:pPr>
    </w:p>
    <w:p w:rsidR="002B433F" w:rsidRDefault="002B433F" w:rsidP="002B433F">
      <w:pPr>
        <w:spacing w:after="0" w:line="480" w:lineRule="auto"/>
        <w:jc w:val="both"/>
        <w:rPr>
          <w:rFonts w:ascii="Times New Roman" w:eastAsia="Calibri" w:hAnsi="Times New Roman" w:cs="Times New Roman"/>
          <w:bCs/>
          <w:sz w:val="24"/>
          <w:szCs w:val="24"/>
          <w:lang w:eastAsia="en-US"/>
        </w:rPr>
      </w:pPr>
    </w:p>
    <w:p w:rsidR="002B433F" w:rsidRPr="002B433F" w:rsidRDefault="002B433F" w:rsidP="002B433F">
      <w:pPr>
        <w:spacing w:line="480" w:lineRule="auto"/>
        <w:jc w:val="both"/>
        <w:rPr>
          <w:rFonts w:ascii="Times New Roman" w:eastAsia="Calibri" w:hAnsi="Times New Roman" w:cs="Times New Roman"/>
          <w:bCs/>
          <w:sz w:val="24"/>
          <w:szCs w:val="24"/>
          <w:lang w:eastAsia="en-US"/>
        </w:rPr>
      </w:pPr>
      <w:r w:rsidRPr="002B433F">
        <w:rPr>
          <w:rFonts w:ascii="Times New Roman" w:eastAsia="Calibri" w:hAnsi="Times New Roman" w:cs="Times New Roman"/>
          <w:bCs/>
          <w:sz w:val="24"/>
          <w:szCs w:val="24"/>
          <w:lang w:eastAsia="en-US"/>
        </w:rPr>
        <w:t>zone non occupée, des enfants de nationalité espagnole et Tzigane</w:t>
      </w:r>
      <w:r w:rsidRPr="002B433F">
        <w:rPr>
          <w:rFonts w:ascii="Times New Roman" w:eastAsia="Calibri" w:hAnsi="Times New Roman" w:cs="Times New Roman"/>
          <w:bCs/>
          <w:sz w:val="24"/>
          <w:vertAlign w:val="superscript"/>
          <w:lang w:eastAsia="en-US"/>
        </w:rPr>
        <w:footnoteReference w:id="104"/>
      </w:r>
      <w:r w:rsidRPr="002B433F">
        <w:rPr>
          <w:rFonts w:ascii="Times New Roman" w:eastAsia="Calibri" w:hAnsi="Times New Roman" w:cs="Times New Roman"/>
          <w:bCs/>
          <w:sz w:val="24"/>
          <w:szCs w:val="24"/>
          <w:lang w:eastAsia="en-US"/>
        </w:rPr>
        <w:t xml:space="preserve"> avaient eux aussi été raflés avec les juifs. A mesure que la guerre se prolongeait, une forte tension quotidienne allait en crescendo en suscitant  le désarroi et  un fort choc psychologique.  </w:t>
      </w:r>
    </w:p>
    <w:p w:rsidR="002B433F" w:rsidRPr="002B433F" w:rsidRDefault="002B433F" w:rsidP="002B433F">
      <w:pPr>
        <w:spacing w:after="0" w:line="480" w:lineRule="auto"/>
        <w:jc w:val="both"/>
        <w:rPr>
          <w:rFonts w:ascii="Times New Roman" w:eastAsia="Calibri" w:hAnsi="Times New Roman" w:cs="Times New Roman"/>
          <w:sz w:val="24"/>
          <w:szCs w:val="24"/>
          <w:lang w:eastAsia="en-US"/>
        </w:rPr>
      </w:pPr>
      <w:r w:rsidRPr="002B433F">
        <w:rPr>
          <w:rFonts w:ascii="Times New Roman" w:eastAsia="Calibri" w:hAnsi="Times New Roman" w:cs="Times New Roman"/>
          <w:b/>
          <w:sz w:val="24"/>
          <w:szCs w:val="24"/>
          <w:lang w:eastAsia="en-US"/>
        </w:rPr>
        <w:t>Conclusion</w:t>
      </w:r>
      <w:r w:rsidRPr="002B433F">
        <w:rPr>
          <w:rFonts w:ascii="Times New Roman" w:eastAsia="Calibri" w:hAnsi="Times New Roman" w:cs="Times New Roman"/>
          <w:sz w:val="24"/>
          <w:szCs w:val="24"/>
          <w:lang w:eastAsia="en-US"/>
        </w:rPr>
        <w:t> </w:t>
      </w:r>
    </w:p>
    <w:p w:rsidR="002B433F" w:rsidRPr="002B433F" w:rsidRDefault="002B433F" w:rsidP="002B433F">
      <w:pPr>
        <w:spacing w:after="0" w:line="480" w:lineRule="auto"/>
        <w:jc w:val="both"/>
        <w:rPr>
          <w:rFonts w:ascii="Times New Roman" w:eastAsia="Calibri" w:hAnsi="Times New Roman" w:cs="Times New Roman"/>
          <w:sz w:val="24"/>
          <w:szCs w:val="24"/>
          <w:lang w:eastAsia="en-US"/>
        </w:rPr>
      </w:pPr>
      <w:r w:rsidRPr="002B433F">
        <w:rPr>
          <w:rFonts w:ascii="Times New Roman" w:eastAsia="Calibri" w:hAnsi="Times New Roman" w:cs="Times New Roman"/>
          <w:sz w:val="24"/>
          <w:szCs w:val="24"/>
          <w:lang w:eastAsia="en-US"/>
        </w:rPr>
        <w:t xml:space="preserve">   Le Clézio  s’engage à tirer de l’oubli une part de l’Histoire de la  période de la défaite de tout un Empire et sa soumission à un autre.  </w:t>
      </w:r>
    </w:p>
    <w:p w:rsidR="002B433F" w:rsidRPr="002B433F" w:rsidRDefault="002B433F" w:rsidP="002B433F">
      <w:pPr>
        <w:spacing w:after="0" w:line="480" w:lineRule="auto"/>
        <w:jc w:val="both"/>
        <w:rPr>
          <w:rFonts w:ascii="Times New Roman" w:eastAsia="Calibri" w:hAnsi="Times New Roman" w:cs="Times New Roman"/>
          <w:sz w:val="24"/>
          <w:szCs w:val="24"/>
          <w:lang w:eastAsia="en-US"/>
        </w:rPr>
      </w:pPr>
      <w:r w:rsidRPr="002B433F">
        <w:rPr>
          <w:rFonts w:ascii="Times New Roman" w:eastAsia="Calibri" w:hAnsi="Times New Roman" w:cs="Times New Roman"/>
          <w:sz w:val="24"/>
          <w:szCs w:val="24"/>
          <w:lang w:eastAsia="en-US"/>
        </w:rPr>
        <w:t xml:space="preserve">Pour ce fait, il empreinte le chemin de son enfance et nous livre les vérités et les secrets de la vie des siens dans une langue verdeur que le lecteur d’aujourd’hui peut comprendre. La toile de fond du roman  est faite de bruits, de paysages, d’odeurs, de cassures morales, de joies, de tristesses, de silences, de bizarreries, de logiques et même de contrastes violents. </w:t>
      </w:r>
    </w:p>
    <w:p w:rsidR="002B433F" w:rsidRPr="002B433F" w:rsidRDefault="002B433F" w:rsidP="002B433F">
      <w:pPr>
        <w:spacing w:after="0" w:line="480" w:lineRule="auto"/>
        <w:jc w:val="both"/>
        <w:rPr>
          <w:rFonts w:ascii="Times New Roman" w:eastAsia="Calibri" w:hAnsi="Times New Roman" w:cs="Times New Roman"/>
          <w:sz w:val="24"/>
          <w:szCs w:val="24"/>
          <w:lang w:eastAsia="en-US"/>
        </w:rPr>
      </w:pPr>
      <w:r w:rsidRPr="002B433F">
        <w:rPr>
          <w:rFonts w:ascii="Times New Roman" w:eastAsia="Calibri" w:hAnsi="Times New Roman" w:cs="Times New Roman"/>
          <w:sz w:val="24"/>
          <w:szCs w:val="24"/>
          <w:lang w:eastAsia="en-US"/>
        </w:rPr>
        <w:t xml:space="preserve">   Le Clézio fait parler les convives avec un discours qui questionne l’Histoire, le temps, et  la politique de l’époque sur les stratégies de vie et de survie qui s’étaient multipliés durant l’occupation, allant de l’acte de collaboration à la pratique de délation.  </w:t>
      </w:r>
    </w:p>
    <w:p w:rsidR="00B40323" w:rsidRDefault="002B433F" w:rsidP="002B433F">
      <w:pPr>
        <w:spacing w:after="0" w:line="480" w:lineRule="auto"/>
        <w:jc w:val="both"/>
        <w:rPr>
          <w:rFonts w:ascii="Times New Roman" w:eastAsia="Calibri" w:hAnsi="Times New Roman" w:cs="Times New Roman"/>
          <w:sz w:val="24"/>
          <w:szCs w:val="24"/>
          <w:lang w:eastAsia="en-US"/>
        </w:rPr>
      </w:pPr>
      <w:r w:rsidRPr="002B433F">
        <w:rPr>
          <w:rFonts w:ascii="Times New Roman" w:eastAsia="Calibri" w:hAnsi="Times New Roman" w:cs="Times New Roman"/>
          <w:sz w:val="24"/>
          <w:szCs w:val="24"/>
          <w:lang w:eastAsia="en-US"/>
        </w:rPr>
        <w:t xml:space="preserve">« Pas un français ne sera en sécurité tant qu’un juif, en France et dans le monde entier pourra craindre pour sa vie » </w:t>
      </w:r>
      <w:r w:rsidRPr="002B433F">
        <w:rPr>
          <w:rFonts w:ascii="Times New Roman" w:eastAsia="Calibri" w:hAnsi="Times New Roman" w:cs="Times New Roman"/>
          <w:sz w:val="24"/>
          <w:szCs w:val="24"/>
          <w:vertAlign w:val="superscript"/>
          <w:lang w:eastAsia="en-US"/>
        </w:rPr>
        <w:footnoteReference w:id="105"/>
      </w:r>
      <w:r w:rsidRPr="002B433F">
        <w:rPr>
          <w:rFonts w:ascii="Times New Roman" w:eastAsia="Calibri" w:hAnsi="Times New Roman" w:cs="Times New Roman"/>
          <w:sz w:val="24"/>
          <w:szCs w:val="24"/>
          <w:lang w:eastAsia="en-US"/>
        </w:rPr>
        <w:t xml:space="preserve"> </w:t>
      </w:r>
    </w:p>
    <w:p w:rsidR="00B40323" w:rsidRDefault="00B4032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sdt>
      <w:sdtPr>
        <w:rPr>
          <w:rFonts w:ascii="Times New Roman" w:eastAsia="Calibri" w:hAnsi="Times New Roman" w:cs="Times New Roman"/>
          <w:b/>
          <w:sz w:val="28"/>
          <w:szCs w:val="28"/>
          <w:lang w:eastAsia="en-US"/>
        </w:rPr>
        <w:alias w:val="Titre"/>
        <w:id w:val="77738743"/>
        <w:placeholder>
          <w:docPart w:val="E5020A64362846D3946F79867449B96E"/>
        </w:placeholder>
        <w:dataBinding w:prefixMappings="xmlns:ns0='http://schemas.openxmlformats.org/package/2006/metadata/core-properties' xmlns:ns1='http://purl.org/dc/elements/1.1/'" w:xpath="/ns0:coreProperties[1]/ns1:title[1]" w:storeItemID="{6C3C8BC8-F283-45AE-878A-BAB7291924A1}"/>
        <w:text/>
      </w:sdtPr>
      <w:sdtContent>
        <w:p w:rsidR="00B40323" w:rsidRPr="00B40323" w:rsidRDefault="00B40323" w:rsidP="00B40323">
          <w:pPr>
            <w:pBdr>
              <w:bottom w:val="thickThinSmallGap" w:sz="24" w:space="1" w:color="622423" w:themeColor="accent2" w:themeShade="7F"/>
            </w:pBdr>
            <w:tabs>
              <w:tab w:val="center" w:pos="4536"/>
              <w:tab w:val="right" w:pos="9072"/>
            </w:tabs>
            <w:spacing w:line="480" w:lineRule="auto"/>
            <w:jc w:val="center"/>
            <w:rPr>
              <w:rFonts w:asciiTheme="majorHAnsi" w:eastAsiaTheme="majorEastAsia" w:hAnsiTheme="majorHAnsi" w:cstheme="majorBidi"/>
              <w:sz w:val="32"/>
              <w:szCs w:val="32"/>
              <w:lang w:eastAsia="en-US"/>
            </w:rPr>
          </w:pPr>
          <w:r w:rsidRPr="00260002">
            <w:rPr>
              <w:rFonts w:ascii="Times New Roman" w:eastAsia="Calibri" w:hAnsi="Times New Roman" w:cs="Times New Roman"/>
              <w:b/>
              <w:sz w:val="28"/>
              <w:szCs w:val="28"/>
              <w:lang w:eastAsia="en-US"/>
            </w:rPr>
            <w:t>Conclusion générale</w:t>
          </w:r>
        </w:p>
      </w:sdtContent>
    </w:sdt>
    <w:p w:rsidR="00B40323" w:rsidRDefault="00B40323" w:rsidP="00B40323">
      <w:pPr>
        <w:tabs>
          <w:tab w:val="center" w:pos="4536"/>
          <w:tab w:val="right" w:pos="9072"/>
        </w:tabs>
        <w:spacing w:line="480" w:lineRule="auto"/>
        <w:jc w:val="both"/>
        <w:rPr>
          <w:rFonts w:ascii="Times New Roman" w:eastAsia="Calibri" w:hAnsi="Times New Roman" w:cs="Times New Roman"/>
          <w:sz w:val="24"/>
          <w:szCs w:val="24"/>
          <w:lang w:eastAsia="en-US"/>
        </w:rPr>
      </w:pPr>
    </w:p>
    <w:p w:rsidR="00B40323" w:rsidRPr="00B40323" w:rsidRDefault="00B40323" w:rsidP="00B40323">
      <w:pPr>
        <w:spacing w:after="0" w:line="480" w:lineRule="auto"/>
        <w:jc w:val="both"/>
        <w:rPr>
          <w:rFonts w:ascii="Times New Roman" w:eastAsia="Calibri" w:hAnsi="Times New Roman" w:cs="Times New Roman"/>
          <w:sz w:val="24"/>
          <w:szCs w:val="24"/>
          <w:lang w:eastAsia="en-US"/>
        </w:rPr>
      </w:pPr>
      <w:r w:rsidRPr="00B40323">
        <w:rPr>
          <w:rFonts w:ascii="Times New Roman" w:eastAsia="Calibri" w:hAnsi="Times New Roman" w:cs="Times New Roman"/>
          <w:i/>
          <w:sz w:val="24"/>
          <w:szCs w:val="24"/>
          <w:lang w:eastAsia="en-US"/>
        </w:rPr>
        <w:t>Ritournelle de la faim</w:t>
      </w:r>
      <w:r w:rsidRPr="00B40323">
        <w:rPr>
          <w:rFonts w:ascii="Times New Roman" w:eastAsia="Calibri" w:hAnsi="Times New Roman" w:cs="Times New Roman"/>
          <w:sz w:val="24"/>
          <w:szCs w:val="24"/>
          <w:lang w:eastAsia="en-US"/>
        </w:rPr>
        <w:t xml:space="preserve"> relate un épisode à la fois tragique et obscur de l’histoire de la France colonisée. Il relie ce passé au présent d’aujourd’hui afin de rappeler une vérité qui éclaire le présent, celui de la disparition du Vélodrome d’Hiver et de l’origine d’un bon nombre d’immigrés d’aujourd’hui.</w:t>
      </w:r>
    </w:p>
    <w:p w:rsidR="00B40323" w:rsidRPr="00B40323" w:rsidRDefault="00B40323" w:rsidP="00B40323">
      <w:pPr>
        <w:spacing w:after="0" w:line="480" w:lineRule="auto"/>
        <w:jc w:val="both"/>
        <w:rPr>
          <w:rFonts w:ascii="Times New Roman" w:eastAsia="Calibri" w:hAnsi="Times New Roman" w:cs="Times New Roman"/>
          <w:sz w:val="24"/>
          <w:szCs w:val="24"/>
          <w:lang w:eastAsia="en-US"/>
        </w:rPr>
      </w:pPr>
      <w:r w:rsidRPr="00B40323">
        <w:rPr>
          <w:rFonts w:ascii="Times New Roman" w:eastAsia="Calibri" w:hAnsi="Times New Roman" w:cs="Times New Roman"/>
          <w:sz w:val="24"/>
          <w:szCs w:val="24"/>
          <w:lang w:eastAsia="en-US"/>
        </w:rPr>
        <w:t xml:space="preserve">   L’auteur se place du côté d’une jeune émigrée, l’héroïne du roman, et de son fiancé, un juif meurtri par la déportation de sa tante, et relie leur destin dans l’émotion car il est convaincu que « l’art n’est plus possible autrement que par l’émotion ». Ceci, offre aux lecteurs la possibilité de porter un regard différent sur des êtres et des situations par le biais d’un discours historique officiel (les lois antisémites du journal officiel) soutenu à son tour par le journal intime de l’héroïne. Ainsi il se met au service de ceux qui subissent "les damnés de la terre" d’hier, et non au service de ceux qui font l’histoire.</w:t>
      </w:r>
    </w:p>
    <w:p w:rsidR="00B40323" w:rsidRPr="00B40323" w:rsidRDefault="00B40323" w:rsidP="00B40323">
      <w:pPr>
        <w:spacing w:after="0" w:line="480" w:lineRule="auto"/>
        <w:jc w:val="both"/>
        <w:rPr>
          <w:rFonts w:ascii="Times New Roman" w:eastAsia="Calibri" w:hAnsi="Times New Roman" w:cs="Times New Roman"/>
          <w:sz w:val="24"/>
          <w:szCs w:val="24"/>
          <w:lang w:eastAsia="en-US"/>
        </w:rPr>
      </w:pPr>
      <w:r w:rsidRPr="00B40323">
        <w:rPr>
          <w:rFonts w:ascii="Times New Roman" w:eastAsia="Calibri" w:hAnsi="Times New Roman" w:cs="Times New Roman"/>
          <w:sz w:val="24"/>
          <w:szCs w:val="24"/>
          <w:lang w:eastAsia="en-US"/>
        </w:rPr>
        <w:t xml:space="preserve">   Le décryptage du texte nous a permis de dévoiler son sens caché. Tout compte fait, le roman fait le procès des victimes et exhibe certaines pages de l’histoire du peuple français dont une partie a subi la misère et l’autre la persécution. </w:t>
      </w:r>
    </w:p>
    <w:p w:rsidR="00B40323" w:rsidRPr="00B40323" w:rsidRDefault="00B40323" w:rsidP="00B40323">
      <w:pPr>
        <w:spacing w:line="480" w:lineRule="auto"/>
        <w:jc w:val="both"/>
        <w:rPr>
          <w:rFonts w:ascii="Times New Roman" w:eastAsia="Calibri" w:hAnsi="Times New Roman" w:cs="Times New Roman"/>
          <w:sz w:val="24"/>
          <w:szCs w:val="24"/>
          <w:lang w:eastAsia="en-US"/>
        </w:rPr>
      </w:pPr>
      <w:r w:rsidRPr="00B40323">
        <w:rPr>
          <w:rFonts w:ascii="Times New Roman" w:eastAsia="Calibri" w:hAnsi="Times New Roman" w:cs="Times New Roman"/>
          <w:sz w:val="24"/>
          <w:szCs w:val="24"/>
          <w:lang w:eastAsia="en-US"/>
        </w:rPr>
        <w:t xml:space="preserve">   L’originalité du récit réside dans le fait de l’implication de l’auteur que nous percevons comme un auteur réel car il est le témoin principal du  drame et l’interprète des dires de sa mère. Il se place du point de vue des victimes de l’histoire, de ceux qui n’ont pas la parole, et rajoute sa propre vision et sa perception de l’époque à celle qu’en donne les historiens et les sociologues. Le récit révèle à l’éventuel lecteur français un épisode ignoré de son histoire.    </w:t>
      </w:r>
    </w:p>
    <w:p w:rsidR="00B40323" w:rsidRDefault="00B40323" w:rsidP="00B40323">
      <w:pPr>
        <w:tabs>
          <w:tab w:val="center" w:pos="4536"/>
          <w:tab w:val="right" w:pos="9072"/>
        </w:tabs>
        <w:spacing w:line="480" w:lineRule="auto"/>
        <w:jc w:val="both"/>
        <w:rPr>
          <w:rFonts w:ascii="Times New Roman" w:eastAsia="Calibri" w:hAnsi="Times New Roman" w:cs="Times New Roman"/>
          <w:sz w:val="24"/>
          <w:szCs w:val="24"/>
          <w:lang w:eastAsia="en-US"/>
        </w:rPr>
      </w:pPr>
      <w:r w:rsidRPr="00B40323">
        <w:rPr>
          <w:rFonts w:ascii="Times New Roman" w:eastAsia="Calibri" w:hAnsi="Times New Roman" w:cs="Times New Roman"/>
          <w:sz w:val="24"/>
          <w:szCs w:val="24"/>
          <w:lang w:eastAsia="en-US"/>
        </w:rPr>
        <w:t xml:space="preserve">   La formulation des rôles narratifs nous a permis de saisir l’organisation logique des rôles des personnages dans le récit, dont nous en avons fait une lecture informative et significative. En effet, le déracinement et l’acculturation sont des facteurs d’un appauvrissement intérieur</w:t>
      </w:r>
    </w:p>
    <w:p w:rsidR="00B40323" w:rsidRDefault="00B40323">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sdt>
      <w:sdtPr>
        <w:rPr>
          <w:rFonts w:ascii="Times New Roman" w:eastAsia="Calibri" w:hAnsi="Times New Roman" w:cs="Times New Roman"/>
          <w:b/>
          <w:sz w:val="28"/>
          <w:szCs w:val="28"/>
          <w:lang w:eastAsia="en-US"/>
        </w:rPr>
        <w:alias w:val="Titre"/>
        <w:id w:val="1965026"/>
        <w:placeholder>
          <w:docPart w:val="565DD682DECB45FBB572FF2BAB9D1124"/>
        </w:placeholder>
        <w:dataBinding w:prefixMappings="xmlns:ns0='http://schemas.openxmlformats.org/package/2006/metadata/core-properties' xmlns:ns1='http://purl.org/dc/elements/1.1/'" w:xpath="/ns0:coreProperties[1]/ns1:title[1]" w:storeItemID="{6C3C8BC8-F283-45AE-878A-BAB7291924A1}"/>
        <w:text/>
      </w:sdtPr>
      <w:sdtContent>
        <w:p w:rsidR="00B40323" w:rsidRPr="00B40323" w:rsidRDefault="00B40323" w:rsidP="00B40323">
          <w:pPr>
            <w:pBdr>
              <w:bottom w:val="thickThinSmallGap" w:sz="24" w:space="1" w:color="622423" w:themeColor="accent2" w:themeShade="7F"/>
            </w:pBdr>
            <w:tabs>
              <w:tab w:val="center" w:pos="4536"/>
              <w:tab w:val="right" w:pos="9072"/>
            </w:tabs>
            <w:spacing w:line="480" w:lineRule="auto"/>
            <w:jc w:val="center"/>
            <w:rPr>
              <w:rFonts w:asciiTheme="majorHAnsi" w:eastAsiaTheme="majorEastAsia" w:hAnsiTheme="majorHAnsi" w:cstheme="majorBidi"/>
              <w:sz w:val="32"/>
              <w:szCs w:val="32"/>
              <w:lang w:eastAsia="en-US"/>
            </w:rPr>
          </w:pPr>
          <w:r w:rsidRPr="00B40323">
            <w:rPr>
              <w:rFonts w:ascii="Times New Roman" w:eastAsia="Calibri" w:hAnsi="Times New Roman" w:cs="Times New Roman"/>
              <w:b/>
              <w:sz w:val="28"/>
              <w:szCs w:val="28"/>
              <w:lang w:eastAsia="en-US"/>
            </w:rPr>
            <w:t>Conclusion générale</w:t>
          </w:r>
        </w:p>
      </w:sdtContent>
    </w:sdt>
    <w:p w:rsidR="002B433F" w:rsidRDefault="002B433F" w:rsidP="002B433F">
      <w:pPr>
        <w:spacing w:after="0" w:line="480" w:lineRule="auto"/>
        <w:jc w:val="both"/>
        <w:rPr>
          <w:rFonts w:ascii="Times New Roman" w:eastAsia="Calibri" w:hAnsi="Times New Roman" w:cs="Times New Roman"/>
          <w:sz w:val="24"/>
          <w:szCs w:val="24"/>
          <w:lang w:eastAsia="en-US"/>
        </w:rPr>
      </w:pPr>
    </w:p>
    <w:p w:rsidR="00925FDC" w:rsidRPr="00925FDC" w:rsidRDefault="00925FDC" w:rsidP="00925FDC">
      <w:pPr>
        <w:spacing w:after="0" w:line="480" w:lineRule="auto"/>
        <w:jc w:val="both"/>
        <w:rPr>
          <w:rFonts w:ascii="Times New Roman" w:eastAsia="Calibri" w:hAnsi="Times New Roman" w:cs="Times New Roman"/>
          <w:sz w:val="24"/>
          <w:szCs w:val="24"/>
          <w:lang w:eastAsia="en-US"/>
        </w:rPr>
      </w:pPr>
      <w:r w:rsidRPr="00925FDC">
        <w:rPr>
          <w:rFonts w:ascii="Times New Roman" w:eastAsia="Calibri" w:hAnsi="Times New Roman" w:cs="Times New Roman"/>
          <w:sz w:val="24"/>
          <w:szCs w:val="24"/>
          <w:lang w:eastAsia="en-US"/>
        </w:rPr>
        <w:t xml:space="preserve">pour la plupart des émigrés et génère la violence. Par ailleurs, la soumission conformiste aux systèmes dominant occulte toute forme de liberté.  </w:t>
      </w:r>
    </w:p>
    <w:p w:rsidR="00925FDC" w:rsidRPr="00925FDC" w:rsidRDefault="00925FDC" w:rsidP="00925FDC">
      <w:pPr>
        <w:spacing w:after="0" w:line="480" w:lineRule="auto"/>
        <w:jc w:val="both"/>
        <w:rPr>
          <w:rFonts w:ascii="Times New Roman" w:eastAsia="Calibri" w:hAnsi="Times New Roman" w:cs="Times New Roman"/>
          <w:sz w:val="24"/>
          <w:szCs w:val="24"/>
          <w:lang w:eastAsia="en-US"/>
        </w:rPr>
      </w:pPr>
      <w:r w:rsidRPr="00925FDC">
        <w:rPr>
          <w:rFonts w:ascii="Times New Roman" w:eastAsia="Calibri" w:hAnsi="Times New Roman" w:cs="Times New Roman"/>
          <w:sz w:val="24"/>
          <w:szCs w:val="24"/>
          <w:lang w:eastAsia="en-US"/>
        </w:rPr>
        <w:t xml:space="preserve">   Le contenu historique de l’œuvre est saturé d’évènements historiques de l’époque. En effet, l’auteur avant d’aborder la thématique de son roman, il nous fait un tour d’horizon sur les raisons et les conditions qui ont mené à un tel drame.</w:t>
      </w:r>
    </w:p>
    <w:p w:rsidR="0001020C" w:rsidRDefault="00925FDC" w:rsidP="00925FDC">
      <w:pPr>
        <w:spacing w:after="0" w:line="480" w:lineRule="auto"/>
        <w:jc w:val="both"/>
        <w:rPr>
          <w:rFonts w:ascii="Times New Roman" w:eastAsia="Calibri" w:hAnsi="Times New Roman" w:cs="Times New Roman"/>
          <w:sz w:val="24"/>
          <w:szCs w:val="24"/>
          <w:lang w:eastAsia="en-US"/>
        </w:rPr>
      </w:pPr>
      <w:r w:rsidRPr="00925FDC">
        <w:rPr>
          <w:rFonts w:ascii="Times New Roman" w:eastAsia="Calibri" w:hAnsi="Times New Roman" w:cs="Times New Roman"/>
          <w:sz w:val="24"/>
          <w:szCs w:val="24"/>
          <w:lang w:eastAsia="en-US"/>
        </w:rPr>
        <w:t xml:space="preserve">  Enfin, la suite que nous envisageons à ce travail est de faire une étude comparative la plus exhaustive possible avec d’autres œuvres récentes qui traitent du même sujet comme celles de Max Gallo ou encore de Marc Dugain.</w:t>
      </w:r>
    </w:p>
    <w:p w:rsidR="0001020C" w:rsidRDefault="0001020C">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01020C" w:rsidRPr="0001020C" w:rsidRDefault="0001020C" w:rsidP="0001020C">
      <w:pPr>
        <w:pBdr>
          <w:bottom w:val="thickThinSmallGap" w:sz="24" w:space="1" w:color="622423"/>
        </w:pBdr>
        <w:tabs>
          <w:tab w:val="center" w:pos="4536"/>
          <w:tab w:val="right" w:pos="9072"/>
        </w:tabs>
        <w:jc w:val="center"/>
        <w:rPr>
          <w:rFonts w:ascii="Times New Roman" w:eastAsia="Times New Roman" w:hAnsi="Times New Roman" w:cs="Times New Roman"/>
          <w:sz w:val="28"/>
          <w:szCs w:val="28"/>
          <w:lang w:eastAsia="en-US"/>
        </w:rPr>
      </w:pPr>
      <w:r w:rsidRPr="0001020C">
        <w:rPr>
          <w:rFonts w:ascii="Times New Roman" w:eastAsia="Times New Roman" w:hAnsi="Times New Roman" w:cs="Times New Roman"/>
          <w:sz w:val="28"/>
          <w:szCs w:val="28"/>
          <w:lang w:eastAsia="en-US"/>
        </w:rPr>
        <w:lastRenderedPageBreak/>
        <w:t xml:space="preserve">Bibliographie </w:t>
      </w:r>
    </w:p>
    <w:p w:rsidR="0001020C" w:rsidRPr="0001020C" w:rsidRDefault="0001020C" w:rsidP="0001020C">
      <w:pPr>
        <w:tabs>
          <w:tab w:val="center" w:pos="4536"/>
          <w:tab w:val="right" w:pos="9072"/>
        </w:tabs>
        <w:rPr>
          <w:rFonts w:ascii="Calibri" w:eastAsia="Calibri" w:hAnsi="Calibri" w:cs="Arial"/>
          <w:lang w:eastAsia="en-US"/>
        </w:rPr>
      </w:pPr>
    </w:p>
    <w:p w:rsidR="00565BD2" w:rsidRDefault="00565BD2" w:rsidP="00565BD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Bibliographie utilisée</w:t>
      </w:r>
    </w:p>
    <w:p w:rsidR="00565BD2" w:rsidRDefault="00565BD2" w:rsidP="00565BD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 Le corpus </w:t>
      </w:r>
    </w:p>
    <w:p w:rsidR="00565BD2" w:rsidRPr="00B14BB4" w:rsidRDefault="00565BD2" w:rsidP="00565BD2">
      <w:pPr>
        <w:spacing w:line="480" w:lineRule="auto"/>
        <w:jc w:val="both"/>
        <w:rPr>
          <w:rFonts w:ascii="Times New Roman" w:hAnsi="Times New Roman" w:cs="Times New Roman"/>
          <w:b/>
          <w:bCs/>
          <w:sz w:val="24"/>
          <w:szCs w:val="24"/>
        </w:rPr>
      </w:pPr>
      <w:r>
        <w:rPr>
          <w:rFonts w:ascii="Times New Roman" w:hAnsi="Times New Roman" w:cs="Times New Roman"/>
          <w:sz w:val="24"/>
          <w:szCs w:val="24"/>
        </w:rPr>
        <w:t>LE CLEZIO,</w:t>
      </w:r>
      <w:r w:rsidRPr="000B127A">
        <w:rPr>
          <w:rFonts w:ascii="Times New Roman" w:hAnsi="Times New Roman" w:cs="Times New Roman"/>
          <w:sz w:val="24"/>
          <w:szCs w:val="24"/>
        </w:rPr>
        <w:t xml:space="preserve"> J</w:t>
      </w:r>
      <w:r>
        <w:rPr>
          <w:rFonts w:ascii="Times New Roman" w:hAnsi="Times New Roman" w:cs="Times New Roman"/>
          <w:sz w:val="24"/>
          <w:szCs w:val="24"/>
        </w:rPr>
        <w:t xml:space="preserve">ean- Marie Gustave, </w:t>
      </w:r>
      <w:r>
        <w:rPr>
          <w:rFonts w:ascii="Times New Roman" w:hAnsi="Times New Roman" w:cs="Times New Roman"/>
          <w:i/>
          <w:iCs/>
          <w:sz w:val="24"/>
          <w:szCs w:val="24"/>
        </w:rPr>
        <w:t>R</w:t>
      </w:r>
      <w:r w:rsidRPr="000B127A">
        <w:rPr>
          <w:rFonts w:ascii="Times New Roman" w:hAnsi="Times New Roman" w:cs="Times New Roman"/>
          <w:i/>
          <w:iCs/>
          <w:sz w:val="24"/>
          <w:szCs w:val="24"/>
        </w:rPr>
        <w:t>itournelle de la faim</w:t>
      </w:r>
      <w:r w:rsidRPr="000B127A">
        <w:rPr>
          <w:rFonts w:ascii="Times New Roman" w:hAnsi="Times New Roman" w:cs="Times New Roman"/>
          <w:sz w:val="24"/>
          <w:szCs w:val="24"/>
        </w:rPr>
        <w:t>, Editions Gallimard, 2008</w:t>
      </w:r>
      <w:r>
        <w:rPr>
          <w:rFonts w:ascii="Times New Roman" w:hAnsi="Times New Roman" w:cs="Times New Roman"/>
          <w:b/>
          <w:bCs/>
          <w:sz w:val="24"/>
          <w:szCs w:val="24"/>
        </w:rPr>
        <w:t>.</w:t>
      </w:r>
    </w:p>
    <w:p w:rsidR="00565BD2" w:rsidRDefault="00565BD2" w:rsidP="00565BD2">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 Fictions  </w:t>
      </w:r>
    </w:p>
    <w:p w:rsidR="00565BD2" w:rsidRPr="00C10F41" w:rsidRDefault="00565BD2" w:rsidP="00565BD2">
      <w:pPr>
        <w:spacing w:line="480" w:lineRule="auto"/>
        <w:jc w:val="both"/>
        <w:rPr>
          <w:rFonts w:ascii="Times New Roman" w:hAnsi="Times New Roman" w:cs="Times New Roman"/>
          <w:b/>
          <w:sz w:val="24"/>
          <w:szCs w:val="24"/>
        </w:rPr>
      </w:pPr>
      <w:r w:rsidRPr="000B127A">
        <w:rPr>
          <w:rFonts w:ascii="Times New Roman" w:hAnsi="Times New Roman" w:cs="Times New Roman"/>
          <w:sz w:val="24"/>
          <w:szCs w:val="24"/>
        </w:rPr>
        <w:t>D</w:t>
      </w:r>
      <w:r>
        <w:rPr>
          <w:rFonts w:ascii="Times New Roman" w:hAnsi="Times New Roman" w:cs="Times New Roman"/>
          <w:sz w:val="24"/>
          <w:szCs w:val="24"/>
        </w:rPr>
        <w:t xml:space="preserve">UGAIN, </w:t>
      </w:r>
      <w:r w:rsidRPr="000B127A">
        <w:rPr>
          <w:rFonts w:ascii="Times New Roman" w:hAnsi="Times New Roman" w:cs="Times New Roman"/>
          <w:sz w:val="24"/>
          <w:szCs w:val="24"/>
        </w:rPr>
        <w:t>Marc</w:t>
      </w:r>
      <w:r>
        <w:rPr>
          <w:rFonts w:ascii="Times New Roman" w:hAnsi="Times New Roman" w:cs="Times New Roman"/>
          <w:b/>
          <w:bCs/>
          <w:sz w:val="24"/>
          <w:szCs w:val="24"/>
        </w:rPr>
        <w:t xml:space="preserve">, </w:t>
      </w:r>
      <w:r>
        <w:rPr>
          <w:rFonts w:ascii="Times New Roman" w:hAnsi="Times New Roman" w:cs="Times New Roman"/>
          <w:i/>
          <w:iCs/>
          <w:sz w:val="24"/>
          <w:szCs w:val="24"/>
        </w:rPr>
        <w:t>L</w:t>
      </w:r>
      <w:r w:rsidRPr="000B127A">
        <w:rPr>
          <w:rFonts w:ascii="Times New Roman" w:hAnsi="Times New Roman" w:cs="Times New Roman"/>
          <w:i/>
          <w:iCs/>
          <w:sz w:val="24"/>
          <w:szCs w:val="24"/>
        </w:rPr>
        <w:t>’insomnie des étoiles</w:t>
      </w:r>
      <w:r w:rsidRPr="000B127A">
        <w:rPr>
          <w:rFonts w:ascii="Times New Roman" w:hAnsi="Times New Roman" w:cs="Times New Roman"/>
          <w:sz w:val="24"/>
          <w:szCs w:val="24"/>
        </w:rPr>
        <w:t>, Editions Gallimard, 2010</w:t>
      </w:r>
      <w:r>
        <w:rPr>
          <w:rFonts w:ascii="Times New Roman" w:hAnsi="Times New Roman" w:cs="Times New Roman"/>
          <w:sz w:val="24"/>
          <w:szCs w:val="24"/>
        </w:rPr>
        <w:t>.</w:t>
      </w:r>
    </w:p>
    <w:p w:rsidR="00565BD2" w:rsidRDefault="00565BD2" w:rsidP="00565BD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 CLEZIO, Jean- Marie Gustave, </w:t>
      </w:r>
      <w:r w:rsidRPr="00236EE1">
        <w:rPr>
          <w:rFonts w:ascii="Times New Roman" w:hAnsi="Times New Roman" w:cs="Times New Roman"/>
          <w:i/>
          <w:iCs/>
          <w:sz w:val="24"/>
          <w:szCs w:val="24"/>
        </w:rPr>
        <w:t>Le procès-verbal</w:t>
      </w:r>
      <w:r>
        <w:rPr>
          <w:rFonts w:ascii="Times New Roman" w:hAnsi="Times New Roman" w:cs="Times New Roman"/>
          <w:sz w:val="24"/>
          <w:szCs w:val="24"/>
        </w:rPr>
        <w:t xml:space="preserve">, Collection Folio, Editions Gallimard, 1963. </w:t>
      </w:r>
    </w:p>
    <w:p w:rsidR="00565BD2" w:rsidRPr="000B127A" w:rsidRDefault="00565BD2" w:rsidP="00565BD2">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SARTRE, </w:t>
      </w:r>
      <w:r w:rsidRPr="000B127A">
        <w:rPr>
          <w:rFonts w:ascii="Times New Roman" w:hAnsi="Times New Roman" w:cs="Times New Roman"/>
          <w:sz w:val="24"/>
          <w:szCs w:val="24"/>
        </w:rPr>
        <w:t>Jean Paul</w:t>
      </w:r>
      <w:r>
        <w:rPr>
          <w:rFonts w:ascii="Times New Roman" w:hAnsi="Times New Roman" w:cs="Times New Roman"/>
          <w:sz w:val="24"/>
          <w:szCs w:val="24"/>
        </w:rPr>
        <w:t>,</w:t>
      </w:r>
      <w:r w:rsidRPr="000B127A">
        <w:rPr>
          <w:rFonts w:ascii="Times New Roman" w:hAnsi="Times New Roman" w:cs="Times New Roman"/>
          <w:sz w:val="24"/>
          <w:szCs w:val="24"/>
        </w:rPr>
        <w:t xml:space="preserve"> </w:t>
      </w:r>
      <w:r>
        <w:rPr>
          <w:rFonts w:ascii="Times New Roman" w:hAnsi="Times New Roman" w:cs="Times New Roman"/>
          <w:sz w:val="24"/>
          <w:szCs w:val="24"/>
        </w:rPr>
        <w:t xml:space="preserve"> </w:t>
      </w:r>
      <w:r w:rsidRPr="000B127A">
        <w:rPr>
          <w:rFonts w:ascii="Times New Roman" w:hAnsi="Times New Roman" w:cs="Times New Roman"/>
          <w:sz w:val="24"/>
          <w:szCs w:val="24"/>
        </w:rPr>
        <w:t> </w:t>
      </w:r>
      <w:r w:rsidRPr="00C93A63">
        <w:rPr>
          <w:rFonts w:ascii="Times New Roman" w:hAnsi="Times New Roman" w:cs="Times New Roman"/>
          <w:i/>
          <w:iCs/>
          <w:sz w:val="24"/>
          <w:szCs w:val="24"/>
        </w:rPr>
        <w:t>les chemins de la liberté</w:t>
      </w:r>
      <w:r w:rsidRPr="000B127A">
        <w:rPr>
          <w:rFonts w:ascii="Times New Roman" w:hAnsi="Times New Roman" w:cs="Times New Roman"/>
          <w:sz w:val="24"/>
          <w:szCs w:val="24"/>
        </w:rPr>
        <w:t>, (</w:t>
      </w:r>
      <w:r w:rsidRPr="00C93A63">
        <w:rPr>
          <w:rFonts w:ascii="Times New Roman" w:hAnsi="Times New Roman" w:cs="Times New Roman"/>
          <w:i/>
          <w:iCs/>
          <w:sz w:val="24"/>
          <w:szCs w:val="24"/>
        </w:rPr>
        <w:t>le sursis</w:t>
      </w:r>
      <w:r w:rsidRPr="000B127A">
        <w:rPr>
          <w:rFonts w:ascii="Times New Roman" w:hAnsi="Times New Roman" w:cs="Times New Roman"/>
          <w:sz w:val="24"/>
          <w:szCs w:val="24"/>
        </w:rPr>
        <w:t xml:space="preserve">), Editions Gallimard, </w:t>
      </w:r>
      <w:r>
        <w:rPr>
          <w:rFonts w:ascii="Times New Roman" w:hAnsi="Times New Roman" w:cs="Times New Roman"/>
          <w:sz w:val="24"/>
          <w:szCs w:val="24"/>
        </w:rPr>
        <w:t xml:space="preserve">1945. </w:t>
      </w:r>
    </w:p>
    <w:p w:rsidR="00565BD2" w:rsidRDefault="00565BD2" w:rsidP="00565BD2">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3. Essais et Critiques </w:t>
      </w:r>
    </w:p>
    <w:p w:rsidR="00565BD2" w:rsidRPr="00066C18" w:rsidRDefault="00565BD2" w:rsidP="00565BD2">
      <w:pPr>
        <w:spacing w:line="480" w:lineRule="auto"/>
        <w:jc w:val="both"/>
        <w:rPr>
          <w:rFonts w:ascii="Times New Roman" w:hAnsi="Times New Roman" w:cs="Times New Roman"/>
          <w:sz w:val="24"/>
          <w:szCs w:val="24"/>
        </w:rPr>
      </w:pPr>
      <w:r w:rsidRPr="00066C18">
        <w:rPr>
          <w:rFonts w:ascii="Times New Roman" w:hAnsi="Times New Roman" w:cs="Times New Roman"/>
          <w:sz w:val="24"/>
          <w:szCs w:val="24"/>
        </w:rPr>
        <w:t xml:space="preserve">GILLET, Isabelle, étude sur </w:t>
      </w:r>
      <w:r w:rsidRPr="00066C18">
        <w:rPr>
          <w:rFonts w:ascii="Times New Roman" w:hAnsi="Times New Roman" w:cs="Times New Roman"/>
          <w:i/>
          <w:iCs/>
          <w:sz w:val="24"/>
          <w:szCs w:val="24"/>
        </w:rPr>
        <w:t>J.M.G.Le Clézio</w:t>
      </w:r>
      <w:r w:rsidRPr="00066C18">
        <w:rPr>
          <w:rFonts w:ascii="Times New Roman" w:hAnsi="Times New Roman" w:cs="Times New Roman"/>
          <w:sz w:val="24"/>
          <w:szCs w:val="24"/>
        </w:rPr>
        <w:t xml:space="preserve"> </w:t>
      </w:r>
      <w:r w:rsidRPr="00066C18">
        <w:rPr>
          <w:rFonts w:ascii="Times New Roman" w:hAnsi="Times New Roman" w:cs="Times New Roman"/>
          <w:i/>
          <w:iCs/>
          <w:sz w:val="24"/>
          <w:szCs w:val="24"/>
        </w:rPr>
        <w:t>Le Chercheur d’or</w:t>
      </w:r>
      <w:r w:rsidRPr="00066C18">
        <w:rPr>
          <w:rFonts w:ascii="Times New Roman" w:hAnsi="Times New Roman" w:cs="Times New Roman"/>
          <w:sz w:val="24"/>
          <w:szCs w:val="24"/>
        </w:rPr>
        <w:t xml:space="preserve">, Collection Résonnances, Editions Ellipses, 2001. </w:t>
      </w:r>
    </w:p>
    <w:p w:rsidR="00565BD2" w:rsidRPr="007269C5" w:rsidRDefault="00565BD2" w:rsidP="00565BD2">
      <w:pPr>
        <w:spacing w:line="480" w:lineRule="auto"/>
        <w:jc w:val="both"/>
        <w:rPr>
          <w:rFonts w:ascii="Times New Roman" w:hAnsi="Times New Roman" w:cs="Times New Roman"/>
          <w:sz w:val="24"/>
          <w:szCs w:val="24"/>
        </w:rPr>
      </w:pPr>
      <w:r w:rsidRPr="007269C5">
        <w:rPr>
          <w:rFonts w:ascii="Times New Roman" w:hAnsi="Times New Roman" w:cs="Times New Roman"/>
          <w:sz w:val="24"/>
          <w:szCs w:val="24"/>
        </w:rPr>
        <w:t>L</w:t>
      </w:r>
      <w:r>
        <w:rPr>
          <w:rFonts w:ascii="Times New Roman" w:hAnsi="Times New Roman" w:cs="Times New Roman"/>
          <w:sz w:val="24"/>
          <w:szCs w:val="24"/>
        </w:rPr>
        <w:t xml:space="preserve">E CLEZIO, J.M.G, </w:t>
      </w:r>
      <w:r w:rsidRPr="007269C5">
        <w:rPr>
          <w:rFonts w:ascii="Times New Roman" w:hAnsi="Times New Roman" w:cs="Times New Roman"/>
          <w:sz w:val="24"/>
          <w:szCs w:val="24"/>
        </w:rPr>
        <w:t xml:space="preserve"> </w:t>
      </w:r>
      <w:r w:rsidRPr="007269C5">
        <w:rPr>
          <w:rFonts w:ascii="Times New Roman" w:hAnsi="Times New Roman" w:cs="Times New Roman"/>
          <w:i/>
          <w:iCs/>
          <w:sz w:val="24"/>
          <w:szCs w:val="24"/>
        </w:rPr>
        <w:t>L’extase matérielle</w:t>
      </w:r>
      <w:r w:rsidRPr="007269C5">
        <w:rPr>
          <w:rFonts w:ascii="Times New Roman" w:hAnsi="Times New Roman" w:cs="Times New Roman"/>
          <w:sz w:val="24"/>
          <w:szCs w:val="24"/>
        </w:rPr>
        <w:t>, Collection Essais, Editions Gallimard, 1967.</w:t>
      </w:r>
    </w:p>
    <w:p w:rsidR="00565BD2" w:rsidRPr="00066C18" w:rsidRDefault="00565BD2" w:rsidP="00565BD2">
      <w:pPr>
        <w:spacing w:line="480" w:lineRule="auto"/>
        <w:jc w:val="both"/>
        <w:rPr>
          <w:rFonts w:ascii="Times New Roman" w:hAnsi="Times New Roman" w:cs="Times New Roman"/>
          <w:sz w:val="24"/>
          <w:szCs w:val="24"/>
        </w:rPr>
      </w:pPr>
      <w:r w:rsidRPr="00C10F41">
        <w:rPr>
          <w:rFonts w:ascii="Times New Roman" w:hAnsi="Times New Roman" w:cs="Times New Roman"/>
          <w:sz w:val="24"/>
          <w:szCs w:val="24"/>
        </w:rPr>
        <w:t>S</w:t>
      </w:r>
      <w:r>
        <w:rPr>
          <w:rFonts w:ascii="Times New Roman" w:hAnsi="Times New Roman" w:cs="Times New Roman"/>
          <w:sz w:val="24"/>
          <w:szCs w:val="24"/>
        </w:rPr>
        <w:t xml:space="preserve">ALLES, </w:t>
      </w:r>
      <w:r w:rsidRPr="00C10F41">
        <w:rPr>
          <w:rFonts w:ascii="Times New Roman" w:hAnsi="Times New Roman" w:cs="Times New Roman"/>
          <w:sz w:val="24"/>
          <w:szCs w:val="24"/>
        </w:rPr>
        <w:t xml:space="preserve">Marina, étude sur </w:t>
      </w:r>
      <w:r w:rsidRPr="00C93A63">
        <w:rPr>
          <w:rFonts w:ascii="Times New Roman" w:hAnsi="Times New Roman" w:cs="Times New Roman"/>
          <w:i/>
          <w:iCs/>
          <w:sz w:val="24"/>
          <w:szCs w:val="24"/>
        </w:rPr>
        <w:t>Le Clézio Désert</w:t>
      </w:r>
      <w:r w:rsidRPr="00C10F41">
        <w:rPr>
          <w:rFonts w:ascii="Times New Roman" w:hAnsi="Times New Roman" w:cs="Times New Roman"/>
          <w:i/>
          <w:iCs/>
          <w:sz w:val="24"/>
          <w:szCs w:val="24"/>
        </w:rPr>
        <w:t>,</w:t>
      </w:r>
      <w:r w:rsidRPr="00C10F41">
        <w:rPr>
          <w:rFonts w:ascii="Times New Roman" w:hAnsi="Times New Roman" w:cs="Times New Roman"/>
          <w:sz w:val="24"/>
          <w:szCs w:val="24"/>
        </w:rPr>
        <w:t xml:space="preserve"> Collection Résonnances, Editions Ellipses, 1999.</w:t>
      </w:r>
    </w:p>
    <w:p w:rsidR="00565BD2" w:rsidRPr="007269C5" w:rsidRDefault="00565BD2" w:rsidP="00565BD2">
      <w:pPr>
        <w:spacing w:line="480" w:lineRule="auto"/>
        <w:jc w:val="both"/>
        <w:rPr>
          <w:rFonts w:ascii="Times New Roman" w:hAnsi="Times New Roman" w:cs="Times New Roman"/>
          <w:b/>
          <w:sz w:val="24"/>
          <w:szCs w:val="24"/>
        </w:rPr>
      </w:pPr>
      <w:r>
        <w:rPr>
          <w:rFonts w:ascii="Times New Roman" w:hAnsi="Times New Roman" w:cs="Times New Roman"/>
          <w:b/>
          <w:sz w:val="24"/>
          <w:szCs w:val="24"/>
        </w:rPr>
        <w:t>4. Ouvrages T</w:t>
      </w:r>
      <w:r w:rsidRPr="007269C5">
        <w:rPr>
          <w:rFonts w:ascii="Times New Roman" w:hAnsi="Times New Roman" w:cs="Times New Roman"/>
          <w:b/>
          <w:sz w:val="24"/>
          <w:szCs w:val="24"/>
        </w:rPr>
        <w:t>héorique</w:t>
      </w:r>
      <w:r>
        <w:rPr>
          <w:rFonts w:ascii="Times New Roman" w:hAnsi="Times New Roman" w:cs="Times New Roman"/>
          <w:b/>
          <w:sz w:val="24"/>
          <w:szCs w:val="24"/>
        </w:rPr>
        <w:t xml:space="preserve">s </w:t>
      </w:r>
    </w:p>
    <w:p w:rsidR="00565BD2" w:rsidRDefault="00565BD2" w:rsidP="00565BD2">
      <w:pPr>
        <w:spacing w:line="480" w:lineRule="auto"/>
        <w:jc w:val="both"/>
        <w:rPr>
          <w:rFonts w:ascii="Times New Roman" w:hAnsi="Times New Roman" w:cs="Times New Roman"/>
          <w:sz w:val="24"/>
          <w:szCs w:val="24"/>
        </w:rPr>
      </w:pPr>
      <w:r w:rsidRPr="00066C18">
        <w:rPr>
          <w:rFonts w:ascii="Times New Roman" w:hAnsi="Times New Roman" w:cs="Times New Roman"/>
          <w:sz w:val="24"/>
          <w:szCs w:val="24"/>
        </w:rPr>
        <w:t xml:space="preserve">BACHELARD, Gaston </w:t>
      </w:r>
      <w:r w:rsidRPr="00066C18">
        <w:rPr>
          <w:rFonts w:ascii="Times New Roman" w:hAnsi="Times New Roman" w:cs="Times New Roman"/>
          <w:i/>
          <w:iCs/>
          <w:sz w:val="24"/>
          <w:szCs w:val="24"/>
        </w:rPr>
        <w:t>la Poétique de l’espace</w:t>
      </w:r>
      <w:r w:rsidRPr="00066C18">
        <w:rPr>
          <w:rFonts w:ascii="Times New Roman" w:hAnsi="Times New Roman" w:cs="Times New Roman"/>
          <w:sz w:val="24"/>
          <w:szCs w:val="24"/>
        </w:rPr>
        <w:t xml:space="preserve">, Quadrige, Presses </w:t>
      </w:r>
      <w:r>
        <w:rPr>
          <w:rFonts w:ascii="Times New Roman" w:hAnsi="Times New Roman" w:cs="Times New Roman"/>
          <w:sz w:val="24"/>
          <w:szCs w:val="24"/>
        </w:rPr>
        <w:t>Universitaires de France, 1998.</w:t>
      </w:r>
    </w:p>
    <w:p w:rsidR="00565BD2" w:rsidRDefault="00565BD2" w:rsidP="00565BD2">
      <w:pPr>
        <w:spacing w:after="0" w:line="480" w:lineRule="auto"/>
        <w:jc w:val="both"/>
        <w:rPr>
          <w:rFonts w:ascii="Times New Roman" w:hAnsi="Times New Roman" w:cs="Times New Roman"/>
          <w:sz w:val="24"/>
          <w:szCs w:val="24"/>
        </w:rPr>
      </w:pPr>
      <w:r w:rsidRPr="00066C18">
        <w:rPr>
          <w:rFonts w:ascii="Times New Roman" w:hAnsi="Times New Roman" w:cs="Times New Roman"/>
          <w:sz w:val="24"/>
          <w:szCs w:val="24"/>
        </w:rPr>
        <w:t xml:space="preserve">BREMOND, Claude, </w:t>
      </w:r>
      <w:r w:rsidRPr="00066C18">
        <w:rPr>
          <w:rFonts w:ascii="Times New Roman" w:hAnsi="Times New Roman" w:cs="Times New Roman"/>
          <w:i/>
          <w:iCs/>
          <w:sz w:val="24"/>
          <w:szCs w:val="24"/>
        </w:rPr>
        <w:t>Logique du récit</w:t>
      </w:r>
      <w:r w:rsidRPr="00066C18">
        <w:rPr>
          <w:rFonts w:ascii="Times New Roman" w:hAnsi="Times New Roman" w:cs="Times New Roman"/>
          <w:sz w:val="24"/>
          <w:szCs w:val="24"/>
        </w:rPr>
        <w:t>, Collection Poétique, Editions du Seuil, Paris, 1973.</w:t>
      </w:r>
    </w:p>
    <w:p w:rsidR="00565BD2" w:rsidRDefault="00565BD2">
      <w:pPr>
        <w:rPr>
          <w:rFonts w:ascii="Times New Roman" w:hAnsi="Times New Roman" w:cs="Times New Roman"/>
          <w:sz w:val="24"/>
          <w:szCs w:val="24"/>
        </w:rPr>
      </w:pPr>
      <w:r>
        <w:rPr>
          <w:rFonts w:ascii="Times New Roman" w:hAnsi="Times New Roman" w:cs="Times New Roman"/>
          <w:sz w:val="24"/>
          <w:szCs w:val="24"/>
        </w:rPr>
        <w:br w:type="page"/>
      </w:r>
    </w:p>
    <w:p w:rsidR="00565BD2" w:rsidRPr="00565BD2" w:rsidRDefault="00565BD2" w:rsidP="00565BD2">
      <w:pPr>
        <w:pBdr>
          <w:bottom w:val="thickThinSmallGap" w:sz="24" w:space="1" w:color="622423"/>
        </w:pBdr>
        <w:tabs>
          <w:tab w:val="center" w:pos="4536"/>
          <w:tab w:val="right" w:pos="9072"/>
        </w:tabs>
        <w:jc w:val="center"/>
        <w:rPr>
          <w:rFonts w:ascii="Times New Roman" w:eastAsia="Times New Roman" w:hAnsi="Times New Roman" w:cs="Times New Roman"/>
          <w:sz w:val="28"/>
          <w:szCs w:val="28"/>
          <w:lang w:eastAsia="en-US"/>
        </w:rPr>
      </w:pPr>
      <w:r w:rsidRPr="00565BD2">
        <w:rPr>
          <w:rFonts w:ascii="Times New Roman" w:eastAsia="Times New Roman" w:hAnsi="Times New Roman" w:cs="Times New Roman"/>
          <w:sz w:val="28"/>
          <w:szCs w:val="28"/>
          <w:lang w:eastAsia="en-US"/>
        </w:rPr>
        <w:lastRenderedPageBreak/>
        <w:t>Bibliographie</w:t>
      </w:r>
    </w:p>
    <w:p w:rsidR="00565BD2" w:rsidRPr="00565BD2" w:rsidRDefault="00565BD2" w:rsidP="00565BD2">
      <w:pPr>
        <w:tabs>
          <w:tab w:val="center" w:pos="4536"/>
          <w:tab w:val="right" w:pos="9072"/>
        </w:tabs>
        <w:rPr>
          <w:rFonts w:ascii="Calibri" w:eastAsia="Calibri" w:hAnsi="Calibri" w:cs="Arial"/>
          <w:lang w:eastAsia="en-US"/>
        </w:rPr>
      </w:pPr>
    </w:p>
    <w:p w:rsidR="00565BD2" w:rsidRPr="00565BD2" w:rsidRDefault="00565BD2" w:rsidP="00565BD2">
      <w:pPr>
        <w:spacing w:line="480" w:lineRule="auto"/>
        <w:jc w:val="both"/>
        <w:rPr>
          <w:rFonts w:ascii="Times New Roman" w:eastAsia="Calibri" w:hAnsi="Times New Roman" w:cs="Times New Roman"/>
          <w:bCs/>
          <w:sz w:val="24"/>
          <w:szCs w:val="24"/>
          <w:lang w:eastAsia="en-US"/>
        </w:rPr>
      </w:pPr>
      <w:r w:rsidRPr="00565BD2">
        <w:rPr>
          <w:rFonts w:ascii="Times New Roman" w:eastAsia="Calibri" w:hAnsi="Times New Roman" w:cs="Times New Roman"/>
          <w:bCs/>
          <w:sz w:val="24"/>
          <w:szCs w:val="24"/>
          <w:lang w:eastAsia="en-US"/>
        </w:rPr>
        <w:t>FAVRE, Pierre et Monique</w:t>
      </w:r>
      <w:r w:rsidRPr="00565BD2">
        <w:rPr>
          <w:rFonts w:ascii="Times New Roman" w:eastAsia="Calibri" w:hAnsi="Times New Roman" w:cs="Times New Roman"/>
          <w:bCs/>
          <w:i/>
          <w:iCs/>
          <w:sz w:val="24"/>
          <w:szCs w:val="24"/>
          <w:lang w:eastAsia="en-US"/>
        </w:rPr>
        <w:t>, Les Marxismes après Marx</w:t>
      </w:r>
      <w:r w:rsidRPr="00565BD2">
        <w:rPr>
          <w:rFonts w:ascii="Times New Roman" w:eastAsia="Calibri" w:hAnsi="Times New Roman" w:cs="Times New Roman"/>
          <w:bCs/>
          <w:sz w:val="24"/>
          <w:szCs w:val="24"/>
          <w:lang w:eastAsia="en-US"/>
        </w:rPr>
        <w:t xml:space="preserve">, Collection Que sais-je ?, Presses Universitaires, 1970. </w:t>
      </w:r>
    </w:p>
    <w:p w:rsidR="00565BD2" w:rsidRPr="00565BD2" w:rsidRDefault="00565BD2" w:rsidP="00565BD2">
      <w:pPr>
        <w:spacing w:line="480" w:lineRule="auto"/>
        <w:jc w:val="both"/>
        <w:rPr>
          <w:rFonts w:ascii="Times New Roman" w:eastAsia="Calibri" w:hAnsi="Times New Roman" w:cs="Times New Roman"/>
          <w:bCs/>
          <w:sz w:val="24"/>
          <w:szCs w:val="24"/>
          <w:lang w:eastAsia="en-US"/>
        </w:rPr>
      </w:pPr>
      <w:r w:rsidRPr="00565BD2">
        <w:rPr>
          <w:rFonts w:ascii="Times New Roman" w:eastAsia="Calibri" w:hAnsi="Times New Roman" w:cs="Times New Roman"/>
          <w:bCs/>
          <w:sz w:val="24"/>
          <w:szCs w:val="24"/>
          <w:lang w:eastAsia="en-US"/>
        </w:rPr>
        <w:t xml:space="preserve">LUKACS, Georges, </w:t>
      </w:r>
      <w:r w:rsidRPr="00565BD2">
        <w:rPr>
          <w:rFonts w:ascii="Times New Roman" w:eastAsia="Calibri" w:hAnsi="Times New Roman" w:cs="Times New Roman"/>
          <w:bCs/>
          <w:i/>
          <w:sz w:val="24"/>
          <w:szCs w:val="24"/>
          <w:lang w:eastAsia="en-US"/>
        </w:rPr>
        <w:t>Le roman historique</w:t>
      </w:r>
      <w:r w:rsidRPr="00565BD2">
        <w:rPr>
          <w:rFonts w:ascii="Times New Roman" w:eastAsia="Calibri" w:hAnsi="Times New Roman" w:cs="Times New Roman"/>
          <w:bCs/>
          <w:sz w:val="24"/>
          <w:szCs w:val="24"/>
          <w:lang w:eastAsia="en-US"/>
        </w:rPr>
        <w:t>, Editions Payot et Rivages, 2000.</w:t>
      </w:r>
    </w:p>
    <w:p w:rsidR="00565BD2" w:rsidRPr="00565BD2" w:rsidRDefault="00565BD2" w:rsidP="00565BD2">
      <w:pPr>
        <w:spacing w:line="480" w:lineRule="auto"/>
        <w:jc w:val="both"/>
        <w:rPr>
          <w:rFonts w:ascii="Times New Roman" w:eastAsia="Calibri" w:hAnsi="Times New Roman" w:cs="Times New Roman"/>
          <w:bCs/>
          <w:sz w:val="24"/>
          <w:szCs w:val="24"/>
          <w:lang w:eastAsia="en-US"/>
        </w:rPr>
      </w:pPr>
    </w:p>
    <w:p w:rsidR="00565BD2" w:rsidRPr="00565BD2" w:rsidRDefault="00565BD2" w:rsidP="00565BD2">
      <w:pPr>
        <w:spacing w:line="480" w:lineRule="auto"/>
        <w:jc w:val="both"/>
        <w:rPr>
          <w:rFonts w:ascii="Times New Roman" w:eastAsia="Calibri" w:hAnsi="Times New Roman" w:cs="Times New Roman"/>
          <w:bCs/>
          <w:sz w:val="24"/>
          <w:szCs w:val="24"/>
          <w:lang w:eastAsia="en-US"/>
        </w:rPr>
      </w:pPr>
      <w:r w:rsidRPr="00565BD2">
        <w:rPr>
          <w:rFonts w:ascii="Times New Roman" w:eastAsia="Calibri" w:hAnsi="Times New Roman" w:cs="Times New Roman"/>
          <w:bCs/>
          <w:sz w:val="24"/>
          <w:szCs w:val="24"/>
          <w:lang w:eastAsia="en-US"/>
        </w:rPr>
        <w:t xml:space="preserve">GENETTE, Gérard, </w:t>
      </w:r>
      <w:r w:rsidRPr="00565BD2">
        <w:rPr>
          <w:rFonts w:ascii="Times New Roman" w:eastAsia="Calibri" w:hAnsi="Times New Roman" w:cs="Times New Roman"/>
          <w:bCs/>
          <w:i/>
          <w:iCs/>
          <w:sz w:val="24"/>
          <w:szCs w:val="24"/>
          <w:lang w:eastAsia="en-US"/>
        </w:rPr>
        <w:t>Nouveau discours du récit</w:t>
      </w:r>
      <w:r w:rsidRPr="00565BD2">
        <w:rPr>
          <w:rFonts w:ascii="Times New Roman" w:eastAsia="Calibri" w:hAnsi="Times New Roman" w:cs="Times New Roman"/>
          <w:bCs/>
          <w:sz w:val="24"/>
          <w:szCs w:val="24"/>
          <w:lang w:eastAsia="en-US"/>
        </w:rPr>
        <w:t>, Collection Poétique, Editions du Seuil, 1983.</w:t>
      </w:r>
    </w:p>
    <w:p w:rsidR="00565BD2" w:rsidRPr="00565BD2" w:rsidRDefault="00565BD2" w:rsidP="00565BD2">
      <w:pPr>
        <w:spacing w:line="480" w:lineRule="auto"/>
        <w:jc w:val="both"/>
        <w:rPr>
          <w:rFonts w:ascii="Times New Roman" w:eastAsia="Calibri" w:hAnsi="Times New Roman" w:cs="Times New Roman"/>
          <w:b/>
          <w:sz w:val="24"/>
          <w:szCs w:val="24"/>
          <w:lang w:eastAsia="en-US"/>
        </w:rPr>
      </w:pPr>
      <w:r w:rsidRPr="00565BD2">
        <w:rPr>
          <w:rFonts w:ascii="Times New Roman" w:eastAsia="Calibri" w:hAnsi="Times New Roman" w:cs="Times New Roman"/>
          <w:bCs/>
          <w:sz w:val="24"/>
          <w:szCs w:val="24"/>
          <w:lang w:eastAsia="en-US"/>
        </w:rPr>
        <w:t xml:space="preserve">GENGEMBRE, Gérard, </w:t>
      </w:r>
      <w:r w:rsidRPr="00565BD2">
        <w:rPr>
          <w:rFonts w:ascii="Times New Roman" w:eastAsia="Calibri" w:hAnsi="Times New Roman" w:cs="Times New Roman"/>
          <w:bCs/>
          <w:i/>
          <w:iCs/>
          <w:sz w:val="24"/>
          <w:szCs w:val="24"/>
          <w:lang w:eastAsia="en-US"/>
        </w:rPr>
        <w:t>Le roman historique</w:t>
      </w:r>
      <w:r w:rsidRPr="00565BD2">
        <w:rPr>
          <w:rFonts w:ascii="Times New Roman" w:eastAsia="Calibri" w:hAnsi="Times New Roman" w:cs="Times New Roman"/>
          <w:bCs/>
          <w:sz w:val="24"/>
          <w:szCs w:val="24"/>
          <w:lang w:eastAsia="en-US"/>
        </w:rPr>
        <w:t>, Collection50 questions, Klincksieck, Paris, 2006</w:t>
      </w:r>
      <w:r w:rsidRPr="00565BD2">
        <w:rPr>
          <w:rFonts w:ascii="Times New Roman" w:eastAsia="Calibri" w:hAnsi="Times New Roman" w:cs="Times New Roman"/>
          <w:b/>
          <w:sz w:val="24"/>
          <w:szCs w:val="24"/>
          <w:lang w:eastAsia="en-US"/>
        </w:rPr>
        <w:t xml:space="preserve">.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GOURDEAU, Gabrielle </w:t>
      </w:r>
      <w:r w:rsidRPr="00565BD2">
        <w:rPr>
          <w:rFonts w:ascii="Times New Roman" w:eastAsia="Calibri" w:hAnsi="Times New Roman" w:cs="Times New Roman"/>
          <w:i/>
          <w:iCs/>
          <w:sz w:val="24"/>
          <w:szCs w:val="24"/>
          <w:lang w:eastAsia="en-US"/>
        </w:rPr>
        <w:t>Analyse du discours narratif</w:t>
      </w:r>
      <w:r w:rsidRPr="00565BD2">
        <w:rPr>
          <w:rFonts w:ascii="Times New Roman" w:eastAsia="Calibri" w:hAnsi="Times New Roman" w:cs="Times New Roman"/>
          <w:sz w:val="24"/>
          <w:szCs w:val="24"/>
          <w:lang w:eastAsia="en-US"/>
        </w:rPr>
        <w:t xml:space="preserve">, Editions MAGNARD, 1993.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REUTER, Yves, </w:t>
      </w:r>
      <w:r w:rsidRPr="00565BD2">
        <w:rPr>
          <w:rFonts w:ascii="Times New Roman" w:eastAsia="Calibri" w:hAnsi="Times New Roman" w:cs="Times New Roman"/>
          <w:i/>
          <w:iCs/>
          <w:sz w:val="24"/>
          <w:szCs w:val="24"/>
          <w:lang w:eastAsia="en-US"/>
        </w:rPr>
        <w:t>L’Analyse du récit,</w:t>
      </w:r>
      <w:r w:rsidRPr="00565BD2">
        <w:rPr>
          <w:rFonts w:ascii="Times New Roman" w:eastAsia="Calibri" w:hAnsi="Times New Roman" w:cs="Times New Roman"/>
          <w:sz w:val="24"/>
          <w:szCs w:val="24"/>
          <w:lang w:eastAsia="en-US"/>
        </w:rPr>
        <w:t xml:space="preserve"> Paris, Nathan Université, 2003.</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RICOEUR, Paul, Temps et Récit, </w:t>
      </w:r>
      <w:r w:rsidRPr="00565BD2">
        <w:rPr>
          <w:rFonts w:ascii="Times New Roman" w:eastAsia="Calibri" w:hAnsi="Times New Roman" w:cs="Times New Roman"/>
          <w:i/>
          <w:iCs/>
          <w:sz w:val="24"/>
          <w:szCs w:val="24"/>
          <w:lang w:eastAsia="en-US"/>
        </w:rPr>
        <w:t>L’intrigue et le récit historique</w:t>
      </w:r>
      <w:r w:rsidRPr="00565BD2">
        <w:rPr>
          <w:rFonts w:ascii="Times New Roman" w:eastAsia="Calibri" w:hAnsi="Times New Roman" w:cs="Times New Roman"/>
          <w:sz w:val="24"/>
          <w:szCs w:val="24"/>
          <w:lang w:eastAsia="en-US"/>
        </w:rPr>
        <w:t>, Collection .Essais, Editions du Seuil, 1983.</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RICOEUR, Paul, </w:t>
      </w:r>
      <w:r w:rsidRPr="00565BD2">
        <w:rPr>
          <w:rFonts w:ascii="Times New Roman" w:eastAsia="Calibri" w:hAnsi="Times New Roman" w:cs="Times New Roman"/>
          <w:i/>
          <w:iCs/>
          <w:sz w:val="24"/>
          <w:szCs w:val="24"/>
          <w:lang w:eastAsia="en-US"/>
        </w:rPr>
        <w:t>La mémoire, L’histoire, L’oubli</w:t>
      </w:r>
      <w:r w:rsidRPr="00565BD2">
        <w:rPr>
          <w:rFonts w:ascii="Times New Roman" w:eastAsia="Calibri" w:hAnsi="Times New Roman" w:cs="Times New Roman"/>
          <w:sz w:val="24"/>
          <w:szCs w:val="24"/>
          <w:lang w:eastAsia="en-US"/>
        </w:rPr>
        <w:t xml:space="preserve">, Collection Essais, Editions du Seuil, 2000. </w:t>
      </w:r>
    </w:p>
    <w:p w:rsidR="00565BD2" w:rsidRPr="00565BD2" w:rsidRDefault="00565BD2" w:rsidP="00565BD2">
      <w:pPr>
        <w:spacing w:line="480" w:lineRule="auto"/>
        <w:jc w:val="both"/>
        <w:rPr>
          <w:rFonts w:ascii="Times New Roman" w:eastAsia="Calibri" w:hAnsi="Times New Roman" w:cs="Times New Roman"/>
          <w:b/>
          <w:bCs/>
          <w:sz w:val="24"/>
          <w:szCs w:val="24"/>
          <w:lang w:eastAsia="en-US"/>
        </w:rPr>
      </w:pPr>
      <w:r w:rsidRPr="00565BD2">
        <w:rPr>
          <w:rFonts w:ascii="Times New Roman" w:eastAsia="Calibri" w:hAnsi="Times New Roman" w:cs="Times New Roman"/>
          <w:b/>
          <w:bCs/>
          <w:sz w:val="24"/>
          <w:szCs w:val="24"/>
          <w:lang w:eastAsia="en-US"/>
        </w:rPr>
        <w:t xml:space="preserve">5. Ouvrage historique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ALARY, Eric, VERGEZ- CHAIGNON, Bénédicte,  GAUVIN, Gilles, </w:t>
      </w:r>
      <w:r w:rsidRPr="00565BD2">
        <w:rPr>
          <w:rFonts w:ascii="Times New Roman" w:eastAsia="Calibri" w:hAnsi="Times New Roman" w:cs="Times New Roman"/>
          <w:i/>
          <w:iCs/>
          <w:sz w:val="24"/>
          <w:szCs w:val="24"/>
          <w:lang w:eastAsia="en-US"/>
        </w:rPr>
        <w:t>les français au quotidien 1939-1949</w:t>
      </w:r>
      <w:r w:rsidRPr="00565BD2">
        <w:rPr>
          <w:rFonts w:ascii="Times New Roman" w:eastAsia="Calibri" w:hAnsi="Times New Roman" w:cs="Times New Roman"/>
          <w:sz w:val="24"/>
          <w:szCs w:val="24"/>
          <w:lang w:eastAsia="en-US"/>
        </w:rPr>
        <w:t>, Collection Tempus, Editions PERRIN, 2009.</w:t>
      </w:r>
    </w:p>
    <w:p w:rsidR="00565BD2" w:rsidRPr="00565BD2" w:rsidRDefault="00565BD2" w:rsidP="00565BD2">
      <w:pPr>
        <w:spacing w:line="480" w:lineRule="auto"/>
        <w:jc w:val="both"/>
        <w:rPr>
          <w:rFonts w:ascii="Times New Roman" w:eastAsia="Calibri" w:hAnsi="Times New Roman" w:cs="Times New Roman"/>
          <w:b/>
          <w:bCs/>
          <w:sz w:val="24"/>
          <w:szCs w:val="24"/>
          <w:lang w:eastAsia="en-US"/>
        </w:rPr>
      </w:pPr>
      <w:r w:rsidRPr="00565BD2">
        <w:rPr>
          <w:rFonts w:ascii="Times New Roman" w:eastAsia="Calibri" w:hAnsi="Times New Roman" w:cs="Times New Roman"/>
          <w:b/>
          <w:bCs/>
          <w:sz w:val="24"/>
          <w:szCs w:val="24"/>
          <w:lang w:eastAsia="en-US"/>
        </w:rPr>
        <w:t>6. Ouvrage littéraire</w:t>
      </w:r>
    </w:p>
    <w:p w:rsid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FRAGONARD, M.M, </w:t>
      </w:r>
      <w:r w:rsidRPr="00565BD2">
        <w:rPr>
          <w:rFonts w:ascii="Times New Roman" w:eastAsia="Calibri" w:hAnsi="Times New Roman" w:cs="Times New Roman"/>
          <w:i/>
          <w:iCs/>
          <w:sz w:val="24"/>
          <w:szCs w:val="24"/>
          <w:lang w:eastAsia="en-US"/>
        </w:rPr>
        <w:t>Précis d’histoire de la littérature française</w:t>
      </w:r>
      <w:r w:rsidRPr="00565BD2">
        <w:rPr>
          <w:rFonts w:ascii="Times New Roman" w:eastAsia="Calibri" w:hAnsi="Times New Roman" w:cs="Times New Roman"/>
          <w:sz w:val="24"/>
          <w:szCs w:val="24"/>
          <w:lang w:eastAsia="en-US"/>
        </w:rPr>
        <w:t>, Editions Didier, 1981.</w:t>
      </w:r>
    </w:p>
    <w:p w:rsidR="00565BD2" w:rsidRDefault="00565BD2">
      <w:pPr>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br w:type="page"/>
      </w:r>
    </w:p>
    <w:p w:rsidR="00565BD2" w:rsidRPr="00565BD2" w:rsidRDefault="00565BD2" w:rsidP="00565BD2">
      <w:pPr>
        <w:pBdr>
          <w:bottom w:val="thickThinSmallGap" w:sz="24" w:space="1" w:color="622423"/>
        </w:pBdr>
        <w:tabs>
          <w:tab w:val="center" w:pos="4536"/>
          <w:tab w:val="right" w:pos="9072"/>
        </w:tabs>
        <w:jc w:val="center"/>
        <w:rPr>
          <w:rFonts w:ascii="Times New Roman" w:eastAsia="Times New Roman" w:hAnsi="Times New Roman" w:cs="Times New Roman"/>
          <w:sz w:val="28"/>
          <w:szCs w:val="28"/>
          <w:lang w:eastAsia="en-US"/>
        </w:rPr>
      </w:pPr>
      <w:r w:rsidRPr="00565BD2">
        <w:rPr>
          <w:rFonts w:ascii="Times New Roman" w:eastAsia="Times New Roman" w:hAnsi="Times New Roman" w:cs="Times New Roman"/>
          <w:sz w:val="28"/>
          <w:szCs w:val="28"/>
          <w:lang w:eastAsia="en-US"/>
        </w:rPr>
        <w:lastRenderedPageBreak/>
        <w:t>Bibliographie</w:t>
      </w:r>
    </w:p>
    <w:p w:rsidR="00565BD2" w:rsidRPr="00565BD2" w:rsidRDefault="00565BD2" w:rsidP="00565BD2">
      <w:pPr>
        <w:tabs>
          <w:tab w:val="center" w:pos="4536"/>
          <w:tab w:val="right" w:pos="9072"/>
        </w:tabs>
        <w:rPr>
          <w:rFonts w:ascii="Calibri" w:eastAsia="Calibri" w:hAnsi="Calibri" w:cs="Arial"/>
          <w:lang w:eastAsia="en-US"/>
        </w:rPr>
      </w:pPr>
    </w:p>
    <w:p w:rsidR="00565BD2" w:rsidRPr="00565BD2" w:rsidRDefault="00565BD2" w:rsidP="00565BD2">
      <w:pPr>
        <w:spacing w:line="480" w:lineRule="auto"/>
        <w:jc w:val="both"/>
        <w:rPr>
          <w:rFonts w:ascii="Times New Roman" w:eastAsia="Calibri" w:hAnsi="Times New Roman" w:cs="Times New Roman"/>
          <w:b/>
          <w:bCs/>
          <w:sz w:val="24"/>
          <w:szCs w:val="24"/>
          <w:lang w:eastAsia="en-US"/>
        </w:rPr>
      </w:pPr>
      <w:r w:rsidRPr="00565BD2">
        <w:rPr>
          <w:rFonts w:ascii="Times New Roman" w:eastAsia="Calibri" w:hAnsi="Times New Roman" w:cs="Times New Roman"/>
          <w:b/>
          <w:bCs/>
          <w:sz w:val="24"/>
          <w:szCs w:val="24"/>
          <w:lang w:eastAsia="en-US"/>
        </w:rPr>
        <w:t>7. Ouvrage consulté en ligne</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GERBE, Jean Wei, « </w:t>
      </w:r>
      <w:r w:rsidRPr="00565BD2">
        <w:rPr>
          <w:rFonts w:ascii="Times New Roman" w:eastAsia="Calibri" w:hAnsi="Times New Roman" w:cs="Times New Roman"/>
          <w:i/>
          <w:iCs/>
          <w:sz w:val="24"/>
          <w:szCs w:val="24"/>
          <w:lang w:eastAsia="en-US"/>
        </w:rPr>
        <w:t>Histoire comparée des littératures des langues Européennes </w:t>
      </w:r>
      <w:r w:rsidRPr="00565BD2">
        <w:rPr>
          <w:rFonts w:ascii="Times New Roman" w:eastAsia="Calibri" w:hAnsi="Times New Roman" w:cs="Times New Roman"/>
          <w:sz w:val="24"/>
          <w:szCs w:val="24"/>
          <w:lang w:eastAsia="en-US"/>
        </w:rPr>
        <w:t>», les avant-gardes au XX</w:t>
      </w:r>
      <w:r w:rsidRPr="00565BD2">
        <w:rPr>
          <w:rFonts w:ascii="Times New Roman" w:eastAsia="Calibri" w:hAnsi="Times New Roman" w:cs="Times New Roman"/>
          <w:sz w:val="24"/>
          <w:szCs w:val="24"/>
          <w:vertAlign w:val="superscript"/>
          <w:lang w:eastAsia="en-US"/>
        </w:rPr>
        <w:t xml:space="preserve">e </w:t>
      </w:r>
      <w:r w:rsidRPr="00565BD2">
        <w:rPr>
          <w:rFonts w:ascii="Times New Roman" w:eastAsia="Calibri" w:hAnsi="Times New Roman" w:cs="Times New Roman"/>
          <w:sz w:val="24"/>
          <w:szCs w:val="24"/>
          <w:lang w:eastAsia="en-US"/>
        </w:rPr>
        <w:t>siècle, Akadémial, Kiado, Budapest</w:t>
      </w:r>
    </w:p>
    <w:p w:rsidR="00565BD2" w:rsidRPr="00565BD2" w:rsidRDefault="00565BD2" w:rsidP="00565BD2">
      <w:pPr>
        <w:spacing w:line="480" w:lineRule="auto"/>
        <w:jc w:val="both"/>
        <w:rPr>
          <w:rFonts w:ascii="Times New Roman" w:eastAsia="Calibri" w:hAnsi="Times New Roman" w:cs="Times New Roman"/>
          <w:b/>
          <w:bCs/>
          <w:sz w:val="24"/>
          <w:szCs w:val="24"/>
          <w:lang w:eastAsia="en-US"/>
        </w:rPr>
      </w:pPr>
      <w:r w:rsidRPr="00565BD2">
        <w:rPr>
          <w:rFonts w:ascii="Times New Roman" w:eastAsia="Calibri" w:hAnsi="Times New Roman" w:cs="Times New Roman"/>
          <w:b/>
          <w:bCs/>
          <w:sz w:val="24"/>
          <w:szCs w:val="24"/>
          <w:lang w:eastAsia="en-US"/>
        </w:rPr>
        <w:t xml:space="preserve">8. Sitographie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http://fr.wikipedia.org/wiki/l’entre-deux-guerres</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http://fr.wikipedia.org/wiki/SHYLOck</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http://fr.wikipedia.org/wiki/les Prusses</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http://fr.Gallimard la maison aux cent ans de création-LEXPRESS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WWW. La grande librairie. France 5.fr </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WWW.fance2.fr/droit d’inventaire</w:t>
      </w:r>
    </w:p>
    <w:p w:rsidR="00565BD2" w:rsidRPr="00565BD2" w:rsidRDefault="00565BD2" w:rsidP="00565BD2">
      <w:pPr>
        <w:spacing w:line="480" w:lineRule="auto"/>
        <w:jc w:val="both"/>
        <w:rPr>
          <w:rFonts w:ascii="Times New Roman" w:eastAsia="Calibri" w:hAnsi="Times New Roman" w:cs="Times New Roman"/>
          <w:b/>
          <w:bCs/>
          <w:sz w:val="24"/>
          <w:szCs w:val="24"/>
          <w:lang w:eastAsia="en-US"/>
        </w:rPr>
      </w:pPr>
      <w:r w:rsidRPr="00565BD2">
        <w:rPr>
          <w:rFonts w:ascii="Times New Roman" w:eastAsia="Calibri" w:hAnsi="Times New Roman" w:cs="Times New Roman"/>
          <w:b/>
          <w:bCs/>
          <w:sz w:val="24"/>
          <w:szCs w:val="24"/>
          <w:lang w:eastAsia="en-US"/>
        </w:rPr>
        <w:t>8. Divers</w:t>
      </w:r>
    </w:p>
    <w:p w:rsidR="00565BD2"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 xml:space="preserve">DUCROT, Oswald / TODOROV, tzvetan, </w:t>
      </w:r>
      <w:r w:rsidRPr="00565BD2">
        <w:rPr>
          <w:rFonts w:ascii="Times New Roman" w:eastAsia="Calibri" w:hAnsi="Times New Roman" w:cs="Times New Roman"/>
          <w:i/>
          <w:iCs/>
          <w:sz w:val="24"/>
          <w:szCs w:val="24"/>
          <w:lang w:eastAsia="en-US"/>
        </w:rPr>
        <w:t>Dictionnaire encyclopédique des sciences du langage</w:t>
      </w:r>
      <w:r w:rsidRPr="00565BD2">
        <w:rPr>
          <w:rFonts w:ascii="Times New Roman" w:eastAsia="Calibri" w:hAnsi="Times New Roman" w:cs="Times New Roman"/>
          <w:sz w:val="24"/>
          <w:szCs w:val="24"/>
          <w:lang w:eastAsia="en-US"/>
        </w:rPr>
        <w:t>, Collection Points, Editions du Seuil, 1972.</w:t>
      </w:r>
    </w:p>
    <w:p w:rsidR="00925FDC" w:rsidRPr="00565BD2" w:rsidRDefault="00565BD2" w:rsidP="00565BD2">
      <w:pPr>
        <w:spacing w:line="480" w:lineRule="auto"/>
        <w:jc w:val="both"/>
        <w:rPr>
          <w:rFonts w:ascii="Times New Roman" w:eastAsia="Calibri" w:hAnsi="Times New Roman" w:cs="Times New Roman"/>
          <w:sz w:val="24"/>
          <w:szCs w:val="24"/>
          <w:lang w:eastAsia="en-US"/>
        </w:rPr>
      </w:pPr>
      <w:r w:rsidRPr="00565BD2">
        <w:rPr>
          <w:rFonts w:ascii="Times New Roman" w:eastAsia="Calibri" w:hAnsi="Times New Roman" w:cs="Times New Roman"/>
          <w:sz w:val="24"/>
          <w:szCs w:val="24"/>
          <w:lang w:eastAsia="en-US"/>
        </w:rPr>
        <w:t>Dictionnaire Hachette Edition 2007.</w:t>
      </w:r>
    </w:p>
    <w:p w:rsidR="002B433F" w:rsidRPr="002B433F" w:rsidRDefault="002B433F" w:rsidP="002B433F">
      <w:pPr>
        <w:rPr>
          <w:rFonts w:ascii="Times New Roman" w:eastAsia="Calibri" w:hAnsi="Times New Roman" w:cs="Times New Roman"/>
          <w:bCs/>
          <w:sz w:val="24"/>
          <w:szCs w:val="24"/>
          <w:lang w:eastAsia="en-US"/>
        </w:rPr>
      </w:pPr>
    </w:p>
    <w:sectPr w:rsidR="002B433F" w:rsidRPr="002B433F" w:rsidSect="00E473BC">
      <w:pgSz w:w="11906" w:h="16838" w:code="9"/>
      <w:pgMar w:top="567" w:right="1418" w:bottom="1418" w:left="1418"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5A33" w:rsidRDefault="00035A33" w:rsidP="008817B5">
      <w:pPr>
        <w:spacing w:after="0" w:line="240" w:lineRule="auto"/>
      </w:pPr>
      <w:r>
        <w:separator/>
      </w:r>
    </w:p>
  </w:endnote>
  <w:endnote w:type="continuationSeparator" w:id="1">
    <w:p w:rsidR="00035A33" w:rsidRDefault="00035A33" w:rsidP="008817B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 -">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225634"/>
      <w:docPartObj>
        <w:docPartGallery w:val="Page Numbers (Bottom of Page)"/>
        <w:docPartUnique/>
      </w:docPartObj>
    </w:sdtPr>
    <w:sdtContent>
      <w:p w:rsidR="00E473BC" w:rsidRDefault="00E473BC">
        <w:pPr>
          <w:pStyle w:val="Pieddepage"/>
          <w:jc w:val="center"/>
        </w:pPr>
        <w:fldSimple w:instr=" PAGE   \* MERGEFORMAT ">
          <w:r w:rsidR="00565BD2">
            <w:rPr>
              <w:noProof/>
            </w:rPr>
            <w:t>92</w:t>
          </w:r>
        </w:fldSimple>
      </w:p>
    </w:sdtContent>
  </w:sdt>
  <w:p w:rsidR="00F25A97" w:rsidRDefault="00F25A9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5A33" w:rsidRDefault="00035A33" w:rsidP="008817B5">
      <w:pPr>
        <w:spacing w:after="0" w:line="240" w:lineRule="auto"/>
      </w:pPr>
      <w:r>
        <w:separator/>
      </w:r>
    </w:p>
  </w:footnote>
  <w:footnote w:type="continuationSeparator" w:id="1">
    <w:p w:rsidR="00035A33" w:rsidRDefault="00035A33" w:rsidP="008817B5">
      <w:pPr>
        <w:spacing w:after="0" w:line="240" w:lineRule="auto"/>
      </w:pPr>
      <w:r>
        <w:continuationSeparator/>
      </w:r>
    </w:p>
  </w:footnote>
  <w:footnote w:id="2">
    <w:p w:rsidR="00F25A97" w:rsidRDefault="00F25A97" w:rsidP="008F0BF3">
      <w:pPr>
        <w:pStyle w:val="Notedebasdepage"/>
      </w:pPr>
      <w:r>
        <w:rPr>
          <w:rStyle w:val="Appelnotedebasdep"/>
        </w:rPr>
        <w:footnoteRef/>
      </w:r>
      <w:r>
        <w:t xml:space="preserve"> Isabelle Gillet, étude sur J.M.G.Le Clézio, Le Chercheur d’or, Editions Ellipses, 2001.</w:t>
      </w:r>
    </w:p>
  </w:footnote>
  <w:footnote w:id="3">
    <w:p w:rsidR="00F25A97" w:rsidRPr="00F25A97" w:rsidRDefault="00F25A97" w:rsidP="00F25A97">
      <w:pPr>
        <w:pStyle w:val="Notedebasdepage"/>
      </w:pPr>
      <w:r>
        <w:rPr>
          <w:rStyle w:val="Appelnotedebasdep"/>
        </w:rPr>
        <w:footnoteRef/>
      </w:r>
      <w:r>
        <w:t xml:space="preserve"> Marina Salles, étude sur</w:t>
      </w:r>
      <w:r w:rsidRPr="00992286">
        <w:rPr>
          <w:sz w:val="24"/>
          <w:szCs w:val="24"/>
        </w:rPr>
        <w:t xml:space="preserve"> </w:t>
      </w:r>
      <w:r w:rsidRPr="00992286">
        <w:t>Le Clézio, Désert</w:t>
      </w:r>
      <w:r>
        <w:t>, Editions Ellipses, 1999.</w:t>
      </w:r>
    </w:p>
  </w:footnote>
  <w:footnote w:id="4">
    <w:p w:rsidR="00F25A97" w:rsidRDefault="00F25A97" w:rsidP="008F0BF3">
      <w:pPr>
        <w:pStyle w:val="Notedebasdepage"/>
      </w:pPr>
      <w:r>
        <w:rPr>
          <w:rStyle w:val="Appelnotedebasdep"/>
        </w:rPr>
        <w:footnoteRef/>
      </w:r>
      <w:r>
        <w:t xml:space="preserve"> Jean-  Marie Gustave Le Clézio, L’extase Matérielle, Collection Folio, Editions Gallimard, 1967 </w:t>
      </w:r>
    </w:p>
    <w:p w:rsidR="00F25A97" w:rsidRPr="009F5CF5" w:rsidRDefault="00F25A97" w:rsidP="00F25A97">
      <w:pPr>
        <w:pStyle w:val="Notedebasdepage"/>
        <w:rPr>
          <w:sz w:val="24"/>
          <w:szCs w:val="24"/>
        </w:rPr>
      </w:pPr>
    </w:p>
    <w:p w:rsidR="00F25A97" w:rsidRPr="00AE3853" w:rsidRDefault="00F25A97" w:rsidP="008F0BF3">
      <w:pPr>
        <w:pStyle w:val="Notedebasdepage"/>
      </w:pPr>
    </w:p>
  </w:footnote>
  <w:footnote w:id="5">
    <w:p w:rsidR="00F25A97" w:rsidRPr="00E84AB6" w:rsidRDefault="00F25A97" w:rsidP="008F0BF3">
      <w:pPr>
        <w:pStyle w:val="Notedebasdepage"/>
      </w:pPr>
      <w:r w:rsidRPr="00E84AB6">
        <w:rPr>
          <w:rStyle w:val="Appelnotedebasdep"/>
        </w:rPr>
        <w:footnoteRef/>
      </w:r>
      <w:r w:rsidRPr="00E84AB6">
        <w:t xml:space="preserve"> http:// </w:t>
      </w:r>
      <w:r>
        <w:t xml:space="preserve">Fr. wikipedia .org/wiki /les Prusses </w:t>
      </w:r>
    </w:p>
  </w:footnote>
  <w:footnote w:id="6">
    <w:p w:rsidR="00F25A97" w:rsidRPr="00273C90" w:rsidRDefault="00F25A97" w:rsidP="008F0BF3">
      <w:pPr>
        <w:pStyle w:val="Notedebasdepage"/>
      </w:pPr>
      <w:r w:rsidRPr="00273C90">
        <w:rPr>
          <w:rStyle w:val="Appelnotedebasdep"/>
        </w:rPr>
        <w:footnoteRef/>
      </w:r>
      <w:r w:rsidRPr="00273C90">
        <w:t xml:space="preserve"> Dictionnaire Hachette, La Commune de Paris, Edition 2007.</w:t>
      </w:r>
    </w:p>
  </w:footnote>
  <w:footnote w:id="7">
    <w:p w:rsidR="00F25A97" w:rsidRDefault="00F25A97" w:rsidP="00545548">
      <w:pPr>
        <w:pStyle w:val="Notedebasdepage"/>
      </w:pPr>
      <w:r>
        <w:rPr>
          <w:rStyle w:val="Appelnotedebasdep"/>
        </w:rPr>
        <w:footnoteRef/>
      </w:r>
      <w:r>
        <w:t xml:space="preserve"> Gérard Genette, Nouveau discours du récit, Collection Poétique, Editions du Seuil, 1983. </w:t>
      </w:r>
    </w:p>
  </w:footnote>
  <w:footnote w:id="8">
    <w:p w:rsidR="00F25A97" w:rsidRDefault="00F25A97" w:rsidP="00545548">
      <w:pPr>
        <w:pStyle w:val="Notedebasdepage"/>
      </w:pPr>
      <w:r>
        <w:rPr>
          <w:rStyle w:val="Appelnotedebasdep"/>
        </w:rPr>
        <w:footnoteRef/>
      </w:r>
      <w:r>
        <w:t xml:space="preserve"> Gérard genette in Gabrielle Goudeau, Analyse du discours narratif, Edition MAGNARD, 1993. </w:t>
      </w:r>
    </w:p>
  </w:footnote>
  <w:footnote w:id="9">
    <w:p w:rsidR="00F25A97" w:rsidRDefault="00F25A97" w:rsidP="00545548">
      <w:pPr>
        <w:pStyle w:val="Notedebasdepage"/>
      </w:pPr>
      <w:r>
        <w:rPr>
          <w:rStyle w:val="Appelnotedebasdep"/>
        </w:rPr>
        <w:footnoteRef/>
      </w:r>
      <w:r>
        <w:t xml:space="preserve"> Claude Jean Colas, « </w:t>
      </w:r>
      <w:r w:rsidRPr="00C408EE">
        <w:rPr>
          <w:i/>
        </w:rPr>
        <w:t>l’exposition Rimbaud Mania</w:t>
      </w:r>
      <w:r>
        <w:t xml:space="preserve"> », Paris, 2010. </w:t>
      </w:r>
    </w:p>
  </w:footnote>
  <w:footnote w:id="10">
    <w:p w:rsidR="00F25A97" w:rsidRDefault="00F25A97" w:rsidP="00545548">
      <w:pPr>
        <w:pStyle w:val="Notedebasdepage"/>
      </w:pPr>
      <w:r>
        <w:rPr>
          <w:rStyle w:val="Appelnotedebasdep"/>
        </w:rPr>
        <w:footnoteRef/>
      </w:r>
      <w:r>
        <w:t xml:space="preserve">Jean Marie Gustave Le Clézio, </w:t>
      </w:r>
      <w:r w:rsidRPr="001C59F6">
        <w:rPr>
          <w:i/>
          <w:iCs/>
        </w:rPr>
        <w:t>l’Extase matérielle,</w:t>
      </w:r>
      <w:r>
        <w:t xml:space="preserve"> Collection Folio, Editions Gallimard, 1967. </w:t>
      </w:r>
    </w:p>
  </w:footnote>
  <w:footnote w:id="11">
    <w:p w:rsidR="00F25A97" w:rsidRDefault="00F25A97" w:rsidP="00545548">
      <w:pPr>
        <w:pStyle w:val="Notedebasdepage"/>
      </w:pPr>
      <w:r>
        <w:rPr>
          <w:rStyle w:val="Appelnotedebasdep"/>
        </w:rPr>
        <w:footnoteRef/>
      </w:r>
      <w:r>
        <w:t xml:space="preserve"> L’hypertextualité in Gérard Genette, </w:t>
      </w:r>
      <w:r>
        <w:rPr>
          <w:i/>
          <w:iCs/>
        </w:rPr>
        <w:t>N</w:t>
      </w:r>
      <w:r w:rsidRPr="001C59F6">
        <w:rPr>
          <w:i/>
          <w:iCs/>
        </w:rPr>
        <w:t>ouveau discours du récit</w:t>
      </w:r>
      <w:r>
        <w:t xml:space="preserve">, Collection Poétique, Edition du Seuil, 1983. </w:t>
      </w:r>
    </w:p>
  </w:footnote>
  <w:footnote w:id="12">
    <w:p w:rsidR="00F25A97" w:rsidRDefault="00F25A97" w:rsidP="005977BE">
      <w:pPr>
        <w:pStyle w:val="Notedebasdepage"/>
      </w:pPr>
      <w:r>
        <w:rPr>
          <w:rStyle w:val="Appelnotedebasdep"/>
        </w:rPr>
        <w:footnoteRef/>
      </w:r>
      <w:r>
        <w:t xml:space="preserve"> </w:t>
      </w:r>
      <w:r w:rsidRPr="00D01C00">
        <w:t>Fête de la faim</w:t>
      </w:r>
      <w:r>
        <w:t xml:space="preserve">, in Jean Marie-Gustave Le Clézio, </w:t>
      </w:r>
      <w:r w:rsidRPr="001C59F6">
        <w:rPr>
          <w:i/>
          <w:iCs/>
        </w:rPr>
        <w:t>Ritournelle de la faim</w:t>
      </w:r>
      <w:r>
        <w:t>, Editions Gallimard, 2008.</w:t>
      </w:r>
    </w:p>
  </w:footnote>
  <w:footnote w:id="13">
    <w:p w:rsidR="00F25A97" w:rsidRDefault="00F25A97" w:rsidP="005977BE">
      <w:pPr>
        <w:pStyle w:val="Notedebasdepage"/>
      </w:pPr>
      <w:r>
        <w:rPr>
          <w:rStyle w:val="Appelnotedebasdep"/>
        </w:rPr>
        <w:footnoteRef/>
      </w:r>
      <w:r>
        <w:t xml:space="preserve"> http : // Historique_Gallimard. </w:t>
      </w:r>
    </w:p>
  </w:footnote>
  <w:footnote w:id="14">
    <w:p w:rsidR="00F25A97" w:rsidRDefault="00F25A97" w:rsidP="005977BE">
      <w:pPr>
        <w:pStyle w:val="Notedebasdepage"/>
      </w:pPr>
      <w:r>
        <w:rPr>
          <w:rStyle w:val="Appelnotedebasdep"/>
        </w:rPr>
        <w:footnoteRef/>
      </w:r>
      <w:r>
        <w:t xml:space="preserve"> IBID. </w:t>
      </w:r>
    </w:p>
  </w:footnote>
  <w:footnote w:id="15">
    <w:p w:rsidR="00F25A97" w:rsidRDefault="00F25A97" w:rsidP="005977BE">
      <w:pPr>
        <w:pStyle w:val="Notedebasdepage"/>
      </w:pPr>
      <w:r>
        <w:rPr>
          <w:rStyle w:val="Appelnotedebasdep"/>
        </w:rPr>
        <w:footnoteRef/>
      </w:r>
      <w:r>
        <w:t xml:space="preserve"> IBID. </w:t>
      </w:r>
    </w:p>
  </w:footnote>
  <w:footnote w:id="16">
    <w:p w:rsidR="00F25A97" w:rsidRDefault="00F25A97" w:rsidP="005977BE">
      <w:pPr>
        <w:pStyle w:val="Notedebasdepage"/>
      </w:pPr>
      <w:r>
        <w:rPr>
          <w:rStyle w:val="Appelnotedebasdep"/>
        </w:rPr>
        <w:footnoteRef/>
      </w:r>
      <w:r>
        <w:t>http:// Gallimard la maison aux cent ans de création- L’EXPRESS.</w:t>
      </w:r>
    </w:p>
  </w:footnote>
  <w:footnote w:id="17">
    <w:p w:rsidR="00F25A97" w:rsidRDefault="00F25A97" w:rsidP="00BB72F2">
      <w:pPr>
        <w:pStyle w:val="Notedebasdepage"/>
      </w:pPr>
      <w:r w:rsidRPr="005B126B">
        <w:rPr>
          <w:rStyle w:val="Appelnotedebasdep"/>
        </w:rPr>
        <w:sym w:font="Symbol" w:char="F02A"/>
      </w:r>
      <w:r>
        <w:t xml:space="preserve"> La Fonction-pivot permet de changer le cours du récit.</w:t>
      </w:r>
    </w:p>
  </w:footnote>
  <w:footnote w:id="18">
    <w:p w:rsidR="00F25A97" w:rsidRDefault="00F25A97" w:rsidP="00BB72F2">
      <w:pPr>
        <w:pStyle w:val="Notedebasdepage"/>
      </w:pPr>
      <w:r>
        <w:rPr>
          <w:rStyle w:val="Appelnotedebasdep"/>
        </w:rPr>
        <w:footnoteRef/>
      </w:r>
      <w:r>
        <w:t xml:space="preserve"> Claude Brémond, </w:t>
      </w:r>
      <w:r w:rsidRPr="003806D7">
        <w:rPr>
          <w:i/>
        </w:rPr>
        <w:t>La logique du récit</w:t>
      </w:r>
      <w:r>
        <w:t>, Collection poétique, Editions du Seuil, 1973.</w:t>
      </w:r>
    </w:p>
    <w:p w:rsidR="00F25A97" w:rsidRDefault="00F25A97" w:rsidP="00BB72F2">
      <w:pPr>
        <w:pStyle w:val="Notedebasdepage"/>
      </w:pPr>
    </w:p>
  </w:footnote>
  <w:footnote w:id="19">
    <w:p w:rsidR="00F25A97" w:rsidRDefault="00F25A97" w:rsidP="00BB72F2">
      <w:pPr>
        <w:pStyle w:val="Notedebasdepage"/>
      </w:pPr>
      <w:r>
        <w:rPr>
          <w:rStyle w:val="Appelnotedebasdep"/>
        </w:rPr>
        <w:footnoteRef/>
      </w:r>
      <w:r>
        <w:t xml:space="preserve"> Paul Ricœur, </w:t>
      </w:r>
      <w:r w:rsidRPr="001C59F6">
        <w:rPr>
          <w:i/>
          <w:iCs/>
        </w:rPr>
        <w:t>Temps et récit</w:t>
      </w:r>
      <w:r>
        <w:t xml:space="preserve">, tome 1, Editions du Seuil, 1983. </w:t>
      </w:r>
    </w:p>
  </w:footnote>
  <w:footnote w:id="20">
    <w:p w:rsidR="00F25A97" w:rsidRDefault="00F25A97" w:rsidP="00B60FD0">
      <w:pPr>
        <w:pStyle w:val="Notedebasdepage"/>
      </w:pPr>
      <w:r>
        <w:rPr>
          <w:rStyle w:val="Appelnotedebasdep"/>
        </w:rPr>
        <w:footnoteRef/>
      </w:r>
      <w:r>
        <w:t xml:space="preserve"> Gérard Genette, </w:t>
      </w:r>
      <w:r w:rsidRPr="001C59F6">
        <w:rPr>
          <w:i/>
          <w:iCs/>
        </w:rPr>
        <w:t>Nouveau discours du récit</w:t>
      </w:r>
      <w:r>
        <w:t>, Collection Poétique, Editions du Seuil, 1983.</w:t>
      </w:r>
    </w:p>
  </w:footnote>
  <w:footnote w:id="21">
    <w:p w:rsidR="00F25A97" w:rsidRPr="00F9528F" w:rsidRDefault="00F25A97" w:rsidP="00B60FD0">
      <w:pPr>
        <w:pStyle w:val="Notedebasdepage"/>
      </w:pPr>
      <w:r>
        <w:rPr>
          <w:rStyle w:val="Appelnotedebasdep"/>
        </w:rPr>
        <w:footnoteRef/>
      </w:r>
      <w:r w:rsidRPr="006726A8">
        <w:t xml:space="preserve">WWW.ART. </w:t>
      </w:r>
      <w:r>
        <w:t xml:space="preserve">fr / </w:t>
      </w:r>
      <w:r w:rsidRPr="00F9528F">
        <w:rPr>
          <w:i/>
        </w:rPr>
        <w:t>le Boléro</w:t>
      </w:r>
      <w:r w:rsidRPr="00F9528F">
        <w:t xml:space="preserve"> de Ravel. </w:t>
      </w:r>
    </w:p>
  </w:footnote>
  <w:footnote w:id="22">
    <w:p w:rsidR="00F25A97" w:rsidRDefault="00F25A97" w:rsidP="00B60FD0">
      <w:pPr>
        <w:pStyle w:val="Notedebasdepage"/>
      </w:pPr>
      <w:r>
        <w:rPr>
          <w:rStyle w:val="Appelnotedebasdep"/>
        </w:rPr>
        <w:footnoteRef/>
      </w:r>
      <w:r>
        <w:t xml:space="preserve"> IBID </w:t>
      </w:r>
    </w:p>
  </w:footnote>
  <w:footnote w:id="23">
    <w:p w:rsidR="00F25A97" w:rsidRDefault="00F25A97" w:rsidP="00B60FD0">
      <w:pPr>
        <w:pStyle w:val="Notedebasdepage"/>
      </w:pPr>
      <w:r>
        <w:rPr>
          <w:rStyle w:val="Appelnotedebasdep"/>
        </w:rPr>
        <w:footnoteRef/>
      </w:r>
      <w:r>
        <w:t xml:space="preserve">   WWW. France 2.Fr /Droit d’inventaires</w:t>
      </w:r>
    </w:p>
  </w:footnote>
  <w:footnote w:id="24">
    <w:p w:rsidR="00F25A97" w:rsidRDefault="00F25A97" w:rsidP="007A615E">
      <w:pPr>
        <w:pStyle w:val="Notedebasdepage"/>
      </w:pPr>
      <w:r>
        <w:rPr>
          <w:rStyle w:val="Appelnotedebasdep"/>
        </w:rPr>
        <w:footnoteRef/>
      </w:r>
      <w:r>
        <w:t>Le mobile d’ordre hédonique est une tâche désirée comme agréable en elle même. In Claude Brémond, Logique du récit, Collection Poétique, Editions du Seuil, 1973.</w:t>
      </w:r>
      <w:r>
        <w:tab/>
        <w:t xml:space="preserve">  </w:t>
      </w:r>
    </w:p>
  </w:footnote>
  <w:footnote w:id="25">
    <w:p w:rsidR="00F25A97" w:rsidRDefault="00F25A97" w:rsidP="007A615E">
      <w:pPr>
        <w:pStyle w:val="Notedebasdepage"/>
      </w:pPr>
      <w:r>
        <w:rPr>
          <w:rStyle w:val="Appelnotedebasdep"/>
        </w:rPr>
        <w:footnoteRef/>
      </w:r>
      <w:r>
        <w:t xml:space="preserve"> Le mobile d’ordre pragmatique, se dit d’un choix fait par calcul favorable. In Claude Brémond, </w:t>
      </w:r>
      <w:r w:rsidRPr="0029314B">
        <w:rPr>
          <w:i/>
        </w:rPr>
        <w:t>la logique du</w:t>
      </w:r>
      <w:r>
        <w:t xml:space="preserve"> </w:t>
      </w:r>
      <w:r w:rsidRPr="0029314B">
        <w:rPr>
          <w:i/>
        </w:rPr>
        <w:t>récit</w:t>
      </w:r>
      <w:r>
        <w:t xml:space="preserve">, Collection Poétique, Editions du Seuil, 1973. </w:t>
      </w:r>
    </w:p>
  </w:footnote>
  <w:footnote w:id="26">
    <w:p w:rsidR="00F25A97" w:rsidRDefault="00F25A97" w:rsidP="007A615E">
      <w:pPr>
        <w:pStyle w:val="Notedebasdepage"/>
      </w:pPr>
      <w:r>
        <w:rPr>
          <w:rStyle w:val="Appelnotedebasdep"/>
        </w:rPr>
        <w:footnoteRef/>
      </w:r>
      <w:r>
        <w:t xml:space="preserve"> La protection constitue un élément conservateur du processus d’amélioration. In Claude Brémond</w:t>
      </w:r>
      <w:r w:rsidRPr="0029314B">
        <w:rPr>
          <w:i/>
        </w:rPr>
        <w:t>, Logique du</w:t>
      </w:r>
      <w:r>
        <w:t xml:space="preserve"> </w:t>
      </w:r>
      <w:r w:rsidRPr="0029314B">
        <w:rPr>
          <w:i/>
        </w:rPr>
        <w:t>récit</w:t>
      </w:r>
      <w:r>
        <w:t>, Collection Poétique, Editions du Seuil, 1973.</w:t>
      </w:r>
    </w:p>
  </w:footnote>
  <w:footnote w:id="27">
    <w:p w:rsidR="00F25A97" w:rsidRDefault="00F25A97" w:rsidP="007A615E">
      <w:pPr>
        <w:pStyle w:val="Notedebasdepage"/>
      </w:pPr>
      <w:r>
        <w:rPr>
          <w:rStyle w:val="Appelnotedebasdep"/>
        </w:rPr>
        <w:footnoteRef/>
      </w:r>
      <w:r>
        <w:t xml:space="preserve"> *Le mobile d’ordre éthique, se dit, d’un choix fait par conscience d’obligation.in IBID. </w:t>
      </w:r>
    </w:p>
  </w:footnote>
  <w:footnote w:id="28">
    <w:p w:rsidR="00F25A97" w:rsidRDefault="00F25A97" w:rsidP="007A615E">
      <w:pPr>
        <w:pStyle w:val="Notedebasdepage"/>
      </w:pPr>
      <w:r>
        <w:rPr>
          <w:rStyle w:val="Appelnotedebasdep"/>
        </w:rPr>
        <w:footnoteRef/>
      </w:r>
      <w:r>
        <w:t xml:space="preserve"> *Shylock est un personnage caricatural, de la pièce de théâtre de W. Shakespeare « le marchand de Venise », un juif usurier, avide et rapace, avec un nez crochu. .http://fr.wikipedia.org/wiki/SHYLOck. </w:t>
      </w:r>
    </w:p>
  </w:footnote>
  <w:footnote w:id="29">
    <w:p w:rsidR="00F25A97" w:rsidRPr="00040CD2" w:rsidRDefault="00F25A97" w:rsidP="007A615E">
      <w:pPr>
        <w:pStyle w:val="Notedebasdepage"/>
      </w:pPr>
      <w:r>
        <w:rPr>
          <w:rStyle w:val="Appelnotedebasdep"/>
        </w:rPr>
        <w:footnoteRef/>
      </w:r>
      <w:r>
        <w:t xml:space="preserve"> Gérard Genette, </w:t>
      </w:r>
      <w:r w:rsidRPr="00F625BA">
        <w:rPr>
          <w:i/>
        </w:rPr>
        <w:t>Nouveau discours du récit</w:t>
      </w:r>
      <w:r>
        <w:t>, Collection Poétique, Editions du Seuil, 1983.</w:t>
      </w:r>
    </w:p>
  </w:footnote>
  <w:footnote w:id="30">
    <w:p w:rsidR="00F25A97" w:rsidRDefault="00F25A97" w:rsidP="007A615E">
      <w:pPr>
        <w:pStyle w:val="Notedebasdepage"/>
      </w:pPr>
      <w:r>
        <w:rPr>
          <w:rStyle w:val="Appelnotedebasdep"/>
        </w:rPr>
        <w:footnoteRef/>
      </w:r>
      <w:r>
        <w:t xml:space="preserve"> Dorit Cohn, in Gérard Genette, </w:t>
      </w:r>
      <w:r w:rsidRPr="00F625BA">
        <w:rPr>
          <w:i/>
        </w:rPr>
        <w:t>Nouveau discours du récit</w:t>
      </w:r>
      <w:r>
        <w:t>, Collection Poétique, Editions du Seuil, 1983.</w:t>
      </w:r>
    </w:p>
  </w:footnote>
  <w:footnote w:id="31">
    <w:p w:rsidR="00F25A97" w:rsidRDefault="00F25A97" w:rsidP="007A615E">
      <w:pPr>
        <w:pStyle w:val="Notedebasdepage"/>
      </w:pPr>
      <w:r>
        <w:rPr>
          <w:rStyle w:val="Appelnotedebasdep"/>
        </w:rPr>
        <w:footnoteRef/>
      </w:r>
      <w:r>
        <w:t xml:space="preserve"> Ran Rees in Gérard Genette</w:t>
      </w:r>
      <w:r w:rsidRPr="00F625BA">
        <w:rPr>
          <w:i/>
        </w:rPr>
        <w:t>, Nouveau discours du récit</w:t>
      </w:r>
      <w:r>
        <w:t>, Collection Poétique, Editions du Seuil, 1983.</w:t>
      </w:r>
    </w:p>
  </w:footnote>
  <w:footnote w:id="32">
    <w:p w:rsidR="00F25A97" w:rsidRDefault="00F25A97" w:rsidP="000014D2">
      <w:pPr>
        <w:pStyle w:val="Notedebasdepage"/>
      </w:pPr>
      <w:r>
        <w:rPr>
          <w:rStyle w:val="Appelnotedebasdep"/>
        </w:rPr>
        <w:footnoteRef/>
      </w:r>
      <w:r>
        <w:t xml:space="preserve"> Gérard Genette, </w:t>
      </w:r>
      <w:r w:rsidRPr="00F625BA">
        <w:rPr>
          <w:i/>
        </w:rPr>
        <w:t>Nouveau discours du récit</w:t>
      </w:r>
      <w:r>
        <w:t>, Collection Poétique, Editions du Seuil, 1983.</w:t>
      </w:r>
    </w:p>
  </w:footnote>
  <w:footnote w:id="33">
    <w:p w:rsidR="00F25A97" w:rsidRDefault="00F25A97" w:rsidP="003C2A57">
      <w:pPr>
        <w:pStyle w:val="Notedebasdepage"/>
      </w:pPr>
      <w:r>
        <w:rPr>
          <w:rStyle w:val="Appelnotedebasdep"/>
        </w:rPr>
        <w:footnoteRef/>
      </w:r>
      <w:r>
        <w:t xml:space="preserve"> Paul Ricœur, </w:t>
      </w:r>
      <w:r w:rsidRPr="00FC4A54">
        <w:rPr>
          <w:i/>
        </w:rPr>
        <w:t>Temps et récit,</w:t>
      </w:r>
      <w:r>
        <w:rPr>
          <w:i/>
        </w:rPr>
        <w:t xml:space="preserve"> </w:t>
      </w:r>
      <w:r w:rsidRPr="00FC4A54">
        <w:t>tome 1</w:t>
      </w:r>
      <w:r>
        <w:t>, Editions du Seuil, 1983.</w:t>
      </w:r>
    </w:p>
  </w:footnote>
  <w:footnote w:id="34">
    <w:p w:rsidR="00F25A97" w:rsidRDefault="00F25A97" w:rsidP="003C2A57">
      <w:pPr>
        <w:pStyle w:val="Notedebasdepage"/>
      </w:pPr>
      <w:r>
        <w:rPr>
          <w:rStyle w:val="Appelnotedebasdep"/>
        </w:rPr>
        <w:footnoteRef/>
      </w:r>
      <w:r>
        <w:t xml:space="preserve"> Paul Ricœur, </w:t>
      </w:r>
      <w:r>
        <w:rPr>
          <w:i/>
        </w:rPr>
        <w:t>Temps et récit</w:t>
      </w:r>
      <w:r>
        <w:t xml:space="preserve">, tome 3, Editions du Seuil, 2000. </w:t>
      </w:r>
    </w:p>
  </w:footnote>
  <w:footnote w:id="35">
    <w:p w:rsidR="00F25A97" w:rsidRDefault="00F25A97" w:rsidP="003C2A57">
      <w:pPr>
        <w:pStyle w:val="Notedebasdepage"/>
      </w:pPr>
      <w:r>
        <w:rPr>
          <w:rStyle w:val="Appelnotedebasdep"/>
        </w:rPr>
        <w:footnoteRef/>
      </w:r>
      <w:r>
        <w:t xml:space="preserve"> Yves Reuter, </w:t>
      </w:r>
      <w:r w:rsidRPr="000442BC">
        <w:rPr>
          <w:i/>
          <w:iCs/>
        </w:rPr>
        <w:t>l’Analyse du récit</w:t>
      </w:r>
      <w:r>
        <w:t>, Nathan Université, 2003.</w:t>
      </w:r>
    </w:p>
  </w:footnote>
  <w:footnote w:id="36">
    <w:p w:rsidR="00F25A97" w:rsidRDefault="00F25A97" w:rsidP="003C2A57">
      <w:pPr>
        <w:pStyle w:val="Notedebasdepage"/>
      </w:pPr>
      <w:r>
        <w:rPr>
          <w:rStyle w:val="Appelnotedebasdep"/>
        </w:rPr>
        <w:footnoteRef/>
      </w:r>
      <w:r>
        <w:t xml:space="preserve"> Gaston Bachelard, </w:t>
      </w:r>
      <w:r w:rsidRPr="00AF5C5D">
        <w:rPr>
          <w:i/>
        </w:rPr>
        <w:t>la</w:t>
      </w:r>
      <w:r>
        <w:t xml:space="preserve"> </w:t>
      </w:r>
      <w:r w:rsidRPr="00AF5C5D">
        <w:rPr>
          <w:i/>
        </w:rPr>
        <w:t>poétique de l’espace</w:t>
      </w:r>
      <w:r>
        <w:t xml:space="preserve">, Quadrige, Presses Universitaire de France, 1998. </w:t>
      </w:r>
    </w:p>
  </w:footnote>
  <w:footnote w:id="37">
    <w:p w:rsidR="00F25A97" w:rsidRDefault="00F25A97" w:rsidP="008416FC">
      <w:pPr>
        <w:pStyle w:val="Notedebasdepage"/>
      </w:pPr>
      <w:r>
        <w:rPr>
          <w:rStyle w:val="Appelnotedebasdep"/>
        </w:rPr>
        <w:footnoteRef/>
      </w:r>
      <w:r>
        <w:t xml:space="preserve"> Gaston Bachelard, </w:t>
      </w:r>
      <w:r w:rsidRPr="00AF5C5D">
        <w:rPr>
          <w:i/>
        </w:rPr>
        <w:t>la poétique de l’espace</w:t>
      </w:r>
      <w:r>
        <w:t xml:space="preserve">, Quadrige, Presses Universitaire de France, 1998. </w:t>
      </w:r>
    </w:p>
  </w:footnote>
  <w:footnote w:id="38">
    <w:p w:rsidR="00F25A97" w:rsidRDefault="00F25A97" w:rsidP="008416FC">
      <w:pPr>
        <w:pStyle w:val="Notedebasdepage"/>
      </w:pPr>
      <w:r>
        <w:rPr>
          <w:rStyle w:val="Appelnotedebasdep"/>
        </w:rPr>
        <w:footnoteRef/>
      </w:r>
      <w:r>
        <w:t xml:space="preserve"> Gaston Bachelard, </w:t>
      </w:r>
      <w:r w:rsidRPr="00453F09">
        <w:rPr>
          <w:i/>
        </w:rPr>
        <w:t>La poétique de l’espace</w:t>
      </w:r>
      <w:r>
        <w:rPr>
          <w:i/>
        </w:rPr>
        <w:t>, </w:t>
      </w:r>
      <w:r>
        <w:t xml:space="preserve">Quadrige, Presses Universitaire de France, 1998. </w:t>
      </w:r>
    </w:p>
  </w:footnote>
  <w:footnote w:id="39">
    <w:p w:rsidR="00F25A97" w:rsidRDefault="00F25A97" w:rsidP="008416FC">
      <w:pPr>
        <w:pStyle w:val="Notedebasdepage"/>
      </w:pPr>
      <w:r>
        <w:rPr>
          <w:rStyle w:val="Appelnotedebasdep"/>
        </w:rPr>
        <w:footnoteRef/>
      </w:r>
      <w:r>
        <w:t xml:space="preserve"> Les confidences d’augustin, in Paul Ricœur, temps et récit, tome1, Editions du Seuil, 1983.   </w:t>
      </w:r>
    </w:p>
  </w:footnote>
  <w:footnote w:id="40">
    <w:p w:rsidR="00F25A97" w:rsidRDefault="00F25A97" w:rsidP="008416FC">
      <w:pPr>
        <w:pStyle w:val="Notedebasdepage"/>
      </w:pPr>
      <w:r>
        <w:rPr>
          <w:rStyle w:val="Appelnotedebasdep"/>
        </w:rPr>
        <w:footnoteRef/>
      </w:r>
      <w:r>
        <w:t xml:space="preserve"> IBID.</w:t>
      </w:r>
    </w:p>
  </w:footnote>
  <w:footnote w:id="41">
    <w:p w:rsidR="00F25A97" w:rsidRDefault="00F25A97" w:rsidP="00690865">
      <w:pPr>
        <w:pStyle w:val="Notedebasdepage"/>
      </w:pPr>
      <w:r>
        <w:rPr>
          <w:rStyle w:val="Appelnotedebasdep"/>
        </w:rPr>
        <w:footnoteRef/>
      </w:r>
      <w:r>
        <w:t xml:space="preserve">IBID. </w:t>
      </w:r>
    </w:p>
  </w:footnote>
  <w:footnote w:id="42">
    <w:p w:rsidR="00F25A97" w:rsidRDefault="00F25A97" w:rsidP="00690865">
      <w:pPr>
        <w:pStyle w:val="Notedebasdepage"/>
      </w:pPr>
      <w:r>
        <w:rPr>
          <w:rStyle w:val="Appelnotedebasdep"/>
        </w:rPr>
        <w:footnoteRef/>
      </w:r>
      <w:r>
        <w:t>IBID.</w:t>
      </w:r>
    </w:p>
  </w:footnote>
  <w:footnote w:id="43">
    <w:p w:rsidR="00F25A97" w:rsidRDefault="00F25A97" w:rsidP="00690865">
      <w:pPr>
        <w:pStyle w:val="Notedebasdepage"/>
      </w:pPr>
      <w:r>
        <w:rPr>
          <w:rStyle w:val="Appelnotedebasdep"/>
        </w:rPr>
        <w:footnoteRef/>
      </w:r>
      <w:r>
        <w:t xml:space="preserve"> Yves Reuter, </w:t>
      </w:r>
      <w:r w:rsidRPr="00A23293">
        <w:rPr>
          <w:i/>
          <w:iCs/>
        </w:rPr>
        <w:t>l’analyse du récit</w:t>
      </w:r>
      <w:r>
        <w:t xml:space="preserve">, Nathan Université, 2003. </w:t>
      </w:r>
    </w:p>
  </w:footnote>
  <w:footnote w:id="44">
    <w:p w:rsidR="00F25A97" w:rsidRDefault="00F25A97" w:rsidP="00690865">
      <w:pPr>
        <w:pStyle w:val="Notedebasdepage"/>
      </w:pPr>
      <w:r>
        <w:rPr>
          <w:rStyle w:val="Appelnotedebasdep"/>
        </w:rPr>
        <w:footnoteRef/>
      </w:r>
      <w:r>
        <w:t xml:space="preserve"> </w:t>
      </w:r>
      <w:r w:rsidRPr="00C36260">
        <w:t>http://fr.wikipedia.org/wiki/l’entre-deux-guerres</w:t>
      </w:r>
      <w:r>
        <w:t xml:space="preserve"> </w:t>
      </w:r>
    </w:p>
  </w:footnote>
  <w:footnote w:id="45">
    <w:p w:rsidR="00F25A97" w:rsidRPr="00616530" w:rsidRDefault="00F25A97" w:rsidP="002A21EF">
      <w:pPr>
        <w:pStyle w:val="Notedebasdepage"/>
        <w:jc w:val="both"/>
      </w:pPr>
      <w:r w:rsidRPr="00616530">
        <w:rPr>
          <w:rStyle w:val="Appelnotedebasdep"/>
        </w:rPr>
        <w:footnoteRef/>
      </w:r>
      <w:r w:rsidRPr="00616530">
        <w:t xml:space="preserve">1789 : la Révolution Française.  1848 : la monarchie de  juillet. Et naissance de la deuxième République Française.  1851 : la dissolution de l’assemblée et la restauration de l’Empire, -après un coup d’état- 1852 : Louis Napoléon se fait proclamer Empereur III. 1871 : la guerre franco- Prusse et  le siège de Paris. </w:t>
      </w:r>
    </w:p>
  </w:footnote>
  <w:footnote w:id="46">
    <w:p w:rsidR="00F25A97" w:rsidRPr="00616530" w:rsidRDefault="00F25A97" w:rsidP="002A21EF">
      <w:pPr>
        <w:pStyle w:val="Notedebasdepage"/>
        <w:jc w:val="both"/>
      </w:pPr>
      <w:r w:rsidRPr="00616530">
        <w:rPr>
          <w:rStyle w:val="Appelnotedebasdep"/>
        </w:rPr>
        <w:footnoteRef/>
      </w:r>
      <w:r w:rsidRPr="00616530">
        <w:t xml:space="preserve">Michelet, Introduction à l’histoire universelle, Gérard Gengembre, Le Roman Historique, cinquante questions, KLINCKSIECK, Paris, 2005. </w:t>
      </w:r>
    </w:p>
  </w:footnote>
  <w:footnote w:id="47">
    <w:p w:rsidR="00F25A97" w:rsidRPr="00616530" w:rsidRDefault="00F25A97" w:rsidP="002A21EF">
      <w:pPr>
        <w:pStyle w:val="Notedebasdepage"/>
        <w:jc w:val="both"/>
      </w:pPr>
      <w:r w:rsidRPr="00616530">
        <w:rPr>
          <w:rStyle w:val="Appelnotedebasdep"/>
        </w:rPr>
        <w:footnoteRef/>
      </w:r>
      <w:r w:rsidRPr="00616530">
        <w:t xml:space="preserve"> Ibid. </w:t>
      </w:r>
    </w:p>
  </w:footnote>
  <w:footnote w:id="48">
    <w:p w:rsidR="00F25A97" w:rsidRPr="00616530" w:rsidRDefault="00F25A97" w:rsidP="002A21EF">
      <w:pPr>
        <w:pStyle w:val="Notedebasdepage"/>
        <w:jc w:val="both"/>
      </w:pPr>
      <w:r w:rsidRPr="00616530">
        <w:rPr>
          <w:rStyle w:val="Appelnotedebasdep"/>
        </w:rPr>
        <w:footnoteRef/>
      </w:r>
      <w:r w:rsidRPr="00616530">
        <w:t xml:space="preserve"> Georges Lukacs, </w:t>
      </w:r>
      <w:r w:rsidRPr="00AE4626">
        <w:rPr>
          <w:i/>
          <w:iCs/>
        </w:rPr>
        <w:t>Le Roman Historique</w:t>
      </w:r>
      <w:r w:rsidRPr="00616530">
        <w:t xml:space="preserve">, éditions Payot et Rivages, Paris, 1965. </w:t>
      </w:r>
    </w:p>
  </w:footnote>
  <w:footnote w:id="49">
    <w:p w:rsidR="00F25A97" w:rsidRPr="00616530" w:rsidRDefault="00F25A97" w:rsidP="002A21EF">
      <w:pPr>
        <w:pStyle w:val="Notedebasdepage"/>
        <w:jc w:val="both"/>
      </w:pPr>
      <w:r w:rsidRPr="00616530">
        <w:rPr>
          <w:rStyle w:val="Appelnotedebasdep"/>
        </w:rPr>
        <w:footnoteRef/>
      </w:r>
      <w:r w:rsidRPr="00616530">
        <w:t xml:space="preserve"> Gérard Gengembre, </w:t>
      </w:r>
      <w:r w:rsidRPr="00AE4626">
        <w:rPr>
          <w:i/>
          <w:iCs/>
        </w:rPr>
        <w:t>Le Roman Historique</w:t>
      </w:r>
      <w:r w:rsidRPr="00616530">
        <w:t>, 50 questions, Paris, KLINCKSIECK, 2005.</w:t>
      </w:r>
    </w:p>
  </w:footnote>
  <w:footnote w:id="50">
    <w:p w:rsidR="00F25A97" w:rsidRPr="00616530" w:rsidRDefault="00F25A97" w:rsidP="002A21EF">
      <w:pPr>
        <w:pStyle w:val="Notedebasdepage"/>
      </w:pPr>
      <w:r w:rsidRPr="00616530">
        <w:rPr>
          <w:rStyle w:val="Appelnotedebasdep"/>
        </w:rPr>
        <w:footnoteRef/>
      </w:r>
      <w:r>
        <w:t xml:space="preserve"> JEAN Molino in </w:t>
      </w:r>
      <w:r w:rsidRPr="00616530">
        <w:t xml:space="preserve">Gérard gengembre, </w:t>
      </w:r>
      <w:r w:rsidRPr="00AE4626">
        <w:rPr>
          <w:i/>
          <w:iCs/>
        </w:rPr>
        <w:t>Le Roman historique</w:t>
      </w:r>
      <w:r w:rsidRPr="00616530">
        <w:t>, 50 questions, Paris, KLINCKSIECK, 2005.</w:t>
      </w:r>
    </w:p>
  </w:footnote>
  <w:footnote w:id="51">
    <w:p w:rsidR="00F25A97" w:rsidRPr="00616530" w:rsidRDefault="00F25A97" w:rsidP="002A21EF">
      <w:pPr>
        <w:pStyle w:val="Notedebasdepage"/>
        <w:jc w:val="both"/>
      </w:pPr>
      <w:r w:rsidRPr="00616530">
        <w:rPr>
          <w:rStyle w:val="Appelnotedebasdep"/>
        </w:rPr>
        <w:footnoteRef/>
      </w:r>
      <w:r w:rsidRPr="00616530">
        <w:t xml:space="preserve"> Georges Lukacs</w:t>
      </w:r>
      <w:r w:rsidRPr="00AE4626">
        <w:rPr>
          <w:i/>
          <w:iCs/>
        </w:rPr>
        <w:t>, Le Roman Historique</w:t>
      </w:r>
      <w:r w:rsidRPr="00616530">
        <w:t xml:space="preserve">, édition Payot, 1965, Paris. </w:t>
      </w:r>
    </w:p>
  </w:footnote>
  <w:footnote w:id="52">
    <w:p w:rsidR="00F25A97" w:rsidRPr="00616530" w:rsidRDefault="00F25A97" w:rsidP="002A21EF">
      <w:pPr>
        <w:pStyle w:val="Notedebasdepage"/>
        <w:jc w:val="both"/>
      </w:pPr>
      <w:r w:rsidRPr="00616530">
        <w:rPr>
          <w:rStyle w:val="Appelnotedebasdep"/>
        </w:rPr>
        <w:footnoteRef/>
      </w:r>
      <w:r w:rsidRPr="00616530">
        <w:t xml:space="preserve"> </w:t>
      </w:r>
      <w:r>
        <w:t>M.M. Fragonard,</w:t>
      </w:r>
      <w:r w:rsidRPr="00AE4626">
        <w:rPr>
          <w:i/>
          <w:iCs/>
        </w:rPr>
        <w:t xml:space="preserve"> Précis de l’histoire de la littérature</w:t>
      </w:r>
      <w:r>
        <w:rPr>
          <w:i/>
          <w:iCs/>
        </w:rPr>
        <w:t xml:space="preserve"> </w:t>
      </w:r>
      <w:r w:rsidRPr="00AE4626">
        <w:rPr>
          <w:i/>
          <w:iCs/>
        </w:rPr>
        <w:t>française</w:t>
      </w:r>
      <w:r>
        <w:t>, Editions Didier, Paris, 1981.</w:t>
      </w:r>
      <w:r w:rsidRPr="00616530">
        <w:t xml:space="preserve"> </w:t>
      </w:r>
    </w:p>
  </w:footnote>
  <w:footnote w:id="53">
    <w:p w:rsidR="00F25A97" w:rsidRPr="00616530" w:rsidRDefault="00F25A97" w:rsidP="002A21EF">
      <w:pPr>
        <w:pStyle w:val="Notedebasdepage"/>
        <w:jc w:val="both"/>
      </w:pPr>
      <w:r w:rsidRPr="00616530">
        <w:rPr>
          <w:rStyle w:val="Appelnotedebasdep"/>
        </w:rPr>
        <w:footnoteRef/>
      </w:r>
      <w:r w:rsidRPr="00616530">
        <w:t xml:space="preserve"> Ibid. </w:t>
      </w:r>
    </w:p>
  </w:footnote>
  <w:footnote w:id="54">
    <w:p w:rsidR="00F25A97" w:rsidRPr="00BF377F" w:rsidRDefault="00F25A97" w:rsidP="002A21EF">
      <w:pPr>
        <w:pStyle w:val="Notedebasdepage"/>
        <w:jc w:val="both"/>
      </w:pPr>
      <w:r w:rsidRPr="00BF377F">
        <w:rPr>
          <w:rStyle w:val="Appelnotedebasdep"/>
        </w:rPr>
        <w:footnoteRef/>
      </w:r>
      <w:r w:rsidRPr="00BF377F">
        <w:t xml:space="preserve"> Gérard gingembre, </w:t>
      </w:r>
      <w:r w:rsidRPr="00AE4626">
        <w:rPr>
          <w:i/>
          <w:iCs/>
        </w:rPr>
        <w:t>Le Roman Historique</w:t>
      </w:r>
      <w:r w:rsidRPr="00BF377F">
        <w:t>, 50 questions, Paris, Klincksieck, 2005.</w:t>
      </w:r>
    </w:p>
  </w:footnote>
  <w:footnote w:id="55">
    <w:p w:rsidR="00F25A97" w:rsidRPr="00BF377F" w:rsidRDefault="00F25A97" w:rsidP="002A21EF">
      <w:pPr>
        <w:pStyle w:val="Notedebasdepage"/>
        <w:jc w:val="both"/>
      </w:pPr>
      <w:r w:rsidRPr="00BF377F">
        <w:rPr>
          <w:rStyle w:val="Appelnotedebasdep"/>
        </w:rPr>
        <w:footnoteRef/>
      </w:r>
      <w:r w:rsidRPr="00BF377F">
        <w:t xml:space="preserve"> Ibid.</w:t>
      </w:r>
    </w:p>
  </w:footnote>
  <w:footnote w:id="56">
    <w:p w:rsidR="00F25A97" w:rsidRPr="00BF377F" w:rsidRDefault="00F25A97" w:rsidP="002A21EF">
      <w:pPr>
        <w:pStyle w:val="Notedebasdepage"/>
        <w:jc w:val="both"/>
      </w:pPr>
      <w:r w:rsidRPr="00BF377F">
        <w:rPr>
          <w:rStyle w:val="Appelnotedebasdep"/>
        </w:rPr>
        <w:footnoteRef/>
      </w:r>
      <w:r w:rsidRPr="00BF377F">
        <w:t xml:space="preserve"> Pierre et Monique Favre, </w:t>
      </w:r>
      <w:r w:rsidRPr="00AE4626">
        <w:rPr>
          <w:i/>
          <w:iCs/>
        </w:rPr>
        <w:t>Les Marxismes Après Marx</w:t>
      </w:r>
      <w:r w:rsidRPr="00BF377F">
        <w:t>, Que sais-je ?, presse universitaire de France, 1970</w:t>
      </w:r>
    </w:p>
  </w:footnote>
  <w:footnote w:id="57">
    <w:p w:rsidR="00F25A97" w:rsidRPr="00BF377F" w:rsidRDefault="00F25A97" w:rsidP="002A21EF">
      <w:pPr>
        <w:pStyle w:val="Notedebasdepage"/>
        <w:jc w:val="both"/>
      </w:pPr>
      <w:r w:rsidRPr="00BF377F">
        <w:rPr>
          <w:rStyle w:val="Appelnotedebasdep"/>
        </w:rPr>
        <w:footnoteRef/>
      </w:r>
      <w:r w:rsidRPr="00BF377F">
        <w:t xml:space="preserve"> (« Les enragés »  en 1793 et 1796 et « la conspiration des égaux » en 1848, Ibid. </w:t>
      </w:r>
    </w:p>
    <w:p w:rsidR="00F25A97" w:rsidRPr="00625258" w:rsidRDefault="00F25A97" w:rsidP="002A21EF">
      <w:pPr>
        <w:pStyle w:val="Notedebasdepage"/>
        <w:jc w:val="both"/>
        <w:rPr>
          <w:sz w:val="24"/>
          <w:szCs w:val="24"/>
        </w:rPr>
      </w:pPr>
    </w:p>
    <w:p w:rsidR="00F25A97" w:rsidRDefault="00F25A97" w:rsidP="002A21EF">
      <w:pPr>
        <w:pStyle w:val="Notedebasdepage"/>
        <w:jc w:val="both"/>
      </w:pPr>
    </w:p>
  </w:footnote>
  <w:footnote w:id="58">
    <w:p w:rsidR="00F25A97" w:rsidRPr="00616530" w:rsidRDefault="00F25A97" w:rsidP="002A21EF">
      <w:pPr>
        <w:pStyle w:val="Notedebasdepage"/>
        <w:jc w:val="both"/>
      </w:pPr>
      <w:r w:rsidRPr="00616530">
        <w:rPr>
          <w:rStyle w:val="Appelnotedebasdep"/>
        </w:rPr>
        <w:footnoteRef/>
      </w:r>
      <w:r w:rsidRPr="00616530">
        <w:t xml:space="preserve"> Buchez, Introduction à la science de l’histoire, 1833, Gérard Gengembre, </w:t>
      </w:r>
      <w:r w:rsidRPr="00AE4626">
        <w:rPr>
          <w:i/>
          <w:iCs/>
        </w:rPr>
        <w:t>Le Roman Historique</w:t>
      </w:r>
      <w:r w:rsidRPr="00616530">
        <w:t>, 50 questions, KLINCKSIECK, France, 2005.</w:t>
      </w:r>
    </w:p>
  </w:footnote>
  <w:footnote w:id="59">
    <w:p w:rsidR="00F25A97" w:rsidRPr="00BF377F" w:rsidRDefault="00F25A97" w:rsidP="002A21EF">
      <w:pPr>
        <w:pStyle w:val="Notedebasdepage"/>
        <w:jc w:val="both"/>
      </w:pPr>
      <w:r w:rsidRPr="00616530">
        <w:rPr>
          <w:rStyle w:val="Appelnotedebasdep"/>
        </w:rPr>
        <w:footnoteRef/>
      </w:r>
      <w:r w:rsidRPr="00616530">
        <w:t xml:space="preserve"> Barbéris Pierre, Le Monde de Balzac, Arthaud, 1993, Gérard Gengembre, </w:t>
      </w:r>
      <w:r w:rsidRPr="00AE4626">
        <w:rPr>
          <w:i/>
          <w:iCs/>
        </w:rPr>
        <w:t>Le Roman Historique</w:t>
      </w:r>
      <w:r w:rsidRPr="00616530">
        <w:t>, 50 questions, KLINCKSIECK, Paris, 2005</w:t>
      </w:r>
      <w:r w:rsidRPr="00BF377F">
        <w:t>.</w:t>
      </w:r>
    </w:p>
  </w:footnote>
  <w:footnote w:id="60">
    <w:p w:rsidR="00F25A97" w:rsidRPr="00616530" w:rsidRDefault="00F25A97" w:rsidP="002A21EF">
      <w:pPr>
        <w:pStyle w:val="Notedebasdepage"/>
        <w:jc w:val="both"/>
      </w:pPr>
      <w:r w:rsidRPr="00616530">
        <w:rPr>
          <w:rStyle w:val="Appelnotedebasdep"/>
        </w:rPr>
        <w:footnoteRef/>
      </w:r>
      <w:r w:rsidRPr="00616530">
        <w:t xml:space="preserve"> Ibid. </w:t>
      </w:r>
    </w:p>
  </w:footnote>
  <w:footnote w:id="61">
    <w:p w:rsidR="00F25A97" w:rsidRPr="00616530" w:rsidRDefault="00F25A97" w:rsidP="002A21EF">
      <w:pPr>
        <w:pStyle w:val="Notedebasdepage"/>
        <w:jc w:val="both"/>
      </w:pPr>
      <w:r w:rsidRPr="00616530">
        <w:rPr>
          <w:rStyle w:val="Appelnotedebasdep"/>
        </w:rPr>
        <w:footnoteRef/>
      </w:r>
      <w:r w:rsidRPr="00616530">
        <w:t xml:space="preserve"> Communication, Groupe Hugo de l’université Paris-VII « Victor Hugo et le roman historique »,25 novembre, 1995, </w:t>
      </w:r>
      <w:r>
        <w:t>in</w:t>
      </w:r>
      <w:r w:rsidRPr="00616530">
        <w:t xml:space="preserve"> Gérard gengembre, </w:t>
      </w:r>
      <w:r w:rsidRPr="00AE4626">
        <w:rPr>
          <w:i/>
          <w:iCs/>
        </w:rPr>
        <w:t>Le Roman Historique</w:t>
      </w:r>
      <w:r w:rsidRPr="00616530">
        <w:t>, 50 questions, Klincksieck, Paris, 2005.</w:t>
      </w:r>
    </w:p>
  </w:footnote>
  <w:footnote w:id="62">
    <w:p w:rsidR="00F25A97" w:rsidRPr="00625258" w:rsidRDefault="00F25A97" w:rsidP="00DC37B3">
      <w:pPr>
        <w:pStyle w:val="Notedebasdepage"/>
        <w:jc w:val="both"/>
        <w:rPr>
          <w:sz w:val="24"/>
          <w:szCs w:val="24"/>
        </w:rPr>
      </w:pPr>
      <w:r w:rsidRPr="00625258">
        <w:rPr>
          <w:rStyle w:val="Appelnotedebasdep"/>
          <w:sz w:val="24"/>
          <w:szCs w:val="24"/>
        </w:rPr>
        <w:footnoteRef/>
      </w:r>
      <w:r w:rsidRPr="00625258">
        <w:rPr>
          <w:sz w:val="24"/>
          <w:szCs w:val="24"/>
        </w:rPr>
        <w:t xml:space="preserve"> </w:t>
      </w:r>
      <w:r w:rsidRPr="00BF377F">
        <w:t xml:space="preserve">Les propos de Flaubert, dans, Flaubert est-il aux </w:t>
      </w:r>
      <w:r>
        <w:t xml:space="preserve">antipodes du roman historique ? In </w:t>
      </w:r>
      <w:r w:rsidRPr="00BF377F">
        <w:t xml:space="preserve">Gérard, Gengembre, </w:t>
      </w:r>
      <w:r w:rsidRPr="00AE4626">
        <w:rPr>
          <w:i/>
          <w:iCs/>
        </w:rPr>
        <w:t>Le Roman Historique</w:t>
      </w:r>
      <w:r w:rsidRPr="00BF377F">
        <w:t>, 50questions, Klincksieck, Pris, 2005.</w:t>
      </w:r>
    </w:p>
  </w:footnote>
  <w:footnote w:id="63">
    <w:p w:rsidR="00F25A97" w:rsidRPr="00BF377F" w:rsidRDefault="00F25A97" w:rsidP="00DC37B3">
      <w:pPr>
        <w:pStyle w:val="Notedebasdepage"/>
        <w:jc w:val="both"/>
      </w:pPr>
      <w:r w:rsidRPr="00625258">
        <w:rPr>
          <w:rStyle w:val="Appelnotedebasdep"/>
          <w:sz w:val="24"/>
          <w:szCs w:val="24"/>
        </w:rPr>
        <w:footnoteRef/>
      </w:r>
      <w:r w:rsidRPr="00625258">
        <w:rPr>
          <w:sz w:val="24"/>
          <w:szCs w:val="24"/>
        </w:rPr>
        <w:t xml:space="preserve"> </w:t>
      </w:r>
      <w:r w:rsidRPr="00BF377F">
        <w:t>Jean Molino, « Qu’est-ce que le roman historique ? », R</w:t>
      </w:r>
      <w:r>
        <w:t xml:space="preserve">evue </w:t>
      </w:r>
      <w:r w:rsidRPr="00BF377F">
        <w:t>H</w:t>
      </w:r>
      <w:r>
        <w:t xml:space="preserve">istorique de la </w:t>
      </w:r>
      <w:r w:rsidRPr="00BF377F">
        <w:t>L</w:t>
      </w:r>
      <w:r>
        <w:t xml:space="preserve">angue </w:t>
      </w:r>
      <w:r w:rsidRPr="00BF377F">
        <w:t>F</w:t>
      </w:r>
      <w:r>
        <w:t>rançaise</w:t>
      </w:r>
      <w:r w:rsidRPr="00BF377F">
        <w:t xml:space="preserve">, mars-juin 1975. </w:t>
      </w:r>
    </w:p>
  </w:footnote>
  <w:footnote w:id="64">
    <w:p w:rsidR="00F25A97" w:rsidRPr="00BF377F" w:rsidRDefault="00F25A97" w:rsidP="00DC37B3">
      <w:pPr>
        <w:pStyle w:val="Notedebasdepage"/>
        <w:jc w:val="both"/>
      </w:pPr>
      <w:r w:rsidRPr="00BF377F">
        <w:rPr>
          <w:rStyle w:val="Appelnotedebasdep"/>
        </w:rPr>
        <w:footnoteRef/>
      </w:r>
      <w:r w:rsidRPr="00BF377F">
        <w:t xml:space="preserve"> G. Lukas, </w:t>
      </w:r>
      <w:r w:rsidRPr="00AE4626">
        <w:rPr>
          <w:i/>
          <w:iCs/>
        </w:rPr>
        <w:t>Le Roman historique</w:t>
      </w:r>
      <w:r w:rsidRPr="00BF377F">
        <w:t>, Payot, 1965, p.56, Gérard Gengembre, Le Roman Historique, 50 questions, KLINCKSIECK, Paris, 2005.</w:t>
      </w:r>
    </w:p>
  </w:footnote>
  <w:footnote w:id="65">
    <w:p w:rsidR="00F25A97" w:rsidRPr="00BF377F" w:rsidRDefault="00F25A97" w:rsidP="00DC37B3">
      <w:pPr>
        <w:pStyle w:val="Notedebasdepage"/>
        <w:jc w:val="both"/>
      </w:pPr>
      <w:r w:rsidRPr="00625258">
        <w:rPr>
          <w:rStyle w:val="Appelnotedebasdep"/>
          <w:sz w:val="24"/>
          <w:szCs w:val="24"/>
        </w:rPr>
        <w:footnoteRef/>
      </w:r>
      <w:r w:rsidRPr="00625258">
        <w:rPr>
          <w:sz w:val="24"/>
          <w:szCs w:val="24"/>
        </w:rPr>
        <w:t xml:space="preserve"> </w:t>
      </w:r>
      <w:r w:rsidRPr="00BF377F">
        <w:t>Une lettre d’</w:t>
      </w:r>
      <w:r>
        <w:t xml:space="preserve">Emile Zola, à son éditeur, 1867 in </w:t>
      </w:r>
      <w:r w:rsidRPr="00BF377F">
        <w:t xml:space="preserve"> Gérard Gengembre, </w:t>
      </w:r>
      <w:r w:rsidRPr="00AE4626">
        <w:rPr>
          <w:i/>
          <w:iCs/>
        </w:rPr>
        <w:t>Le Roman Historique,</w:t>
      </w:r>
      <w:r w:rsidRPr="00BF377F">
        <w:t xml:space="preserve"> 50 questions, KLINCKSIECK, Paris, 2005.</w:t>
      </w:r>
    </w:p>
  </w:footnote>
  <w:footnote w:id="66">
    <w:p w:rsidR="00F25A97" w:rsidRPr="00BF377F" w:rsidRDefault="00F25A97" w:rsidP="00DC37B3">
      <w:pPr>
        <w:pStyle w:val="Notedebasdepage"/>
        <w:jc w:val="both"/>
      </w:pPr>
      <w:r w:rsidRPr="00BF377F">
        <w:rPr>
          <w:rStyle w:val="Appelnotedebasdep"/>
        </w:rPr>
        <w:footnoteRef/>
      </w:r>
      <w:r w:rsidRPr="00BF377F">
        <w:t xml:space="preserve"> Alfred de Musset, La Confessi</w:t>
      </w:r>
      <w:r>
        <w:t xml:space="preserve">on d’un Enfant du siècle, 1836 in </w:t>
      </w:r>
      <w:r w:rsidRPr="00BF377F">
        <w:t xml:space="preserve">Gérard Gengembre, </w:t>
      </w:r>
      <w:r w:rsidRPr="00BD3772">
        <w:rPr>
          <w:i/>
          <w:iCs/>
        </w:rPr>
        <w:t xml:space="preserve">Le Roman Historique, </w:t>
      </w:r>
      <w:r w:rsidRPr="00BD3772">
        <w:t xml:space="preserve">50 </w:t>
      </w:r>
      <w:r w:rsidRPr="00BF377F">
        <w:t xml:space="preserve">questions, Klincksieck, Paris, 2005. </w:t>
      </w:r>
    </w:p>
  </w:footnote>
  <w:footnote w:id="67">
    <w:p w:rsidR="00F25A97" w:rsidRPr="00BF377F" w:rsidRDefault="00F25A97" w:rsidP="00DC37B3">
      <w:pPr>
        <w:pStyle w:val="Notedebasdepage"/>
        <w:jc w:val="both"/>
        <w:rPr>
          <w:sz w:val="22"/>
          <w:szCs w:val="22"/>
        </w:rPr>
      </w:pPr>
      <w:r w:rsidRPr="0026270C">
        <w:rPr>
          <w:rStyle w:val="Appelnotedebasdep"/>
        </w:rPr>
        <w:footnoteRef/>
      </w:r>
      <w:r w:rsidRPr="0026270C">
        <w:t xml:space="preserve"> Jean Molin</w:t>
      </w:r>
      <w:r>
        <w:t xml:space="preserve">o, in Gérard Gengembre, </w:t>
      </w:r>
      <w:r w:rsidRPr="00BD3772">
        <w:rPr>
          <w:i/>
          <w:iCs/>
        </w:rPr>
        <w:t>Le  Roman Historique,</w:t>
      </w:r>
      <w:r>
        <w:t xml:space="preserve"> 50 questions Klincksieck, Paris, 2005.</w:t>
      </w:r>
      <w:r>
        <w:rPr>
          <w:sz w:val="22"/>
          <w:szCs w:val="22"/>
        </w:rPr>
        <w:t xml:space="preserve"> </w:t>
      </w:r>
    </w:p>
  </w:footnote>
  <w:footnote w:id="68">
    <w:p w:rsidR="00F25A97" w:rsidRPr="0026270C" w:rsidRDefault="00F25A97" w:rsidP="00DC37B3">
      <w:pPr>
        <w:pStyle w:val="Notedebasdepage"/>
        <w:jc w:val="both"/>
      </w:pPr>
      <w:r w:rsidRPr="00BF377F">
        <w:rPr>
          <w:rStyle w:val="Appelnotedebasdep"/>
          <w:sz w:val="22"/>
          <w:szCs w:val="22"/>
        </w:rPr>
        <w:footnoteRef/>
      </w:r>
      <w:r w:rsidRPr="00BF377F">
        <w:rPr>
          <w:sz w:val="22"/>
          <w:szCs w:val="22"/>
        </w:rPr>
        <w:t xml:space="preserve"> </w:t>
      </w:r>
      <w:r w:rsidRPr="0026270C">
        <w:t xml:space="preserve">Gérard Gengembre, </w:t>
      </w:r>
      <w:r w:rsidRPr="00BD3772">
        <w:rPr>
          <w:i/>
          <w:iCs/>
        </w:rPr>
        <w:t>Le Roman Historique</w:t>
      </w:r>
      <w:r w:rsidRPr="0026270C">
        <w:t>, cinquante</w:t>
      </w:r>
      <w:r>
        <w:t xml:space="preserve"> questions, Klincksieck, Paris,</w:t>
      </w:r>
      <w:r w:rsidRPr="0026270C">
        <w:t xml:space="preserve"> 2005</w:t>
      </w:r>
      <w:r>
        <w:t>.</w:t>
      </w:r>
    </w:p>
  </w:footnote>
  <w:footnote w:id="69">
    <w:p w:rsidR="00F25A97" w:rsidRPr="00BF377F" w:rsidRDefault="00F25A97" w:rsidP="00DC37B3">
      <w:pPr>
        <w:pStyle w:val="Notedebasdepage"/>
      </w:pPr>
      <w:r>
        <w:rPr>
          <w:rStyle w:val="Appelnotedebasdep"/>
        </w:rPr>
        <w:footnoteRef/>
      </w:r>
      <w:r>
        <w:t xml:space="preserve"> Jean Wei Gerbé, « </w:t>
      </w:r>
      <w:r w:rsidRPr="00BF377F">
        <w:rPr>
          <w:i/>
        </w:rPr>
        <w:t>Histoire comparée des littératures de langue Européennes </w:t>
      </w:r>
      <w:r>
        <w:t>», les avant–gardes au XX</w:t>
      </w:r>
      <w:r>
        <w:rPr>
          <w:vertAlign w:val="superscript"/>
        </w:rPr>
        <w:t xml:space="preserve">e </w:t>
      </w:r>
      <w:r>
        <w:t xml:space="preserve">siècle, Akadémial Kiado, Budapest. </w:t>
      </w:r>
    </w:p>
  </w:footnote>
  <w:footnote w:id="70">
    <w:p w:rsidR="00F25A97" w:rsidRDefault="00F25A97" w:rsidP="00DC37B3">
      <w:pPr>
        <w:pStyle w:val="Notedebasdepage"/>
      </w:pPr>
      <w:r>
        <w:rPr>
          <w:rStyle w:val="Appelnotedebasdep"/>
        </w:rPr>
        <w:footnoteRef/>
      </w:r>
      <w:r>
        <w:t xml:space="preserve"> WWW. France 5.La grande librairie.</w:t>
      </w:r>
      <w:r w:rsidRPr="00991E4F">
        <w:t xml:space="preserve"> </w:t>
      </w:r>
      <w:r>
        <w:t>Fr</w:t>
      </w:r>
    </w:p>
  </w:footnote>
  <w:footnote w:id="71">
    <w:p w:rsidR="00F25A97" w:rsidRPr="006F3677" w:rsidRDefault="00F25A97" w:rsidP="00D74A4A">
      <w:pPr>
        <w:pStyle w:val="Notedebasdepage"/>
      </w:pPr>
      <w:r w:rsidRPr="00BF377F">
        <w:rPr>
          <w:rStyle w:val="Appelnotedebasdep"/>
          <w:sz w:val="22"/>
          <w:szCs w:val="22"/>
        </w:rPr>
        <w:footnoteRef/>
      </w:r>
      <w:r w:rsidRPr="00BF377F">
        <w:rPr>
          <w:sz w:val="22"/>
          <w:szCs w:val="22"/>
        </w:rPr>
        <w:t xml:space="preserve"> </w:t>
      </w:r>
      <w:r w:rsidRPr="006F3677">
        <w:t>Paul Ricœur,</w:t>
      </w:r>
      <w:r>
        <w:t xml:space="preserve"> </w:t>
      </w:r>
      <w:r>
        <w:rPr>
          <w:i/>
        </w:rPr>
        <w:t>La mémoire, L</w:t>
      </w:r>
      <w:r w:rsidRPr="007E1B37">
        <w:rPr>
          <w:i/>
        </w:rPr>
        <w:t xml:space="preserve">’histoire, </w:t>
      </w:r>
      <w:r>
        <w:rPr>
          <w:i/>
        </w:rPr>
        <w:t>L</w:t>
      </w:r>
      <w:r w:rsidRPr="007E1B37">
        <w:rPr>
          <w:i/>
        </w:rPr>
        <w:t>’oubli</w:t>
      </w:r>
      <w:r w:rsidRPr="006F3677">
        <w:t>,</w:t>
      </w:r>
      <w:r>
        <w:t xml:space="preserve"> Editions du Seuil, Collection Points, Série Essais, 2000 </w:t>
      </w:r>
    </w:p>
  </w:footnote>
  <w:footnote w:id="72">
    <w:p w:rsidR="00F25A97" w:rsidRPr="007E1B37" w:rsidRDefault="00F25A97" w:rsidP="00D74A4A">
      <w:pPr>
        <w:pStyle w:val="Notedebasdepage"/>
      </w:pPr>
      <w:r w:rsidRPr="007E1B37">
        <w:rPr>
          <w:rStyle w:val="Appelnotedebasdep"/>
        </w:rPr>
        <w:footnoteRef/>
      </w:r>
      <w:r w:rsidRPr="007E1B37">
        <w:t xml:space="preserve"> Ibid. </w:t>
      </w:r>
    </w:p>
  </w:footnote>
  <w:footnote w:id="73">
    <w:p w:rsidR="00F25A97" w:rsidRPr="007E1B37" w:rsidRDefault="00F25A97" w:rsidP="00D74A4A">
      <w:pPr>
        <w:pStyle w:val="Notedebasdepage"/>
      </w:pPr>
      <w:r w:rsidRPr="007E1B37">
        <w:rPr>
          <w:rStyle w:val="Appelnotedebasdep"/>
        </w:rPr>
        <w:footnoteRef/>
      </w:r>
      <w:r w:rsidRPr="007E1B37">
        <w:t xml:space="preserve"> « Fragments des pensées sur la forc</w:t>
      </w:r>
      <w:r>
        <w:t xml:space="preserve">e et la justice », Louis Marin in </w:t>
      </w:r>
      <w:r w:rsidRPr="007E1B37">
        <w:t xml:space="preserve">Paul Ricœur, </w:t>
      </w:r>
      <w:r w:rsidRPr="007E1B37">
        <w:rPr>
          <w:i/>
        </w:rPr>
        <w:t>La mémoire</w:t>
      </w:r>
      <w:r w:rsidRPr="007E1B37">
        <w:t>, l</w:t>
      </w:r>
      <w:r w:rsidRPr="007E1B37">
        <w:rPr>
          <w:i/>
        </w:rPr>
        <w:t>’histoire, l’oubli</w:t>
      </w:r>
      <w:r w:rsidRPr="007E1B37">
        <w:t xml:space="preserve">, Editions du Seuil, </w:t>
      </w:r>
      <w:r>
        <w:t xml:space="preserve">Collection Point, Série Essais, </w:t>
      </w:r>
      <w:r w:rsidRPr="007E1B37">
        <w:t xml:space="preserve">2000. </w:t>
      </w:r>
    </w:p>
  </w:footnote>
  <w:footnote w:id="74">
    <w:p w:rsidR="00F25A97" w:rsidRPr="007E1B37" w:rsidRDefault="00F25A97" w:rsidP="00D74A4A">
      <w:pPr>
        <w:pStyle w:val="Notedebasdepage"/>
      </w:pPr>
      <w:r w:rsidRPr="007E1B37">
        <w:rPr>
          <w:rStyle w:val="Appelnotedebasdep"/>
        </w:rPr>
        <w:footnoteRef/>
      </w:r>
      <w:r w:rsidRPr="007E1B37">
        <w:t xml:space="preserve"> Ibid. </w:t>
      </w:r>
    </w:p>
  </w:footnote>
  <w:footnote w:id="75">
    <w:p w:rsidR="00F25A97" w:rsidRPr="007E1B37" w:rsidRDefault="00F25A97" w:rsidP="00D74A4A">
      <w:pPr>
        <w:pStyle w:val="Notedebasdepage"/>
      </w:pPr>
      <w:r w:rsidRPr="007E1B37">
        <w:rPr>
          <w:rStyle w:val="Appelnotedebasdep"/>
        </w:rPr>
        <w:footnoteRef/>
      </w:r>
      <w:r w:rsidRPr="007E1B37">
        <w:t xml:space="preserve"> Paul Ricœur, </w:t>
      </w:r>
      <w:r w:rsidRPr="007E1B37">
        <w:rPr>
          <w:i/>
        </w:rPr>
        <w:t>« La mémoire, L’histoire, L’oubli</w:t>
      </w:r>
      <w:r w:rsidRPr="007E1B37">
        <w:t> », Editions du Seuil, Collection Points, Série Essais, 2000.</w:t>
      </w:r>
    </w:p>
  </w:footnote>
  <w:footnote w:id="76">
    <w:p w:rsidR="00F25A97" w:rsidRPr="00772946" w:rsidRDefault="00F25A97" w:rsidP="00D74A4A">
      <w:pPr>
        <w:pStyle w:val="Notedebasdepage"/>
      </w:pPr>
      <w:r w:rsidRPr="00772946">
        <w:rPr>
          <w:rStyle w:val="Appelnotedebasdep"/>
        </w:rPr>
        <w:footnoteRef/>
      </w:r>
      <w:r w:rsidRPr="00772946">
        <w:t xml:space="preserve"> Bergson, Matière et Mémoire, P.226, dans Paul Ricœur, </w:t>
      </w:r>
      <w:r w:rsidRPr="00772946">
        <w:rPr>
          <w:i/>
        </w:rPr>
        <w:t>La mémoire, L’histoire, L’oubli</w:t>
      </w:r>
      <w:r w:rsidRPr="00772946">
        <w:t xml:space="preserve">, Editions du Seuil, Collection points, Série Essais, 2000.    </w:t>
      </w:r>
    </w:p>
  </w:footnote>
  <w:footnote w:id="77">
    <w:p w:rsidR="00F25A97" w:rsidRPr="00772946" w:rsidRDefault="00F25A97" w:rsidP="00D74A4A">
      <w:pPr>
        <w:pStyle w:val="Notedebasdepage"/>
      </w:pPr>
      <w:r w:rsidRPr="00772946">
        <w:rPr>
          <w:rStyle w:val="Appelnotedebasdep"/>
        </w:rPr>
        <w:footnoteRef/>
      </w:r>
      <w:r w:rsidRPr="00772946">
        <w:t xml:space="preserve"> Ibid. </w:t>
      </w:r>
    </w:p>
  </w:footnote>
  <w:footnote w:id="78">
    <w:p w:rsidR="00F25A97" w:rsidRPr="00772946" w:rsidRDefault="00F25A97" w:rsidP="00D74A4A">
      <w:pPr>
        <w:pStyle w:val="Notedebasdepage"/>
      </w:pPr>
      <w:r w:rsidRPr="00772946">
        <w:rPr>
          <w:rStyle w:val="Appelnotedebasdep"/>
        </w:rPr>
        <w:footnoteRef/>
      </w:r>
      <w:r w:rsidRPr="00772946">
        <w:t xml:space="preserve"> Les lieux de mémoire seraient –ils les gardiens de la mémoire personnelle et collective s’ils ne demeuraient à leur place, au </w:t>
      </w:r>
      <w:r>
        <w:t xml:space="preserve">double sens du lieu et du site ? in </w:t>
      </w:r>
      <w:r w:rsidRPr="00772946">
        <w:t xml:space="preserve">Paul Ricœur, </w:t>
      </w:r>
      <w:r w:rsidRPr="00772946">
        <w:rPr>
          <w:i/>
        </w:rPr>
        <w:t>La mémoire</w:t>
      </w:r>
      <w:r w:rsidRPr="00772946">
        <w:t xml:space="preserve">, </w:t>
      </w:r>
      <w:r w:rsidRPr="00772946">
        <w:rPr>
          <w:i/>
        </w:rPr>
        <w:t>L’histoire, L’oubli,</w:t>
      </w:r>
      <w:r w:rsidRPr="00772946">
        <w:t xml:space="preserve"> Editions du Seuil, Coll</w:t>
      </w:r>
      <w:r>
        <w:t>ection Point, Série Essais, 2000</w:t>
      </w:r>
      <w:r w:rsidRPr="00772946">
        <w:t xml:space="preserve">. </w:t>
      </w:r>
    </w:p>
  </w:footnote>
  <w:footnote w:id="79">
    <w:p w:rsidR="00F25A97" w:rsidRPr="00772946" w:rsidRDefault="00F25A97" w:rsidP="00D74A4A">
      <w:pPr>
        <w:pStyle w:val="Notedebasdepage"/>
        <w:rPr>
          <w:bCs/>
        </w:rPr>
      </w:pPr>
      <w:r w:rsidRPr="00772946">
        <w:rPr>
          <w:rStyle w:val="Appelnotedebasdep"/>
        </w:rPr>
        <w:footnoteRef/>
      </w:r>
      <w:r w:rsidRPr="00772946">
        <w:t xml:space="preserve"> Jean Wei gerbé, « </w:t>
      </w:r>
      <w:r w:rsidRPr="00772946">
        <w:rPr>
          <w:i/>
        </w:rPr>
        <w:t>Histoire comparée des littératures de langues Européennes</w:t>
      </w:r>
      <w:r w:rsidRPr="00772946">
        <w:t xml:space="preserve"> », </w:t>
      </w:r>
      <w:r w:rsidRPr="00772946">
        <w:rPr>
          <w:bCs/>
        </w:rPr>
        <w:t>les avant-gardes au XX</w:t>
      </w:r>
      <w:r w:rsidRPr="00772946">
        <w:rPr>
          <w:bCs/>
          <w:vertAlign w:val="superscript"/>
        </w:rPr>
        <w:t xml:space="preserve">e </w:t>
      </w:r>
      <w:r w:rsidRPr="00772946">
        <w:rPr>
          <w:bCs/>
        </w:rPr>
        <w:t xml:space="preserve"> siècle, AKadémial Kiado, Budapest.</w:t>
      </w:r>
    </w:p>
  </w:footnote>
  <w:footnote w:id="80">
    <w:p w:rsidR="00F25A97" w:rsidRPr="00BF57E5" w:rsidRDefault="00F25A97" w:rsidP="00D74A4A">
      <w:pPr>
        <w:pStyle w:val="Notedebasdepage"/>
        <w:jc w:val="both"/>
      </w:pPr>
      <w:r w:rsidRPr="00BF57E5">
        <w:rPr>
          <w:rStyle w:val="Appelnotedebasdep"/>
        </w:rPr>
        <w:footnoteRef/>
      </w:r>
      <w:r w:rsidRPr="00BF57E5">
        <w:t xml:space="preserve"> </w:t>
      </w:r>
      <w:r>
        <w:t xml:space="preserve">http:/fr. </w:t>
      </w:r>
      <w:r w:rsidRPr="00BF57E5">
        <w:t>Wikipedia</w:t>
      </w:r>
      <w:r>
        <w:t xml:space="preserve">.org/WIKI/ </w:t>
      </w:r>
      <w:r w:rsidRPr="00BF57E5">
        <w:t xml:space="preserve">l’entre </w:t>
      </w:r>
      <w:r>
        <w:t>–</w:t>
      </w:r>
      <w:r w:rsidRPr="00BF57E5">
        <w:t>deux</w:t>
      </w:r>
      <w:r>
        <w:t>-</w:t>
      </w:r>
      <w:r w:rsidRPr="00BF57E5">
        <w:t xml:space="preserve"> guerres.  </w:t>
      </w:r>
    </w:p>
  </w:footnote>
  <w:footnote w:id="81">
    <w:p w:rsidR="00F25A97" w:rsidRPr="00BF57E5" w:rsidRDefault="00F25A97" w:rsidP="00D74A4A">
      <w:pPr>
        <w:pStyle w:val="Notedebasdepage"/>
        <w:jc w:val="both"/>
      </w:pPr>
      <w:r w:rsidRPr="00BF57E5">
        <w:rPr>
          <w:rStyle w:val="Appelnotedebasdep"/>
        </w:rPr>
        <w:footnoteRef/>
      </w:r>
      <w:r w:rsidRPr="00BF57E5">
        <w:t xml:space="preserve"> </w:t>
      </w:r>
      <w:r>
        <w:t>IBID.</w:t>
      </w:r>
    </w:p>
  </w:footnote>
  <w:footnote w:id="82">
    <w:p w:rsidR="00F25A97" w:rsidRPr="00BF57E5" w:rsidRDefault="00F25A97" w:rsidP="00D74A4A">
      <w:pPr>
        <w:pStyle w:val="Notedebasdepage"/>
        <w:jc w:val="both"/>
      </w:pPr>
      <w:r w:rsidRPr="00BF57E5">
        <w:rPr>
          <w:rStyle w:val="Appelnotedebasdep"/>
        </w:rPr>
        <w:footnoteRef/>
      </w:r>
      <w:r w:rsidRPr="00BF57E5">
        <w:t xml:space="preserve"> Eric Alary, Bénédicte Vergez, Chignon, Gilles Gauvin, « </w:t>
      </w:r>
      <w:r w:rsidRPr="00BF57E5">
        <w:rPr>
          <w:i/>
        </w:rPr>
        <w:t>Les français au quotidien</w:t>
      </w:r>
      <w:r w:rsidRPr="00BF57E5">
        <w:t xml:space="preserve"> 1939 – 1949 », Coll. Tempus, Editions Perrin, 2009, ISBN : 978 – 262- 03023- 0 </w:t>
      </w:r>
    </w:p>
  </w:footnote>
  <w:footnote w:id="83">
    <w:p w:rsidR="00F25A97" w:rsidRPr="00BF57E5" w:rsidRDefault="00F25A97" w:rsidP="00B81292">
      <w:pPr>
        <w:pStyle w:val="Notedebasdepage"/>
        <w:jc w:val="both"/>
      </w:pPr>
      <w:r w:rsidRPr="00BF57E5">
        <w:rPr>
          <w:rStyle w:val="Appelnotedebasdep"/>
        </w:rPr>
        <w:footnoteRef/>
      </w:r>
      <w:r w:rsidRPr="00BF57E5">
        <w:t xml:space="preserve"> Une expression de Roland Dorgelès, dans un reportage pour le</w:t>
      </w:r>
      <w:r w:rsidRPr="00BF57E5">
        <w:rPr>
          <w:i/>
        </w:rPr>
        <w:t xml:space="preserve"> Gringoire</w:t>
      </w:r>
      <w:r w:rsidRPr="00BF57E5">
        <w:t>, «</w:t>
      </w:r>
      <w:r w:rsidRPr="00BF57E5">
        <w:rPr>
          <w:i/>
        </w:rPr>
        <w:t>Les français au quotidien 1939 – 1949 » </w:t>
      </w:r>
      <w:r w:rsidRPr="00BF57E5">
        <w:t xml:space="preserve">Eric Alary, Bénédicte Vergez- Chignon, Gilles Gauvin, Tempus, Editions Perrin, 2009, ISBN : 978- 262- 03023- 0  </w:t>
      </w:r>
    </w:p>
  </w:footnote>
  <w:footnote w:id="84">
    <w:p w:rsidR="00F25A97" w:rsidRPr="00BF57E5" w:rsidRDefault="00F25A97" w:rsidP="00B81292">
      <w:pPr>
        <w:pStyle w:val="Notedebasdepage"/>
        <w:jc w:val="both"/>
      </w:pPr>
      <w:r w:rsidRPr="00BF57E5">
        <w:rPr>
          <w:rStyle w:val="Appelnotedebasdep"/>
        </w:rPr>
        <w:footnoteRef/>
      </w:r>
      <w:r w:rsidRPr="00BF57E5">
        <w:t xml:space="preserve"> Marc Bloch, </w:t>
      </w:r>
      <w:r w:rsidRPr="00511539">
        <w:rPr>
          <w:i/>
          <w:iCs/>
        </w:rPr>
        <w:t>l’Etrange Défaite</w:t>
      </w:r>
      <w:r w:rsidRPr="00BF57E5">
        <w:t xml:space="preserve">, </w:t>
      </w:r>
      <w:r w:rsidRPr="00511539">
        <w:t xml:space="preserve">Collection « Folio- histoire », </w:t>
      </w:r>
      <w:r>
        <w:t xml:space="preserve">Editions </w:t>
      </w:r>
      <w:r w:rsidRPr="00BF57E5">
        <w:t xml:space="preserve">Gallimard, </w:t>
      </w:r>
      <w:r w:rsidRPr="00BF57E5">
        <w:rPr>
          <w:i/>
        </w:rPr>
        <w:t xml:space="preserve"> </w:t>
      </w:r>
      <w:r w:rsidRPr="00BF57E5">
        <w:t xml:space="preserve">Paris </w:t>
      </w:r>
      <w:r>
        <w:t>1990</w:t>
      </w:r>
      <w:r w:rsidRPr="00BF57E5">
        <w:t>.</w:t>
      </w:r>
    </w:p>
  </w:footnote>
  <w:footnote w:id="85">
    <w:p w:rsidR="00F25A97" w:rsidRPr="00BF57E5" w:rsidRDefault="00F25A97" w:rsidP="00B81292">
      <w:pPr>
        <w:pStyle w:val="Notedebasdepage"/>
        <w:jc w:val="both"/>
      </w:pPr>
      <w:r w:rsidRPr="00BF57E5">
        <w:rPr>
          <w:rStyle w:val="Appelnotedebasdep"/>
        </w:rPr>
        <w:footnoteRef/>
      </w:r>
      <w:r w:rsidRPr="00BF57E5">
        <w:t xml:space="preserve"> Un publiciste, porteur d’un mythe  et désigné comme l’organisateur de « la cinquième colonne » </w:t>
      </w:r>
    </w:p>
  </w:footnote>
  <w:footnote w:id="86">
    <w:p w:rsidR="00F25A97" w:rsidRPr="00BF57E5" w:rsidRDefault="00F25A97" w:rsidP="00B81292">
      <w:pPr>
        <w:pStyle w:val="Notedebasdepage"/>
        <w:jc w:val="both"/>
      </w:pPr>
      <w:r w:rsidRPr="00BF57E5">
        <w:rPr>
          <w:rStyle w:val="Appelnotedebasdep"/>
        </w:rPr>
        <w:footnoteRef/>
      </w:r>
      <w:r w:rsidRPr="00BF57E5">
        <w:t xml:space="preserve"> « Taxer et rationner la consommation » d’un certain nombre de ressources, (article 46 de la loi). </w:t>
      </w:r>
    </w:p>
  </w:footnote>
  <w:footnote w:id="87">
    <w:p w:rsidR="00F25A97" w:rsidRPr="00BF57E5" w:rsidRDefault="00F25A97" w:rsidP="00B81292">
      <w:pPr>
        <w:pStyle w:val="Notedebasdepage"/>
        <w:jc w:val="both"/>
      </w:pPr>
      <w:r w:rsidRPr="00BF57E5">
        <w:rPr>
          <w:rStyle w:val="Appelnotedebasdep"/>
        </w:rPr>
        <w:footnoteRef/>
      </w:r>
      <w:r w:rsidRPr="00BF57E5">
        <w:rPr>
          <w:i/>
        </w:rPr>
        <w:t> </w:t>
      </w:r>
      <w:r w:rsidRPr="00BF57E5">
        <w:t xml:space="preserve">Eric Alary, Bénédicte Vergez- Chaignon, Gilles Gauvin, </w:t>
      </w:r>
      <w:r w:rsidRPr="00BF57E5">
        <w:rPr>
          <w:i/>
        </w:rPr>
        <w:t>«Les français au quotidien 1939- 1945</w:t>
      </w:r>
      <w:r w:rsidRPr="00BF57E5">
        <w:t>»Coll. Tempus, Editions Perrin, P.44, 2009</w:t>
      </w:r>
    </w:p>
  </w:footnote>
  <w:footnote w:id="88">
    <w:p w:rsidR="00F25A97" w:rsidRPr="00BF57E5" w:rsidRDefault="00F25A97" w:rsidP="00B81292">
      <w:pPr>
        <w:pStyle w:val="Notedebasdepage"/>
        <w:jc w:val="both"/>
      </w:pPr>
      <w:r w:rsidRPr="00BF57E5">
        <w:rPr>
          <w:rStyle w:val="Appelnotedebasdep"/>
        </w:rPr>
        <w:footnoteRef/>
      </w:r>
      <w:r w:rsidRPr="00BF57E5">
        <w:t xml:space="preserve">. Ibid. </w:t>
      </w:r>
    </w:p>
  </w:footnote>
  <w:footnote w:id="89">
    <w:p w:rsidR="00F25A97" w:rsidRPr="00BF57E5" w:rsidRDefault="00F25A97" w:rsidP="00B81292">
      <w:pPr>
        <w:pStyle w:val="Notedebasdepage"/>
        <w:jc w:val="both"/>
      </w:pPr>
      <w:r w:rsidRPr="00BF57E5">
        <w:rPr>
          <w:rStyle w:val="Appelnotedebasdep"/>
        </w:rPr>
        <w:footnoteRef/>
      </w:r>
      <w:r w:rsidRPr="00BF57E5">
        <w:t xml:space="preserve"> Propos d’un commandant de p</w:t>
      </w:r>
      <w:r>
        <w:t xml:space="preserve">lusieurs batteries de DGA  in </w:t>
      </w:r>
      <w:r w:rsidRPr="00BF57E5">
        <w:t xml:space="preserve"> IBID. </w:t>
      </w:r>
    </w:p>
  </w:footnote>
  <w:footnote w:id="90">
    <w:p w:rsidR="00F25A97" w:rsidRPr="00BF57E5" w:rsidRDefault="00F25A97" w:rsidP="00B81292">
      <w:pPr>
        <w:pStyle w:val="Notedebasdepage"/>
        <w:jc w:val="both"/>
      </w:pPr>
      <w:r w:rsidRPr="00BF57E5">
        <w:rPr>
          <w:rStyle w:val="Appelnotedebasdep"/>
        </w:rPr>
        <w:footnoteRef/>
      </w:r>
      <w:r w:rsidRPr="00BF57E5">
        <w:t xml:space="preserve"> IBID. </w:t>
      </w:r>
    </w:p>
  </w:footnote>
  <w:footnote w:id="91">
    <w:p w:rsidR="00F25A97" w:rsidRPr="00BF57E5" w:rsidRDefault="00F25A97" w:rsidP="00B81292">
      <w:pPr>
        <w:pStyle w:val="Notedebasdepage"/>
        <w:jc w:val="both"/>
      </w:pPr>
      <w:r w:rsidRPr="00BF57E5">
        <w:rPr>
          <w:rStyle w:val="Appelnotedebasdep"/>
        </w:rPr>
        <w:footnoteRef/>
      </w:r>
      <w:r w:rsidRPr="00052E7B">
        <w:t>http://</w:t>
      </w:r>
      <w:r>
        <w:t>fr.</w:t>
      </w:r>
      <w:r w:rsidRPr="00052E7B">
        <w:t>WIKIPEDIA</w:t>
      </w:r>
      <w:r>
        <w:t>.org</w:t>
      </w:r>
      <w:r w:rsidRPr="00052E7B">
        <w:t>/WIKI/</w:t>
      </w:r>
      <w:r>
        <w:t xml:space="preserve"> </w:t>
      </w:r>
      <w:r w:rsidRPr="00BF57E5">
        <w:t>Les Prussiens</w:t>
      </w:r>
    </w:p>
  </w:footnote>
  <w:footnote w:id="92">
    <w:p w:rsidR="00F25A97" w:rsidRPr="00BF57E5" w:rsidRDefault="00F25A97" w:rsidP="00B81292">
      <w:pPr>
        <w:pStyle w:val="Notedebasdepage"/>
        <w:jc w:val="both"/>
      </w:pPr>
      <w:r w:rsidRPr="00BF57E5">
        <w:rPr>
          <w:rStyle w:val="Appelnotedebasdep"/>
        </w:rPr>
        <w:footnoteRef/>
      </w:r>
      <w:r>
        <w:t xml:space="preserve">Eric Alary, </w:t>
      </w:r>
      <w:r w:rsidRPr="00BF57E5">
        <w:t xml:space="preserve">Bénédicte Vergez- Chaignon, Gilles Gauvin, </w:t>
      </w:r>
      <w:r w:rsidRPr="00BF57E5">
        <w:rPr>
          <w:i/>
        </w:rPr>
        <w:t>«Les français au quotidien 1939- 1945</w:t>
      </w:r>
      <w:r w:rsidRPr="00BF57E5">
        <w:t xml:space="preserve">»Coll. </w:t>
      </w:r>
      <w:r>
        <w:t>Tempus, Editions Perrin,</w:t>
      </w:r>
      <w:r w:rsidRPr="00BF57E5">
        <w:t xml:space="preserve"> 2009</w:t>
      </w:r>
      <w:r>
        <w:t>.</w:t>
      </w:r>
    </w:p>
    <w:p w:rsidR="00F25A97" w:rsidRPr="00BF57E5" w:rsidRDefault="00F25A97" w:rsidP="00B81292">
      <w:pPr>
        <w:pStyle w:val="Notedebasdepage"/>
        <w:jc w:val="both"/>
      </w:pPr>
      <w:r>
        <w:t xml:space="preserve"> </w:t>
      </w:r>
    </w:p>
  </w:footnote>
  <w:footnote w:id="93">
    <w:p w:rsidR="00F25A97" w:rsidRPr="00BF57E5" w:rsidRDefault="00F25A97" w:rsidP="002B433F">
      <w:pPr>
        <w:pStyle w:val="Notedebasdepage"/>
        <w:jc w:val="both"/>
      </w:pPr>
      <w:r w:rsidRPr="00BF57E5">
        <w:rPr>
          <w:rStyle w:val="Appelnotedebasdep"/>
        </w:rPr>
        <w:footnoteRef/>
      </w:r>
      <w:r w:rsidRPr="00BF57E5">
        <w:t xml:space="preserve"> IBID.</w:t>
      </w:r>
    </w:p>
  </w:footnote>
  <w:footnote w:id="94">
    <w:p w:rsidR="00F25A97" w:rsidRPr="00BF57E5" w:rsidRDefault="00F25A97" w:rsidP="002B433F">
      <w:pPr>
        <w:pStyle w:val="Notedebasdepage"/>
        <w:jc w:val="both"/>
      </w:pPr>
      <w:r w:rsidRPr="00BF57E5">
        <w:rPr>
          <w:rStyle w:val="Appelnotedebasdep"/>
        </w:rPr>
        <w:footnoteRef/>
      </w:r>
      <w:r w:rsidRPr="00BF57E5">
        <w:t xml:space="preserve"> </w:t>
      </w:r>
      <w:r>
        <w:t xml:space="preserve">VGAD : Versträkter Grenzaufsichts (service renforcé de la surveillance des frontières) in Eric Alary, Bénédicte Vergez-Chaignon, Gilles Gauvin, </w:t>
      </w:r>
      <w:r w:rsidRPr="00052E7B">
        <w:rPr>
          <w:i/>
          <w:iCs/>
        </w:rPr>
        <w:t>Les français au quotidien</w:t>
      </w:r>
      <w:r>
        <w:t xml:space="preserve"> </w:t>
      </w:r>
      <w:r w:rsidRPr="00052E7B">
        <w:rPr>
          <w:i/>
          <w:iCs/>
        </w:rPr>
        <w:t>1939-1945</w:t>
      </w:r>
      <w:r>
        <w:t xml:space="preserve"> Coll. Tempus, Editions Perrin, 2009. </w:t>
      </w:r>
    </w:p>
  </w:footnote>
  <w:footnote w:id="95">
    <w:p w:rsidR="00F25A97" w:rsidRPr="00BF57E5" w:rsidRDefault="00F25A97" w:rsidP="002B433F">
      <w:pPr>
        <w:pStyle w:val="Notedebasdepage"/>
        <w:jc w:val="both"/>
      </w:pPr>
      <w:r w:rsidRPr="00BF57E5">
        <w:rPr>
          <w:rStyle w:val="Appelnotedebasdep"/>
        </w:rPr>
        <w:footnoteRef/>
      </w:r>
      <w:r w:rsidRPr="00BF57E5">
        <w:t xml:space="preserve"> IBID. </w:t>
      </w:r>
    </w:p>
  </w:footnote>
  <w:footnote w:id="96">
    <w:p w:rsidR="00F25A97" w:rsidRPr="00BF57E5" w:rsidRDefault="00F25A97" w:rsidP="002B433F">
      <w:pPr>
        <w:pStyle w:val="Notedebasdepage"/>
        <w:jc w:val="both"/>
      </w:pPr>
      <w:r w:rsidRPr="00BF57E5">
        <w:rPr>
          <w:rStyle w:val="Appelnotedebasdep"/>
        </w:rPr>
        <w:footnoteRef/>
      </w:r>
      <w:r w:rsidRPr="00BF57E5">
        <w:t xml:space="preserve"> IBID.</w:t>
      </w:r>
    </w:p>
  </w:footnote>
  <w:footnote w:id="97">
    <w:p w:rsidR="00F25A97" w:rsidRPr="00BF57E5" w:rsidRDefault="00F25A97" w:rsidP="002B433F">
      <w:pPr>
        <w:pStyle w:val="Notedebasdepage"/>
        <w:jc w:val="both"/>
      </w:pPr>
      <w:r w:rsidRPr="00BF57E5">
        <w:rPr>
          <w:rStyle w:val="Appelnotedebasdep"/>
        </w:rPr>
        <w:footnoteRef/>
      </w:r>
      <w:r w:rsidRPr="00BF57E5">
        <w:t xml:space="preserve"> Jean- Pierre Azéma, De Munich à la Libération, op.cit., p.178. Eric Alary, Bénédicte Vergez-Chaignon, Gilles Gauvin, </w:t>
      </w:r>
      <w:r w:rsidRPr="00BF57E5">
        <w:rPr>
          <w:i/>
        </w:rPr>
        <w:t>Les Français au quotidien 1939- 1945</w:t>
      </w:r>
      <w:r w:rsidRPr="00BF57E5">
        <w:t>, Coll. Tempus, Editions Perrin, 2009.</w:t>
      </w:r>
    </w:p>
  </w:footnote>
  <w:footnote w:id="98">
    <w:p w:rsidR="00F25A97" w:rsidRPr="00BF57E5" w:rsidRDefault="00F25A97" w:rsidP="002B433F">
      <w:pPr>
        <w:pStyle w:val="Notedebasdepage"/>
      </w:pPr>
      <w:r w:rsidRPr="00BF57E5">
        <w:rPr>
          <w:rStyle w:val="Appelnotedebasdep"/>
        </w:rPr>
        <w:footnoteRef/>
      </w:r>
      <w:r w:rsidRPr="00BF57E5">
        <w:t xml:space="preserve"> IBID. </w:t>
      </w:r>
    </w:p>
  </w:footnote>
  <w:footnote w:id="99">
    <w:p w:rsidR="00F25A97" w:rsidRPr="00BF57E5" w:rsidRDefault="00F25A97" w:rsidP="002B433F">
      <w:pPr>
        <w:pStyle w:val="Notedebasdepage"/>
        <w:jc w:val="both"/>
      </w:pPr>
      <w:r w:rsidRPr="00BF57E5">
        <w:rPr>
          <w:rStyle w:val="Appelnotedebasdep"/>
        </w:rPr>
        <w:footnoteRef/>
      </w:r>
      <w:r w:rsidRPr="00BF57E5">
        <w:t xml:space="preserve"> Archives privées. Eric Alary, Bénédicte Vergez-Chaignon, Gilles Gauvin, </w:t>
      </w:r>
      <w:r w:rsidRPr="00BF57E5">
        <w:rPr>
          <w:i/>
        </w:rPr>
        <w:t>les français au quotidien</w:t>
      </w:r>
      <w:r w:rsidRPr="00BF57E5">
        <w:t xml:space="preserve"> 1939 -1945, Coll. Tempus, Editions Perrin, 2009 ; </w:t>
      </w:r>
    </w:p>
  </w:footnote>
  <w:footnote w:id="100">
    <w:p w:rsidR="00F25A97" w:rsidRPr="00BF57E5" w:rsidRDefault="00F25A97" w:rsidP="002B433F">
      <w:pPr>
        <w:pStyle w:val="Notedebasdepage"/>
        <w:jc w:val="both"/>
      </w:pPr>
      <w:r w:rsidRPr="00BF57E5">
        <w:rPr>
          <w:rStyle w:val="Appelnotedebasdep"/>
          <w:i/>
        </w:rPr>
        <w:footnoteRef/>
      </w:r>
      <w:r w:rsidRPr="00BF57E5">
        <w:rPr>
          <w:i/>
        </w:rPr>
        <w:t xml:space="preserve"> </w:t>
      </w:r>
      <w:r>
        <w:t>Jean Galtier-Boissière</w:t>
      </w:r>
      <w:r w:rsidRPr="00BF57E5">
        <w:t xml:space="preserve"> </w:t>
      </w:r>
      <w:r>
        <w:t>in</w:t>
      </w:r>
      <w:r w:rsidRPr="00BF57E5">
        <w:t xml:space="preserve"> Eric Alary, Bénédicte Vergez-Chaignon, Gilles Gauvin</w:t>
      </w:r>
      <w:r w:rsidRPr="00BF57E5">
        <w:rPr>
          <w:i/>
        </w:rPr>
        <w:t>, Les français au</w:t>
      </w:r>
      <w:r w:rsidRPr="00BF57E5">
        <w:t xml:space="preserve"> </w:t>
      </w:r>
      <w:r w:rsidRPr="00BF57E5">
        <w:rPr>
          <w:i/>
        </w:rPr>
        <w:t>quotidien 1939- 1945</w:t>
      </w:r>
      <w:r w:rsidRPr="00BF57E5">
        <w:t>, Coll. Tempus, Editions Perrin, 2009.</w:t>
      </w:r>
    </w:p>
  </w:footnote>
  <w:footnote w:id="101">
    <w:p w:rsidR="00F25A97" w:rsidRPr="00BF57E5" w:rsidRDefault="00F25A97" w:rsidP="002B433F">
      <w:pPr>
        <w:pStyle w:val="Notedebasdepage"/>
        <w:jc w:val="both"/>
      </w:pPr>
      <w:r w:rsidRPr="00BF57E5">
        <w:rPr>
          <w:rStyle w:val="Appelnotedebasdep"/>
        </w:rPr>
        <w:footnoteRef/>
      </w:r>
      <w:r w:rsidRPr="00BF57E5">
        <w:t xml:space="preserve"> IBID. </w:t>
      </w:r>
    </w:p>
  </w:footnote>
  <w:footnote w:id="102">
    <w:p w:rsidR="00F25A97" w:rsidRPr="00BF57E5" w:rsidRDefault="00F25A97" w:rsidP="002B433F">
      <w:pPr>
        <w:pStyle w:val="Notedebasdepage"/>
        <w:jc w:val="both"/>
      </w:pPr>
      <w:r w:rsidRPr="00BF57E5">
        <w:rPr>
          <w:rStyle w:val="Appelnotedebasdep"/>
        </w:rPr>
        <w:footnoteRef/>
      </w:r>
      <w:r w:rsidRPr="00BF57E5">
        <w:t xml:space="preserve"> IBID.</w:t>
      </w:r>
    </w:p>
  </w:footnote>
  <w:footnote w:id="103">
    <w:p w:rsidR="00F25A97" w:rsidRPr="00BF57E5" w:rsidRDefault="00F25A97" w:rsidP="002B433F">
      <w:pPr>
        <w:pStyle w:val="Notedebasdepage"/>
        <w:jc w:val="both"/>
      </w:pPr>
      <w:r w:rsidRPr="00BF57E5">
        <w:rPr>
          <w:rStyle w:val="Appelnotedebasdep"/>
        </w:rPr>
        <w:footnoteRef/>
      </w:r>
      <w:r w:rsidRPr="00BF57E5">
        <w:t xml:space="preserve"> Témoignage</w:t>
      </w:r>
      <w:r>
        <w:t xml:space="preserve"> de Jean-Louis Besson à sa mère in </w:t>
      </w:r>
      <w:r w:rsidRPr="00BF57E5">
        <w:t xml:space="preserve"> Eric Alary, Bénédicte Vergez-Chaignon, Gilles Ga</w:t>
      </w:r>
      <w:r>
        <w:t xml:space="preserve">uvin, </w:t>
      </w:r>
      <w:r w:rsidRPr="00BF57E5">
        <w:t xml:space="preserve">les </w:t>
      </w:r>
      <w:r w:rsidRPr="00BF57E5">
        <w:rPr>
          <w:i/>
        </w:rPr>
        <w:t>Français au quotidien</w:t>
      </w:r>
      <w:r>
        <w:t> 1939-1945,</w:t>
      </w:r>
      <w:r w:rsidRPr="00BF57E5">
        <w:t xml:space="preserve"> Coll. Temp</w:t>
      </w:r>
      <w:r>
        <w:t>us, Editions Perrin, 2009.</w:t>
      </w:r>
      <w:r w:rsidRPr="00BF57E5">
        <w:t xml:space="preserve"> </w:t>
      </w:r>
    </w:p>
  </w:footnote>
  <w:footnote w:id="104">
    <w:p w:rsidR="00F25A97" w:rsidRPr="00BF57E5" w:rsidRDefault="00F25A97" w:rsidP="002B433F">
      <w:pPr>
        <w:pStyle w:val="Notedebasdepage"/>
        <w:jc w:val="both"/>
      </w:pPr>
      <w:r w:rsidRPr="00BF57E5">
        <w:rPr>
          <w:rStyle w:val="Appelnotedebasdep"/>
        </w:rPr>
        <w:footnoteRef/>
      </w:r>
      <w:r w:rsidRPr="00BF57E5">
        <w:t xml:space="preserve"> Anne Grynberg, </w:t>
      </w:r>
      <w:r w:rsidRPr="00BF57E5">
        <w:rPr>
          <w:i/>
        </w:rPr>
        <w:t>les camps de la honte</w:t>
      </w:r>
      <w:r w:rsidRPr="00BF57E5">
        <w:t>, Paris, La Découverte, 1991.</w:t>
      </w:r>
      <w:r>
        <w:t xml:space="preserve"> In </w:t>
      </w:r>
      <w:r w:rsidRPr="00BF57E5">
        <w:t xml:space="preserve"> Eric Alary, Bénédicte V</w:t>
      </w:r>
      <w:r>
        <w:t xml:space="preserve">ergez-Chaignon, Gilles Gauvin, </w:t>
      </w:r>
      <w:r w:rsidRPr="00BF57E5">
        <w:t> </w:t>
      </w:r>
      <w:r w:rsidRPr="008E6CEF">
        <w:rPr>
          <w:i/>
          <w:iCs/>
        </w:rPr>
        <w:t>les Français au quotidien</w:t>
      </w:r>
      <w:r>
        <w:t>  1939-1945,</w:t>
      </w:r>
      <w:r w:rsidRPr="00BF57E5">
        <w:t xml:space="preserve"> Coll. Tempus, Editions Perrin, 2009. </w:t>
      </w:r>
    </w:p>
  </w:footnote>
  <w:footnote w:id="105">
    <w:p w:rsidR="00F25A97" w:rsidRPr="00BF57E5" w:rsidRDefault="00F25A97" w:rsidP="002B433F">
      <w:pPr>
        <w:pStyle w:val="Notedebasdepage"/>
        <w:jc w:val="both"/>
      </w:pPr>
      <w:r w:rsidRPr="00BF57E5">
        <w:rPr>
          <w:rStyle w:val="Appelnotedebasdep"/>
        </w:rPr>
        <w:footnoteRef/>
      </w:r>
      <w:r w:rsidRPr="00BF57E5">
        <w:t> </w:t>
      </w:r>
      <w:r>
        <w:t>http://fr.WIKIPEDIA.org/WIKI/</w:t>
      </w:r>
      <w:r w:rsidRPr="00BF57E5">
        <w:t xml:space="preserve">Jean Paul Sartre.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A2B7C"/>
    <w:multiLevelType w:val="hybridMultilevel"/>
    <w:tmpl w:val="C8A055D0"/>
    <w:lvl w:ilvl="0" w:tplc="379A7B0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4224D59"/>
    <w:multiLevelType w:val="hybridMultilevel"/>
    <w:tmpl w:val="63FAD68A"/>
    <w:lvl w:ilvl="0" w:tplc="17F6820E">
      <w:start w:val="1"/>
      <w:numFmt w:val="lowerLetter"/>
      <w:lvlText w:val="%1-"/>
      <w:lvlJc w:val="left"/>
      <w:pPr>
        <w:ind w:left="720" w:hanging="360"/>
      </w:pPr>
      <w:rPr>
        <w:rFonts w:ascii="a -" w:hAnsi="a -"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D4571B"/>
    <w:multiLevelType w:val="hybridMultilevel"/>
    <w:tmpl w:val="55921E8A"/>
    <w:lvl w:ilvl="0" w:tplc="040C000F">
      <w:start w:val="1"/>
      <w:numFmt w:val="decimal"/>
      <w:lvlText w:val="%1."/>
      <w:lvlJc w:val="left"/>
      <w:pPr>
        <w:ind w:left="720"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0E72145"/>
    <w:multiLevelType w:val="hybridMultilevel"/>
    <w:tmpl w:val="7B4ED52E"/>
    <w:lvl w:ilvl="0" w:tplc="4EA469DA">
      <w:start w:val="1"/>
      <w:numFmt w:val="bullet"/>
      <w:lvlText w:val="–"/>
      <w:lvlJc w:val="left"/>
      <w:pPr>
        <w:ind w:left="720" w:hanging="360"/>
      </w:pPr>
      <w:rPr>
        <w:rFonts w:ascii="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4EB21F7"/>
    <w:multiLevelType w:val="hybridMultilevel"/>
    <w:tmpl w:val="475C1854"/>
    <w:lvl w:ilvl="0" w:tplc="040C0017">
      <w:start w:val="1"/>
      <w:numFmt w:val="lowerLetter"/>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7D8724C"/>
    <w:multiLevelType w:val="hybridMultilevel"/>
    <w:tmpl w:val="470AB488"/>
    <w:lvl w:ilvl="0" w:tplc="040C000F">
      <w:start w:val="1"/>
      <w:numFmt w:val="decimal"/>
      <w:lvlText w:val="%1."/>
      <w:lvlJc w:val="left"/>
      <w:pPr>
        <w:ind w:left="720"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B4F53B4"/>
    <w:multiLevelType w:val="hybridMultilevel"/>
    <w:tmpl w:val="F2C2C602"/>
    <w:lvl w:ilvl="0" w:tplc="4EA469DA">
      <w:start w:val="1"/>
      <w:numFmt w:val="bullet"/>
      <w:lvlText w:val="–"/>
      <w:lvlJc w:val="left"/>
      <w:pPr>
        <w:ind w:left="720" w:hanging="360"/>
      </w:pPr>
      <w:rPr>
        <w:rFonts w:ascii="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0F440B6"/>
    <w:multiLevelType w:val="hybridMultilevel"/>
    <w:tmpl w:val="21C4AA40"/>
    <w:lvl w:ilvl="0" w:tplc="17F6820E">
      <w:start w:val="1"/>
      <w:numFmt w:val="lowerLetter"/>
      <w:lvlText w:val="%1-"/>
      <w:lvlJc w:val="left"/>
      <w:pPr>
        <w:ind w:left="720" w:hanging="360"/>
      </w:pPr>
      <w:rPr>
        <w:rFonts w:ascii="a -" w:hAnsi="a -"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B1133D3"/>
    <w:multiLevelType w:val="hybridMultilevel"/>
    <w:tmpl w:val="A4409802"/>
    <w:lvl w:ilvl="0" w:tplc="1DEC4884">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D192F78"/>
    <w:multiLevelType w:val="hybridMultilevel"/>
    <w:tmpl w:val="C1C651EE"/>
    <w:lvl w:ilvl="0" w:tplc="4EA469DA">
      <w:start w:val="1"/>
      <w:numFmt w:val="bullet"/>
      <w:lvlText w:val="–"/>
      <w:lvlJc w:val="left"/>
      <w:pPr>
        <w:ind w:left="720" w:hanging="360"/>
      </w:pPr>
      <w:rPr>
        <w:rFonts w:ascii="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EFE631C"/>
    <w:multiLevelType w:val="hybridMultilevel"/>
    <w:tmpl w:val="54108248"/>
    <w:lvl w:ilvl="0" w:tplc="7C843654">
      <w:start w:val="1"/>
      <w:numFmt w:val="lowerLetter"/>
      <w:lvlText w:val="%1."/>
      <w:lvlJc w:val="left"/>
      <w:pPr>
        <w:ind w:left="360" w:hanging="360"/>
      </w:pPr>
      <w:rPr>
        <w:rFonts w:hint="default"/>
        <w:b/>
        <w:i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F1263FD"/>
    <w:multiLevelType w:val="hybridMultilevel"/>
    <w:tmpl w:val="805E2D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4C736ED"/>
    <w:multiLevelType w:val="hybridMultilevel"/>
    <w:tmpl w:val="B43E4922"/>
    <w:lvl w:ilvl="0" w:tplc="68CA9B3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01F5E9A"/>
    <w:multiLevelType w:val="hybridMultilevel"/>
    <w:tmpl w:val="71F66652"/>
    <w:lvl w:ilvl="0" w:tplc="15BE63CE">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61151FD2"/>
    <w:multiLevelType w:val="hybridMultilevel"/>
    <w:tmpl w:val="04A208C0"/>
    <w:lvl w:ilvl="0" w:tplc="68CA9B3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EEA1C7A"/>
    <w:multiLevelType w:val="hybridMultilevel"/>
    <w:tmpl w:val="A5F2BCEE"/>
    <w:lvl w:ilvl="0" w:tplc="040C0019">
      <w:start w:val="1"/>
      <w:numFmt w:val="lowerLetter"/>
      <w:lvlText w:val="%1."/>
      <w:lvlJc w:val="left"/>
      <w:pPr>
        <w:ind w:left="1900" w:hanging="360"/>
      </w:pPr>
    </w:lvl>
    <w:lvl w:ilvl="1" w:tplc="040C0019" w:tentative="1">
      <w:start w:val="1"/>
      <w:numFmt w:val="lowerLetter"/>
      <w:lvlText w:val="%2."/>
      <w:lvlJc w:val="left"/>
      <w:pPr>
        <w:ind w:left="2620" w:hanging="360"/>
      </w:pPr>
    </w:lvl>
    <w:lvl w:ilvl="2" w:tplc="040C001B" w:tentative="1">
      <w:start w:val="1"/>
      <w:numFmt w:val="lowerRoman"/>
      <w:lvlText w:val="%3."/>
      <w:lvlJc w:val="right"/>
      <w:pPr>
        <w:ind w:left="3340" w:hanging="180"/>
      </w:pPr>
    </w:lvl>
    <w:lvl w:ilvl="3" w:tplc="040C000F" w:tentative="1">
      <w:start w:val="1"/>
      <w:numFmt w:val="decimal"/>
      <w:lvlText w:val="%4."/>
      <w:lvlJc w:val="left"/>
      <w:pPr>
        <w:ind w:left="4060" w:hanging="360"/>
      </w:pPr>
    </w:lvl>
    <w:lvl w:ilvl="4" w:tplc="040C0019" w:tentative="1">
      <w:start w:val="1"/>
      <w:numFmt w:val="lowerLetter"/>
      <w:lvlText w:val="%5."/>
      <w:lvlJc w:val="left"/>
      <w:pPr>
        <w:ind w:left="4780" w:hanging="360"/>
      </w:pPr>
    </w:lvl>
    <w:lvl w:ilvl="5" w:tplc="040C001B" w:tentative="1">
      <w:start w:val="1"/>
      <w:numFmt w:val="lowerRoman"/>
      <w:lvlText w:val="%6."/>
      <w:lvlJc w:val="right"/>
      <w:pPr>
        <w:ind w:left="5500" w:hanging="180"/>
      </w:pPr>
    </w:lvl>
    <w:lvl w:ilvl="6" w:tplc="040C000F" w:tentative="1">
      <w:start w:val="1"/>
      <w:numFmt w:val="decimal"/>
      <w:lvlText w:val="%7."/>
      <w:lvlJc w:val="left"/>
      <w:pPr>
        <w:ind w:left="6220" w:hanging="360"/>
      </w:pPr>
    </w:lvl>
    <w:lvl w:ilvl="7" w:tplc="040C0019" w:tentative="1">
      <w:start w:val="1"/>
      <w:numFmt w:val="lowerLetter"/>
      <w:lvlText w:val="%8."/>
      <w:lvlJc w:val="left"/>
      <w:pPr>
        <w:ind w:left="6940" w:hanging="360"/>
      </w:pPr>
    </w:lvl>
    <w:lvl w:ilvl="8" w:tplc="040C001B" w:tentative="1">
      <w:start w:val="1"/>
      <w:numFmt w:val="lowerRoman"/>
      <w:lvlText w:val="%9."/>
      <w:lvlJc w:val="right"/>
      <w:pPr>
        <w:ind w:left="7660" w:hanging="180"/>
      </w:pPr>
    </w:lvl>
  </w:abstractNum>
  <w:num w:numId="1">
    <w:abstractNumId w:val="11"/>
  </w:num>
  <w:num w:numId="2">
    <w:abstractNumId w:val="13"/>
  </w:num>
  <w:num w:numId="3">
    <w:abstractNumId w:val="4"/>
  </w:num>
  <w:num w:numId="4">
    <w:abstractNumId w:val="15"/>
  </w:num>
  <w:num w:numId="5">
    <w:abstractNumId w:val="6"/>
  </w:num>
  <w:num w:numId="6">
    <w:abstractNumId w:val="0"/>
  </w:num>
  <w:num w:numId="7">
    <w:abstractNumId w:val="8"/>
  </w:num>
  <w:num w:numId="8">
    <w:abstractNumId w:val="14"/>
  </w:num>
  <w:num w:numId="9">
    <w:abstractNumId w:val="9"/>
  </w:num>
  <w:num w:numId="10">
    <w:abstractNumId w:val="3"/>
  </w:num>
  <w:num w:numId="11">
    <w:abstractNumId w:val="10"/>
  </w:num>
  <w:num w:numId="12">
    <w:abstractNumId w:val="2"/>
  </w:num>
  <w:num w:numId="13">
    <w:abstractNumId w:val="12"/>
  </w:num>
  <w:num w:numId="14">
    <w:abstractNumId w:val="5"/>
  </w:num>
  <w:num w:numId="15">
    <w:abstractNumId w:val="7"/>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hyphenationZone w:val="425"/>
  <w:characterSpacingControl w:val="doNotCompress"/>
  <w:hdrShapeDefaults>
    <o:shapedefaults v:ext="edit" spidmax="10242"/>
  </w:hdrShapeDefaults>
  <w:footnotePr>
    <w:footnote w:id="0"/>
    <w:footnote w:id="1"/>
  </w:footnotePr>
  <w:endnotePr>
    <w:endnote w:id="0"/>
    <w:endnote w:id="1"/>
  </w:endnotePr>
  <w:compat>
    <w:useFELayout/>
  </w:compat>
  <w:rsids>
    <w:rsidRoot w:val="000859C0"/>
    <w:rsid w:val="000014D2"/>
    <w:rsid w:val="0001020C"/>
    <w:rsid w:val="00035A33"/>
    <w:rsid w:val="00037BE8"/>
    <w:rsid w:val="000859C0"/>
    <w:rsid w:val="000D618D"/>
    <w:rsid w:val="001667AE"/>
    <w:rsid w:val="002A21EF"/>
    <w:rsid w:val="002B433F"/>
    <w:rsid w:val="00307426"/>
    <w:rsid w:val="003C2A57"/>
    <w:rsid w:val="004A67C7"/>
    <w:rsid w:val="00500FA7"/>
    <w:rsid w:val="00503688"/>
    <w:rsid w:val="00545548"/>
    <w:rsid w:val="00565BD2"/>
    <w:rsid w:val="00580576"/>
    <w:rsid w:val="005977BE"/>
    <w:rsid w:val="00617330"/>
    <w:rsid w:val="00690865"/>
    <w:rsid w:val="007A615E"/>
    <w:rsid w:val="007C38E9"/>
    <w:rsid w:val="007F4502"/>
    <w:rsid w:val="008416FC"/>
    <w:rsid w:val="00842DC9"/>
    <w:rsid w:val="008817B5"/>
    <w:rsid w:val="008A3501"/>
    <w:rsid w:val="008F0BF3"/>
    <w:rsid w:val="00925FDC"/>
    <w:rsid w:val="009265B8"/>
    <w:rsid w:val="0095247B"/>
    <w:rsid w:val="009F2CD2"/>
    <w:rsid w:val="009F5CF5"/>
    <w:rsid w:val="00A475E9"/>
    <w:rsid w:val="00B33AB1"/>
    <w:rsid w:val="00B40323"/>
    <w:rsid w:val="00B60FD0"/>
    <w:rsid w:val="00B639EB"/>
    <w:rsid w:val="00B81292"/>
    <w:rsid w:val="00BA7F0C"/>
    <w:rsid w:val="00BB72F2"/>
    <w:rsid w:val="00BD79D4"/>
    <w:rsid w:val="00C12755"/>
    <w:rsid w:val="00C53693"/>
    <w:rsid w:val="00C777DE"/>
    <w:rsid w:val="00CB09D7"/>
    <w:rsid w:val="00CC130D"/>
    <w:rsid w:val="00D74A4A"/>
    <w:rsid w:val="00DB7400"/>
    <w:rsid w:val="00DC37B3"/>
    <w:rsid w:val="00E2045A"/>
    <w:rsid w:val="00E473BC"/>
    <w:rsid w:val="00E77824"/>
    <w:rsid w:val="00EE5455"/>
    <w:rsid w:val="00EF53F8"/>
    <w:rsid w:val="00F25A97"/>
    <w:rsid w:val="00FB708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61" type="connector" idref="#_x0000_s1132"/>
        <o:r id="V:Rule62" type="connector" idref="#_x0000_s1223"/>
        <o:r id="V:Rule63" type="connector" idref="#_x0000_s1125"/>
        <o:r id="V:Rule64" type="connector" idref="#_x0000_s1047"/>
        <o:r id="V:Rule65" type="connector" idref="#_x0000_s1092"/>
        <o:r id="V:Rule66" type="connector" idref="#_x0000_s1218"/>
        <o:r id="V:Rule67" type="connector" idref="#_x0000_s1052"/>
        <o:r id="V:Rule68" type="connector" idref="#_x0000_s1247"/>
        <o:r id="V:Rule69" type="connector" idref="#_x0000_s1169"/>
        <o:r id="V:Rule70" type="connector" idref="#_x0000_s1059"/>
        <o:r id="V:Rule71" type="connector" idref="#_x0000_s1165"/>
        <o:r id="V:Rule72" type="connector" idref="#_x0000_s1224"/>
        <o:r id="V:Rule73" type="connector" idref="#_x0000_s1158"/>
        <o:r id="V:Rule74" type="connector" idref="#_x0000_s1251"/>
        <o:r id="V:Rule75" type="connector" idref="#_x0000_s1057"/>
        <o:r id="V:Rule76" type="connector" idref="#_x0000_s1283"/>
        <o:r id="V:Rule77" type="connector" idref="#_x0000_s1157"/>
        <o:r id="V:Rule78" type="connector" idref="#_x0000_s1167"/>
        <o:r id="V:Rule79" type="connector" idref="#_x0000_s1246"/>
        <o:r id="V:Rule80" type="connector" idref="#_x0000_s1222"/>
        <o:r id="V:Rule81" type="connector" idref="#_x0000_s1050"/>
        <o:r id="V:Rule82" type="connector" idref="#_x0000_s1061"/>
        <o:r id="V:Rule83" type="connector" idref="#_x0000_s1244"/>
        <o:r id="V:Rule84" type="connector" idref="#_x0000_s1291"/>
        <o:r id="V:Rule85" type="connector" idref="#_x0000_s1166"/>
        <o:r id="V:Rule86" type="connector" idref="#_x0000_s1098"/>
        <o:r id="V:Rule87" type="connector" idref="#_x0000_s1130"/>
        <o:r id="V:Rule88" type="connector" idref="#_x0000_s1054"/>
        <o:r id="V:Rule89" type="connector" idref="#_x0000_s1100"/>
        <o:r id="V:Rule90" type="connector" idref="#_x0000_s1225"/>
        <o:r id="V:Rule91" type="connector" idref="#_x0000_s1164">
          <o:proxy start="" idref="#_x0000_s1159" connectloc="2"/>
        </o:r>
        <o:r id="V:Rule92" type="connector" idref="#_x0000_s1170"/>
        <o:r id="V:Rule93" type="connector" idref="#_x0000_s1131"/>
        <o:r id="V:Rule94" type="connector" idref="#_x0000_s1286"/>
        <o:r id="V:Rule95" type="connector" idref="#_x0000_s1252"/>
        <o:r id="V:Rule96" type="connector" idref="#_x0000_s1284"/>
        <o:r id="V:Rule97" type="connector" idref="#_x0000_s1090"/>
        <o:r id="V:Rule98" type="connector" idref="#_x0000_s1168"/>
        <o:r id="V:Rule99" type="connector" idref="#_x0000_s1250"/>
        <o:r id="V:Rule100" type="connector" idref="#_x0000_s1060"/>
        <o:r id="V:Rule101" type="connector" idref="#_x0000_s1093"/>
        <o:r id="V:Rule102" type="connector" idref="#_x0000_s1245"/>
        <o:r id="V:Rule103" type="connector" idref="#_x0000_s1156"/>
        <o:r id="V:Rule104" type="connector" idref="#_x0000_s1282"/>
        <o:r id="V:Rule105" type="connector" idref="#_x0000_s1102"/>
        <o:r id="V:Rule106" type="connector" idref="#_x0000_s1126"/>
        <o:r id="V:Rule107" type="connector" idref="#_x0000_s1104"/>
        <o:r id="V:Rule108" type="connector" idref="#_x0000_s1133"/>
        <o:r id="V:Rule109" type="connector" idref="#_x0000_s1219"/>
        <o:r id="V:Rule110" type="connector" idref="#_x0000_s1056"/>
        <o:r id="V:Rule111" type="connector" idref="#_x0000_s1217"/>
        <o:r id="V:Rule112" type="connector" idref="#_x0000_s1101"/>
        <o:r id="V:Rule113" type="connector" idref="#_x0000_s1096"/>
        <o:r id="V:Rule114" type="connector" idref="#_x0000_s1124">
          <o:proxy start="" idref="#_x0000_s1123" connectloc="2"/>
        </o:r>
        <o:r id="V:Rule115" type="connector" idref="#_x0000_s1094"/>
        <o:r id="V:Rule116" type="connector" idref="#_x0000_s1171"/>
        <o:r id="V:Rule117" type="connector" idref="#_x0000_s1127"/>
        <o:r id="V:Rule118" type="connector" idref="#_x0000_s1285"/>
        <o:r id="V:Rule119" type="connector" idref="#_x0000_s1216"/>
        <o:r id="V:Rule120" type="connector" idref="#_x0000_s12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247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307426"/>
    <w:pPr>
      <w:ind w:left="720"/>
      <w:contextualSpacing/>
    </w:pPr>
  </w:style>
  <w:style w:type="paragraph" w:styleId="Notedebasdepage">
    <w:name w:val="footnote text"/>
    <w:basedOn w:val="Normal"/>
    <w:link w:val="NotedebasdepageCar"/>
    <w:uiPriority w:val="99"/>
    <w:rsid w:val="008F0BF3"/>
    <w:pPr>
      <w:spacing w:after="0" w:line="240" w:lineRule="auto"/>
    </w:pPr>
    <w:rPr>
      <w:rFonts w:ascii="Times New Roman" w:eastAsia="Times New Roman" w:hAnsi="Times New Roman" w:cs="Times New Roman"/>
      <w:sz w:val="20"/>
      <w:szCs w:val="20"/>
    </w:rPr>
  </w:style>
  <w:style w:type="character" w:customStyle="1" w:styleId="NotedebasdepageCar">
    <w:name w:val="Note de bas de page Car"/>
    <w:basedOn w:val="Policepardfaut"/>
    <w:link w:val="Notedebasdepage"/>
    <w:uiPriority w:val="99"/>
    <w:rsid w:val="008F0BF3"/>
    <w:rPr>
      <w:rFonts w:ascii="Times New Roman" w:eastAsia="Times New Roman" w:hAnsi="Times New Roman" w:cs="Times New Roman"/>
      <w:sz w:val="20"/>
      <w:szCs w:val="20"/>
    </w:rPr>
  </w:style>
  <w:style w:type="character" w:styleId="Appelnotedebasdep">
    <w:name w:val="footnote reference"/>
    <w:basedOn w:val="Policepardfaut"/>
    <w:uiPriority w:val="99"/>
    <w:semiHidden/>
    <w:rsid w:val="008F0BF3"/>
    <w:rPr>
      <w:vertAlign w:val="superscript"/>
    </w:rPr>
  </w:style>
  <w:style w:type="paragraph" w:styleId="En-tte">
    <w:name w:val="header"/>
    <w:basedOn w:val="Normal"/>
    <w:link w:val="En-tteCar"/>
    <w:uiPriority w:val="99"/>
    <w:unhideWhenUsed/>
    <w:rsid w:val="002A21EF"/>
    <w:pPr>
      <w:tabs>
        <w:tab w:val="center" w:pos="4536"/>
        <w:tab w:val="right" w:pos="9072"/>
      </w:tabs>
      <w:spacing w:after="0" w:line="240" w:lineRule="auto"/>
    </w:pPr>
    <w:rPr>
      <w:rFonts w:ascii="Calibri" w:eastAsia="Calibri" w:hAnsi="Calibri" w:cs="Times New Roman"/>
      <w:lang w:eastAsia="en-US"/>
    </w:rPr>
  </w:style>
  <w:style w:type="character" w:customStyle="1" w:styleId="En-tteCar">
    <w:name w:val="En-tête Car"/>
    <w:basedOn w:val="Policepardfaut"/>
    <w:link w:val="En-tte"/>
    <w:uiPriority w:val="99"/>
    <w:rsid w:val="002A21EF"/>
    <w:rPr>
      <w:rFonts w:ascii="Calibri" w:eastAsia="Calibri" w:hAnsi="Calibri" w:cs="Times New Roman"/>
      <w:lang w:eastAsia="en-US"/>
    </w:rPr>
  </w:style>
  <w:style w:type="paragraph" w:styleId="Textedebulles">
    <w:name w:val="Balloon Text"/>
    <w:basedOn w:val="Normal"/>
    <w:link w:val="TextedebullesCar"/>
    <w:uiPriority w:val="99"/>
    <w:semiHidden/>
    <w:unhideWhenUsed/>
    <w:rsid w:val="00B4032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40323"/>
    <w:rPr>
      <w:rFonts w:ascii="Tahoma" w:hAnsi="Tahoma" w:cs="Tahoma"/>
      <w:sz w:val="16"/>
      <w:szCs w:val="16"/>
    </w:rPr>
  </w:style>
  <w:style w:type="paragraph" w:styleId="Pieddepage">
    <w:name w:val="footer"/>
    <w:basedOn w:val="Normal"/>
    <w:link w:val="PieddepageCar"/>
    <w:uiPriority w:val="99"/>
    <w:unhideWhenUsed/>
    <w:rsid w:val="009F5CF5"/>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F5CF5"/>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Document_Microsoft_Office_Word_97_-_20031.doc"/><Relationship Id="rId18" Type="http://schemas.openxmlformats.org/officeDocument/2006/relationships/hyperlink" Target="http://fr.wikipedia.org/wiki/G%C3%A9n%C3%A9ration_perdue"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image" Target="media/image3.emf"/><Relationship Id="rId17" Type="http://schemas.openxmlformats.org/officeDocument/2006/relationships/hyperlink" Target="http://fr.wikipedia.org/wiki/Seine" TargetMode="External"/><Relationship Id="rId2" Type="http://schemas.openxmlformats.org/officeDocument/2006/relationships/styles" Target="styles.xml"/><Relationship Id="rId16" Type="http://schemas.openxmlformats.org/officeDocument/2006/relationships/hyperlink" Target="http://fr.wikipedia.org/wiki/Montmartre" TargetMode="External"/><Relationship Id="rId20"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Document_Microsoft_Office_Word2.docx"/><Relationship Id="rId5" Type="http://schemas.openxmlformats.org/officeDocument/2006/relationships/footnotes" Target="footnotes.xml"/><Relationship Id="rId15" Type="http://schemas.openxmlformats.org/officeDocument/2006/relationships/hyperlink" Target="http://fr.wikipedia.org/wiki/Montparnasse" TargetMode="External"/><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package" Target="embeddings/Document_Microsoft_Office_Word1.docx"/><Relationship Id="rId14" Type="http://schemas.openxmlformats.org/officeDocument/2006/relationships/hyperlink" Target="http://fr.wikipedia.org/wiki/Ann%C3%A9es_folles_en_Franc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E5020A64362846D3946F79867449B96E"/>
        <w:category>
          <w:name w:val="Général"/>
          <w:gallery w:val="placeholder"/>
        </w:category>
        <w:types>
          <w:type w:val="bbPlcHdr"/>
        </w:types>
        <w:behaviors>
          <w:behavior w:val="content"/>
        </w:behaviors>
        <w:guid w:val="{5D6BCB18-84EB-462A-B26D-6149C848CF70}"/>
      </w:docPartPr>
      <w:docPartBody>
        <w:p w:rsidR="00810AE0" w:rsidRDefault="003F559E" w:rsidP="003F559E">
          <w:pPr>
            <w:pStyle w:val="E5020A64362846D3946F79867449B96E"/>
          </w:pPr>
          <w:r>
            <w:rPr>
              <w:rFonts w:asciiTheme="majorHAnsi" w:eastAsiaTheme="majorEastAsia" w:hAnsiTheme="majorHAnsi" w:cstheme="majorBidi"/>
              <w:sz w:val="32"/>
              <w:szCs w:val="32"/>
            </w:rPr>
            <w:t>[Tapez le titre du document]</w:t>
          </w:r>
        </w:p>
      </w:docPartBody>
    </w:docPart>
    <w:docPart>
      <w:docPartPr>
        <w:name w:val="565DD682DECB45FBB572FF2BAB9D1124"/>
        <w:category>
          <w:name w:val="Général"/>
          <w:gallery w:val="placeholder"/>
        </w:category>
        <w:types>
          <w:type w:val="bbPlcHdr"/>
        </w:types>
        <w:behaviors>
          <w:behavior w:val="content"/>
        </w:behaviors>
        <w:guid w:val="{98C29292-CC59-4476-A02C-FDF85125F988}"/>
      </w:docPartPr>
      <w:docPartBody>
        <w:p w:rsidR="00810AE0" w:rsidRDefault="003F559E" w:rsidP="003F559E">
          <w:pPr>
            <w:pStyle w:val="565DD682DECB45FBB572FF2BAB9D1124"/>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 -">
    <w:altName w:val="Times New Roman"/>
    <w:panose1 w:val="00000000000000000000"/>
    <w:charset w:val="00"/>
    <w:family w:val="roman"/>
    <w:notTrueType/>
    <w:pitch w:val="default"/>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3F559E"/>
    <w:rsid w:val="00162450"/>
    <w:rsid w:val="003F559E"/>
    <w:rsid w:val="00634395"/>
    <w:rsid w:val="00810AE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0AE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D604C36748C4071B612D64794D7CBFB">
    <w:name w:val="9D604C36748C4071B612D64794D7CBFB"/>
    <w:rsid w:val="003F559E"/>
  </w:style>
  <w:style w:type="paragraph" w:customStyle="1" w:styleId="A5354050700F4EE3BE00E233AF954A65">
    <w:name w:val="A5354050700F4EE3BE00E233AF954A65"/>
    <w:rsid w:val="003F559E"/>
  </w:style>
  <w:style w:type="paragraph" w:customStyle="1" w:styleId="E5020A64362846D3946F79867449B96E">
    <w:name w:val="E5020A64362846D3946F79867449B96E"/>
    <w:rsid w:val="003F559E"/>
  </w:style>
  <w:style w:type="paragraph" w:customStyle="1" w:styleId="892CD22365A24AB19E9D8F1DFC4F27AD">
    <w:name w:val="892CD22365A24AB19E9D8F1DFC4F27AD"/>
    <w:rsid w:val="003F559E"/>
  </w:style>
  <w:style w:type="paragraph" w:customStyle="1" w:styleId="565DD682DECB45FBB572FF2BAB9D1124">
    <w:name w:val="565DD682DECB45FBB572FF2BAB9D1124"/>
    <w:rsid w:val="003F559E"/>
  </w:style>
  <w:style w:type="paragraph" w:customStyle="1" w:styleId="3F0F80264BE6466CBF70A8DB74F99A06">
    <w:name w:val="3F0F80264BE6466CBF70A8DB74F99A06"/>
    <w:rsid w:val="00810AE0"/>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303</TotalTime>
  <Pages>104</Pages>
  <Words>25138</Words>
  <Characters>138261</Characters>
  <Application>Microsoft Office Word</Application>
  <DocSecurity>0</DocSecurity>
  <Lines>1152</Lines>
  <Paragraphs>326</Paragraphs>
  <ScaleCrop>false</ScaleCrop>
  <HeadingPairs>
    <vt:vector size="2" baseType="variant">
      <vt:variant>
        <vt:lpstr>Titre</vt:lpstr>
      </vt:variant>
      <vt:variant>
        <vt:i4>1</vt:i4>
      </vt:variant>
    </vt:vector>
  </HeadingPairs>
  <TitlesOfParts>
    <vt:vector size="1" baseType="lpstr">
      <vt:lpstr>Conclusion générale</vt:lpstr>
    </vt:vector>
  </TitlesOfParts>
  <Company>Unicornis</Company>
  <LinksUpToDate>false</LinksUpToDate>
  <CharactersWithSpaces>163073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 générale</dc:title>
  <dc:subject/>
  <dc:creator>Unicornis</dc:creator>
  <cp:keywords/>
  <dc:description/>
  <cp:lastModifiedBy>Unicornis</cp:lastModifiedBy>
  <cp:revision>22</cp:revision>
  <cp:lastPrinted>2011-12-03T06:53:00Z</cp:lastPrinted>
  <dcterms:created xsi:type="dcterms:W3CDTF">2011-06-05T10:27:00Z</dcterms:created>
  <dcterms:modified xsi:type="dcterms:W3CDTF">2011-12-11T19:35:00Z</dcterms:modified>
</cp:coreProperties>
</file>